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before="118"/>
        <w:ind w:left="1228" w:right="2830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7"/>
        <w:rPr>
          <w:b/>
          <w:sz w:val="39"/>
        </w:rPr>
      </w:pPr>
    </w:p>
    <w:p>
      <w:pPr>
        <w:spacing w:before="0"/>
        <w:ind w:left="2638" w:right="0" w:firstLine="0"/>
        <w:jc w:val="left"/>
        <w:rPr>
          <w:b/>
          <w:sz w:val="24"/>
        </w:rPr>
      </w:pPr>
      <w:r>
        <w:rPr>
          <w:b/>
          <w:sz w:val="24"/>
        </w:rPr>
        <w:t>INTRODUCTION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LITERATURE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spacing w:before="10"/>
        <w:rPr>
          <w:b/>
          <w:sz w:val="39"/>
        </w:rPr>
      </w:pPr>
    </w:p>
    <w:p>
      <w:pPr>
        <w:pStyle w:val="Heading3"/>
        <w:numPr>
          <w:ilvl w:val="1"/>
          <w:numId w:val="1"/>
        </w:numPr>
        <w:tabs>
          <w:tab w:pos="3358" w:val="left" w:leader="none"/>
          <w:tab w:pos="3359" w:val="left" w:leader="none"/>
        </w:tabs>
        <w:spacing w:line="240" w:lineRule="auto" w:before="0" w:after="0"/>
        <w:ind w:left="3358" w:right="0" w:hanging="2161"/>
        <w:jc w:val="left"/>
      </w:pPr>
      <w:r>
        <w:rPr/>
        <w:t>INTRODUCTION</w:t>
      </w:r>
    </w:p>
    <w:p>
      <w:pPr>
        <w:pStyle w:val="BodyText"/>
        <w:spacing w:line="470" w:lineRule="auto" w:before="200"/>
        <w:ind w:left="1198" w:right="574"/>
        <w:jc w:val="both"/>
      </w:pPr>
      <w:r>
        <w:rPr/>
        <w:t>Oil is the life blood of any modern industrial society. It fuels the machineries and lubricates</w:t>
      </w:r>
      <w:r>
        <w:rPr>
          <w:spacing w:val="1"/>
        </w:rPr>
        <w:t> </w:t>
      </w:r>
      <w:r>
        <w:rPr/>
        <w:t>the wheels of the world’s production. It is one of the most important energies and raw</w:t>
      </w:r>
      <w:r>
        <w:rPr>
          <w:spacing w:val="1"/>
        </w:rPr>
        <w:t> </w:t>
      </w:r>
      <w:r>
        <w:rPr/>
        <w:t>material sources for synthetic polymers and chemicals worldwide (Hussein </w:t>
      </w:r>
      <w:r>
        <w:rPr>
          <w:sz w:val="25"/>
        </w:rPr>
        <w:t>et al</w:t>
      </w:r>
      <w:r>
        <w:rPr/>
        <w:t>., 2008;</w:t>
      </w:r>
      <w:r>
        <w:rPr>
          <w:spacing w:val="1"/>
        </w:rPr>
        <w:t> </w:t>
      </w:r>
      <w:r>
        <w:rPr/>
        <w:t>Annunciado</w:t>
      </w:r>
      <w:r>
        <w:rPr>
          <w:spacing w:val="-3"/>
        </w:rPr>
        <w:t>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al.,</w:t>
      </w:r>
      <w:r>
        <w:rPr>
          <w:spacing w:val="-4"/>
          <w:sz w:val="25"/>
        </w:rPr>
        <w:t> </w:t>
      </w:r>
      <w:r>
        <w:rPr/>
        <w:t>2005).</w:t>
      </w:r>
    </w:p>
    <w:p>
      <w:pPr>
        <w:pStyle w:val="BodyText"/>
        <w:spacing w:line="475" w:lineRule="auto"/>
        <w:ind w:left="1198" w:right="575"/>
        <w:jc w:val="both"/>
      </w:pPr>
      <w:r>
        <w:rPr/>
        <w:t>Whenever oil is explored, transported and stored and its derivatives are used, there is risk</w:t>
      </w:r>
      <w:r>
        <w:rPr>
          <w:spacing w:val="1"/>
        </w:rPr>
        <w:t> </w:t>
      </w:r>
      <w:r>
        <w:rPr/>
        <w:t>of spillage with potential to cause significant environmental impact (Hussein </w:t>
      </w:r>
      <w:r>
        <w:rPr>
          <w:sz w:val="25"/>
        </w:rPr>
        <w:t>et al</w:t>
      </w:r>
      <w:r>
        <w:rPr/>
        <w:t>., 2008).</w:t>
      </w:r>
      <w:r>
        <w:rPr>
          <w:spacing w:val="1"/>
        </w:rPr>
        <w:t> </w:t>
      </w:r>
      <w:r>
        <w:rPr/>
        <w:t>Due to its destructive properties, once an area has been contaminated with oil, the whole</w:t>
      </w:r>
      <w:r>
        <w:rPr>
          <w:spacing w:val="1"/>
        </w:rPr>
        <w:t> </w:t>
      </w:r>
      <w:r>
        <w:rPr/>
        <w:t>character of the place is damaged and when it encounters something to cling to, whether it</w:t>
      </w:r>
      <w:r>
        <w:rPr>
          <w:spacing w:val="-72"/>
        </w:rPr>
        <w:t> </w:t>
      </w:r>
      <w:r>
        <w:rPr/>
        <w:t>be a beach, a rock, the feathers of a duck or a bathers hair, it does not readily let go</w:t>
      </w:r>
      <w:r>
        <w:rPr>
          <w:spacing w:val="1"/>
        </w:rPr>
        <w:t> </w:t>
      </w:r>
      <w:r>
        <w:rPr/>
        <w:t>(Aynechi, 2004). Hence, pollution by petroleum oils affects sea life, economy, tourism and</w:t>
      </w:r>
      <w:r>
        <w:rPr>
          <w:spacing w:val="1"/>
        </w:rPr>
        <w:t> </w:t>
      </w:r>
      <w:r>
        <w:rPr/>
        <w:t>leisure</w:t>
      </w:r>
      <w:r>
        <w:rPr>
          <w:spacing w:val="-5"/>
        </w:rPr>
        <w:t> </w:t>
      </w:r>
      <w:r>
        <w:rPr/>
        <w:t>activities</w:t>
      </w:r>
      <w:r>
        <w:rPr>
          <w:spacing w:val="-4"/>
        </w:rPr>
        <w:t> </w:t>
      </w:r>
      <w:r>
        <w:rPr/>
        <w:t>because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coating</w:t>
      </w:r>
      <w:r>
        <w:rPr>
          <w:spacing w:val="-3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-5"/>
        </w:rPr>
        <w:t> </w:t>
      </w:r>
      <w:r>
        <w:rPr/>
        <w:t>materials</w:t>
      </w:r>
      <w:r>
        <w:rPr>
          <w:spacing w:val="-4"/>
        </w:rPr>
        <w:t> </w:t>
      </w:r>
      <w:r>
        <w:rPr/>
        <w:t>(Hussein </w:t>
      </w:r>
      <w:r>
        <w:rPr>
          <w:sz w:val="25"/>
        </w:rPr>
        <w:t>et</w:t>
      </w:r>
      <w:r>
        <w:rPr>
          <w:spacing w:val="-10"/>
          <w:sz w:val="25"/>
        </w:rPr>
        <w:t> </w:t>
      </w:r>
      <w:r>
        <w:rPr>
          <w:sz w:val="25"/>
        </w:rPr>
        <w:t>al.,</w:t>
      </w:r>
      <w:r>
        <w:rPr>
          <w:spacing w:val="-9"/>
          <w:sz w:val="25"/>
        </w:rPr>
        <w:t> </w:t>
      </w:r>
      <w:r>
        <w:rPr/>
        <w:t>2008).</w:t>
      </w:r>
      <w:r>
        <w:rPr>
          <w:spacing w:val="-73"/>
        </w:rPr>
        <w:t> </w:t>
      </w:r>
      <w:r>
        <w:rPr/>
        <w:t>The adverse impact to ecosystems and the long term effect of environmental pollution call</w:t>
      </w:r>
      <w:r>
        <w:rPr>
          <w:spacing w:val="1"/>
        </w:rPr>
        <w:t> </w:t>
      </w:r>
      <w:r>
        <w:rPr/>
        <w:t>for an urgent need to develop a wide range of materials for cleaning-up oil from oil</w:t>
      </w:r>
      <w:r>
        <w:rPr>
          <w:spacing w:val="1"/>
        </w:rPr>
        <w:t> </w:t>
      </w:r>
      <w:r>
        <w:rPr/>
        <w:t>impacted areas especially as the effectiveness of oil treatment varies with time, the type of</w:t>
      </w:r>
      <w:r>
        <w:rPr>
          <w:spacing w:val="-72"/>
        </w:rPr>
        <w:t> </w:t>
      </w:r>
      <w:r>
        <w:rPr/>
        <w:t>oil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spill,</w:t>
      </w:r>
      <w:r>
        <w:rPr>
          <w:spacing w:val="-3"/>
        </w:rPr>
        <w:t> </w:t>
      </w:r>
      <w:r>
        <w:rPr/>
        <w:t>the location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weather</w:t>
      </w:r>
      <w:r>
        <w:rPr>
          <w:spacing w:val="-2"/>
        </w:rPr>
        <w:t> </w:t>
      </w:r>
      <w:r>
        <w:rPr/>
        <w:t>conditions (Adebajo</w:t>
      </w:r>
      <w:r>
        <w:rPr>
          <w:spacing w:val="-1"/>
        </w:rPr>
        <w:t> </w:t>
      </w:r>
      <w:r>
        <w:rPr>
          <w:sz w:val="25"/>
        </w:rPr>
        <w:t>et</w:t>
      </w:r>
      <w:r>
        <w:rPr>
          <w:spacing w:val="-3"/>
          <w:sz w:val="25"/>
        </w:rPr>
        <w:t> </w:t>
      </w:r>
      <w:r>
        <w:rPr>
          <w:sz w:val="25"/>
        </w:rPr>
        <w:t>al.,</w:t>
      </w:r>
      <w:r>
        <w:rPr>
          <w:spacing w:val="-5"/>
          <w:sz w:val="25"/>
        </w:rPr>
        <w:t> </w:t>
      </w:r>
      <w:r>
        <w:rPr/>
        <w:t>2003).</w:t>
      </w:r>
    </w:p>
    <w:p>
      <w:pPr>
        <w:pStyle w:val="BodyText"/>
        <w:spacing w:line="480" w:lineRule="auto"/>
        <w:ind w:left="1198" w:right="577"/>
        <w:jc w:val="both"/>
      </w:pPr>
      <w:r>
        <w:rPr/>
        <w:t>Huge amounts of agricultural wastes (corn cob and mango kernel) are produced in many</w:t>
      </w:r>
      <w:r>
        <w:rPr>
          <w:spacing w:val="1"/>
        </w:rPr>
        <w:t> </w:t>
      </w:r>
      <w:r>
        <w:rPr/>
        <w:t>countries of the world. However, only a fraction of these materials are reused. One of the</w:t>
      </w:r>
      <w:r>
        <w:rPr>
          <w:spacing w:val="1"/>
        </w:rPr>
        <w:t> </w:t>
      </w:r>
      <w:r>
        <w:rPr/>
        <w:t>features of these organic materials is that it can absorb by capillary forces an amount of oil</w:t>
      </w:r>
      <w:r>
        <w:rPr>
          <w:spacing w:val="-72"/>
        </w:rPr>
        <w:t> </w:t>
      </w:r>
      <w:r>
        <w:rPr/>
        <w:t>and/or water greater than its own weight (Bodirlau and Teaca, 2009). In addition this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2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degraded in</w:t>
      </w:r>
      <w:r>
        <w:rPr>
          <w:spacing w:val="1"/>
        </w:rPr>
        <w:t> </w:t>
      </w:r>
      <w:r>
        <w:rPr/>
        <w:t>nature</w:t>
      </w:r>
      <w:r>
        <w:rPr>
          <w:spacing w:val="3"/>
        </w:rPr>
        <w:t> </w:t>
      </w:r>
      <w:r>
        <w:rPr/>
        <w:t>by</w:t>
      </w:r>
      <w:r>
        <w:rPr>
          <w:spacing w:val="-2"/>
        </w:rPr>
        <w:t> </w:t>
      </w:r>
      <w:r>
        <w:rPr/>
        <w:t>biological, physical,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footerReference w:type="default" r:id="rId5"/>
          <w:type w:val="continuous"/>
          <w:pgSz w:w="11910" w:h="16840"/>
          <w:pgMar w:footer="987" w:top="1580" w:bottom="1180" w:left="420" w:right="0"/>
          <w:pgNumType w:start="1"/>
        </w:sectPr>
      </w:pPr>
    </w:p>
    <w:p>
      <w:pPr>
        <w:pStyle w:val="BodyText"/>
        <w:spacing w:line="472" w:lineRule="auto" w:before="85"/>
        <w:ind w:left="1198" w:right="575"/>
        <w:jc w:val="both"/>
      </w:pPr>
      <w:r>
        <w:rPr/>
        <w:t>photochemical processes (Tronc </w:t>
      </w:r>
      <w:r>
        <w:rPr>
          <w:sz w:val="25"/>
        </w:rPr>
        <w:t>et al</w:t>
      </w:r>
      <w:r>
        <w:rPr/>
        <w:t>., 2006). In the past two decades, the reuse of</w:t>
      </w:r>
      <w:r>
        <w:rPr>
          <w:spacing w:val="1"/>
        </w:rPr>
        <w:t> </w:t>
      </w:r>
      <w:r>
        <w:rPr/>
        <w:t>agricultural byproducts as oil sorbents has received growing attention due to their low cost</w:t>
      </w:r>
      <w:r>
        <w:rPr>
          <w:spacing w:val="1"/>
        </w:rPr>
        <w:t> </w:t>
      </w:r>
      <w:r>
        <w:rPr/>
        <w:t>and biodegradability (Adebajo </w:t>
      </w:r>
      <w:r>
        <w:rPr>
          <w:sz w:val="25"/>
        </w:rPr>
        <w:t>et al.</w:t>
      </w:r>
      <w:r>
        <w:rPr/>
        <w:t>, 2003). Most agricultural byproducts derived from</w:t>
      </w:r>
      <w:r>
        <w:rPr>
          <w:spacing w:val="1"/>
        </w:rPr>
        <w:t> </w:t>
      </w:r>
      <w:r>
        <w:rPr/>
        <w:t>plants such as bagasse, coir, kenaf, rice straw, sisal and saw dust have been investigated</w:t>
      </w:r>
      <w:r>
        <w:rPr>
          <w:spacing w:val="1"/>
        </w:rPr>
        <w:t> </w:t>
      </w:r>
      <w:r>
        <w:rPr/>
        <w:t>for oil spill cleanup application (Choi and Cloud, 1992). The main drawbacks of these plant-</w:t>
      </w:r>
      <w:r>
        <w:rPr>
          <w:spacing w:val="-72"/>
        </w:rPr>
        <w:t> </w:t>
      </w:r>
      <w:r>
        <w:rPr/>
        <w:t>derived sorbents are a relatively low oil sorption capacity, low hydrophobicity and poor</w:t>
      </w:r>
      <w:r>
        <w:rPr>
          <w:spacing w:val="1"/>
        </w:rPr>
        <w:t> </w:t>
      </w:r>
      <w:r>
        <w:rPr/>
        <w:t>buoyancy compared to synthetic sorbents such as polypropylene (Bayat </w:t>
      </w:r>
      <w:r>
        <w:rPr>
          <w:sz w:val="25"/>
        </w:rPr>
        <w:t>et al.</w:t>
      </w:r>
      <w:r>
        <w:rPr/>
        <w:t>, 2005;</w:t>
      </w:r>
      <w:r>
        <w:rPr>
          <w:spacing w:val="1"/>
        </w:rPr>
        <w:t> </w:t>
      </w:r>
      <w:r>
        <w:rPr/>
        <w:t>Anunciado</w:t>
      </w:r>
      <w:r>
        <w:rPr>
          <w:spacing w:val="-4"/>
        </w:rPr>
        <w:t>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al.</w:t>
      </w:r>
      <w:r>
        <w:rPr/>
        <w:t>,2005).</w:t>
      </w:r>
    </w:p>
    <w:p>
      <w:pPr>
        <w:pStyle w:val="BodyText"/>
        <w:spacing w:line="480" w:lineRule="auto" w:before="186"/>
        <w:ind w:left="1198" w:right="575"/>
        <w:jc w:val="both"/>
      </w:pPr>
      <w:r>
        <w:rPr/>
        <w:t>Once plant-derived sorbents are applied to saturated environments, preferential water</w:t>
      </w:r>
      <w:r>
        <w:rPr>
          <w:spacing w:val="1"/>
        </w:rPr>
        <w:t> </w:t>
      </w:r>
      <w:r>
        <w:rPr/>
        <w:t>sorption is favoured over the sorption of oil because the sorbents are generally hydrophilic</w:t>
      </w:r>
      <w:r>
        <w:rPr>
          <w:spacing w:val="1"/>
        </w:rPr>
        <w:t> </w:t>
      </w:r>
      <w:r>
        <w:rPr/>
        <w:t>in nature. A better understanding of the chemical composition of these natural fibers is</w:t>
      </w:r>
      <w:r>
        <w:rPr>
          <w:spacing w:val="1"/>
        </w:rPr>
        <w:t> </w:t>
      </w:r>
      <w:r>
        <w:rPr/>
        <w:t>necessary for developing natural fiber sorbents. Agricultural byproducts can be considered</w:t>
      </w:r>
      <w:r>
        <w:rPr>
          <w:spacing w:val="1"/>
        </w:rPr>
        <w:t> </w:t>
      </w:r>
      <w:r>
        <w:rPr/>
        <w:t>polymeric composites made up primarily of cellulose, hemicellulose and lignin (Kumar,</w:t>
      </w:r>
      <w:r>
        <w:rPr>
          <w:spacing w:val="1"/>
        </w:rPr>
        <w:t> </w:t>
      </w:r>
      <w:r>
        <w:rPr/>
        <w:t>1994; Homan et al., 2000). These polymers make up the cell wall and are responsible for</w:t>
      </w:r>
      <w:r>
        <w:rPr>
          <w:spacing w:val="1"/>
        </w:rPr>
        <w:t> </w:t>
      </w:r>
      <w:r>
        <w:rPr/>
        <w:t>most of the physical and chemical properties exhibited by these materials (Bodirlau and</w:t>
      </w:r>
      <w:r>
        <w:rPr>
          <w:spacing w:val="1"/>
        </w:rPr>
        <w:t> </w:t>
      </w:r>
      <w:r>
        <w:rPr/>
        <w:t>Teaca, 2009). Agricultural byproducts have a well-documented problem of water sorption</w:t>
      </w:r>
      <w:r>
        <w:rPr>
          <w:spacing w:val="1"/>
        </w:rPr>
        <w:t> </w:t>
      </w:r>
      <w:r>
        <w:rPr/>
        <w:t>and</w:t>
      </w:r>
      <w:r>
        <w:rPr>
          <w:spacing w:val="34"/>
        </w:rPr>
        <w:t> </w:t>
      </w:r>
      <w:r>
        <w:rPr/>
        <w:t>lack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dimensional</w:t>
      </w:r>
      <w:r>
        <w:rPr>
          <w:spacing w:val="35"/>
        </w:rPr>
        <w:t> </w:t>
      </w:r>
      <w:r>
        <w:rPr/>
        <w:t>stability,</w:t>
      </w:r>
      <w:r>
        <w:rPr>
          <w:spacing w:val="34"/>
        </w:rPr>
        <w:t> </w:t>
      </w:r>
      <w:r>
        <w:rPr/>
        <w:t>due</w:t>
      </w:r>
      <w:r>
        <w:rPr>
          <w:spacing w:val="36"/>
        </w:rPr>
        <w:t> </w:t>
      </w:r>
      <w:r>
        <w:rPr/>
        <w:t>to</w:t>
      </w:r>
      <w:r>
        <w:rPr>
          <w:spacing w:val="33"/>
        </w:rPr>
        <w:t> </w:t>
      </w:r>
      <w:r>
        <w:rPr/>
        <w:t>associated</w:t>
      </w:r>
      <w:r>
        <w:rPr>
          <w:spacing w:val="33"/>
        </w:rPr>
        <w:t> </w:t>
      </w:r>
      <w:r>
        <w:rPr/>
        <w:t>hydroxyl</w:t>
      </w:r>
      <w:r>
        <w:rPr>
          <w:spacing w:val="36"/>
        </w:rPr>
        <w:t> </w:t>
      </w:r>
      <w:r>
        <w:rPr/>
        <w:t>functionality.</w:t>
      </w:r>
      <w:r>
        <w:rPr>
          <w:spacing w:val="33"/>
        </w:rPr>
        <w:t> </w:t>
      </w:r>
      <w:r>
        <w:rPr/>
        <w:t>These</w:t>
      </w:r>
      <w:r>
        <w:rPr>
          <w:spacing w:val="36"/>
        </w:rPr>
        <w:t> </w:t>
      </w:r>
      <w:r>
        <w:rPr/>
        <w:t>groups</w:t>
      </w:r>
      <w:r>
        <w:rPr>
          <w:spacing w:val="-73"/>
        </w:rPr>
        <w:t> </w:t>
      </w:r>
      <w:r>
        <w:rPr/>
        <w:t>are</w:t>
      </w:r>
      <w:r>
        <w:rPr>
          <w:spacing w:val="1"/>
        </w:rPr>
        <w:t> </w:t>
      </w:r>
      <w:r>
        <w:rPr/>
        <w:t>abundantly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 three major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and are</w:t>
      </w:r>
      <w:r>
        <w:rPr>
          <w:spacing w:val="-1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hydrophilicity</w:t>
      </w:r>
      <w:r>
        <w:rPr>
          <w:spacing w:val="-3"/>
        </w:rPr>
        <w:t> </w:t>
      </w:r>
      <w:r>
        <w:rPr/>
        <w:t>(Bodirlau</w:t>
      </w:r>
      <w:r>
        <w:rPr>
          <w:spacing w:val="1"/>
        </w:rPr>
        <w:t> </w:t>
      </w:r>
      <w:r>
        <w:rPr/>
        <w:t>and Teaca, 2009).</w:t>
      </w:r>
    </w:p>
    <w:p>
      <w:pPr>
        <w:pStyle w:val="BodyText"/>
        <w:spacing w:line="480" w:lineRule="auto" w:before="202"/>
        <w:ind w:left="1198" w:right="575"/>
        <w:jc w:val="both"/>
      </w:pPr>
      <w:r>
        <w:rPr/>
        <w:t>Hydrophobicity (oleophilicity) is one of the major determinants of sorbents properties</w:t>
      </w:r>
      <w:r>
        <w:rPr>
          <w:spacing w:val="1"/>
        </w:rPr>
        <w:t> </w:t>
      </w:r>
      <w:r>
        <w:rPr/>
        <w:t>influencing the effectiveness of oil sorption in the presence of water. The effectiveness of</w:t>
      </w:r>
      <w:r>
        <w:rPr>
          <w:spacing w:val="1"/>
        </w:rPr>
        <w:t> </w:t>
      </w:r>
      <w:r>
        <w:rPr/>
        <w:t>the sorbents in saturated environments would be enhanced if the density of the hydroxyl</w:t>
      </w:r>
      <w:r>
        <w:rPr>
          <w:spacing w:val="1"/>
        </w:rPr>
        <w:t> </w:t>
      </w:r>
      <w:r>
        <w:rPr/>
        <w:t>functionality</w:t>
      </w:r>
      <w:r>
        <w:rPr>
          <w:spacing w:val="13"/>
        </w:rPr>
        <w:t> </w:t>
      </w:r>
      <w:r>
        <w:rPr/>
        <w:t>is</w:t>
      </w:r>
      <w:r>
        <w:rPr>
          <w:spacing w:val="15"/>
        </w:rPr>
        <w:t> </w:t>
      </w:r>
      <w:r>
        <w:rPr/>
        <w:t>decreased</w:t>
      </w:r>
      <w:r>
        <w:rPr>
          <w:spacing w:val="13"/>
        </w:rPr>
        <w:t> </w:t>
      </w:r>
      <w:r>
        <w:rPr/>
        <w:t>(Bodirlau</w:t>
      </w:r>
      <w:r>
        <w:rPr>
          <w:spacing w:val="17"/>
        </w:rPr>
        <w:t> </w:t>
      </w:r>
      <w:r>
        <w:rPr/>
        <w:t>and</w:t>
      </w:r>
      <w:r>
        <w:rPr>
          <w:spacing w:val="13"/>
        </w:rPr>
        <w:t> </w:t>
      </w:r>
      <w:r>
        <w:rPr/>
        <w:t>Teaca,</w:t>
      </w:r>
      <w:r>
        <w:rPr>
          <w:spacing w:val="12"/>
        </w:rPr>
        <w:t> </w:t>
      </w:r>
      <w:r>
        <w:rPr/>
        <w:t>2009).</w:t>
      </w:r>
      <w:r>
        <w:rPr>
          <w:spacing w:val="12"/>
        </w:rPr>
        <w:t> </w:t>
      </w:r>
      <w:r>
        <w:rPr/>
        <w:t>This</w:t>
      </w:r>
      <w:r>
        <w:rPr>
          <w:spacing w:val="15"/>
        </w:rPr>
        <w:t> </w:t>
      </w:r>
      <w:r>
        <w:rPr/>
        <w:t>functional</w:t>
      </w:r>
      <w:r>
        <w:rPr>
          <w:spacing w:val="14"/>
        </w:rPr>
        <w:t> </w:t>
      </w:r>
      <w:r>
        <w:rPr/>
        <w:t>group</w:t>
      </w:r>
      <w:r>
        <w:rPr>
          <w:spacing w:val="16"/>
        </w:rPr>
        <w:t> </w:t>
      </w:r>
      <w:r>
        <w:rPr/>
        <w:t>(hydroxyls)</w:t>
      </w:r>
      <w:r>
        <w:rPr>
          <w:spacing w:val="13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987" w:top="1120" w:bottom="1260" w:left="420" w:right="0"/>
        </w:sectPr>
      </w:pPr>
    </w:p>
    <w:p>
      <w:pPr>
        <w:pStyle w:val="BodyText"/>
        <w:spacing w:line="470" w:lineRule="auto" w:before="75"/>
        <w:ind w:left="1198" w:right="577"/>
        <w:jc w:val="both"/>
      </w:pPr>
      <w:r>
        <w:rPr/>
        <w:t>the most reactive and abundant site in the cell wall polymers of the lignicellulosic materials.</w:t>
      </w:r>
      <w:r>
        <w:rPr>
          <w:spacing w:val="-72"/>
        </w:rPr>
        <w:t> </w:t>
      </w:r>
      <w:r>
        <w:rPr/>
        <w:t>The hydroxyl functionality of these fibers can be reduced by chemical modification such as</w:t>
      </w:r>
      <w:r>
        <w:rPr>
          <w:spacing w:val="1"/>
        </w:rPr>
        <w:t> </w:t>
      </w:r>
      <w:r>
        <w:rPr/>
        <w:t>acetylation, methylation, cyanoethylation, benzoylation, acrylation and acylation (Hofle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</w:t>
      </w:r>
      <w:r>
        <w:rPr/>
        <w:t>.,</w:t>
      </w:r>
      <w:r>
        <w:rPr>
          <w:spacing w:val="-2"/>
        </w:rPr>
        <w:t> </w:t>
      </w:r>
      <w:r>
        <w:rPr/>
        <w:t>1978;</w:t>
      </w:r>
      <w:r>
        <w:rPr>
          <w:spacing w:val="-2"/>
        </w:rPr>
        <w:t> </w:t>
      </w:r>
      <w:r>
        <w:rPr/>
        <w:t>Sun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</w:t>
      </w:r>
      <w:r>
        <w:rPr/>
        <w:t>.,</w:t>
      </w:r>
      <w:r>
        <w:rPr>
          <w:spacing w:val="-2"/>
        </w:rPr>
        <w:t> </w:t>
      </w:r>
      <w:r>
        <w:rPr/>
        <w:t>2004;</w:t>
      </w:r>
      <w:r>
        <w:rPr>
          <w:spacing w:val="-1"/>
        </w:rPr>
        <w:t> </w:t>
      </w:r>
      <w:r>
        <w:rPr/>
        <w:t>Breitenbeck</w:t>
      </w:r>
      <w:r>
        <w:rPr>
          <w:spacing w:val="-2"/>
        </w:rPr>
        <w:t>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2"/>
        </w:rPr>
        <w:t> </w:t>
      </w:r>
      <w:r>
        <w:rPr/>
        <w:t>2007).</w:t>
      </w:r>
    </w:p>
    <w:p>
      <w:pPr>
        <w:pStyle w:val="BodyText"/>
        <w:spacing w:line="475" w:lineRule="auto" w:before="199"/>
        <w:ind w:left="1198" w:right="575"/>
        <w:jc w:val="both"/>
      </w:pPr>
      <w:r>
        <w:rPr/>
        <w:t>The acetylation reaction is one of the most common techniques used for hydrophobic</w:t>
      </w:r>
      <w:r>
        <w:rPr>
          <w:spacing w:val="1"/>
        </w:rPr>
        <w:t> </w:t>
      </w:r>
      <w:r>
        <w:rPr/>
        <w:t>treatment of lignocellulosic materials (eg. wood) by a substitution reaction of a hydroxyl</w:t>
      </w:r>
      <w:r>
        <w:rPr>
          <w:spacing w:val="1"/>
        </w:rPr>
        <w:t> </w:t>
      </w:r>
      <w:r>
        <w:rPr/>
        <w:t>group</w:t>
      </w:r>
      <w:r>
        <w:rPr>
          <w:spacing w:val="71"/>
        </w:rPr>
        <w:t> </w:t>
      </w:r>
      <w:r>
        <w:rPr/>
        <w:t>(hydrophilic)</w:t>
      </w:r>
      <w:r>
        <w:rPr>
          <w:spacing w:val="71"/>
        </w:rPr>
        <w:t> </w:t>
      </w:r>
      <w:r>
        <w:rPr/>
        <w:t>into</w:t>
      </w:r>
      <w:r>
        <w:rPr>
          <w:spacing w:val="70"/>
        </w:rPr>
        <w:t> </w:t>
      </w:r>
      <w:r>
        <w:rPr/>
        <w:t>an</w:t>
      </w:r>
      <w:r>
        <w:rPr>
          <w:spacing w:val="72"/>
        </w:rPr>
        <w:t> </w:t>
      </w:r>
      <w:r>
        <w:rPr/>
        <w:t>acetyl</w:t>
      </w:r>
      <w:r>
        <w:rPr>
          <w:spacing w:val="72"/>
        </w:rPr>
        <w:t> </w:t>
      </w:r>
      <w:r>
        <w:rPr/>
        <w:t>group</w:t>
      </w:r>
      <w:r>
        <w:rPr>
          <w:spacing w:val="71"/>
        </w:rPr>
        <w:t> </w:t>
      </w:r>
      <w:r>
        <w:rPr/>
        <w:t>(hydrophobic)</w:t>
      </w:r>
      <w:r>
        <w:rPr>
          <w:spacing w:val="70"/>
        </w:rPr>
        <w:t> </w:t>
      </w:r>
      <w:r>
        <w:rPr/>
        <w:t>as</w:t>
      </w:r>
      <w:r>
        <w:rPr>
          <w:spacing w:val="72"/>
        </w:rPr>
        <w:t> </w:t>
      </w:r>
      <w:r>
        <w:rPr/>
        <w:t>shown</w:t>
      </w:r>
      <w:r>
        <w:rPr>
          <w:spacing w:val="73"/>
        </w:rPr>
        <w:t> </w:t>
      </w:r>
      <w:r>
        <w:rPr/>
        <w:t>in</w:t>
      </w:r>
      <w:r>
        <w:rPr>
          <w:spacing w:val="72"/>
        </w:rPr>
        <w:t> </w:t>
      </w:r>
      <w:r>
        <w:rPr/>
        <w:t>Figure</w:t>
      </w:r>
      <w:r>
        <w:rPr>
          <w:spacing w:val="70"/>
        </w:rPr>
        <w:t> </w:t>
      </w:r>
      <w:r>
        <w:rPr/>
        <w:t>1.1.</w:t>
      </w:r>
      <w:r>
        <w:rPr>
          <w:spacing w:val="70"/>
        </w:rPr>
        <w:t> </w:t>
      </w:r>
      <w:r>
        <w:rPr/>
        <w:t>This</w:t>
      </w:r>
      <w:r>
        <w:rPr>
          <w:spacing w:val="-73"/>
        </w:rPr>
        <w:t> </w:t>
      </w:r>
      <w:r>
        <w:rPr/>
        <w:t>reaction is usually carried out by heating lignocellulosic material in the presence of acetic</w:t>
      </w:r>
      <w:r>
        <w:rPr>
          <w:spacing w:val="1"/>
        </w:rPr>
        <w:t> </w:t>
      </w:r>
      <w:r>
        <w:rPr/>
        <w:t>anhydride with or without catalyst (Rowel </w:t>
      </w:r>
      <w:r>
        <w:rPr>
          <w:sz w:val="25"/>
        </w:rPr>
        <w:t>et al., </w:t>
      </w:r>
      <w:r>
        <w:rPr/>
        <w:t>1994). Various catalysts have been 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reactions.</w:t>
      </w:r>
      <w:r>
        <w:rPr>
          <w:spacing w:val="1"/>
        </w:rPr>
        <w:t> </w:t>
      </w:r>
      <w:r>
        <w:rPr/>
        <w:t>Pyridine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4-dimethyl</w:t>
      </w:r>
      <w:r>
        <w:rPr>
          <w:spacing w:val="75"/>
        </w:rPr>
        <w:t> </w:t>
      </w:r>
      <w:r>
        <w:rPr/>
        <w:t>amino</w:t>
      </w:r>
      <w:r>
        <w:rPr>
          <w:spacing w:val="1"/>
        </w:rPr>
        <w:t> </w:t>
      </w:r>
      <w:r>
        <w:rPr/>
        <w:t>pyridine (DMAP) have been commonly applied for acetylation for many years (Hofle </w:t>
      </w:r>
      <w:r>
        <w:rPr>
          <w:sz w:val="25"/>
        </w:rPr>
        <w:t>et al.</w:t>
      </w:r>
      <w:r>
        <w:rPr/>
        <w:t>,</w:t>
      </w:r>
      <w:r>
        <w:rPr>
          <w:spacing w:val="1"/>
        </w:rPr>
        <w:t> </w:t>
      </w:r>
      <w:r>
        <w:rPr/>
        <w:t>1978). However, they are too toxic and/or expensive for commercial use. Sun </w:t>
      </w:r>
      <w:r>
        <w:rPr>
          <w:sz w:val="25"/>
        </w:rPr>
        <w:t>et al</w:t>
      </w:r>
      <w:r>
        <w:rPr/>
        <w:t>.,</w:t>
      </w:r>
      <w:r>
        <w:rPr>
          <w:spacing w:val="1"/>
        </w:rPr>
        <w:t> </w:t>
      </w:r>
      <w:r>
        <w:rPr/>
        <w:t>(2004), recently reported that acetylation of sugarcane bagasse with N- bromosuccinimide</w:t>
      </w:r>
      <w:r>
        <w:rPr>
          <w:spacing w:val="1"/>
        </w:rPr>
        <w:t> </w:t>
      </w:r>
      <w:r>
        <w:rPr/>
        <w:t>(NBS) as catalyst in a solvent-free system was a convenient and effective method. 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oil-water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presented</w:t>
      </w:r>
      <w:r>
        <w:rPr>
          <w:spacing w:val="75"/>
        </w:rPr>
        <w:t> </w:t>
      </w:r>
      <w:r>
        <w:rPr/>
        <w:t>an</w:t>
      </w:r>
      <w:r>
        <w:rPr>
          <w:spacing w:val="1"/>
        </w:rPr>
        <w:t> </w:t>
      </w:r>
      <w:r>
        <w:rPr/>
        <w:t>enhanced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sorption</w:t>
      </w:r>
      <w:r>
        <w:rPr>
          <w:spacing w:val="-2"/>
        </w:rPr>
        <w:t> </w:t>
      </w:r>
      <w:r>
        <w:rPr/>
        <w:t>capacity</w:t>
      </w:r>
      <w:r>
        <w:rPr>
          <w:spacing w:val="-1"/>
        </w:rPr>
        <w:t> </w:t>
      </w:r>
      <w:r>
        <w:rPr/>
        <w:t>exceeding</w:t>
      </w:r>
      <w:r>
        <w:rPr>
          <w:spacing w:val="-3"/>
        </w:rPr>
        <w:t> </w:t>
      </w:r>
      <w:r>
        <w:rPr/>
        <w:t>that of</w:t>
      </w:r>
      <w:r>
        <w:rPr>
          <w:spacing w:val="-2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synthetic</w:t>
      </w:r>
      <w:r>
        <w:rPr>
          <w:spacing w:val="-2"/>
        </w:rPr>
        <w:t> </w:t>
      </w:r>
      <w:r>
        <w:rPr/>
        <w:t>sorbents.</w:t>
      </w:r>
    </w:p>
    <w:p>
      <w:pPr>
        <w:spacing w:after="0" w:line="475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ind w:left="1321"/>
        <w:rPr>
          <w:sz w:val="20"/>
        </w:rPr>
      </w:pPr>
      <w:r>
        <w:rPr>
          <w:sz w:val="20"/>
        </w:rPr>
        <w:drawing>
          <wp:inline distT="0" distB="0" distL="0" distR="0">
            <wp:extent cx="5753061" cy="338099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061" cy="338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100"/>
        <w:ind w:left="1272"/>
      </w:pPr>
      <w:r>
        <w:rPr/>
        <w:t>Source:</w:t>
      </w:r>
      <w:r>
        <w:rPr>
          <w:spacing w:val="-5"/>
        </w:rPr>
        <w:t> </w:t>
      </w:r>
      <w:r>
        <w:rPr/>
        <w:t>Bodirlau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Teaca,</w:t>
      </w:r>
      <w:r>
        <w:rPr>
          <w:spacing w:val="-1"/>
        </w:rPr>
        <w:t> </w:t>
      </w:r>
      <w:r>
        <w:rPr/>
        <w:t>2009</w:t>
      </w:r>
    </w:p>
    <w:p>
      <w:pPr>
        <w:pStyle w:val="BodyText"/>
        <w:spacing w:before="7"/>
        <w:rPr>
          <w:sz w:val="40"/>
        </w:rPr>
      </w:pPr>
    </w:p>
    <w:p>
      <w:pPr>
        <w:pStyle w:val="BodyText"/>
        <w:spacing w:before="1"/>
        <w:ind w:left="1198"/>
      </w:pPr>
      <w:r>
        <w:rPr>
          <w:b/>
        </w:rPr>
        <w:t>Figure</w:t>
      </w:r>
      <w:r>
        <w:rPr>
          <w:b/>
          <w:spacing w:val="-5"/>
        </w:rPr>
        <w:t> </w:t>
      </w:r>
      <w:r>
        <w:rPr>
          <w:b/>
        </w:rPr>
        <w:t>1.1.</w:t>
      </w:r>
      <w:r>
        <w:rPr>
          <w:b/>
          <w:spacing w:val="-4"/>
        </w:rPr>
        <w:t> </w:t>
      </w:r>
      <w:r>
        <w:rPr/>
        <w:t>Scheme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reaction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acetic</w:t>
      </w:r>
      <w:r>
        <w:rPr>
          <w:spacing w:val="-2"/>
        </w:rPr>
        <w:t> </w:t>
      </w:r>
      <w:r>
        <w:rPr/>
        <w:t>anhydride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lignocellulose</w:t>
      </w:r>
    </w:p>
    <w:p>
      <w:pPr>
        <w:pStyle w:val="BodyText"/>
        <w:spacing w:before="7"/>
        <w:rPr>
          <w:sz w:val="40"/>
        </w:rPr>
      </w:pPr>
    </w:p>
    <w:p>
      <w:pPr>
        <w:pStyle w:val="Heading3"/>
        <w:numPr>
          <w:ilvl w:val="1"/>
          <w:numId w:val="1"/>
        </w:numPr>
        <w:tabs>
          <w:tab w:pos="1917" w:val="left" w:leader="none"/>
          <w:tab w:pos="1918" w:val="left" w:leader="none"/>
        </w:tabs>
        <w:spacing w:line="240" w:lineRule="auto" w:before="1" w:after="0"/>
        <w:ind w:left="1918" w:right="0" w:hanging="720"/>
        <w:jc w:val="left"/>
      </w:pPr>
      <w:r>
        <w:rPr/>
        <w:t>Justification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BodyText"/>
        <w:spacing w:line="477" w:lineRule="auto"/>
        <w:ind w:left="1198" w:right="575"/>
        <w:jc w:val="both"/>
      </w:pPr>
      <w:r>
        <w:rPr/>
        <w:t>Residents of wetlands like the Nigeria’s Niger delta are concerned about the environmental</w:t>
      </w:r>
      <w:r>
        <w:rPr>
          <w:spacing w:val="1"/>
        </w:rPr>
        <w:t> </w:t>
      </w:r>
      <w:r>
        <w:rPr/>
        <w:t>impact of residual oil spill into receiving surface waters and land. The adverse effect of oil</w:t>
      </w:r>
      <w:r>
        <w:rPr>
          <w:spacing w:val="1"/>
        </w:rPr>
        <w:t> </w:t>
      </w:r>
      <w:r>
        <w:rPr/>
        <w:t>spill to the ecosystem and the long term effect of environmental pollution call for an urgent</w:t>
      </w:r>
      <w:r>
        <w:rPr>
          <w:spacing w:val="-72"/>
        </w:rPr>
        <w:t> </w:t>
      </w:r>
      <w:r>
        <w:rPr/>
        <w:t>need to develop a wide range of materials for cleaning up oil from oil impacted areas</w:t>
      </w:r>
      <w:r>
        <w:rPr>
          <w:spacing w:val="1"/>
        </w:rPr>
        <w:t> </w:t>
      </w:r>
      <w:r>
        <w:rPr/>
        <w:t>(Adebajo and Frost, 2004a). Absorbent materials are</w:t>
      </w:r>
      <w:r>
        <w:rPr>
          <w:spacing w:val="1"/>
        </w:rPr>
        <w:t> </w:t>
      </w:r>
      <w:r>
        <w:rPr/>
        <w:t>attractive for some applications</w:t>
      </w:r>
      <w:r>
        <w:rPr>
          <w:spacing w:val="1"/>
        </w:rPr>
        <w:t> </w:t>
      </w:r>
      <w:r>
        <w:rPr/>
        <w:t>because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possibility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collection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/>
        <w:t>complete</w:t>
      </w:r>
      <w:r>
        <w:rPr>
          <w:spacing w:val="30"/>
        </w:rPr>
        <w:t> </w:t>
      </w:r>
      <w:r>
        <w:rPr/>
        <w:t>removal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oil</w:t>
      </w:r>
      <w:r>
        <w:rPr>
          <w:spacing w:val="30"/>
        </w:rPr>
        <w:t> </w:t>
      </w:r>
      <w:r>
        <w:rPr/>
        <w:t>from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oil</w:t>
      </w:r>
      <w:r>
        <w:rPr>
          <w:spacing w:val="27"/>
        </w:rPr>
        <w:t> </w:t>
      </w:r>
      <w:r>
        <w:rPr/>
        <w:t>spill</w:t>
      </w:r>
      <w:r>
        <w:rPr>
          <w:spacing w:val="-72"/>
        </w:rPr>
        <w:t> </w:t>
      </w:r>
      <w:r>
        <w:rPr/>
        <w:t>site. The possibilities of cleaning oil pollution</w:t>
      </w:r>
      <w:r>
        <w:rPr>
          <w:spacing w:val="75"/>
        </w:rPr>
        <w:t> </w:t>
      </w:r>
      <w:r>
        <w:rPr/>
        <w:t>by sorbent on the basis of fibres, polymers</w:t>
      </w:r>
      <w:r>
        <w:rPr>
          <w:spacing w:val="1"/>
        </w:rPr>
        <w:t> </w:t>
      </w:r>
      <w:r>
        <w:rPr/>
        <w:t>and wood products, however, have not yet been sufficiently investigated (Nenkova </w:t>
      </w:r>
      <w:r>
        <w:rPr>
          <w:sz w:val="25"/>
        </w:rPr>
        <w:t>et al.,</w:t>
      </w:r>
      <w:r>
        <w:rPr>
          <w:spacing w:val="1"/>
          <w:sz w:val="25"/>
        </w:rPr>
        <w:t> </w:t>
      </w:r>
      <w:r>
        <w:rPr/>
        <w:t>2004).</w:t>
      </w:r>
    </w:p>
    <w:p>
      <w:pPr>
        <w:spacing w:after="0" w:line="477" w:lineRule="auto"/>
        <w:jc w:val="both"/>
        <w:sectPr>
          <w:pgSz w:w="11910" w:h="16840"/>
          <w:pgMar w:header="0" w:footer="987" w:top="1280" w:bottom="1260" w:left="420" w:right="0"/>
        </w:sectPr>
      </w:pPr>
    </w:p>
    <w:p>
      <w:pPr>
        <w:pStyle w:val="BodyText"/>
        <w:spacing w:line="480" w:lineRule="auto" w:before="75"/>
        <w:ind w:left="1198" w:right="576"/>
        <w:jc w:val="both"/>
      </w:pPr>
      <w:r>
        <w:rPr/>
        <w:t>No known work has been done on the acetylation of corn cob and mango kernel and its</w:t>
      </w:r>
      <w:r>
        <w:rPr>
          <w:spacing w:val="1"/>
        </w:rPr>
        <w:t> </w:t>
      </w:r>
      <w:r>
        <w:rPr/>
        <w:t>application in oil spill cleanup application. The potential input of this research, to the</w:t>
      </w:r>
      <w:r>
        <w:rPr>
          <w:spacing w:val="1"/>
        </w:rPr>
        <w:t> </w:t>
      </w:r>
      <w:r>
        <w:rPr/>
        <w:t>environment</w:t>
      </w:r>
      <w:r>
        <w:rPr>
          <w:spacing w:val="-2"/>
        </w:rPr>
        <w:t> </w:t>
      </w:r>
      <w:r>
        <w:rPr/>
        <w:t>includes;</w:t>
      </w:r>
    </w:p>
    <w:p>
      <w:pPr>
        <w:pStyle w:val="ListParagraph"/>
        <w:numPr>
          <w:ilvl w:val="2"/>
          <w:numId w:val="1"/>
        </w:numPr>
        <w:tabs>
          <w:tab w:pos="1918" w:val="left" w:leader="none"/>
        </w:tabs>
        <w:spacing w:line="468" w:lineRule="auto" w:before="2" w:after="0"/>
        <w:ind w:left="1918" w:right="582" w:hanging="360"/>
        <w:jc w:val="both"/>
        <w:rPr>
          <w:rFonts w:ascii="Calibri"/>
          <w:sz w:val="24"/>
        </w:rPr>
      </w:pPr>
      <w:r>
        <w:rPr>
          <w:sz w:val="24"/>
        </w:rPr>
        <w:t>Treatment of water resources from oil spillage, thereby conserving the natural</w:t>
      </w:r>
      <w:r>
        <w:rPr>
          <w:spacing w:val="1"/>
          <w:sz w:val="24"/>
        </w:rPr>
        <w:t> </w:t>
      </w:r>
      <w:r>
        <w:rPr>
          <w:sz w:val="24"/>
        </w:rPr>
        <w:t>mangroves, water supply and reducing the incidence of forest wildfires which occurs</w:t>
      </w:r>
      <w:r>
        <w:rPr>
          <w:spacing w:val="-7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accumulated</w:t>
      </w:r>
      <w:r>
        <w:rPr>
          <w:spacing w:val="-2"/>
          <w:sz w:val="24"/>
        </w:rPr>
        <w:t> </w:t>
      </w:r>
      <w:r>
        <w:rPr>
          <w:sz w:val="24"/>
        </w:rPr>
        <w:t>crude</w:t>
      </w:r>
      <w:r>
        <w:rPr>
          <w:spacing w:val="-2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residue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mangroves</w:t>
      </w:r>
    </w:p>
    <w:p>
      <w:pPr>
        <w:pStyle w:val="ListParagraph"/>
        <w:numPr>
          <w:ilvl w:val="2"/>
          <w:numId w:val="1"/>
        </w:numPr>
        <w:tabs>
          <w:tab w:pos="1918" w:val="left" w:leader="none"/>
        </w:tabs>
        <w:spacing w:line="468" w:lineRule="auto" w:before="126" w:after="0"/>
        <w:ind w:left="1918" w:right="583" w:hanging="360"/>
        <w:jc w:val="both"/>
        <w:rPr>
          <w:rFonts w:ascii="Calibri"/>
          <w:sz w:val="24"/>
        </w:rPr>
      </w:pPr>
      <w:r>
        <w:rPr>
          <w:sz w:val="24"/>
        </w:rPr>
        <w:t>Conversion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undervalued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residues,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corn</w:t>
      </w:r>
      <w:r>
        <w:rPr>
          <w:spacing w:val="1"/>
          <w:sz w:val="24"/>
        </w:rPr>
        <w:t> </w:t>
      </w:r>
      <w:r>
        <w:rPr>
          <w:sz w:val="24"/>
        </w:rPr>
        <w:t>cobs</w:t>
      </w:r>
      <w:r>
        <w:rPr>
          <w:spacing w:val="75"/>
          <w:sz w:val="24"/>
        </w:rPr>
        <w:t> </w:t>
      </w:r>
      <w:r>
        <w:rPr>
          <w:sz w:val="24"/>
        </w:rPr>
        <w:t>and</w:t>
      </w:r>
      <w:r>
        <w:rPr>
          <w:spacing w:val="-72"/>
          <w:sz w:val="24"/>
        </w:rPr>
        <w:t> </w:t>
      </w:r>
      <w:r>
        <w:rPr>
          <w:sz w:val="24"/>
        </w:rPr>
        <w:t>mango kernel to valuable sorption media which has the potential of providing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incentives.</w:t>
      </w:r>
    </w:p>
    <w:p>
      <w:pPr>
        <w:pStyle w:val="ListParagraph"/>
        <w:numPr>
          <w:ilvl w:val="2"/>
          <w:numId w:val="1"/>
        </w:numPr>
        <w:tabs>
          <w:tab w:pos="1918" w:val="left" w:leader="none"/>
        </w:tabs>
        <w:spacing w:line="456" w:lineRule="auto" w:before="25" w:after="0"/>
        <w:ind w:left="1918" w:right="577" w:hanging="360"/>
        <w:jc w:val="both"/>
        <w:rPr>
          <w:rFonts w:ascii="Calibri"/>
          <w:sz w:val="24"/>
        </w:rPr>
      </w:pPr>
      <w:r>
        <w:rPr>
          <w:sz w:val="24"/>
        </w:rPr>
        <w:t>Application of the chemistry of the modification procedure in the development and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other agro-based</w:t>
      </w:r>
      <w:r>
        <w:rPr>
          <w:spacing w:val="-3"/>
          <w:sz w:val="24"/>
        </w:rPr>
        <w:t> </w:t>
      </w:r>
      <w:r>
        <w:rPr>
          <w:sz w:val="24"/>
        </w:rPr>
        <w:t>residues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several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applications.</w:t>
      </w:r>
    </w:p>
    <w:p>
      <w:pPr>
        <w:pStyle w:val="ListParagraph"/>
        <w:numPr>
          <w:ilvl w:val="2"/>
          <w:numId w:val="1"/>
        </w:numPr>
        <w:tabs>
          <w:tab w:pos="1918" w:val="left" w:leader="none"/>
        </w:tabs>
        <w:spacing w:line="456" w:lineRule="auto" w:before="41" w:after="0"/>
        <w:ind w:left="1918" w:right="579" w:hanging="360"/>
        <w:jc w:val="both"/>
        <w:rPr>
          <w:rFonts w:ascii="Calibri"/>
          <w:sz w:val="24"/>
        </w:rPr>
      </w:pPr>
      <w:r>
        <w:rPr>
          <w:sz w:val="24"/>
        </w:rPr>
        <w:t>Utilization of biodegradable materials for oil spill clean-up to provide sustainable</w:t>
      </w:r>
      <w:r>
        <w:rPr>
          <w:spacing w:val="1"/>
          <w:sz w:val="24"/>
        </w:rPr>
        <w:t> </w:t>
      </w:r>
      <w:r>
        <w:rPr>
          <w:sz w:val="24"/>
        </w:rPr>
        <w:t>operations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2"/>
          <w:numId w:val="1"/>
        </w:numPr>
        <w:tabs>
          <w:tab w:pos="1918" w:val="left" w:leader="none"/>
        </w:tabs>
        <w:spacing w:line="240" w:lineRule="auto" w:before="139" w:after="0"/>
        <w:ind w:left="1918" w:right="0" w:hanging="360"/>
        <w:jc w:val="both"/>
        <w:rPr>
          <w:rFonts w:ascii="Calibri"/>
          <w:sz w:val="24"/>
        </w:rPr>
      </w:pPr>
      <w:r>
        <w:rPr>
          <w:sz w:val="24"/>
        </w:rPr>
        <w:t>Reduction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dependence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imported</w:t>
      </w:r>
      <w:r>
        <w:rPr>
          <w:spacing w:val="-1"/>
          <w:sz w:val="24"/>
        </w:rPr>
        <w:t> </w:t>
      </w:r>
      <w:r>
        <w:rPr>
          <w:sz w:val="24"/>
        </w:rPr>
        <w:t>products.</w:t>
      </w:r>
    </w:p>
    <w:p>
      <w:pPr>
        <w:pStyle w:val="BodyText"/>
        <w:spacing w:before="5"/>
        <w:rPr>
          <w:sz w:val="39"/>
        </w:rPr>
      </w:pPr>
    </w:p>
    <w:p>
      <w:pPr>
        <w:pStyle w:val="Heading3"/>
        <w:numPr>
          <w:ilvl w:val="1"/>
          <w:numId w:val="1"/>
        </w:numPr>
        <w:tabs>
          <w:tab w:pos="1917" w:val="left" w:leader="none"/>
          <w:tab w:pos="1918" w:val="left" w:leader="none"/>
        </w:tabs>
        <w:spacing w:line="240" w:lineRule="auto" w:before="0" w:after="0"/>
        <w:ind w:left="1918" w:right="0" w:hanging="720"/>
        <w:jc w:val="left"/>
      </w:pPr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Objectives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BodyText"/>
        <w:spacing w:line="480" w:lineRule="auto"/>
        <w:ind w:left="1198" w:right="580"/>
        <w:jc w:val="both"/>
      </w:pPr>
      <w:r>
        <w:rPr/>
        <w:t>The purpose of this study broadly consists of modifying corn cob and mango kernel by</w:t>
      </w:r>
      <w:r>
        <w:rPr>
          <w:spacing w:val="1"/>
        </w:rPr>
        <w:t> </w:t>
      </w:r>
      <w:r>
        <w:rPr/>
        <w:t>acetylation using N-bromosuccinimide as catalyst, under mild reaction conditions, so as to</w:t>
      </w:r>
      <w:r>
        <w:rPr>
          <w:spacing w:val="1"/>
        </w:rPr>
        <w:t> </w:t>
      </w:r>
      <w:r>
        <w:rPr/>
        <w:t>enhance the hydrophobic character of these wastes, for subsequent application as sorbents</w:t>
      </w:r>
      <w:r>
        <w:rPr>
          <w:spacing w:val="-72"/>
        </w:rPr>
        <w:t> </w:t>
      </w:r>
      <w:r>
        <w:rPr/>
        <w:t>for</w:t>
      </w:r>
      <w:r>
        <w:rPr>
          <w:spacing w:val="-3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 cleanup.</w:t>
      </w:r>
      <w:r>
        <w:rPr>
          <w:spacing w:val="-3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objectives of</w:t>
      </w:r>
      <w:r>
        <w:rPr>
          <w:spacing w:val="-1"/>
        </w:rPr>
        <w:t> </w:t>
      </w:r>
      <w:r>
        <w:rPr/>
        <w:t>this work</w:t>
      </w:r>
      <w:r>
        <w:rPr>
          <w:spacing w:val="-1"/>
        </w:rPr>
        <w:t> </w:t>
      </w:r>
      <w:r>
        <w:rPr/>
        <w:t>include;</w:t>
      </w:r>
    </w:p>
    <w:p>
      <w:pPr>
        <w:pStyle w:val="ListParagraph"/>
        <w:numPr>
          <w:ilvl w:val="2"/>
          <w:numId w:val="1"/>
        </w:numPr>
        <w:tabs>
          <w:tab w:pos="1918" w:val="left" w:leader="none"/>
        </w:tabs>
        <w:spacing w:line="289" w:lineRule="exact" w:before="0" w:after="0"/>
        <w:ind w:left="1918" w:right="0" w:hanging="360"/>
        <w:jc w:val="both"/>
        <w:rPr>
          <w:sz w:val="24"/>
        </w:rPr>
      </w:pPr>
      <w:r>
        <w:rPr>
          <w:sz w:val="24"/>
        </w:rPr>
        <w:t>Kinetics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therefore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mechanism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acetylation.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2"/>
          <w:numId w:val="1"/>
        </w:numPr>
        <w:tabs>
          <w:tab w:pos="1918" w:val="left" w:leader="none"/>
        </w:tabs>
        <w:spacing w:line="240" w:lineRule="auto" w:before="1" w:after="0"/>
        <w:ind w:left="1918" w:right="0" w:hanging="360"/>
        <w:jc w:val="both"/>
        <w:rPr>
          <w:sz w:val="24"/>
        </w:rPr>
      </w:pPr>
      <w:r>
        <w:rPr>
          <w:sz w:val="24"/>
        </w:rPr>
        <w:t>Thermodynamics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acetylation.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2"/>
          <w:numId w:val="1"/>
        </w:numPr>
        <w:tabs>
          <w:tab w:pos="1918" w:val="left" w:leader="none"/>
        </w:tabs>
        <w:spacing w:line="240" w:lineRule="auto" w:before="0" w:after="0"/>
        <w:ind w:left="1918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effect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catalyst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acetylation.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ListParagraph"/>
        <w:numPr>
          <w:ilvl w:val="2"/>
          <w:numId w:val="1"/>
        </w:numPr>
        <w:tabs>
          <w:tab w:pos="1918" w:val="left" w:leader="none"/>
        </w:tabs>
        <w:spacing w:line="482" w:lineRule="auto" w:before="75" w:after="0"/>
        <w:ind w:left="1918" w:right="58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effect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acetylation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1"/>
          <w:sz w:val="24"/>
        </w:rPr>
        <w:t> </w:t>
      </w:r>
      <w:r>
        <w:rPr>
          <w:sz w:val="24"/>
        </w:rPr>
        <w:t>water</w:t>
      </w:r>
      <w:r>
        <w:rPr>
          <w:spacing w:val="10"/>
          <w:sz w:val="24"/>
        </w:rPr>
        <w:t> </w:t>
      </w:r>
      <w:r>
        <w:rPr>
          <w:sz w:val="24"/>
        </w:rPr>
        <w:t>absorption</w:t>
      </w:r>
      <w:r>
        <w:rPr>
          <w:spacing w:val="11"/>
          <w:sz w:val="24"/>
        </w:rPr>
        <w:t> </w:t>
      </w:r>
      <w:r>
        <w:rPr>
          <w:sz w:val="24"/>
        </w:rPr>
        <w:t>water</w:t>
      </w:r>
      <w:r>
        <w:rPr>
          <w:spacing w:val="10"/>
          <w:sz w:val="24"/>
        </w:rPr>
        <w:t> </w:t>
      </w:r>
      <w:r>
        <w:rPr>
          <w:sz w:val="24"/>
        </w:rPr>
        <w:t>absorption</w:t>
      </w:r>
      <w:r>
        <w:rPr>
          <w:spacing w:val="10"/>
          <w:sz w:val="24"/>
        </w:rPr>
        <w:t> </w:t>
      </w:r>
      <w:r>
        <w:rPr>
          <w:sz w:val="24"/>
        </w:rPr>
        <w:t>capacity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modified</w:t>
      </w:r>
      <w:r>
        <w:rPr>
          <w:spacing w:val="-72"/>
          <w:sz w:val="24"/>
        </w:rPr>
        <w:t> </w:t>
      </w:r>
      <w:r>
        <w:rPr>
          <w:sz w:val="24"/>
        </w:rPr>
        <w:t>materials.</w:t>
      </w:r>
    </w:p>
    <w:p>
      <w:pPr>
        <w:pStyle w:val="ListParagraph"/>
        <w:numPr>
          <w:ilvl w:val="2"/>
          <w:numId w:val="1"/>
        </w:numPr>
        <w:tabs>
          <w:tab w:pos="1918" w:val="left" w:leader="none"/>
        </w:tabs>
        <w:spacing w:line="240" w:lineRule="auto" w:before="96" w:after="0"/>
        <w:ind w:left="1918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effect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acetylation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modified</w:t>
      </w:r>
      <w:r>
        <w:rPr>
          <w:spacing w:val="-5"/>
          <w:sz w:val="24"/>
        </w:rPr>
        <w:t> </w:t>
      </w:r>
      <w:r>
        <w:rPr>
          <w:sz w:val="24"/>
        </w:rPr>
        <w:t>materials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2"/>
          <w:numId w:val="1"/>
        </w:numPr>
        <w:tabs>
          <w:tab w:pos="1918" w:val="left" w:leader="none"/>
        </w:tabs>
        <w:spacing w:line="240" w:lineRule="auto" w:before="0" w:after="0"/>
        <w:ind w:left="1918" w:right="0" w:hanging="360"/>
        <w:jc w:val="both"/>
        <w:rPr>
          <w:sz w:val="24"/>
        </w:rPr>
      </w:pPr>
      <w:r>
        <w:rPr>
          <w:sz w:val="24"/>
        </w:rPr>
        <w:t>Kinetics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therefore</w:t>
      </w:r>
      <w:r>
        <w:rPr>
          <w:spacing w:val="-3"/>
          <w:sz w:val="24"/>
        </w:rPr>
        <w:t> </w:t>
      </w:r>
      <w:r>
        <w:rPr>
          <w:sz w:val="24"/>
        </w:rPr>
        <w:t>mechanism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crude</w:t>
      </w:r>
      <w:r>
        <w:rPr>
          <w:spacing w:val="-4"/>
          <w:sz w:val="24"/>
        </w:rPr>
        <w:t> </w:t>
      </w:r>
      <w:r>
        <w:rPr>
          <w:sz w:val="24"/>
        </w:rPr>
        <w:t>oil</w:t>
      </w:r>
      <w:r>
        <w:rPr>
          <w:spacing w:val="-3"/>
          <w:sz w:val="24"/>
        </w:rPr>
        <w:t> </w:t>
      </w:r>
      <w:r>
        <w:rPr>
          <w:sz w:val="24"/>
        </w:rPr>
        <w:t>sorption.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2"/>
          <w:numId w:val="1"/>
        </w:numPr>
        <w:tabs>
          <w:tab w:pos="1918" w:val="left" w:leader="none"/>
        </w:tabs>
        <w:spacing w:line="240" w:lineRule="auto" w:before="0" w:after="0"/>
        <w:ind w:left="1918" w:right="0" w:hanging="360"/>
        <w:jc w:val="both"/>
        <w:rPr>
          <w:sz w:val="24"/>
        </w:rPr>
      </w:pPr>
      <w:r>
        <w:rPr>
          <w:sz w:val="24"/>
        </w:rPr>
        <w:t>Statistical</w:t>
      </w:r>
      <w:r>
        <w:rPr>
          <w:spacing w:val="-5"/>
          <w:sz w:val="24"/>
        </w:rPr>
        <w:t> </w:t>
      </w:r>
      <w:r>
        <w:rPr>
          <w:sz w:val="24"/>
        </w:rPr>
        <w:t>determination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significant</w:t>
      </w:r>
      <w:r>
        <w:rPr>
          <w:spacing w:val="-4"/>
          <w:sz w:val="24"/>
        </w:rPr>
        <w:t> </w:t>
      </w:r>
      <w:r>
        <w:rPr>
          <w:sz w:val="24"/>
        </w:rPr>
        <w:t>variables.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</w:pPr>
    </w:p>
    <w:p>
      <w:pPr>
        <w:pStyle w:val="Heading3"/>
        <w:numPr>
          <w:ilvl w:val="1"/>
          <w:numId w:val="1"/>
        </w:numPr>
        <w:tabs>
          <w:tab w:pos="3358" w:val="left" w:leader="none"/>
          <w:tab w:pos="3359" w:val="left" w:leader="none"/>
        </w:tabs>
        <w:spacing w:line="240" w:lineRule="auto" w:before="0" w:after="0"/>
        <w:ind w:left="3358" w:right="0" w:hanging="1801"/>
        <w:jc w:val="both"/>
      </w:pPr>
      <w:r>
        <w:rPr/>
        <w:t>Scope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Study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1198" w:right="576"/>
        <w:jc w:val="both"/>
      </w:pPr>
      <w:r>
        <w:rPr/>
        <w:t>This study is limited to chemical modification by acetylation and subsequent trial in oil spill</w:t>
      </w:r>
      <w:r>
        <w:rPr>
          <w:spacing w:val="1"/>
        </w:rPr>
        <w:t> </w:t>
      </w:r>
      <w:r>
        <w:rPr/>
        <w:t>cleanup</w:t>
      </w:r>
      <w:r>
        <w:rPr>
          <w:spacing w:val="1"/>
        </w:rPr>
        <w:t> </w:t>
      </w:r>
      <w:r>
        <w:rPr/>
        <w:t>application.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Fourier</w:t>
      </w:r>
      <w:r>
        <w:rPr>
          <w:spacing w:val="1"/>
        </w:rPr>
        <w:t> </w:t>
      </w:r>
      <w:r>
        <w:rPr/>
        <w:t>Transform-Infrared</w:t>
      </w:r>
      <w:r>
        <w:rPr>
          <w:spacing w:val="1"/>
        </w:rPr>
        <w:t> </w:t>
      </w:r>
      <w:r>
        <w:rPr/>
        <w:t>spectrometry, X-ray Diffractometry, X-ray Fluorescence and Gravimetry. These techniques</w:t>
      </w:r>
      <w:r>
        <w:rPr>
          <w:spacing w:val="1"/>
        </w:rPr>
        <w:t> </w:t>
      </w:r>
      <w:r>
        <w:rPr/>
        <w:t>enabled the determination of structural changes, extent of acetylation, % crystallinity,</w:t>
      </w:r>
      <w:r>
        <w:rPr>
          <w:spacing w:val="1"/>
        </w:rPr>
        <w:t> </w:t>
      </w:r>
      <w:r>
        <w:rPr/>
        <w:t>elemental and physical composition of the materials and oil sorption capacity. Variables</w:t>
      </w:r>
      <w:r>
        <w:rPr>
          <w:spacing w:val="1"/>
        </w:rPr>
        <w:t> </w:t>
      </w:r>
      <w:r>
        <w:rPr/>
        <w:t>(time and temperature) used in this study enabled the investigation of the mechanisms of</w:t>
      </w:r>
      <w:r>
        <w:rPr>
          <w:spacing w:val="1"/>
        </w:rPr>
        <w:t> </w:t>
      </w:r>
      <w:r>
        <w:rPr/>
        <w:t>reaction and thermodynamics of the study. Statistical tools used enabled the determination</w:t>
      </w:r>
      <w:r>
        <w:rPr>
          <w:spacing w:val="-7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statistical differences.</w:t>
      </w:r>
    </w:p>
    <w:p>
      <w:pPr>
        <w:pStyle w:val="BodyText"/>
        <w:spacing w:before="8"/>
        <w:rPr>
          <w:sz w:val="39"/>
        </w:rPr>
      </w:pPr>
    </w:p>
    <w:p>
      <w:pPr>
        <w:pStyle w:val="Heading3"/>
        <w:numPr>
          <w:ilvl w:val="1"/>
          <w:numId w:val="1"/>
        </w:numPr>
        <w:tabs>
          <w:tab w:pos="3358" w:val="left" w:leader="none"/>
          <w:tab w:pos="3359" w:val="left" w:leader="none"/>
        </w:tabs>
        <w:spacing w:line="240" w:lineRule="auto" w:before="1" w:after="0"/>
        <w:ind w:left="3358" w:right="0" w:hanging="2161"/>
        <w:jc w:val="left"/>
      </w:pPr>
      <w:r>
        <w:rPr/>
        <w:t>LITERATURE</w:t>
      </w:r>
      <w:r>
        <w:rPr>
          <w:spacing w:val="-8"/>
        </w:rPr>
        <w:t> </w:t>
      </w:r>
      <w:r>
        <w:rPr/>
        <w:t>REVIEW</w:t>
      </w:r>
    </w:p>
    <w:p>
      <w:pPr>
        <w:pStyle w:val="BodyText"/>
        <w:spacing w:before="8"/>
        <w:rPr>
          <w:b/>
          <w:sz w:val="40"/>
        </w:rPr>
      </w:pPr>
    </w:p>
    <w:p>
      <w:pPr>
        <w:pStyle w:val="ListParagraph"/>
        <w:numPr>
          <w:ilvl w:val="2"/>
          <w:numId w:val="2"/>
        </w:numPr>
        <w:tabs>
          <w:tab w:pos="1918" w:val="left" w:leader="none"/>
        </w:tabs>
        <w:spacing w:line="240" w:lineRule="auto" w:before="0" w:after="0"/>
        <w:ind w:left="1918" w:right="0" w:hanging="720"/>
        <w:jc w:val="left"/>
        <w:rPr>
          <w:b/>
          <w:sz w:val="24"/>
        </w:rPr>
      </w:pPr>
      <w:r>
        <w:rPr>
          <w:b/>
          <w:sz w:val="24"/>
        </w:rPr>
        <w:t>Oil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Spillage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BodyText"/>
        <w:spacing w:line="475" w:lineRule="auto"/>
        <w:ind w:left="1198" w:right="574"/>
        <w:jc w:val="both"/>
      </w:pPr>
      <w:r>
        <w:rPr/>
        <w:t>Whenever oil is explored, transported and stored, and its derivate are used, there is a risk</w:t>
      </w:r>
      <w:r>
        <w:rPr>
          <w:spacing w:val="1"/>
        </w:rPr>
        <w:t> </w:t>
      </w:r>
      <w:r>
        <w:rPr/>
        <w:t>of oil spillage with the potential to cause significant environmental impact (Hussein </w:t>
      </w:r>
      <w:r>
        <w:rPr>
          <w:sz w:val="25"/>
        </w:rPr>
        <w:t>et al.,</w:t>
      </w:r>
      <w:r>
        <w:rPr>
          <w:spacing w:val="1"/>
          <w:sz w:val="25"/>
        </w:rPr>
        <w:t> </w:t>
      </w:r>
      <w:r>
        <w:rPr/>
        <w:t>2008). Pollution by petroleum oils affects sea life, economy, tourism and leisure activities</w:t>
      </w:r>
      <w:r>
        <w:rPr>
          <w:spacing w:val="1"/>
        </w:rPr>
        <w:t> </w:t>
      </w:r>
      <w:r>
        <w:rPr/>
        <w:t>because of the coating properties of these materials. Oil spills harm the beauty of polluted</w:t>
      </w:r>
      <w:r>
        <w:rPr>
          <w:spacing w:val="1"/>
        </w:rPr>
        <w:t> </w:t>
      </w:r>
      <w:r>
        <w:rPr/>
        <w:t>sites;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strong</w:t>
      </w:r>
      <w:r>
        <w:rPr>
          <w:spacing w:val="13"/>
        </w:rPr>
        <w:t> </w:t>
      </w:r>
      <w:r>
        <w:rPr/>
        <w:t>odour</w:t>
      </w:r>
      <w:r>
        <w:rPr>
          <w:spacing w:val="13"/>
        </w:rPr>
        <w:t> </w:t>
      </w:r>
      <w:r>
        <w:rPr/>
        <w:t>can</w:t>
      </w:r>
      <w:r>
        <w:rPr>
          <w:spacing w:val="14"/>
        </w:rPr>
        <w:t> </w:t>
      </w:r>
      <w:r>
        <w:rPr/>
        <w:t>be</w:t>
      </w:r>
      <w:r>
        <w:rPr>
          <w:spacing w:val="15"/>
        </w:rPr>
        <w:t> </w:t>
      </w:r>
      <w:r>
        <w:rPr/>
        <w:t>felt</w:t>
      </w:r>
      <w:r>
        <w:rPr>
          <w:spacing w:val="13"/>
        </w:rPr>
        <w:t> </w:t>
      </w:r>
      <w:r>
        <w:rPr/>
        <w:t>miles</w:t>
      </w:r>
      <w:r>
        <w:rPr>
          <w:spacing w:val="15"/>
        </w:rPr>
        <w:t> </w:t>
      </w:r>
      <w:r>
        <w:rPr/>
        <w:t>away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excessive</w:t>
      </w:r>
      <w:r>
        <w:rPr>
          <w:spacing w:val="15"/>
        </w:rPr>
        <w:t> </w:t>
      </w:r>
      <w:r>
        <w:rPr/>
        <w:t>growth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green</w:t>
      </w:r>
      <w:r>
        <w:rPr>
          <w:spacing w:val="14"/>
        </w:rPr>
        <w:t> </w:t>
      </w:r>
      <w:r>
        <w:rPr/>
        <w:t>algae</w:t>
      </w:r>
      <w:r>
        <w:rPr>
          <w:spacing w:val="14"/>
        </w:rPr>
        <w:t> </w:t>
      </w:r>
      <w:r>
        <w:rPr/>
        <w:t>alters</w:t>
      </w:r>
    </w:p>
    <w:p>
      <w:pPr>
        <w:spacing w:after="0" w:line="475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75" w:lineRule="auto" w:before="85"/>
        <w:ind w:left="1198" w:right="578"/>
        <w:jc w:val="both"/>
      </w:pPr>
      <w:r>
        <w:rPr/>
        <w:t>the sea colour and the landscape (Annunciado </w:t>
      </w:r>
      <w:r>
        <w:rPr>
          <w:sz w:val="25"/>
        </w:rPr>
        <w:t>et al., </w:t>
      </w:r>
      <w:r>
        <w:rPr/>
        <w:t>2005). The nature and magnitude of</w:t>
      </w:r>
      <w:r>
        <w:rPr>
          <w:spacing w:val="1"/>
        </w:rPr>
        <w:t> </w:t>
      </w:r>
      <w:r>
        <w:rPr/>
        <w:t>oil spills on water habitats depend on the rate of water flow and the habitat’s specific</w:t>
      </w:r>
      <w:r>
        <w:rPr>
          <w:spacing w:val="1"/>
        </w:rPr>
        <w:t> </w:t>
      </w:r>
      <w:r>
        <w:rPr/>
        <w:t>characteristics. Where there is proximity of high density human population, when these</w:t>
      </w:r>
      <w:r>
        <w:rPr>
          <w:spacing w:val="1"/>
        </w:rPr>
        <w:t> </w:t>
      </w:r>
      <w:r>
        <w:rPr/>
        <w:t>spills</w:t>
      </w:r>
      <w:r>
        <w:rPr>
          <w:spacing w:val="-3"/>
        </w:rPr>
        <w:t> </w:t>
      </w:r>
      <w:r>
        <w:rPr/>
        <w:t>occur,</w:t>
      </w:r>
      <w:r>
        <w:rPr>
          <w:spacing w:val="-4"/>
        </w:rPr>
        <w:t> </w:t>
      </w:r>
      <w:r>
        <w:rPr/>
        <w:t>human</w:t>
      </w:r>
      <w:r>
        <w:rPr>
          <w:spacing w:val="-2"/>
        </w:rPr>
        <w:t> </w:t>
      </w:r>
      <w:r>
        <w:rPr/>
        <w:t>health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put</w:t>
      </w:r>
      <w:r>
        <w:rPr>
          <w:spacing w:val="-1"/>
        </w:rPr>
        <w:t> </w:t>
      </w:r>
      <w:r>
        <w:rPr/>
        <w:t>at</w:t>
      </w:r>
      <w:r>
        <w:rPr>
          <w:spacing w:val="-4"/>
        </w:rPr>
        <w:t> </w:t>
      </w:r>
      <w:r>
        <w:rPr/>
        <w:t>risk</w:t>
      </w:r>
      <w:r>
        <w:rPr>
          <w:spacing w:val="-1"/>
        </w:rPr>
        <w:t> </w:t>
      </w:r>
      <w:r>
        <w:rPr/>
        <w:t>(Frost</w:t>
      </w:r>
      <w:r>
        <w:rPr>
          <w:spacing w:val="-3"/>
        </w:rPr>
        <w:t>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al.,</w:t>
      </w:r>
      <w:r>
        <w:rPr>
          <w:spacing w:val="-6"/>
          <w:sz w:val="25"/>
        </w:rPr>
        <w:t> </w:t>
      </w:r>
      <w:r>
        <w:rPr/>
        <w:t>2007).</w:t>
      </w:r>
    </w:p>
    <w:p>
      <w:pPr>
        <w:pStyle w:val="Heading3"/>
        <w:numPr>
          <w:ilvl w:val="2"/>
          <w:numId w:val="2"/>
        </w:numPr>
        <w:tabs>
          <w:tab w:pos="1918" w:val="left" w:leader="none"/>
        </w:tabs>
        <w:spacing w:line="240" w:lineRule="auto" w:before="188" w:after="0"/>
        <w:ind w:left="1918" w:right="0" w:hanging="720"/>
        <w:jc w:val="left"/>
      </w:pPr>
      <w:r>
        <w:rPr/>
        <w:t>Oil</w:t>
      </w:r>
      <w:r>
        <w:rPr>
          <w:spacing w:val="-4"/>
        </w:rPr>
        <w:t> </w:t>
      </w:r>
      <w:r>
        <w:rPr/>
        <w:t>spillage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Nigerian</w:t>
      </w:r>
      <w:r>
        <w:rPr>
          <w:spacing w:val="-3"/>
        </w:rPr>
        <w:t> </w:t>
      </w:r>
      <w:r>
        <w:rPr/>
        <w:t>Niger-Delta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80" w:lineRule="auto"/>
        <w:ind w:left="1198" w:right="574"/>
        <w:jc w:val="both"/>
      </w:pPr>
      <w:r>
        <w:rPr/>
        <w:t>Nigeria boasts of over 21 billion barrels of proven oil reserves. Nigeria is Africa’s largest oil</w:t>
      </w:r>
      <w:r>
        <w:rPr>
          <w:spacing w:val="1"/>
        </w:rPr>
        <w:t> </w:t>
      </w:r>
      <w:r>
        <w:rPr/>
        <w:t>producer and the world’s sixth most important exporter of crude oil with the bulk of its</w:t>
      </w:r>
      <w:r>
        <w:rPr>
          <w:spacing w:val="1"/>
        </w:rPr>
        <w:t> </w:t>
      </w:r>
      <w:r>
        <w:rPr/>
        <w:t>export going to the United States. Today, the Niger Delta is best known as the region that</w:t>
      </w:r>
      <w:r>
        <w:rPr>
          <w:spacing w:val="1"/>
        </w:rPr>
        <w:t> </w:t>
      </w:r>
      <w:r>
        <w:rPr/>
        <w:t>sustains much oil exploration and exploitation by the agents of western economic powers.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Niger-Delta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mainstay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to</w:t>
      </w:r>
      <w:r>
        <w:rPr>
          <w:spacing w:val="75"/>
        </w:rPr>
        <w:t> </w:t>
      </w:r>
      <w:r>
        <w:rPr/>
        <w:t>its</w:t>
      </w:r>
      <w:r>
        <w:rPr>
          <w:spacing w:val="1"/>
        </w:rPr>
        <w:t> </w:t>
      </w:r>
      <w:r>
        <w:rPr/>
        <w:t>significantly high level of oil reserves.</w:t>
      </w:r>
      <w:r>
        <w:rPr>
          <w:spacing w:val="1"/>
        </w:rPr>
        <w:t> </w:t>
      </w:r>
      <w:r>
        <w:rPr/>
        <w:t>The region is also naturally endowed with viable</w:t>
      </w:r>
      <w:r>
        <w:rPr>
          <w:spacing w:val="1"/>
        </w:rPr>
        <w:t> </w:t>
      </w:r>
      <w:r>
        <w:rPr/>
        <w:t>deposits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hydrocarbons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reserves.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dominate</w:t>
      </w:r>
      <w:r>
        <w:rPr>
          <w:spacing w:val="1"/>
        </w:rPr>
        <w:t> </w:t>
      </w:r>
      <w:r>
        <w:rPr/>
        <w:t>the</w:t>
      </w:r>
      <w:r>
        <w:rPr>
          <w:spacing w:val="-72"/>
        </w:rPr>
        <w:t> </w:t>
      </w:r>
      <w:r>
        <w:rPr/>
        <w:t>Nigerian economy making about 98 percent of government annual revenue, 80 percent of</w:t>
      </w:r>
      <w:r>
        <w:rPr>
          <w:spacing w:val="1"/>
        </w:rPr>
        <w:t> </w:t>
      </w:r>
      <w:r>
        <w:rPr/>
        <w:t>foreign exchange revenue and 70 percent of budgetary expenditure (Friends of the Earth</w:t>
      </w:r>
      <w:r>
        <w:rPr>
          <w:spacing w:val="1"/>
        </w:rPr>
        <w:t> </w:t>
      </w:r>
      <w:r>
        <w:rPr/>
        <w:t>Netherlands,</w:t>
      </w:r>
      <w:r>
        <w:rPr>
          <w:spacing w:val="-2"/>
        </w:rPr>
        <w:t> </w:t>
      </w:r>
      <w:r>
        <w:rPr/>
        <w:t>2009;</w:t>
      </w:r>
      <w:r>
        <w:rPr>
          <w:spacing w:val="-1"/>
        </w:rPr>
        <w:t> </w:t>
      </w:r>
      <w:r>
        <w:rPr/>
        <w:t>UNDP,</w:t>
      </w:r>
      <w:r>
        <w:rPr>
          <w:spacing w:val="-2"/>
        </w:rPr>
        <w:t> </w:t>
      </w:r>
      <w:r>
        <w:rPr/>
        <w:t>2006).</w:t>
      </w:r>
    </w:p>
    <w:p>
      <w:pPr>
        <w:pStyle w:val="BodyText"/>
        <w:spacing w:line="480" w:lineRule="auto" w:before="1"/>
        <w:ind w:left="1198" w:right="578"/>
        <w:jc w:val="both"/>
      </w:pPr>
      <w:r>
        <w:rPr/>
        <w:t>For decades, oil spill have devastated the fertile environment of the Niger-Delta. According</w:t>
      </w:r>
      <w:r>
        <w:rPr>
          <w:spacing w:val="1"/>
        </w:rPr>
        <w:t> </w:t>
      </w:r>
      <w:r>
        <w:rPr/>
        <w:t>to</w:t>
      </w:r>
      <w:r>
        <w:rPr>
          <w:spacing w:val="34"/>
        </w:rPr>
        <w:t> </w:t>
      </w:r>
      <w:r>
        <w:rPr/>
        <w:t>available</w:t>
      </w:r>
      <w:r>
        <w:rPr>
          <w:spacing w:val="35"/>
        </w:rPr>
        <w:t> </w:t>
      </w:r>
      <w:r>
        <w:rPr/>
        <w:t>statistics</w:t>
      </w:r>
      <w:r>
        <w:rPr>
          <w:spacing w:val="36"/>
        </w:rPr>
        <w:t> </w:t>
      </w:r>
      <w:r>
        <w:rPr/>
        <w:t>(SPDC,</w:t>
      </w:r>
      <w:r>
        <w:rPr>
          <w:spacing w:val="33"/>
        </w:rPr>
        <w:t> </w:t>
      </w:r>
      <w:r>
        <w:rPr/>
        <w:t>2006),</w:t>
      </w:r>
      <w:r>
        <w:rPr>
          <w:spacing w:val="32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last</w:t>
      </w:r>
      <w:r>
        <w:rPr>
          <w:spacing w:val="33"/>
        </w:rPr>
        <w:t> </w:t>
      </w:r>
      <w:r>
        <w:rPr/>
        <w:t>30</w:t>
      </w:r>
      <w:r>
        <w:rPr>
          <w:spacing w:val="33"/>
        </w:rPr>
        <w:t> </w:t>
      </w:r>
      <w:r>
        <w:rPr/>
        <w:t>years,</w:t>
      </w:r>
      <w:r>
        <w:rPr>
          <w:spacing w:val="33"/>
        </w:rPr>
        <w:t> </w:t>
      </w:r>
      <w:r>
        <w:rPr/>
        <w:t>more</w:t>
      </w:r>
      <w:r>
        <w:rPr>
          <w:spacing w:val="34"/>
        </w:rPr>
        <w:t> </w:t>
      </w:r>
      <w:r>
        <w:rPr/>
        <w:t>than</w:t>
      </w:r>
      <w:r>
        <w:rPr>
          <w:spacing w:val="33"/>
        </w:rPr>
        <w:t> </w:t>
      </w:r>
      <w:r>
        <w:rPr/>
        <w:t>400,000</w:t>
      </w:r>
      <w:r>
        <w:rPr>
          <w:spacing w:val="34"/>
        </w:rPr>
        <w:t> </w:t>
      </w:r>
      <w:r>
        <w:rPr/>
        <w:t>tons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oil</w:t>
      </w:r>
      <w:r>
        <w:rPr>
          <w:spacing w:val="-73"/>
        </w:rPr>
        <w:t> </w:t>
      </w:r>
      <w:r>
        <w:rPr/>
        <w:t>have been spilled into creeks and soils of southern Nigeria. Some 70 percent of the oil has</w:t>
      </w:r>
      <w:r>
        <w:rPr>
          <w:spacing w:val="1"/>
        </w:rPr>
        <w:t> </w:t>
      </w:r>
      <w:r>
        <w:rPr/>
        <w:t>not been recovered (UNDP, 2006). The vast majority of the spill are consequently of aging</w:t>
      </w:r>
      <w:r>
        <w:rPr>
          <w:spacing w:val="1"/>
        </w:rPr>
        <w:t> </w:t>
      </w:r>
      <w:r>
        <w:rPr/>
        <w:t>facilities and human errors. In January 2008, the Nigerian National Oil Spill Detection and</w:t>
      </w:r>
      <w:r>
        <w:rPr>
          <w:spacing w:val="1"/>
        </w:rPr>
        <w:t> </w:t>
      </w:r>
      <w:r>
        <w:rPr/>
        <w:t>Response Agency (NOSDRA) declared that it had so far located more than 1130 oil spill</w:t>
      </w:r>
      <w:r>
        <w:rPr>
          <w:spacing w:val="1"/>
        </w:rPr>
        <w:t> </w:t>
      </w:r>
      <w:r>
        <w:rPr/>
        <w:t>sites</w:t>
      </w:r>
      <w:r>
        <w:rPr>
          <w:spacing w:val="-1"/>
        </w:rPr>
        <w:t> </w:t>
      </w:r>
      <w:r>
        <w:rPr/>
        <w:t>abandoned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various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companies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Niger</w:t>
      </w:r>
      <w:r>
        <w:rPr>
          <w:spacing w:val="-2"/>
        </w:rPr>
        <w:t> </w:t>
      </w:r>
      <w:r>
        <w:rPr/>
        <w:t>Delta</w:t>
      </w:r>
      <w:r>
        <w:rPr>
          <w:spacing w:val="-3"/>
        </w:rPr>
        <w:t> </w:t>
      </w:r>
      <w:r>
        <w:rPr/>
        <w:t>(Anonymous,</w:t>
      </w:r>
      <w:r>
        <w:rPr>
          <w:spacing w:val="-2"/>
        </w:rPr>
        <w:t> </w:t>
      </w:r>
      <w:r>
        <w:rPr/>
        <w:t>2008).</w:t>
      </w:r>
    </w:p>
    <w:p>
      <w:pPr>
        <w:pStyle w:val="BodyText"/>
        <w:spacing w:before="1"/>
        <w:ind w:left="1198"/>
        <w:jc w:val="both"/>
      </w:pPr>
      <w:r>
        <w:rPr/>
        <w:t>The</w:t>
      </w:r>
      <w:r>
        <w:rPr>
          <w:spacing w:val="10"/>
        </w:rPr>
        <w:t> </w:t>
      </w:r>
      <w:r>
        <w:rPr/>
        <w:t>Niger</w:t>
      </w:r>
      <w:r>
        <w:rPr>
          <w:spacing w:val="84"/>
        </w:rPr>
        <w:t> </w:t>
      </w:r>
      <w:r>
        <w:rPr/>
        <w:t>Delta</w:t>
      </w:r>
      <w:r>
        <w:rPr>
          <w:spacing w:val="82"/>
        </w:rPr>
        <w:t> </w:t>
      </w:r>
      <w:r>
        <w:rPr/>
        <w:t>is</w:t>
      </w:r>
      <w:r>
        <w:rPr>
          <w:spacing w:val="84"/>
        </w:rPr>
        <w:t> </w:t>
      </w:r>
      <w:r>
        <w:rPr/>
        <w:t>situated</w:t>
      </w:r>
      <w:r>
        <w:rPr>
          <w:spacing w:val="83"/>
        </w:rPr>
        <w:t> </w:t>
      </w:r>
      <w:r>
        <w:rPr/>
        <w:t>in</w:t>
      </w:r>
      <w:r>
        <w:rPr>
          <w:spacing w:val="84"/>
        </w:rPr>
        <w:t> </w:t>
      </w:r>
      <w:r>
        <w:rPr/>
        <w:t>the</w:t>
      </w:r>
      <w:r>
        <w:rPr>
          <w:spacing w:val="84"/>
        </w:rPr>
        <w:t> </w:t>
      </w:r>
      <w:r>
        <w:rPr/>
        <w:t>south</w:t>
      </w:r>
      <w:r>
        <w:rPr>
          <w:spacing w:val="85"/>
        </w:rPr>
        <w:t> </w:t>
      </w:r>
      <w:r>
        <w:rPr/>
        <w:t>of</w:t>
      </w:r>
      <w:r>
        <w:rPr>
          <w:spacing w:val="83"/>
        </w:rPr>
        <w:t> </w:t>
      </w:r>
      <w:r>
        <w:rPr/>
        <w:t>Nigeria</w:t>
      </w:r>
      <w:r>
        <w:rPr>
          <w:spacing w:val="82"/>
        </w:rPr>
        <w:t> </w:t>
      </w:r>
      <w:r>
        <w:rPr/>
        <w:t>and</w:t>
      </w:r>
      <w:r>
        <w:rPr>
          <w:spacing w:val="84"/>
        </w:rPr>
        <w:t> </w:t>
      </w:r>
      <w:r>
        <w:rPr/>
        <w:t>is</w:t>
      </w:r>
      <w:r>
        <w:rPr>
          <w:spacing w:val="84"/>
        </w:rPr>
        <w:t> </w:t>
      </w:r>
      <w:r>
        <w:rPr/>
        <w:t>a</w:t>
      </w:r>
      <w:r>
        <w:rPr>
          <w:spacing w:val="82"/>
        </w:rPr>
        <w:t> </w:t>
      </w:r>
      <w:r>
        <w:rPr/>
        <w:t>huge</w:t>
      </w:r>
      <w:r>
        <w:rPr>
          <w:spacing w:val="84"/>
        </w:rPr>
        <w:t> </w:t>
      </w:r>
      <w:r>
        <w:rPr/>
        <w:t>fertile</w:t>
      </w:r>
      <w:r>
        <w:rPr>
          <w:spacing w:val="84"/>
        </w:rPr>
        <w:t> </w:t>
      </w:r>
      <w:r>
        <w:rPr/>
        <w:t>wetland.</w:t>
      </w:r>
    </w:p>
    <w:p>
      <w:pPr>
        <w:spacing w:after="0"/>
        <w:jc w:val="both"/>
        <w:sectPr>
          <w:pgSz w:w="11910" w:h="16840"/>
          <w:pgMar w:header="0" w:footer="987" w:top="1120" w:bottom="1260" w:left="420" w:right="0"/>
        </w:sectPr>
      </w:pPr>
    </w:p>
    <w:p>
      <w:pPr>
        <w:pStyle w:val="BodyText"/>
        <w:spacing w:line="480" w:lineRule="auto" w:before="75"/>
        <w:ind w:left="1198" w:right="578"/>
        <w:jc w:val="both"/>
      </w:pPr>
      <w:r>
        <w:rPr/>
        <w:t>Subsistence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and fishing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mainstay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people. Inhabited by more</w:t>
      </w:r>
      <w:r>
        <w:rPr>
          <w:spacing w:val="75"/>
        </w:rPr>
        <w:t> </w:t>
      </w:r>
      <w:r>
        <w:rPr/>
        <w:t>than</w:t>
      </w:r>
      <w:r>
        <w:rPr>
          <w:spacing w:val="-72"/>
        </w:rPr>
        <w:t> </w:t>
      </w:r>
      <w:r>
        <w:rPr/>
        <w:t>3000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settled</w:t>
      </w:r>
      <w:r>
        <w:rPr>
          <w:spacing w:val="1"/>
        </w:rPr>
        <w:t> </w:t>
      </w:r>
      <w:r>
        <w:rPr/>
        <w:t>communities,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is</w:t>
      </w:r>
      <w:r>
        <w:rPr>
          <w:spacing w:val="-72"/>
        </w:rPr>
        <w:t> </w:t>
      </w:r>
      <w:r>
        <w:rPr/>
        <w:t>estimated to be 27milion, but its air, water, soil and forest resources have been devastated</w:t>
      </w:r>
      <w:r>
        <w:rPr>
          <w:spacing w:val="-72"/>
        </w:rPr>
        <w:t> </w:t>
      </w:r>
      <w:r>
        <w:rPr/>
        <w:t>by the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 and gas</w:t>
      </w:r>
      <w:r>
        <w:rPr>
          <w:spacing w:val="1"/>
        </w:rPr>
        <w:t> </w:t>
      </w:r>
      <w:r>
        <w:rPr/>
        <w:t>resources, particularly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flares</w:t>
      </w:r>
      <w:r>
        <w:rPr>
          <w:spacing w:val="75"/>
        </w:rPr>
        <w:t> </w:t>
      </w:r>
      <w:r>
        <w:rPr/>
        <w:t>and oil spills</w:t>
      </w:r>
      <w:r>
        <w:rPr>
          <w:spacing w:val="1"/>
        </w:rPr>
        <w:t> </w:t>
      </w:r>
      <w:r>
        <w:rPr/>
        <w:t>(UNDP, 2006). In the period of 1997-2006, according to its own report, Shell Nigeria</w:t>
      </w:r>
      <w:r>
        <w:rPr>
          <w:spacing w:val="1"/>
        </w:rPr>
        <w:t> </w:t>
      </w:r>
      <w:r>
        <w:rPr/>
        <w:t>experienced about 250 oil spills each year (SPDC, 2006). Shell claims some 60 percent are</w:t>
      </w:r>
      <w:r>
        <w:rPr>
          <w:spacing w:val="1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sabotage.</w:t>
      </w:r>
    </w:p>
    <w:p>
      <w:pPr>
        <w:pStyle w:val="BodyText"/>
        <w:spacing w:line="480" w:lineRule="auto" w:before="1"/>
        <w:ind w:left="1198" w:right="577"/>
        <w:jc w:val="both"/>
      </w:pPr>
      <w:r>
        <w:rPr/>
        <w:t>Oil spill incidences have occurred in various parts and at different times along the Niger</w:t>
      </w:r>
      <w:r>
        <w:rPr>
          <w:spacing w:val="1"/>
        </w:rPr>
        <w:t> </w:t>
      </w:r>
      <w:r>
        <w:rPr/>
        <w:t>Delta coast. According to the Departments of Petroleum Resources (DPR), between 1976</w:t>
      </w:r>
      <w:r>
        <w:rPr>
          <w:spacing w:val="1"/>
        </w:rPr>
        <w:t> </w:t>
      </w:r>
      <w:r>
        <w:rPr/>
        <w:t>and 1996, a total of 4647 incidents resulted on the spill of approximately 2,369,470 barrels</w:t>
      </w:r>
      <w:r>
        <w:rPr>
          <w:spacing w:val="1"/>
        </w:rPr>
        <w:t> </w:t>
      </w:r>
      <w:r>
        <w:rPr/>
        <w:t>of</w:t>
      </w:r>
      <w:r>
        <w:rPr>
          <w:spacing w:val="41"/>
        </w:rPr>
        <w:t> </w:t>
      </w:r>
      <w:r>
        <w:rPr/>
        <w:t>oil</w:t>
      </w:r>
      <w:r>
        <w:rPr>
          <w:spacing w:val="42"/>
        </w:rPr>
        <w:t> </w:t>
      </w:r>
      <w:r>
        <w:rPr/>
        <w:t>into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environment</w:t>
      </w:r>
      <w:r>
        <w:rPr>
          <w:spacing w:val="41"/>
        </w:rPr>
        <w:t> </w:t>
      </w:r>
      <w:r>
        <w:rPr/>
        <w:t>(Badejo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Nwilo,</w:t>
      </w:r>
      <w:r>
        <w:rPr>
          <w:spacing w:val="41"/>
        </w:rPr>
        <w:t> </w:t>
      </w:r>
      <w:r>
        <w:rPr/>
        <w:t>2004).</w:t>
      </w:r>
      <w:r>
        <w:rPr>
          <w:spacing w:val="41"/>
        </w:rPr>
        <w:t> </w:t>
      </w:r>
      <w:r>
        <w:rPr/>
        <w:t>Some</w:t>
      </w:r>
      <w:r>
        <w:rPr>
          <w:spacing w:val="39"/>
        </w:rPr>
        <w:t> </w:t>
      </w:r>
      <w:r>
        <w:rPr/>
        <w:t>major</w:t>
      </w:r>
      <w:r>
        <w:rPr>
          <w:spacing w:val="42"/>
        </w:rPr>
        <w:t> </w:t>
      </w:r>
      <w:r>
        <w:rPr/>
        <w:t>spills</w:t>
      </w:r>
      <w:r>
        <w:rPr>
          <w:spacing w:val="41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coastal</w:t>
      </w:r>
      <w:r>
        <w:rPr>
          <w:spacing w:val="-72"/>
        </w:rPr>
        <w:t> </w:t>
      </w:r>
      <w:r>
        <w:rPr/>
        <w:t>zones are the COCON’s Escravos terminal tank failure in 1978 of about 580,000 barrels and</w:t>
      </w:r>
      <w:r>
        <w:rPr>
          <w:spacing w:val="-72"/>
        </w:rPr>
        <w:t> </w:t>
      </w:r>
      <w:r>
        <w:rPr/>
        <w:t>Texaco funiwa-5 blow out in 1980 of about 400,000 barrels. Other oil spill incidences are</w:t>
      </w:r>
      <w:r>
        <w:rPr>
          <w:spacing w:val="1"/>
        </w:rPr>
        <w:t> </w:t>
      </w:r>
      <w:r>
        <w:rPr/>
        <w:t>those of Abudu pipeline in 1982 of about 18,818 barrels, the Jesse fire incidence which</w:t>
      </w:r>
      <w:r>
        <w:rPr>
          <w:spacing w:val="1"/>
        </w:rPr>
        <w:t> </w:t>
      </w:r>
      <w:r>
        <w:rPr/>
        <w:t>claimed about a thousand lives and the Idaho oil spill of January 1998. The most publicized</w:t>
      </w:r>
      <w:r>
        <w:rPr>
          <w:spacing w:val="-72"/>
        </w:rPr>
        <w:t> </w:t>
      </w:r>
      <w:r>
        <w:rPr/>
        <w:t>of all oil spills in Nigeria occurred on January 17 1980 when a total of 37 million liters of</w:t>
      </w:r>
      <w:r>
        <w:rPr>
          <w:spacing w:val="1"/>
        </w:rPr>
        <w:t> </w:t>
      </w:r>
      <w:r>
        <w:rPr/>
        <w:t>crude oil got spilled into the environment. The spill occurred as a result of a blow out at</w:t>
      </w:r>
      <w:r>
        <w:rPr>
          <w:spacing w:val="1"/>
        </w:rPr>
        <w:t> </w:t>
      </w:r>
      <w:r>
        <w:rPr/>
        <w:t>funiwa-5 offshore station (Badejo and Nwilo, 2004). Table 1.1 shows a summary of some</w:t>
      </w:r>
      <w:r>
        <w:rPr>
          <w:spacing w:val="1"/>
        </w:rPr>
        <w:t> </w:t>
      </w:r>
      <w:r>
        <w:rPr/>
        <w:t>major oil</w:t>
      </w:r>
      <w:r>
        <w:rPr>
          <w:spacing w:val="-1"/>
        </w:rPr>
        <w:t> </w:t>
      </w:r>
      <w:r>
        <w:rPr/>
        <w:t>spill incidences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Niger</w:t>
      </w:r>
      <w:r>
        <w:rPr>
          <w:spacing w:val="-2"/>
        </w:rPr>
        <w:t> </w:t>
      </w:r>
      <w:r>
        <w:rPr/>
        <w:t>Delta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1979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2004.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before="75"/>
        <w:ind w:left="1272"/>
        <w:jc w:val="both"/>
      </w:pPr>
      <w:r>
        <w:rPr/>
        <w:t>Table</w:t>
      </w:r>
      <w:r>
        <w:rPr>
          <w:spacing w:val="-2"/>
        </w:rPr>
        <w:t> </w:t>
      </w:r>
      <w:r>
        <w:rPr/>
        <w:t>1.1:</w:t>
      </w:r>
      <w:r>
        <w:rPr>
          <w:spacing w:val="-3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major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spills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</w:t>
      </w:r>
      <w:r>
        <w:rPr>
          <w:spacing w:val="-3"/>
        </w:rPr>
        <w:t> </w:t>
      </w:r>
      <w:r>
        <w:rPr/>
        <w:t>Delta</w:t>
      </w:r>
    </w:p>
    <w:p>
      <w:pPr>
        <w:pStyle w:val="BodyText"/>
        <w:spacing w:before="9"/>
      </w:pPr>
    </w:p>
    <w:tbl>
      <w:tblPr>
        <w:tblW w:w="0" w:type="auto"/>
        <w:jc w:val="left"/>
        <w:tblInd w:w="1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3206"/>
        <w:gridCol w:w="273"/>
        <w:gridCol w:w="847"/>
        <w:gridCol w:w="1691"/>
        <w:gridCol w:w="1153"/>
      </w:tblGrid>
      <w:tr>
        <w:trPr>
          <w:trHeight w:val="1158" w:hRule="atLeast"/>
        </w:trPr>
        <w:tc>
          <w:tcPr>
            <w:tcW w:w="13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3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Episode</w:t>
            </w:r>
          </w:p>
        </w:tc>
        <w:tc>
          <w:tcPr>
            <w:tcW w:w="2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Quantity</w:t>
            </w:r>
          </w:p>
          <w:p>
            <w:pPr>
              <w:pStyle w:val="TableParagraph"/>
              <w:spacing w:line="240" w:lineRule="auto" w:before="11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25"/>
              <w:rPr>
                <w:sz w:val="24"/>
              </w:rPr>
            </w:pPr>
            <w:r>
              <w:rPr>
                <w:sz w:val="24"/>
              </w:rPr>
              <w:t>(Barrels)</w:t>
            </w:r>
          </w:p>
        </w:tc>
      </w:tr>
      <w:tr>
        <w:trPr>
          <w:trHeight w:val="431" w:hRule="atLeast"/>
        </w:trPr>
        <w:tc>
          <w:tcPr>
            <w:tcW w:w="132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July,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1979</w:t>
            </w:r>
          </w:p>
        </w:tc>
        <w:tc>
          <w:tcPr>
            <w:tcW w:w="320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Forcados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terminal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spillage</w:t>
            </w:r>
          </w:p>
        </w:tc>
        <w:tc>
          <w:tcPr>
            <w:tcW w:w="2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Rivers</w:t>
            </w:r>
          </w:p>
        </w:tc>
        <w:tc>
          <w:tcPr>
            <w:tcW w:w="115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570,000</w:t>
            </w:r>
          </w:p>
        </w:tc>
      </w:tr>
      <w:tr>
        <w:trPr>
          <w:trHeight w:val="579" w:hRule="atLeast"/>
        </w:trPr>
        <w:tc>
          <w:tcPr>
            <w:tcW w:w="1323" w:type="dxa"/>
          </w:tcPr>
          <w:p>
            <w:pPr>
              <w:pStyle w:val="TableParagraph"/>
              <w:spacing w:line="240" w:lineRule="auto" w:before="144"/>
              <w:ind w:left="88"/>
              <w:rPr>
                <w:sz w:val="24"/>
              </w:rPr>
            </w:pPr>
            <w:r>
              <w:rPr>
                <w:sz w:val="24"/>
              </w:rPr>
              <w:t>Jan,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1980</w:t>
            </w:r>
          </w:p>
        </w:tc>
        <w:tc>
          <w:tcPr>
            <w:tcW w:w="3206" w:type="dxa"/>
          </w:tcPr>
          <w:p>
            <w:pPr>
              <w:pStyle w:val="TableParagraph"/>
              <w:spacing w:line="240" w:lineRule="auto" w:before="144"/>
              <w:ind w:left="131"/>
              <w:rPr>
                <w:sz w:val="24"/>
              </w:rPr>
            </w:pPr>
            <w:r>
              <w:rPr>
                <w:sz w:val="24"/>
              </w:rPr>
              <w:t>Funiwa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blowout</w:t>
            </w: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Rivers</w:t>
            </w:r>
          </w:p>
        </w:tc>
        <w:tc>
          <w:tcPr>
            <w:tcW w:w="1153" w:type="dxa"/>
          </w:tcPr>
          <w:p>
            <w:pPr>
              <w:pStyle w:val="TableParagraph"/>
              <w:spacing w:line="240" w:lineRule="auto" w:before="144"/>
              <w:ind w:left="125"/>
              <w:rPr>
                <w:sz w:val="24"/>
              </w:rPr>
            </w:pPr>
            <w:r>
              <w:rPr>
                <w:sz w:val="24"/>
              </w:rPr>
              <w:t>400,000</w:t>
            </w:r>
          </w:p>
        </w:tc>
      </w:tr>
      <w:tr>
        <w:trPr>
          <w:trHeight w:val="579" w:hRule="atLeast"/>
        </w:trPr>
        <w:tc>
          <w:tcPr>
            <w:tcW w:w="1323" w:type="dxa"/>
          </w:tcPr>
          <w:p>
            <w:pPr>
              <w:pStyle w:val="TableParagraph"/>
              <w:spacing w:line="240" w:lineRule="auto" w:before="145"/>
              <w:ind w:left="88"/>
              <w:rPr>
                <w:sz w:val="24"/>
              </w:rPr>
            </w:pPr>
            <w:r>
              <w:rPr>
                <w:sz w:val="24"/>
              </w:rPr>
              <w:t>May,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1980</w:t>
            </w:r>
          </w:p>
        </w:tc>
        <w:tc>
          <w:tcPr>
            <w:tcW w:w="3206" w:type="dxa"/>
          </w:tcPr>
          <w:p>
            <w:pPr>
              <w:pStyle w:val="TableParagraph"/>
              <w:spacing w:line="240" w:lineRule="auto" w:before="145"/>
              <w:ind w:left="131"/>
              <w:rPr>
                <w:sz w:val="24"/>
              </w:rPr>
            </w:pPr>
            <w:r>
              <w:rPr>
                <w:sz w:val="24"/>
              </w:rPr>
              <w:t>Oyamaka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spillage</w:t>
            </w: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spacing w:line="240" w:lineRule="auto" w:before="145"/>
              <w:ind w:left="107"/>
              <w:rPr>
                <w:sz w:val="24"/>
              </w:rPr>
            </w:pPr>
            <w:r>
              <w:rPr>
                <w:sz w:val="24"/>
              </w:rPr>
              <w:t>Rivers</w:t>
            </w:r>
          </w:p>
        </w:tc>
        <w:tc>
          <w:tcPr>
            <w:tcW w:w="1153" w:type="dxa"/>
          </w:tcPr>
          <w:p>
            <w:pPr>
              <w:pStyle w:val="TableParagraph"/>
              <w:spacing w:line="240" w:lineRule="auto" w:before="145"/>
              <w:ind w:left="125"/>
              <w:rPr>
                <w:sz w:val="24"/>
              </w:rPr>
            </w:pPr>
            <w:r>
              <w:rPr>
                <w:sz w:val="24"/>
              </w:rPr>
              <w:t>10,000</w:t>
            </w:r>
          </w:p>
        </w:tc>
      </w:tr>
      <w:tr>
        <w:trPr>
          <w:trHeight w:val="579" w:hRule="atLeast"/>
        </w:trPr>
        <w:tc>
          <w:tcPr>
            <w:tcW w:w="132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206" w:type="dxa"/>
          </w:tcPr>
          <w:p>
            <w:pPr>
              <w:pStyle w:val="TableParagraph"/>
              <w:spacing w:line="240" w:lineRule="auto" w:before="144"/>
              <w:ind w:left="131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2c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pipeline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rupture</w:t>
            </w:r>
          </w:p>
        </w:tc>
        <w:tc>
          <w:tcPr>
            <w:tcW w:w="273" w:type="dxa"/>
          </w:tcPr>
          <w:p>
            <w:pPr>
              <w:pStyle w:val="TableParagraph"/>
              <w:spacing w:line="240" w:lineRule="auto" w:before="144"/>
              <w:ind w:left="7"/>
              <w:rPr>
                <w:sz w:val="24"/>
              </w:rPr>
            </w:pPr>
            <w:r>
              <w:rPr>
                <w:sz w:val="24"/>
              </w:rPr>
              <w:t>at</w:t>
            </w:r>
          </w:p>
        </w:tc>
        <w:tc>
          <w:tcPr>
            <w:tcW w:w="847" w:type="dxa"/>
          </w:tcPr>
          <w:p>
            <w:pPr>
              <w:pStyle w:val="TableParagraph"/>
              <w:spacing w:line="240" w:lineRule="auto" w:before="144"/>
              <w:ind w:left="57"/>
              <w:rPr>
                <w:sz w:val="24"/>
              </w:rPr>
            </w:pPr>
            <w:r>
              <w:rPr>
                <w:sz w:val="24"/>
              </w:rPr>
              <w:t>Abudu</w:t>
            </w:r>
          </w:p>
        </w:tc>
        <w:tc>
          <w:tcPr>
            <w:tcW w:w="16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579" w:hRule="atLeast"/>
        </w:trPr>
        <w:tc>
          <w:tcPr>
            <w:tcW w:w="1323" w:type="dxa"/>
          </w:tcPr>
          <w:p>
            <w:pPr>
              <w:pStyle w:val="TableParagraph"/>
              <w:spacing w:line="240" w:lineRule="auto" w:before="146"/>
              <w:ind w:left="88"/>
              <w:rPr>
                <w:sz w:val="24"/>
              </w:rPr>
            </w:pPr>
            <w:r>
              <w:rPr>
                <w:sz w:val="24"/>
              </w:rPr>
              <w:t>Nov,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1982</w:t>
            </w:r>
          </w:p>
        </w:tc>
        <w:tc>
          <w:tcPr>
            <w:tcW w:w="3206" w:type="dxa"/>
          </w:tcPr>
          <w:p>
            <w:pPr>
              <w:pStyle w:val="TableParagraph"/>
              <w:spacing w:line="240" w:lineRule="auto" w:before="146"/>
              <w:ind w:left="131"/>
              <w:rPr>
                <w:sz w:val="24"/>
              </w:rPr>
            </w:pPr>
            <w:r>
              <w:rPr>
                <w:sz w:val="24"/>
              </w:rPr>
              <w:t>Edo</w:t>
            </w: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spacing w:line="240" w:lineRule="auto" w:before="146"/>
              <w:ind w:left="107"/>
              <w:rPr>
                <w:sz w:val="24"/>
              </w:rPr>
            </w:pPr>
            <w:r>
              <w:rPr>
                <w:sz w:val="24"/>
              </w:rPr>
              <w:t>Warri-Kaduna</w:t>
            </w:r>
          </w:p>
        </w:tc>
        <w:tc>
          <w:tcPr>
            <w:tcW w:w="1153" w:type="dxa"/>
          </w:tcPr>
          <w:p>
            <w:pPr>
              <w:pStyle w:val="TableParagraph"/>
              <w:spacing w:line="240" w:lineRule="auto" w:before="146"/>
              <w:ind w:left="125"/>
              <w:rPr>
                <w:sz w:val="24"/>
              </w:rPr>
            </w:pPr>
            <w:r>
              <w:rPr>
                <w:sz w:val="24"/>
              </w:rPr>
              <w:t>18,000</w:t>
            </w:r>
          </w:p>
        </w:tc>
      </w:tr>
      <w:tr>
        <w:trPr>
          <w:trHeight w:val="578" w:hRule="atLeast"/>
        </w:trPr>
        <w:tc>
          <w:tcPr>
            <w:tcW w:w="1323" w:type="dxa"/>
          </w:tcPr>
          <w:p>
            <w:pPr>
              <w:pStyle w:val="TableParagraph"/>
              <w:spacing w:line="240" w:lineRule="auto" w:before="144"/>
              <w:ind w:left="88"/>
              <w:rPr>
                <w:sz w:val="24"/>
              </w:rPr>
            </w:pPr>
            <w:r>
              <w:rPr>
                <w:sz w:val="24"/>
              </w:rPr>
              <w:t>Aug,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1983</w:t>
            </w:r>
          </w:p>
        </w:tc>
        <w:tc>
          <w:tcPr>
            <w:tcW w:w="3206" w:type="dxa"/>
          </w:tcPr>
          <w:p>
            <w:pPr>
              <w:pStyle w:val="TableParagraph"/>
              <w:spacing w:line="240" w:lineRule="auto" w:before="144"/>
              <w:ind w:left="131"/>
              <w:rPr>
                <w:sz w:val="24"/>
              </w:rPr>
            </w:pPr>
            <w:r>
              <w:rPr>
                <w:sz w:val="24"/>
              </w:rPr>
              <w:t>Osika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oil spill</w:t>
            </w: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Rivers</w:t>
            </w:r>
          </w:p>
        </w:tc>
        <w:tc>
          <w:tcPr>
            <w:tcW w:w="1153" w:type="dxa"/>
          </w:tcPr>
          <w:p>
            <w:pPr>
              <w:pStyle w:val="TableParagraph"/>
              <w:spacing w:line="240" w:lineRule="auto" w:before="144"/>
              <w:ind w:left="125"/>
              <w:rPr>
                <w:sz w:val="24"/>
              </w:rPr>
            </w:pPr>
            <w:r>
              <w:rPr>
                <w:sz w:val="24"/>
              </w:rPr>
              <w:t>10,000</w:t>
            </w:r>
          </w:p>
        </w:tc>
      </w:tr>
      <w:tr>
        <w:trPr>
          <w:trHeight w:val="579" w:hRule="atLeast"/>
        </w:trPr>
        <w:tc>
          <w:tcPr>
            <w:tcW w:w="1323" w:type="dxa"/>
          </w:tcPr>
          <w:p>
            <w:pPr>
              <w:pStyle w:val="TableParagraph"/>
              <w:spacing w:line="240" w:lineRule="auto" w:before="144"/>
              <w:ind w:left="88"/>
              <w:rPr>
                <w:sz w:val="24"/>
              </w:rPr>
            </w:pPr>
            <w:r>
              <w:rPr>
                <w:sz w:val="24"/>
              </w:rPr>
              <w:t>Jan,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1998</w:t>
            </w:r>
          </w:p>
        </w:tc>
        <w:tc>
          <w:tcPr>
            <w:tcW w:w="3206" w:type="dxa"/>
          </w:tcPr>
          <w:p>
            <w:pPr>
              <w:pStyle w:val="TableParagraph"/>
              <w:spacing w:line="240" w:lineRule="auto" w:before="144"/>
              <w:ind w:left="131"/>
              <w:rPr>
                <w:sz w:val="24"/>
              </w:rPr>
            </w:pPr>
            <w:r>
              <w:rPr>
                <w:sz w:val="24"/>
              </w:rPr>
              <w:t>Idoho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spill</w:t>
            </w: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Akwa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Ibom</w:t>
            </w:r>
          </w:p>
        </w:tc>
        <w:tc>
          <w:tcPr>
            <w:tcW w:w="1153" w:type="dxa"/>
          </w:tcPr>
          <w:p>
            <w:pPr>
              <w:pStyle w:val="TableParagraph"/>
              <w:spacing w:line="240" w:lineRule="auto" w:before="144"/>
              <w:ind w:left="125"/>
              <w:rPr>
                <w:sz w:val="24"/>
              </w:rPr>
            </w:pPr>
            <w:r>
              <w:rPr>
                <w:sz w:val="24"/>
              </w:rPr>
              <w:t>40,000</w:t>
            </w:r>
          </w:p>
        </w:tc>
      </w:tr>
      <w:tr>
        <w:trPr>
          <w:trHeight w:val="579" w:hRule="atLeast"/>
        </w:trPr>
        <w:tc>
          <w:tcPr>
            <w:tcW w:w="1323" w:type="dxa"/>
          </w:tcPr>
          <w:p>
            <w:pPr>
              <w:pStyle w:val="TableParagraph"/>
              <w:spacing w:line="240" w:lineRule="auto" w:before="145"/>
              <w:ind w:left="88"/>
              <w:rPr>
                <w:sz w:val="24"/>
              </w:rPr>
            </w:pPr>
            <w:r>
              <w:rPr>
                <w:sz w:val="24"/>
              </w:rPr>
              <w:t>Jan,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1998</w:t>
            </w:r>
          </w:p>
        </w:tc>
        <w:tc>
          <w:tcPr>
            <w:tcW w:w="3206" w:type="dxa"/>
          </w:tcPr>
          <w:p>
            <w:pPr>
              <w:pStyle w:val="TableParagraph"/>
              <w:spacing w:line="240" w:lineRule="auto" w:before="145"/>
              <w:ind w:left="131"/>
              <w:rPr>
                <w:sz w:val="24"/>
              </w:rPr>
            </w:pPr>
            <w:r>
              <w:rPr>
                <w:sz w:val="24"/>
              </w:rPr>
              <w:t>Jones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creek</w:t>
            </w: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spacing w:line="240" w:lineRule="auto" w:before="145"/>
              <w:ind w:left="107"/>
              <w:rPr>
                <w:sz w:val="24"/>
              </w:rPr>
            </w:pPr>
            <w:r>
              <w:rPr>
                <w:sz w:val="24"/>
              </w:rPr>
              <w:t>Delta</w:t>
            </w:r>
          </w:p>
        </w:tc>
        <w:tc>
          <w:tcPr>
            <w:tcW w:w="1153" w:type="dxa"/>
          </w:tcPr>
          <w:p>
            <w:pPr>
              <w:pStyle w:val="TableParagraph"/>
              <w:spacing w:line="240" w:lineRule="auto" w:before="145"/>
              <w:ind w:left="125"/>
              <w:rPr>
                <w:sz w:val="24"/>
              </w:rPr>
            </w:pPr>
            <w:r>
              <w:rPr>
                <w:sz w:val="24"/>
              </w:rPr>
              <w:t>21,548</w:t>
            </w:r>
          </w:p>
        </w:tc>
      </w:tr>
      <w:tr>
        <w:trPr>
          <w:trHeight w:val="579" w:hRule="atLeast"/>
        </w:trPr>
        <w:tc>
          <w:tcPr>
            <w:tcW w:w="1323" w:type="dxa"/>
          </w:tcPr>
          <w:p>
            <w:pPr>
              <w:pStyle w:val="TableParagraph"/>
              <w:spacing w:line="240" w:lineRule="auto" w:before="144"/>
              <w:ind w:left="88"/>
              <w:rPr>
                <w:sz w:val="24"/>
              </w:rPr>
            </w:pPr>
            <w:r>
              <w:rPr>
                <w:sz w:val="24"/>
              </w:rPr>
              <w:t>Oct,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1998</w:t>
            </w:r>
          </w:p>
        </w:tc>
        <w:tc>
          <w:tcPr>
            <w:tcW w:w="3206" w:type="dxa"/>
          </w:tcPr>
          <w:p>
            <w:pPr>
              <w:pStyle w:val="TableParagraph"/>
              <w:spacing w:line="240" w:lineRule="auto" w:before="144"/>
              <w:ind w:left="131"/>
              <w:rPr>
                <w:sz w:val="24"/>
              </w:rPr>
            </w:pPr>
            <w:r>
              <w:rPr>
                <w:sz w:val="24"/>
              </w:rPr>
              <w:t>Jesse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spill</w:t>
            </w: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Delta</w:t>
            </w:r>
          </w:p>
        </w:tc>
        <w:tc>
          <w:tcPr>
            <w:tcW w:w="1153" w:type="dxa"/>
          </w:tcPr>
          <w:p>
            <w:pPr>
              <w:pStyle w:val="TableParagraph"/>
              <w:spacing w:line="240" w:lineRule="auto" w:before="144"/>
              <w:ind w:left="125"/>
              <w:rPr>
                <w:sz w:val="24"/>
              </w:rPr>
            </w:pPr>
            <w:r>
              <w:rPr>
                <w:sz w:val="24"/>
              </w:rPr>
              <w:t>10,000</w:t>
            </w:r>
          </w:p>
        </w:tc>
      </w:tr>
      <w:tr>
        <w:trPr>
          <w:trHeight w:val="579" w:hRule="atLeast"/>
        </w:trPr>
        <w:tc>
          <w:tcPr>
            <w:tcW w:w="1323" w:type="dxa"/>
          </w:tcPr>
          <w:p>
            <w:pPr>
              <w:pStyle w:val="TableParagraph"/>
              <w:spacing w:line="240" w:lineRule="auto" w:before="145"/>
              <w:ind w:left="88"/>
              <w:rPr>
                <w:sz w:val="24"/>
              </w:rPr>
            </w:pPr>
            <w:r>
              <w:rPr>
                <w:sz w:val="24"/>
              </w:rPr>
              <w:t>May,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2000</w:t>
            </w:r>
          </w:p>
        </w:tc>
        <w:tc>
          <w:tcPr>
            <w:tcW w:w="3206" w:type="dxa"/>
          </w:tcPr>
          <w:p>
            <w:pPr>
              <w:pStyle w:val="TableParagraph"/>
              <w:spacing w:line="240" w:lineRule="auto" w:before="145"/>
              <w:ind w:left="131"/>
              <w:rPr>
                <w:sz w:val="24"/>
              </w:rPr>
            </w:pPr>
            <w:r>
              <w:rPr>
                <w:sz w:val="24"/>
              </w:rPr>
              <w:t>Etiama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spill</w:t>
            </w: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spacing w:line="240" w:lineRule="auto" w:before="145"/>
              <w:ind w:left="107"/>
              <w:rPr>
                <w:sz w:val="24"/>
              </w:rPr>
            </w:pPr>
            <w:r>
              <w:rPr>
                <w:sz w:val="24"/>
              </w:rPr>
              <w:t>Bayelsa</w:t>
            </w:r>
          </w:p>
        </w:tc>
        <w:tc>
          <w:tcPr>
            <w:tcW w:w="1153" w:type="dxa"/>
          </w:tcPr>
          <w:p>
            <w:pPr>
              <w:pStyle w:val="TableParagraph"/>
              <w:spacing w:line="240" w:lineRule="auto" w:before="145"/>
              <w:ind w:left="125"/>
              <w:rPr>
                <w:sz w:val="24"/>
              </w:rPr>
            </w:pPr>
            <w:r>
              <w:rPr>
                <w:sz w:val="24"/>
              </w:rPr>
              <w:t>11,000</w:t>
            </w:r>
          </w:p>
        </w:tc>
      </w:tr>
      <w:tr>
        <w:trPr>
          <w:trHeight w:val="578" w:hRule="atLeast"/>
        </w:trPr>
        <w:tc>
          <w:tcPr>
            <w:tcW w:w="1323" w:type="dxa"/>
          </w:tcPr>
          <w:p>
            <w:pPr>
              <w:pStyle w:val="TableParagraph"/>
              <w:spacing w:line="240" w:lineRule="auto" w:before="144"/>
              <w:ind w:left="88"/>
              <w:rPr>
                <w:sz w:val="24"/>
              </w:rPr>
            </w:pPr>
            <w:r>
              <w:rPr>
                <w:sz w:val="24"/>
              </w:rPr>
              <w:t>Dec,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2003</w:t>
            </w:r>
          </w:p>
        </w:tc>
        <w:tc>
          <w:tcPr>
            <w:tcW w:w="3206" w:type="dxa"/>
          </w:tcPr>
          <w:p>
            <w:pPr>
              <w:pStyle w:val="TableParagraph"/>
              <w:spacing w:line="240" w:lineRule="auto" w:before="144"/>
              <w:ind w:left="131"/>
              <w:rPr>
                <w:sz w:val="24"/>
              </w:rPr>
            </w:pPr>
            <w:r>
              <w:rPr>
                <w:sz w:val="24"/>
              </w:rPr>
              <w:t>Aghada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spill</w:t>
            </w: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579" w:hRule="atLeast"/>
        </w:trPr>
        <w:tc>
          <w:tcPr>
            <w:tcW w:w="1323" w:type="dxa"/>
          </w:tcPr>
          <w:p>
            <w:pPr>
              <w:pStyle w:val="TableParagraph"/>
              <w:spacing w:line="240" w:lineRule="auto" w:before="144"/>
              <w:ind w:left="88"/>
              <w:rPr>
                <w:sz w:val="24"/>
              </w:rPr>
            </w:pPr>
            <w:r>
              <w:rPr>
                <w:sz w:val="24"/>
              </w:rPr>
              <w:t>Aug,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2005</w:t>
            </w:r>
          </w:p>
        </w:tc>
        <w:tc>
          <w:tcPr>
            <w:tcW w:w="3206" w:type="dxa"/>
          </w:tcPr>
          <w:p>
            <w:pPr>
              <w:pStyle w:val="TableParagraph"/>
              <w:spacing w:line="240" w:lineRule="auto" w:before="144"/>
              <w:ind w:left="131"/>
              <w:rPr>
                <w:sz w:val="24"/>
              </w:rPr>
            </w:pPr>
            <w:r>
              <w:rPr>
                <w:sz w:val="24"/>
              </w:rPr>
              <w:t>Ughelli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 spill</w:t>
            </w: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Delta</w:t>
            </w:r>
          </w:p>
        </w:tc>
        <w:tc>
          <w:tcPr>
            <w:tcW w:w="1153" w:type="dxa"/>
          </w:tcPr>
          <w:p>
            <w:pPr>
              <w:pStyle w:val="TableParagraph"/>
              <w:spacing w:line="240" w:lineRule="auto" w:before="144"/>
              <w:ind w:left="125"/>
              <w:rPr>
                <w:sz w:val="24"/>
              </w:rPr>
            </w:pPr>
            <w:r>
              <w:rPr>
                <w:sz w:val="24"/>
              </w:rPr>
              <w:t>10,000</w:t>
            </w:r>
          </w:p>
        </w:tc>
      </w:tr>
      <w:tr>
        <w:trPr>
          <w:trHeight w:val="435" w:hRule="atLeast"/>
        </w:trPr>
        <w:tc>
          <w:tcPr>
            <w:tcW w:w="1323" w:type="dxa"/>
          </w:tcPr>
          <w:p>
            <w:pPr>
              <w:pStyle w:val="TableParagraph"/>
              <w:spacing w:line="270" w:lineRule="exact" w:before="145"/>
              <w:ind w:left="88"/>
              <w:rPr>
                <w:sz w:val="24"/>
              </w:rPr>
            </w:pPr>
            <w:r>
              <w:rPr>
                <w:sz w:val="24"/>
              </w:rPr>
              <w:t>Aug,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2004</w:t>
            </w:r>
          </w:p>
        </w:tc>
        <w:tc>
          <w:tcPr>
            <w:tcW w:w="3206" w:type="dxa"/>
          </w:tcPr>
          <w:p>
            <w:pPr>
              <w:pStyle w:val="TableParagraph"/>
              <w:spacing w:line="270" w:lineRule="exact" w:before="145"/>
              <w:ind w:left="131"/>
              <w:rPr>
                <w:sz w:val="24"/>
              </w:rPr>
            </w:pPr>
            <w:r>
              <w:rPr>
                <w:sz w:val="24"/>
              </w:rPr>
              <w:t>Ewan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spill</w:t>
            </w: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spacing w:line="270" w:lineRule="exact" w:before="145"/>
              <w:ind w:left="107"/>
              <w:rPr>
                <w:sz w:val="24"/>
              </w:rPr>
            </w:pPr>
            <w:r>
              <w:rPr>
                <w:sz w:val="24"/>
              </w:rPr>
              <w:t>Ondo</w:t>
            </w:r>
          </w:p>
        </w:tc>
        <w:tc>
          <w:tcPr>
            <w:tcW w:w="115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10"/>
        <w:rPr>
          <w:sz w:val="20"/>
        </w:rPr>
      </w:pPr>
      <w:r>
        <w:rPr/>
        <w:pict>
          <v:shape style="position:absolute;margin-left:111.380005pt;margin-top:14.562469pt;width:424.4pt;height:.5pt;mso-position-horizontal-relative:page;mso-position-vertical-relative:paragraph;z-index:-15728640;mso-wrap-distance-left:0;mso-wrap-distance-right:0" coordorigin="2228,291" coordsize="8488,10" path="m9585,291l7885,291,7876,291,3584,291,3574,291,2228,291,2228,301,3574,301,3584,301,7876,301,7885,301,9585,301,9585,291xm9595,291l9585,291,9585,301,9595,301,9595,291xm10716,291l9595,291,9595,301,10716,301,10716,29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ind w:left="1896"/>
      </w:pPr>
      <w:r>
        <w:rPr>
          <w:w w:val="95"/>
        </w:rPr>
        <w:t>Source:</w:t>
      </w:r>
      <w:r>
        <w:rPr>
          <w:spacing w:val="4"/>
          <w:w w:val="95"/>
        </w:rPr>
        <w:t> </w:t>
      </w:r>
      <w:r>
        <w:rPr>
          <w:w w:val="95"/>
        </w:rPr>
        <w:t>Eka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Udoyong</w:t>
      </w:r>
      <w:r>
        <w:rPr>
          <w:spacing w:val="6"/>
          <w:w w:val="95"/>
        </w:rPr>
        <w:t> </w:t>
      </w:r>
      <w:r>
        <w:rPr>
          <w:w w:val="95"/>
        </w:rPr>
        <w:t>(2003);</w:t>
      </w:r>
      <w:r>
        <w:rPr>
          <w:spacing w:val="4"/>
          <w:w w:val="95"/>
        </w:rPr>
        <w:t> </w:t>
      </w:r>
      <w:r>
        <w:rPr>
          <w:w w:val="95"/>
        </w:rPr>
        <w:t>UNDP</w:t>
      </w:r>
      <w:r>
        <w:rPr>
          <w:spacing w:val="6"/>
          <w:w w:val="95"/>
        </w:rPr>
        <w:t> </w:t>
      </w:r>
      <w:r>
        <w:rPr>
          <w:w w:val="95"/>
        </w:rPr>
        <w:t>(2006).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480" w:lineRule="auto"/>
        <w:ind w:left="1198" w:right="578"/>
        <w:jc w:val="both"/>
      </w:pP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incidences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spills</w:t>
      </w:r>
      <w:r>
        <w:rPr>
          <w:spacing w:val="1"/>
        </w:rPr>
        <w:t> </w:t>
      </w:r>
      <w:r>
        <w:rPr/>
        <w:t>have</w:t>
      </w:r>
      <w:r>
        <w:rPr>
          <w:spacing w:val="75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considerably in the region. Available records show that a total of 6817 oil spills occurred</w:t>
      </w:r>
      <w:r>
        <w:rPr>
          <w:spacing w:val="1"/>
        </w:rPr>
        <w:t> </w:t>
      </w:r>
      <w:r>
        <w:rPr/>
        <w:t>between 1976 and 2001 with a loss of approximately 3million barrels of oil. More than 70</w:t>
      </w:r>
      <w:r>
        <w:rPr>
          <w:spacing w:val="1"/>
        </w:rPr>
        <w:t> </w:t>
      </w:r>
      <w:r>
        <w:rPr/>
        <w:t>percent was not recorded. Approximately 6 percent spilled on land and 25 percent in</w:t>
      </w:r>
      <w:r>
        <w:rPr>
          <w:spacing w:val="1"/>
        </w:rPr>
        <w:t> </w:t>
      </w:r>
      <w:r>
        <w:rPr/>
        <w:t>swamps and 69 percent in offshore environments. In recent times, oil spill appears to be</w:t>
      </w:r>
      <w:r>
        <w:rPr>
          <w:spacing w:val="1"/>
        </w:rPr>
        <w:t> </w:t>
      </w:r>
      <w:r>
        <w:rPr/>
        <w:t>caused</w:t>
      </w:r>
      <w:r>
        <w:rPr>
          <w:spacing w:val="36"/>
        </w:rPr>
        <w:t> </w:t>
      </w:r>
      <w:r>
        <w:rPr/>
        <w:t>more</w:t>
      </w:r>
      <w:r>
        <w:rPr>
          <w:spacing w:val="37"/>
        </w:rPr>
        <w:t> </w:t>
      </w:r>
      <w:r>
        <w:rPr/>
        <w:t>by</w:t>
      </w:r>
      <w:r>
        <w:rPr>
          <w:spacing w:val="36"/>
        </w:rPr>
        <w:t> </w:t>
      </w:r>
      <w:r>
        <w:rPr/>
        <w:t>willful</w:t>
      </w:r>
      <w:r>
        <w:rPr>
          <w:spacing w:val="37"/>
        </w:rPr>
        <w:t> </w:t>
      </w:r>
      <w:r>
        <w:rPr/>
        <w:t>damage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facilities</w:t>
      </w:r>
      <w:r>
        <w:rPr>
          <w:spacing w:val="37"/>
        </w:rPr>
        <w:t> </w:t>
      </w:r>
      <w:r>
        <w:rPr/>
        <w:t>than</w:t>
      </w:r>
      <w:r>
        <w:rPr>
          <w:spacing w:val="37"/>
        </w:rPr>
        <w:t> </w:t>
      </w:r>
      <w:r>
        <w:rPr/>
        <w:t>by</w:t>
      </w:r>
      <w:r>
        <w:rPr>
          <w:spacing w:val="36"/>
        </w:rPr>
        <w:t> </w:t>
      </w:r>
      <w:r>
        <w:rPr/>
        <w:t>accidents</w:t>
      </w:r>
      <w:r>
        <w:rPr>
          <w:spacing w:val="37"/>
        </w:rPr>
        <w:t> </w:t>
      </w:r>
      <w:r>
        <w:rPr/>
        <w:t>(UNDP,</w:t>
      </w:r>
      <w:r>
        <w:rPr>
          <w:spacing w:val="40"/>
        </w:rPr>
        <w:t> </w:t>
      </w:r>
      <w:r>
        <w:rPr/>
        <w:t>2006).</w:t>
      </w:r>
      <w:r>
        <w:rPr>
          <w:spacing w:val="36"/>
        </w:rPr>
        <w:t> </w:t>
      </w:r>
      <w:r>
        <w:rPr/>
        <w:t>Figure</w:t>
      </w:r>
      <w:r>
        <w:rPr>
          <w:spacing w:val="38"/>
        </w:rPr>
        <w:t> </w:t>
      </w:r>
      <w:r>
        <w:rPr/>
        <w:t>1.2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before="75"/>
        <w:ind w:left="1198"/>
        <w:jc w:val="both"/>
      </w:pPr>
      <w:r>
        <w:rPr/>
        <w:t>shows</w:t>
      </w:r>
      <w:r>
        <w:rPr>
          <w:spacing w:val="-2"/>
        </w:rPr>
        <w:t> </w:t>
      </w:r>
      <w:r>
        <w:rPr/>
        <w:t>the causes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oil</w:t>
      </w:r>
      <w:r>
        <w:rPr>
          <w:spacing w:val="-2"/>
        </w:rPr>
        <w:t> </w:t>
      </w:r>
      <w:r>
        <w:rPr/>
        <w:t>spills,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influence,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quantity</w:t>
      </w:r>
      <w:r>
        <w:rPr>
          <w:spacing w:val="-1"/>
        </w:rPr>
        <w:t> </w:t>
      </w:r>
      <w:r>
        <w:rPr/>
        <w:t>and 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oil</w:t>
      </w:r>
      <w:r>
        <w:rPr>
          <w:spacing w:val="-2"/>
        </w:rPr>
        <w:t> </w:t>
      </w:r>
      <w:r>
        <w:rPr/>
        <w:t>spills.</w:t>
      </w: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1448625</wp:posOffset>
            </wp:positionH>
            <wp:positionV relativeFrom="paragraph">
              <wp:posOffset>207206</wp:posOffset>
            </wp:positionV>
            <wp:extent cx="4089589" cy="4615434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589" cy="461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ind w:left="1198"/>
        <w:jc w:val="both"/>
      </w:pPr>
      <w:r>
        <w:rPr>
          <w:w w:val="95"/>
        </w:rPr>
        <w:t>Source:</w:t>
      </w:r>
      <w:r>
        <w:rPr>
          <w:spacing w:val="5"/>
          <w:w w:val="95"/>
        </w:rPr>
        <w:t> </w:t>
      </w:r>
      <w:r>
        <w:rPr>
          <w:w w:val="95"/>
        </w:rPr>
        <w:t>Shell</w:t>
      </w:r>
      <w:r>
        <w:rPr>
          <w:spacing w:val="8"/>
          <w:w w:val="95"/>
        </w:rPr>
        <w:t> </w:t>
      </w:r>
      <w:r>
        <w:rPr>
          <w:w w:val="95"/>
        </w:rPr>
        <w:t>Petroleum</w:t>
      </w:r>
      <w:r>
        <w:rPr>
          <w:spacing w:val="6"/>
          <w:w w:val="95"/>
        </w:rPr>
        <w:t> </w:t>
      </w:r>
      <w:r>
        <w:rPr>
          <w:w w:val="95"/>
        </w:rPr>
        <w:t>Development</w:t>
      </w:r>
      <w:r>
        <w:rPr>
          <w:spacing w:val="6"/>
          <w:w w:val="95"/>
        </w:rPr>
        <w:t> </w:t>
      </w:r>
      <w:r>
        <w:rPr>
          <w:w w:val="95"/>
        </w:rPr>
        <w:t>Company</w:t>
      </w:r>
      <w:r>
        <w:rPr>
          <w:spacing w:val="8"/>
          <w:w w:val="95"/>
        </w:rPr>
        <w:t> </w:t>
      </w:r>
      <w:r>
        <w:rPr>
          <w:w w:val="95"/>
        </w:rPr>
        <w:t>Annual</w:t>
      </w:r>
      <w:r>
        <w:rPr>
          <w:spacing w:val="7"/>
          <w:w w:val="95"/>
        </w:rPr>
        <w:t> </w:t>
      </w:r>
      <w:r>
        <w:rPr>
          <w:w w:val="95"/>
        </w:rPr>
        <w:t>Report</w:t>
      </w:r>
      <w:r>
        <w:rPr>
          <w:spacing w:val="6"/>
          <w:w w:val="95"/>
        </w:rPr>
        <w:t> </w:t>
      </w:r>
      <w:r>
        <w:rPr>
          <w:w w:val="95"/>
        </w:rPr>
        <w:t>2004.</w:t>
      </w:r>
    </w:p>
    <w:p>
      <w:pPr>
        <w:pStyle w:val="BodyText"/>
      </w:pPr>
    </w:p>
    <w:p>
      <w:pPr>
        <w:pStyle w:val="BodyText"/>
        <w:spacing w:line="480" w:lineRule="auto"/>
        <w:ind w:left="1198" w:right="581"/>
        <w:jc w:val="both"/>
      </w:pPr>
      <w:r>
        <w:rPr/>
        <w:t>Figure 1.</w:t>
      </w:r>
      <w:r>
        <w:rPr>
          <w:b/>
        </w:rPr>
        <w:t>2</w:t>
      </w:r>
      <w:r>
        <w:rPr/>
        <w:t>: Quantities and Causes of Oil Spills from SPDC Operations in the Niger Delta,</w:t>
      </w:r>
      <w:r>
        <w:rPr>
          <w:spacing w:val="1"/>
        </w:rPr>
        <w:t> </w:t>
      </w:r>
      <w:r>
        <w:rPr/>
        <w:t>2000-2004</w:t>
      </w:r>
    </w:p>
    <w:p>
      <w:pPr>
        <w:pStyle w:val="BodyText"/>
        <w:spacing w:line="480" w:lineRule="auto" w:before="99"/>
        <w:ind w:left="1198" w:right="576"/>
        <w:jc w:val="both"/>
      </w:pPr>
      <w:r>
        <w:rPr/>
        <w:t>According to Badejo and Nwilo, (2004), fifty percent of oil spills is due to corrosion, twenty</w:t>
      </w:r>
      <w:r>
        <w:rPr>
          <w:spacing w:val="1"/>
        </w:rPr>
        <w:t> </w:t>
      </w:r>
      <w:r>
        <w:rPr/>
        <w:t>eight percent to oil productions operations, One percent to oil drill is due to engineering</w:t>
      </w:r>
      <w:r>
        <w:rPr>
          <w:spacing w:val="1"/>
        </w:rPr>
        <w:t> </w:t>
      </w:r>
      <w:r>
        <w:rPr/>
        <w:t>drills, inability to effectively control oil wells, failure of machines and inadequate care in</w:t>
      </w:r>
      <w:r>
        <w:rPr>
          <w:spacing w:val="1"/>
        </w:rPr>
        <w:t> </w:t>
      </w:r>
      <w:r>
        <w:rPr/>
        <w:t>loading and unloading oil vessels. Shell Petroleum Development Company (SPDC), in their</w:t>
      </w:r>
      <w:r>
        <w:rPr>
          <w:spacing w:val="1"/>
        </w:rPr>
        <w:t> </w:t>
      </w:r>
      <w:r>
        <w:rPr/>
        <w:t>2009 annual report (Royal Dutch Shell Petroleum Plc, 2009) went further to project an</w:t>
      </w:r>
      <w:r>
        <w:rPr>
          <w:spacing w:val="1"/>
        </w:rPr>
        <w:t> </w:t>
      </w:r>
      <w:r>
        <w:rPr/>
        <w:t>increase in oil spill incidences in Nigeria as shown in Figure 1.3. This shows that spill</w:t>
      </w:r>
      <w:r>
        <w:rPr>
          <w:spacing w:val="1"/>
        </w:rPr>
        <w:t> </w:t>
      </w:r>
      <w:r>
        <w:rPr/>
        <w:t>incidences</w:t>
      </w:r>
      <w:r>
        <w:rPr>
          <w:spacing w:val="33"/>
        </w:rPr>
        <w:t> </w:t>
      </w:r>
      <w:r>
        <w:rPr/>
        <w:t>from</w:t>
      </w:r>
      <w:r>
        <w:rPr>
          <w:spacing w:val="33"/>
        </w:rPr>
        <w:t> </w:t>
      </w:r>
      <w:r>
        <w:rPr/>
        <w:t>production</w:t>
      </w:r>
      <w:r>
        <w:rPr>
          <w:spacing w:val="34"/>
        </w:rPr>
        <w:t> </w:t>
      </w:r>
      <w:r>
        <w:rPr/>
        <w:t>operations</w:t>
      </w:r>
      <w:r>
        <w:rPr>
          <w:spacing w:val="36"/>
        </w:rPr>
        <w:t> </w:t>
      </w:r>
      <w:r>
        <w:rPr/>
        <w:t>are</w:t>
      </w:r>
      <w:r>
        <w:rPr>
          <w:spacing w:val="37"/>
        </w:rPr>
        <w:t> </w:t>
      </w:r>
      <w:r>
        <w:rPr/>
        <w:t>more</w:t>
      </w:r>
      <w:r>
        <w:rPr>
          <w:spacing w:val="34"/>
        </w:rPr>
        <w:t> </w:t>
      </w:r>
      <w:r>
        <w:rPr/>
        <w:t>than</w:t>
      </w:r>
      <w:r>
        <w:rPr>
          <w:spacing w:val="37"/>
        </w:rPr>
        <w:t> </w:t>
      </w:r>
      <w:r>
        <w:rPr/>
        <w:t>other</w:t>
      </w:r>
      <w:r>
        <w:rPr>
          <w:spacing w:val="33"/>
        </w:rPr>
        <w:t> </w:t>
      </w:r>
      <w:r>
        <w:rPr/>
        <w:t>causes</w:t>
      </w:r>
      <w:r>
        <w:rPr>
          <w:spacing w:val="34"/>
        </w:rPr>
        <w:t> </w:t>
      </w:r>
      <w:r>
        <w:rPr/>
        <w:t>but</w:t>
      </w:r>
      <w:r>
        <w:rPr>
          <w:spacing w:val="33"/>
        </w:rPr>
        <w:t> </w:t>
      </w:r>
      <w:r>
        <w:rPr/>
        <w:t>an</w:t>
      </w:r>
      <w:r>
        <w:rPr>
          <w:spacing w:val="36"/>
        </w:rPr>
        <w:t> </w:t>
      </w:r>
      <w:r>
        <w:rPr/>
        <w:t>oil</w:t>
      </w:r>
      <w:r>
        <w:rPr>
          <w:spacing w:val="33"/>
        </w:rPr>
        <w:t> </w:t>
      </w:r>
      <w:r>
        <w:rPr/>
        <w:t>spill</w:t>
      </w:r>
      <w:r>
        <w:rPr>
          <w:spacing w:val="34"/>
        </w:rPr>
        <w:t> </w:t>
      </w:r>
      <w:r>
        <w:rPr/>
        <w:t>trend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before="75"/>
        <w:ind w:left="1198"/>
      </w:pPr>
      <w:r>
        <w:rPr/>
        <w:t>from</w:t>
      </w:r>
      <w:r>
        <w:rPr>
          <w:spacing w:val="-5"/>
        </w:rPr>
        <w:t> </w:t>
      </w:r>
      <w:r>
        <w:rPr/>
        <w:t>sabotage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gradually</w:t>
      </w:r>
      <w:r>
        <w:rPr>
          <w:spacing w:val="-3"/>
        </w:rPr>
        <w:t> </w:t>
      </w:r>
      <w:r>
        <w:rPr/>
        <w:t>increasing</w:t>
      </w:r>
      <w:r>
        <w:rPr>
          <w:spacing w:val="-4"/>
        </w:rPr>
        <w:t> </w:t>
      </w:r>
      <w:r>
        <w:rPr/>
        <w:t>over</w:t>
      </w:r>
      <w:r>
        <w:rPr>
          <w:spacing w:val="-3"/>
        </w:rPr>
        <w:t> </w:t>
      </w:r>
      <w:r>
        <w:rPr/>
        <w:t>operational</w:t>
      </w:r>
      <w:r>
        <w:rPr>
          <w:spacing w:val="-2"/>
        </w:rPr>
        <w:t> </w:t>
      </w:r>
      <w:r>
        <w:rPr/>
        <w:t>spills.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1450267</wp:posOffset>
            </wp:positionH>
            <wp:positionV relativeFrom="paragraph">
              <wp:posOffset>195918</wp:posOffset>
            </wp:positionV>
            <wp:extent cx="4118591" cy="3058382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591" cy="3058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2"/>
        <w:spacing w:before="104"/>
        <w:ind w:left="1198"/>
      </w:pPr>
      <w:r>
        <w:rPr>
          <w:w w:val="95"/>
        </w:rPr>
        <w:t>Source:</w:t>
      </w:r>
      <w:r>
        <w:rPr>
          <w:spacing w:val="3"/>
          <w:w w:val="95"/>
        </w:rPr>
        <w:t> </w:t>
      </w:r>
      <w:r>
        <w:rPr>
          <w:w w:val="95"/>
        </w:rPr>
        <w:t>Royal</w:t>
      </w:r>
      <w:r>
        <w:rPr>
          <w:spacing w:val="5"/>
          <w:w w:val="95"/>
        </w:rPr>
        <w:t> </w:t>
      </w:r>
      <w:r>
        <w:rPr>
          <w:w w:val="95"/>
        </w:rPr>
        <w:t>Dutch</w:t>
      </w:r>
      <w:r>
        <w:rPr>
          <w:spacing w:val="5"/>
          <w:w w:val="95"/>
        </w:rPr>
        <w:t> </w:t>
      </w:r>
      <w:r>
        <w:rPr>
          <w:w w:val="95"/>
        </w:rPr>
        <w:t>Shell</w:t>
      </w:r>
      <w:r>
        <w:rPr>
          <w:spacing w:val="5"/>
          <w:w w:val="95"/>
        </w:rPr>
        <w:t> </w:t>
      </w:r>
      <w:r>
        <w:rPr>
          <w:w w:val="95"/>
        </w:rPr>
        <w:t>Petroleum</w:t>
      </w:r>
      <w:r>
        <w:rPr>
          <w:spacing w:val="5"/>
          <w:w w:val="95"/>
        </w:rPr>
        <w:t> </w:t>
      </w:r>
      <w:r>
        <w:rPr>
          <w:w w:val="95"/>
        </w:rPr>
        <w:t>Plc.</w:t>
      </w:r>
      <w:r>
        <w:rPr>
          <w:spacing w:val="3"/>
          <w:w w:val="95"/>
        </w:rPr>
        <w:t> </w:t>
      </w:r>
      <w:r>
        <w:rPr>
          <w:w w:val="95"/>
        </w:rPr>
        <w:t>annual</w:t>
      </w:r>
      <w:r>
        <w:rPr>
          <w:spacing w:val="5"/>
          <w:w w:val="95"/>
        </w:rPr>
        <w:t> </w:t>
      </w:r>
      <w:r>
        <w:rPr>
          <w:w w:val="95"/>
        </w:rPr>
        <w:t>report,</w:t>
      </w:r>
      <w:r>
        <w:rPr>
          <w:spacing w:val="7"/>
          <w:w w:val="95"/>
        </w:rPr>
        <w:t> </w:t>
      </w:r>
      <w:r>
        <w:rPr>
          <w:w w:val="95"/>
        </w:rPr>
        <w:t>2009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198"/>
      </w:pPr>
      <w:r>
        <w:rPr/>
        <w:t>Figure</w:t>
      </w:r>
      <w:r>
        <w:rPr>
          <w:spacing w:val="-1"/>
        </w:rPr>
        <w:t> </w:t>
      </w:r>
      <w:r>
        <w:rPr/>
        <w:t>1.3:</w:t>
      </w:r>
      <w:r>
        <w:rPr>
          <w:spacing w:val="-3"/>
        </w:rPr>
        <w:t> </w:t>
      </w:r>
      <w:r>
        <w:rPr/>
        <w:t>Trends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spill</w:t>
      </w:r>
      <w:r>
        <w:rPr>
          <w:spacing w:val="-2"/>
        </w:rPr>
        <w:t> </w:t>
      </w:r>
      <w:r>
        <w:rPr/>
        <w:t>incidences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Niger</w:t>
      </w:r>
      <w:r>
        <w:rPr>
          <w:spacing w:val="-3"/>
        </w:rPr>
        <w:t> </w:t>
      </w:r>
      <w:r>
        <w:rPr/>
        <w:t>Delta</w:t>
      </w:r>
    </w:p>
    <w:p>
      <w:pPr>
        <w:pStyle w:val="BodyText"/>
        <w:spacing w:before="10"/>
        <w:rPr>
          <w:sz w:val="40"/>
        </w:rPr>
      </w:pPr>
    </w:p>
    <w:p>
      <w:pPr>
        <w:pStyle w:val="Heading3"/>
        <w:numPr>
          <w:ilvl w:val="2"/>
          <w:numId w:val="2"/>
        </w:numPr>
        <w:tabs>
          <w:tab w:pos="1918" w:val="left" w:leader="none"/>
        </w:tabs>
        <w:spacing w:line="240" w:lineRule="auto" w:before="0" w:after="0"/>
        <w:ind w:left="1918" w:right="0" w:hanging="720"/>
        <w:jc w:val="left"/>
      </w:pPr>
      <w:r>
        <w:rPr/>
        <w:t>Nigerian</w:t>
      </w:r>
      <w:r>
        <w:rPr>
          <w:spacing w:val="-2"/>
        </w:rPr>
        <w:t> </w:t>
      </w:r>
      <w:r>
        <w:rPr/>
        <w:t>Law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Spillage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80" w:lineRule="auto"/>
        <w:ind w:left="1198" w:right="577"/>
        <w:jc w:val="both"/>
      </w:pPr>
      <w:r>
        <w:rPr/>
        <w:t>Nigerian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fairly</w:t>
      </w:r>
      <w:r>
        <w:rPr>
          <w:spacing w:val="1"/>
        </w:rPr>
        <w:t> </w:t>
      </w:r>
      <w:r>
        <w:rPr/>
        <w:t>clear.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 of the Federal Environmental Protection Agency (FEPA) in 1988 to enforce</w:t>
      </w:r>
      <w:r>
        <w:rPr>
          <w:spacing w:val="1"/>
        </w:rPr>
        <w:t> </w:t>
      </w:r>
      <w:r>
        <w:rPr/>
        <w:t>environmental regulations and ameliorate environmental degradation (UNDP, 2006). The</w:t>
      </w:r>
      <w:r>
        <w:rPr>
          <w:spacing w:val="1"/>
        </w:rPr>
        <w:t> </w:t>
      </w:r>
      <w:r>
        <w:rPr/>
        <w:t>Nigerian Federal Environmental Protection Agency act of 1988 orders that following an oil</w:t>
      </w:r>
      <w:r>
        <w:rPr>
          <w:spacing w:val="1"/>
        </w:rPr>
        <w:t> </w:t>
      </w:r>
      <w:r>
        <w:rPr/>
        <w:t>spill,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“begin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cleanup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75"/>
        </w:rPr>
        <w:t> </w:t>
      </w:r>
      <w:r>
        <w:rPr/>
        <w:t>best</w:t>
      </w:r>
      <w:r>
        <w:rPr>
          <w:spacing w:val="1"/>
        </w:rPr>
        <w:t> </w:t>
      </w:r>
      <w:r>
        <w:rPr/>
        <w:t>available cleanup</w:t>
      </w:r>
      <w:r>
        <w:rPr>
          <w:spacing w:val="-2"/>
        </w:rPr>
        <w:t> </w:t>
      </w:r>
      <w:r>
        <w:rPr/>
        <w:t>practice and</w:t>
      </w:r>
      <w:r>
        <w:rPr>
          <w:spacing w:val="-1"/>
        </w:rPr>
        <w:t> </w:t>
      </w:r>
      <w:r>
        <w:rPr/>
        <w:t>removal methods”.</w:t>
      </w:r>
    </w:p>
    <w:p>
      <w:pPr>
        <w:pStyle w:val="BodyText"/>
        <w:spacing w:line="480" w:lineRule="auto"/>
        <w:ind w:left="1198" w:right="577"/>
        <w:jc w:val="both"/>
      </w:pPr>
      <w:r>
        <w:rPr/>
        <w:t>The oil pipelines act of 1990 states that oil companies should pay compensation to any</w:t>
      </w:r>
      <w:r>
        <w:rPr>
          <w:spacing w:val="1"/>
        </w:rPr>
        <w:t> </w:t>
      </w:r>
      <w:r>
        <w:rPr/>
        <w:t>person suffering damage as a consequence of any breakage or a leakage from the pipeline</w:t>
      </w:r>
      <w:r>
        <w:rPr>
          <w:spacing w:val="1"/>
        </w:rPr>
        <w:t> </w:t>
      </w:r>
      <w:r>
        <w:rPr/>
        <w:t>or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ancillary</w:t>
      </w:r>
      <w:r>
        <w:rPr>
          <w:spacing w:val="31"/>
        </w:rPr>
        <w:t> </w:t>
      </w:r>
      <w:r>
        <w:rPr/>
        <w:t>installation</w:t>
      </w:r>
      <w:r>
        <w:rPr>
          <w:spacing w:val="31"/>
        </w:rPr>
        <w:t> </w:t>
      </w:r>
      <w:r>
        <w:rPr/>
        <w:t>(except</w:t>
      </w:r>
      <w:r>
        <w:rPr>
          <w:spacing w:val="29"/>
        </w:rPr>
        <w:t> </w:t>
      </w:r>
      <w:r>
        <w:rPr/>
        <w:t>when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spill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result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malicious</w:t>
      </w:r>
      <w:r>
        <w:rPr>
          <w:spacing w:val="31"/>
        </w:rPr>
        <w:t> </w:t>
      </w:r>
      <w:r>
        <w:rPr/>
        <w:t>act</w:t>
      </w:r>
      <w:r>
        <w:rPr>
          <w:spacing w:val="29"/>
        </w:rPr>
        <w:t> </w:t>
      </w:r>
      <w:r>
        <w:rPr/>
        <w:t>of</w:t>
      </w:r>
      <w:r>
        <w:rPr>
          <w:spacing w:val="32"/>
        </w:rPr>
        <w:t> </w:t>
      </w:r>
      <w:r>
        <w:rPr/>
        <w:t>a</w:t>
      </w:r>
      <w:r>
        <w:rPr>
          <w:spacing w:val="-72"/>
        </w:rPr>
        <w:t> </w:t>
      </w:r>
      <w:r>
        <w:rPr/>
        <w:t>third</w:t>
      </w:r>
      <w:r>
        <w:rPr>
          <w:spacing w:val="-3"/>
        </w:rPr>
        <w:t> </w:t>
      </w:r>
      <w:r>
        <w:rPr/>
        <w:t>person</w:t>
      </w:r>
      <w:r>
        <w:rPr>
          <w:spacing w:val="-1"/>
        </w:rPr>
        <w:t> </w:t>
      </w:r>
      <w:r>
        <w:rPr/>
        <w:t>(Friends of</w:t>
      </w:r>
      <w:r>
        <w:rPr>
          <w:spacing w:val="-1"/>
        </w:rPr>
        <w:t> </w:t>
      </w:r>
      <w:r>
        <w:rPr/>
        <w:t>the Earth Netherlands,</w:t>
      </w:r>
      <w:r>
        <w:rPr>
          <w:spacing w:val="-1"/>
        </w:rPr>
        <w:t> </w:t>
      </w:r>
      <w:r>
        <w:rPr/>
        <w:t>2009).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82" w:lineRule="auto" w:before="75"/>
        <w:ind w:left="1198" w:right="583"/>
        <w:jc w:val="both"/>
      </w:pPr>
      <w:r>
        <w:rPr/>
        <w:t>The Nigerian Petroleum Act of 1969 states that oil and gas production shall conform to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oilfield</w:t>
      </w:r>
      <w:r>
        <w:rPr>
          <w:spacing w:val="-2"/>
        </w:rPr>
        <w:t> </w:t>
      </w:r>
      <w:r>
        <w:rPr/>
        <w:t>practice, according to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standards.</w:t>
      </w:r>
    </w:p>
    <w:p>
      <w:pPr>
        <w:pStyle w:val="Heading3"/>
        <w:numPr>
          <w:ilvl w:val="2"/>
          <w:numId w:val="2"/>
        </w:numPr>
        <w:tabs>
          <w:tab w:pos="1918" w:val="left" w:leader="none"/>
        </w:tabs>
        <w:spacing w:line="240" w:lineRule="auto" w:before="196" w:after="0"/>
        <w:ind w:left="1918" w:right="0" w:hanging="720"/>
        <w:jc w:val="left"/>
      </w:pP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Oil</w:t>
      </w:r>
      <w:r>
        <w:rPr>
          <w:spacing w:val="-4"/>
        </w:rPr>
        <w:t> </w:t>
      </w:r>
      <w:r>
        <w:rPr/>
        <w:t>Spillage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Environment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80" w:lineRule="auto" w:before="1"/>
        <w:ind w:left="1198" w:right="574"/>
        <w:jc w:val="both"/>
      </w:pPr>
      <w:r>
        <w:rPr/>
        <w:t>Depending on its form and chemistry, oil can cause an array of physiological and toxic</w:t>
      </w:r>
      <w:r>
        <w:rPr>
          <w:spacing w:val="1"/>
        </w:rPr>
        <w:t> </w:t>
      </w:r>
      <w:r>
        <w:rPr/>
        <w:t>effects for example; benzene is a carcinogen and is toxic to humans and wildlife (USACE,</w:t>
      </w:r>
      <w:r>
        <w:rPr>
          <w:spacing w:val="1"/>
        </w:rPr>
        <w:t> </w:t>
      </w:r>
      <w:r>
        <w:rPr/>
        <w:t>2005). Some hydrocarbons are toxic to organisms but less persistent in the environment,</w:t>
      </w:r>
      <w:r>
        <w:rPr>
          <w:spacing w:val="1"/>
        </w:rPr>
        <w:t> </w:t>
      </w:r>
      <w:r>
        <w:rPr/>
        <w:t>while</w:t>
      </w:r>
      <w:r>
        <w:rPr>
          <w:spacing w:val="34"/>
        </w:rPr>
        <w:t> </w:t>
      </w:r>
      <w:r>
        <w:rPr/>
        <w:t>others</w:t>
      </w:r>
      <w:r>
        <w:rPr>
          <w:spacing w:val="33"/>
        </w:rPr>
        <w:t> </w:t>
      </w:r>
      <w:r>
        <w:rPr/>
        <w:t>tend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be</w:t>
      </w:r>
      <w:r>
        <w:rPr>
          <w:spacing w:val="33"/>
        </w:rPr>
        <w:t> </w:t>
      </w:r>
      <w:r>
        <w:rPr/>
        <w:t>less</w:t>
      </w:r>
      <w:r>
        <w:rPr>
          <w:spacing w:val="33"/>
        </w:rPr>
        <w:t> </w:t>
      </w:r>
      <w:r>
        <w:rPr/>
        <w:t>toxic,</w:t>
      </w:r>
      <w:r>
        <w:rPr>
          <w:spacing w:val="33"/>
        </w:rPr>
        <w:t> </w:t>
      </w:r>
      <w:r>
        <w:rPr/>
        <w:t>but</w:t>
      </w:r>
      <w:r>
        <w:rPr>
          <w:spacing w:val="32"/>
        </w:rPr>
        <w:t> </w:t>
      </w:r>
      <w:r>
        <w:rPr/>
        <w:t>more</w:t>
      </w:r>
      <w:r>
        <w:rPr>
          <w:spacing w:val="33"/>
        </w:rPr>
        <w:t> </w:t>
      </w:r>
      <w:r>
        <w:rPr/>
        <w:t>persistent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more</w:t>
      </w:r>
      <w:r>
        <w:rPr>
          <w:spacing w:val="33"/>
        </w:rPr>
        <w:t> </w:t>
      </w:r>
      <w:r>
        <w:rPr/>
        <w:t>likely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result</w:t>
      </w:r>
      <w:r>
        <w:rPr>
          <w:spacing w:val="32"/>
        </w:rPr>
        <w:t> </w:t>
      </w:r>
      <w:r>
        <w:rPr/>
        <w:t>in</w:t>
      </w:r>
      <w:r>
        <w:rPr>
          <w:spacing w:val="34"/>
        </w:rPr>
        <w:t> </w:t>
      </w:r>
      <w:r>
        <w:rPr/>
        <w:t>long</w:t>
      </w:r>
      <w:r>
        <w:rPr>
          <w:spacing w:val="-72"/>
        </w:rPr>
        <w:t> </w:t>
      </w:r>
      <w:r>
        <w:rPr/>
        <w:t>term</w:t>
      </w:r>
      <w:r>
        <w:rPr>
          <w:spacing w:val="-2"/>
        </w:rPr>
        <w:t> </w:t>
      </w:r>
      <w:r>
        <w:rPr/>
        <w:t>environmental effects (UNDP,</w:t>
      </w:r>
      <w:r>
        <w:rPr>
          <w:spacing w:val="-2"/>
        </w:rPr>
        <w:t> </w:t>
      </w:r>
      <w:r>
        <w:rPr/>
        <w:t>2006).</w:t>
      </w:r>
    </w:p>
    <w:p>
      <w:pPr>
        <w:pStyle w:val="BodyText"/>
        <w:spacing w:line="477" w:lineRule="auto"/>
        <w:ind w:left="1198" w:right="575"/>
      </w:pPr>
      <w:r>
        <w:rPr/>
        <w:t>The</w:t>
      </w:r>
      <w:r>
        <w:rPr>
          <w:spacing w:val="20"/>
        </w:rPr>
        <w:t> </w:t>
      </w:r>
      <w:r>
        <w:rPr/>
        <w:t>environmental</w:t>
      </w:r>
      <w:r>
        <w:rPr>
          <w:spacing w:val="19"/>
        </w:rPr>
        <w:t> </w:t>
      </w:r>
      <w:r>
        <w:rPr/>
        <w:t>effects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oil</w:t>
      </w:r>
      <w:r>
        <w:rPr>
          <w:spacing w:val="18"/>
        </w:rPr>
        <w:t> </w:t>
      </w:r>
      <w:r>
        <w:rPr/>
        <w:t>spillage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well</w:t>
      </w:r>
      <w:r>
        <w:rPr>
          <w:spacing w:val="20"/>
        </w:rPr>
        <w:t> </w:t>
      </w:r>
      <w:r>
        <w:rPr/>
        <w:t>known.</w:t>
      </w:r>
      <w:r>
        <w:rPr>
          <w:spacing w:val="18"/>
        </w:rPr>
        <w:t> </w:t>
      </w:r>
      <w:r>
        <w:rPr/>
        <w:t>They</w:t>
      </w:r>
      <w:r>
        <w:rPr>
          <w:spacing w:val="19"/>
        </w:rPr>
        <w:t> </w:t>
      </w:r>
      <w:r>
        <w:rPr/>
        <w:t>include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degradation</w:t>
      </w:r>
      <w:r>
        <w:rPr>
          <w:spacing w:val="21"/>
        </w:rPr>
        <w:t> </w:t>
      </w:r>
      <w:r>
        <w:rPr/>
        <w:t>of</w:t>
      </w:r>
      <w:r>
        <w:rPr>
          <w:spacing w:val="-72"/>
        </w:rPr>
        <w:t> </w:t>
      </w:r>
      <w:r>
        <w:rPr/>
        <w:t>forest</w:t>
      </w:r>
      <w:r>
        <w:rPr>
          <w:spacing w:val="20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depletion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aquatic</w:t>
      </w:r>
      <w:r>
        <w:rPr>
          <w:spacing w:val="22"/>
        </w:rPr>
        <w:t> </w:t>
      </w:r>
      <w:r>
        <w:rPr/>
        <w:t>fauna.</w:t>
      </w:r>
      <w:r>
        <w:rPr>
          <w:spacing w:val="20"/>
        </w:rPr>
        <w:t> </w:t>
      </w:r>
      <w:r>
        <w:rPr/>
        <w:t>Long</w:t>
      </w:r>
      <w:r>
        <w:rPr>
          <w:spacing w:val="21"/>
        </w:rPr>
        <w:t> </w:t>
      </w:r>
      <w:r>
        <w:rPr/>
        <w:t>term</w:t>
      </w:r>
      <w:r>
        <w:rPr>
          <w:spacing w:val="21"/>
        </w:rPr>
        <w:t> </w:t>
      </w:r>
      <w:r>
        <w:rPr/>
        <w:t>impacts</w:t>
      </w:r>
      <w:r>
        <w:rPr>
          <w:spacing w:val="21"/>
        </w:rPr>
        <w:t> </w:t>
      </w:r>
      <w:r>
        <w:rPr/>
        <w:t>are</w:t>
      </w:r>
      <w:r>
        <w:rPr>
          <w:spacing w:val="25"/>
        </w:rPr>
        <w:t> </w:t>
      </w:r>
      <w:r>
        <w:rPr/>
        <w:t>also</w:t>
      </w:r>
      <w:r>
        <w:rPr>
          <w:spacing w:val="20"/>
        </w:rPr>
        <w:t> </w:t>
      </w:r>
      <w:r>
        <w:rPr/>
        <w:t>possible,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-72"/>
        </w:rPr>
        <w:t> </w:t>
      </w:r>
      <w:r>
        <w:rPr/>
        <w:t>case where mangrove swamps and ground water resources are harmed (Lee </w:t>
      </w:r>
      <w:r>
        <w:rPr>
          <w:sz w:val="25"/>
        </w:rPr>
        <w:t>et al., </w:t>
      </w:r>
      <w:r>
        <w:rPr/>
        <w:t>1999).</w:t>
      </w:r>
      <w:r>
        <w:rPr>
          <w:spacing w:val="1"/>
        </w:rPr>
        <w:t> </w:t>
      </w:r>
      <w:r>
        <w:rPr/>
        <w:t>Although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situation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improving</w:t>
      </w:r>
      <w:r>
        <w:rPr>
          <w:spacing w:val="20"/>
        </w:rPr>
        <w:t> </w:t>
      </w:r>
      <w:r>
        <w:rPr/>
        <w:t>with</w:t>
      </w:r>
      <w:r>
        <w:rPr>
          <w:spacing w:val="19"/>
        </w:rPr>
        <w:t> </w:t>
      </w:r>
      <w:r>
        <w:rPr/>
        <w:t>more</w:t>
      </w:r>
      <w:r>
        <w:rPr>
          <w:spacing w:val="19"/>
        </w:rPr>
        <w:t> </w:t>
      </w:r>
      <w:r>
        <w:rPr/>
        <w:t>stringent</w:t>
      </w:r>
      <w:r>
        <w:rPr>
          <w:spacing w:val="19"/>
        </w:rPr>
        <w:t> </w:t>
      </w:r>
      <w:r>
        <w:rPr/>
        <w:t>environmental</w:t>
      </w:r>
      <w:r>
        <w:rPr>
          <w:spacing w:val="19"/>
        </w:rPr>
        <w:t> </w:t>
      </w:r>
      <w:r>
        <w:rPr/>
        <w:t>regulations</w:t>
      </w:r>
      <w:r>
        <w:rPr>
          <w:spacing w:val="21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-72"/>
        </w:rPr>
        <w:t> </w:t>
      </w:r>
      <w:r>
        <w:rPr/>
        <w:t>oil</w:t>
      </w:r>
      <w:r>
        <w:rPr>
          <w:spacing w:val="5"/>
        </w:rPr>
        <w:t> </w:t>
      </w:r>
      <w:r>
        <w:rPr/>
        <w:t>industry,</w:t>
      </w:r>
      <w:r>
        <w:rPr>
          <w:spacing w:val="5"/>
        </w:rPr>
        <w:t> </w:t>
      </w:r>
      <w:r>
        <w:rPr/>
        <w:t>marine</w:t>
      </w:r>
      <w:r>
        <w:rPr>
          <w:spacing w:val="7"/>
        </w:rPr>
        <w:t> </w:t>
      </w:r>
      <w:r>
        <w:rPr/>
        <w:t>pollution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still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serious</w:t>
      </w:r>
      <w:r>
        <w:rPr>
          <w:spacing w:val="6"/>
        </w:rPr>
        <w:t> </w:t>
      </w:r>
      <w:r>
        <w:rPr/>
        <w:t>problem.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harmful</w:t>
      </w:r>
      <w:r>
        <w:rPr>
          <w:spacing w:val="6"/>
        </w:rPr>
        <w:t> </w:t>
      </w:r>
      <w:r>
        <w:rPr/>
        <w:t>effects</w:t>
      </w:r>
      <w:r>
        <w:rPr>
          <w:spacing w:val="6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-72"/>
        </w:rPr>
        <w:t> </w:t>
      </w:r>
      <w:r>
        <w:rPr/>
        <w:t>environment</w:t>
      </w:r>
      <w:r>
        <w:rPr>
          <w:spacing w:val="27"/>
        </w:rPr>
        <w:t> </w:t>
      </w:r>
      <w:r>
        <w:rPr/>
        <w:t>are</w:t>
      </w:r>
      <w:r>
        <w:rPr>
          <w:spacing w:val="29"/>
        </w:rPr>
        <w:t> </w:t>
      </w:r>
      <w:r>
        <w:rPr/>
        <w:t>many.</w:t>
      </w:r>
      <w:r>
        <w:rPr>
          <w:spacing w:val="27"/>
        </w:rPr>
        <w:t> </w:t>
      </w:r>
      <w:r>
        <w:rPr/>
        <w:t>Oil</w:t>
      </w:r>
      <w:r>
        <w:rPr>
          <w:spacing w:val="28"/>
        </w:rPr>
        <w:t> </w:t>
      </w:r>
      <w:r>
        <w:rPr/>
        <w:t>kills</w:t>
      </w:r>
      <w:r>
        <w:rPr>
          <w:spacing w:val="29"/>
        </w:rPr>
        <w:t> </w:t>
      </w:r>
      <w:r>
        <w:rPr/>
        <w:t>plants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animals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estuarine</w:t>
      </w:r>
      <w:r>
        <w:rPr>
          <w:spacing w:val="28"/>
        </w:rPr>
        <w:t> </w:t>
      </w:r>
      <w:r>
        <w:rPr/>
        <w:t>zones.</w:t>
      </w:r>
      <w:r>
        <w:rPr>
          <w:spacing w:val="27"/>
        </w:rPr>
        <w:t> </w:t>
      </w:r>
      <w:r>
        <w:rPr/>
        <w:t>Oil</w:t>
      </w:r>
      <w:r>
        <w:rPr>
          <w:spacing w:val="26"/>
        </w:rPr>
        <w:t> </w:t>
      </w:r>
      <w:r>
        <w:rPr/>
        <w:t>settles</w:t>
      </w:r>
      <w:r>
        <w:rPr>
          <w:spacing w:val="28"/>
        </w:rPr>
        <w:t> </w:t>
      </w:r>
      <w:r>
        <w:rPr/>
        <w:t>on</w:t>
      </w:r>
      <w:r>
        <w:rPr>
          <w:spacing w:val="-72"/>
        </w:rPr>
        <w:t> </w:t>
      </w:r>
      <w:r>
        <w:rPr/>
        <w:t>beaches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kills</w:t>
      </w:r>
      <w:r>
        <w:rPr>
          <w:spacing w:val="15"/>
        </w:rPr>
        <w:t> </w:t>
      </w:r>
      <w:r>
        <w:rPr/>
        <w:t>organisms</w:t>
      </w:r>
      <w:r>
        <w:rPr>
          <w:spacing w:val="17"/>
        </w:rPr>
        <w:t> </w:t>
      </w:r>
      <w:r>
        <w:rPr/>
        <w:t>that</w:t>
      </w:r>
      <w:r>
        <w:rPr>
          <w:spacing w:val="15"/>
        </w:rPr>
        <w:t> </w:t>
      </w:r>
      <w:r>
        <w:rPr/>
        <w:t>lie</w:t>
      </w:r>
      <w:r>
        <w:rPr>
          <w:spacing w:val="15"/>
        </w:rPr>
        <w:t> </w:t>
      </w:r>
      <w:r>
        <w:rPr/>
        <w:t>there.</w:t>
      </w:r>
      <w:r>
        <w:rPr>
          <w:spacing w:val="15"/>
        </w:rPr>
        <w:t> </w:t>
      </w:r>
      <w:r>
        <w:rPr/>
        <w:t>It</w:t>
      </w:r>
      <w:r>
        <w:rPr>
          <w:spacing w:val="14"/>
        </w:rPr>
        <w:t> </w:t>
      </w:r>
      <w:r>
        <w:rPr/>
        <w:t>also</w:t>
      </w:r>
      <w:r>
        <w:rPr>
          <w:spacing w:val="15"/>
        </w:rPr>
        <w:t> </w:t>
      </w:r>
      <w:r>
        <w:rPr/>
        <w:t>settles</w:t>
      </w:r>
      <w:r>
        <w:rPr>
          <w:spacing w:val="17"/>
        </w:rPr>
        <w:t> </w:t>
      </w:r>
      <w:r>
        <w:rPr/>
        <w:t>on</w:t>
      </w:r>
      <w:r>
        <w:rPr>
          <w:spacing w:val="13"/>
        </w:rPr>
        <w:t> </w:t>
      </w:r>
      <w:r>
        <w:rPr/>
        <w:t>ocean</w:t>
      </w:r>
      <w:r>
        <w:rPr>
          <w:spacing w:val="14"/>
        </w:rPr>
        <w:t> </w:t>
      </w:r>
      <w:r>
        <w:rPr/>
        <w:t>floors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kills</w:t>
      </w:r>
      <w:r>
        <w:rPr>
          <w:spacing w:val="16"/>
        </w:rPr>
        <w:t> </w:t>
      </w:r>
      <w:r>
        <w:rPr/>
        <w:t>benthic</w:t>
      </w:r>
      <w:r>
        <w:rPr>
          <w:spacing w:val="-72"/>
        </w:rPr>
        <w:t> </w:t>
      </w:r>
      <w:r>
        <w:rPr/>
        <w:t>(bottom</w:t>
      </w:r>
      <w:r>
        <w:rPr>
          <w:spacing w:val="-1"/>
        </w:rPr>
        <w:t> </w:t>
      </w:r>
      <w:r>
        <w:rPr/>
        <w:t>dwelling)</w:t>
      </w:r>
      <w:r>
        <w:rPr>
          <w:spacing w:val="-3"/>
        </w:rPr>
        <w:t> </w:t>
      </w:r>
      <w:r>
        <w:rPr/>
        <w:t>organisms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crab</w:t>
      </w:r>
      <w:r>
        <w:rPr>
          <w:spacing w:val="-1"/>
        </w:rPr>
        <w:t> </w:t>
      </w:r>
      <w:r>
        <w:rPr/>
        <w:t>(Badejo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Nwilo,</w:t>
      </w:r>
      <w:r>
        <w:rPr>
          <w:spacing w:val="-1"/>
        </w:rPr>
        <w:t> </w:t>
      </w:r>
      <w:r>
        <w:rPr/>
        <w:t>2004;</w:t>
      </w:r>
      <w:r>
        <w:rPr>
          <w:spacing w:val="-2"/>
        </w:rPr>
        <w:t> </w:t>
      </w:r>
      <w:r>
        <w:rPr/>
        <w:t>UNDP,</w:t>
      </w:r>
      <w:r>
        <w:rPr>
          <w:spacing w:val="-3"/>
        </w:rPr>
        <w:t> </w:t>
      </w:r>
      <w:r>
        <w:rPr/>
        <w:t>2006).</w:t>
      </w:r>
    </w:p>
    <w:p>
      <w:pPr>
        <w:pStyle w:val="BodyText"/>
        <w:spacing w:line="480" w:lineRule="auto" w:before="1"/>
        <w:ind w:left="1198" w:right="576"/>
        <w:jc w:val="both"/>
      </w:pPr>
      <w:r>
        <w:rPr/>
        <w:t>Oil</w:t>
      </w:r>
      <w:r>
        <w:rPr>
          <w:spacing w:val="14"/>
        </w:rPr>
        <w:t> </w:t>
      </w:r>
      <w:r>
        <w:rPr/>
        <w:t>poison</w:t>
      </w:r>
      <w:r>
        <w:rPr>
          <w:spacing w:val="13"/>
        </w:rPr>
        <w:t> </w:t>
      </w:r>
      <w:r>
        <w:rPr/>
        <w:t>algae,</w:t>
      </w:r>
      <w:r>
        <w:rPr>
          <w:spacing w:val="15"/>
        </w:rPr>
        <w:t> </w:t>
      </w:r>
      <w:r>
        <w:rPr/>
        <w:t>disrupts</w:t>
      </w:r>
      <w:r>
        <w:rPr>
          <w:spacing w:val="15"/>
        </w:rPr>
        <w:t> </w:t>
      </w:r>
      <w:r>
        <w:rPr/>
        <w:t>major</w:t>
      </w:r>
      <w:r>
        <w:rPr>
          <w:spacing w:val="13"/>
        </w:rPr>
        <w:t> </w:t>
      </w:r>
      <w:r>
        <w:rPr/>
        <w:t>food</w:t>
      </w:r>
      <w:r>
        <w:rPr>
          <w:spacing w:val="12"/>
        </w:rPr>
        <w:t> </w:t>
      </w:r>
      <w:r>
        <w:rPr/>
        <w:t>chain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decreases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yield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edible</w:t>
      </w:r>
      <w:r>
        <w:rPr>
          <w:spacing w:val="15"/>
        </w:rPr>
        <w:t> </w:t>
      </w:r>
      <w:r>
        <w:rPr/>
        <w:t>crustaceans.</w:t>
      </w:r>
      <w:r>
        <w:rPr>
          <w:spacing w:val="-72"/>
        </w:rPr>
        <w:t> </w:t>
      </w:r>
      <w:r>
        <w:rPr/>
        <w:t>It also coats birds, impairing their flight and reducing the insulative properties of their</w:t>
      </w:r>
      <w:r>
        <w:rPr>
          <w:spacing w:val="1"/>
        </w:rPr>
        <w:t> </w:t>
      </w:r>
      <w:r>
        <w:rPr/>
        <w:t>feathers, thus making the birds more vulnerable to cold. Oil endangers fish hatcheries in</w:t>
      </w:r>
      <w:r>
        <w:rPr>
          <w:spacing w:val="1"/>
        </w:rPr>
        <w:t> </w:t>
      </w:r>
      <w:r>
        <w:rPr/>
        <w:t>coastal areas as well as contaminates the flesh of commercially valuable fish (Badejo and</w:t>
      </w:r>
      <w:r>
        <w:rPr>
          <w:spacing w:val="1"/>
        </w:rPr>
        <w:t> </w:t>
      </w:r>
      <w:r>
        <w:rPr/>
        <w:t>Nwilo,</w:t>
      </w:r>
      <w:r>
        <w:rPr>
          <w:spacing w:val="-3"/>
        </w:rPr>
        <w:t> </w:t>
      </w:r>
      <w:r>
        <w:rPr/>
        <w:t>2004).</w:t>
      </w:r>
    </w:p>
    <w:p>
      <w:pPr>
        <w:pStyle w:val="BodyText"/>
        <w:spacing w:line="480" w:lineRule="auto" w:before="1"/>
        <w:ind w:left="1198" w:right="579"/>
        <w:jc w:val="both"/>
      </w:pPr>
      <w:r>
        <w:rPr/>
        <w:t>The spilled oil contributes an undesirable taste and odor to drinking water and causes</w:t>
      </w:r>
      <w:r>
        <w:rPr>
          <w:spacing w:val="1"/>
        </w:rPr>
        <w:t> </w:t>
      </w:r>
      <w:r>
        <w:rPr/>
        <w:t>severe</w:t>
      </w:r>
      <w:r>
        <w:rPr>
          <w:spacing w:val="38"/>
        </w:rPr>
        <w:t> </w:t>
      </w:r>
      <w:r>
        <w:rPr/>
        <w:t>environmental</w:t>
      </w:r>
      <w:r>
        <w:rPr>
          <w:spacing w:val="38"/>
        </w:rPr>
        <w:t> </w:t>
      </w:r>
      <w:r>
        <w:rPr/>
        <w:t>damage.</w:t>
      </w:r>
      <w:r>
        <w:rPr>
          <w:spacing w:val="38"/>
        </w:rPr>
        <w:t> </w:t>
      </w:r>
      <w:r>
        <w:rPr/>
        <w:t>Contaminated</w:t>
      </w:r>
      <w:r>
        <w:rPr>
          <w:spacing w:val="37"/>
        </w:rPr>
        <w:t> </w:t>
      </w:r>
      <w:r>
        <w:rPr/>
        <w:t>water</w:t>
      </w:r>
      <w:r>
        <w:rPr>
          <w:spacing w:val="37"/>
        </w:rPr>
        <w:t> </w:t>
      </w:r>
      <w:r>
        <w:rPr/>
        <w:t>cannot</w:t>
      </w:r>
      <w:r>
        <w:rPr>
          <w:spacing w:val="37"/>
        </w:rPr>
        <w:t> </w:t>
      </w:r>
      <w:r>
        <w:rPr/>
        <w:t>be</w:t>
      </w:r>
      <w:r>
        <w:rPr>
          <w:spacing w:val="38"/>
        </w:rPr>
        <w:t> </w:t>
      </w:r>
      <w:r>
        <w:rPr/>
        <w:t>used</w:t>
      </w:r>
      <w:r>
        <w:rPr>
          <w:spacing w:val="37"/>
        </w:rPr>
        <w:t> </w:t>
      </w:r>
      <w:r>
        <w:rPr/>
        <w:t>for</w:t>
      </w:r>
      <w:r>
        <w:rPr>
          <w:spacing w:val="38"/>
        </w:rPr>
        <w:t> </w:t>
      </w:r>
      <w:r>
        <w:rPr/>
        <w:t>municipal</w:t>
      </w:r>
      <w:r>
        <w:rPr>
          <w:spacing w:val="38"/>
        </w:rPr>
        <w:t> </w:t>
      </w:r>
      <w:r>
        <w:rPr/>
        <w:t>water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75" w:lineRule="auto" w:before="75"/>
        <w:ind w:left="1198" w:right="581"/>
        <w:jc w:val="both"/>
      </w:pPr>
      <w:r>
        <w:rPr/>
        <w:t>supply, for industry nor irrigation. Public concern for sustaining a healthy environment has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stronger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75"/>
        </w:rPr>
        <w:t> </w:t>
      </w:r>
      <w:r>
        <w:rPr/>
        <w:t>of</w:t>
      </w:r>
      <w:r>
        <w:rPr>
          <w:spacing w:val="1"/>
        </w:rPr>
        <w:t> </w:t>
      </w:r>
      <w:r>
        <w:rPr/>
        <w:t>hazardous chemicals and</w:t>
      </w:r>
      <w:r>
        <w:rPr>
          <w:spacing w:val="-2"/>
        </w:rPr>
        <w:t> </w:t>
      </w:r>
      <w:r>
        <w:rPr/>
        <w:t>substances</w:t>
      </w:r>
      <w:r>
        <w:rPr>
          <w:spacing w:val="-1"/>
        </w:rPr>
        <w:t> </w:t>
      </w:r>
      <w:r>
        <w:rPr/>
        <w:t>(Lee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al.,</w:t>
      </w:r>
      <w:r>
        <w:rPr>
          <w:spacing w:val="-6"/>
          <w:sz w:val="25"/>
        </w:rPr>
        <w:t> </w:t>
      </w:r>
      <w:r>
        <w:rPr/>
        <w:t>1999).</w:t>
      </w:r>
    </w:p>
    <w:p>
      <w:pPr>
        <w:pStyle w:val="BodyText"/>
        <w:spacing w:line="470" w:lineRule="auto"/>
        <w:ind w:left="1198" w:right="573"/>
        <w:jc w:val="both"/>
      </w:pPr>
      <w:r>
        <w:rPr/>
        <w:t>The implication of these findings is frightening given that human health is tied to the food</w:t>
      </w:r>
      <w:r>
        <w:rPr>
          <w:spacing w:val="1"/>
        </w:rPr>
        <w:t> </w:t>
      </w:r>
      <w:r>
        <w:rPr/>
        <w:t>web. Udoette, (1997) reported, that ingestion of hydrocarbon directly or indirectly through</w:t>
      </w:r>
      <w:r>
        <w:rPr>
          <w:spacing w:val="1"/>
        </w:rPr>
        <w:t> </w:t>
      </w:r>
      <w:r>
        <w:rPr/>
        <w:t>contaminated food, leads to poisoning. Some researchers such as Kanoh </w:t>
      </w:r>
      <w:r>
        <w:rPr>
          <w:sz w:val="25"/>
        </w:rPr>
        <w:t>et al., </w:t>
      </w:r>
      <w:r>
        <w:rPr/>
        <w:t>(1990),</w:t>
      </w:r>
      <w:r>
        <w:rPr>
          <w:spacing w:val="1"/>
        </w:rPr>
        <w:t> </w:t>
      </w:r>
      <w:r>
        <w:rPr/>
        <w:t>Snyder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Hedlim,</w:t>
      </w:r>
      <w:r>
        <w:rPr>
          <w:spacing w:val="1"/>
        </w:rPr>
        <w:t> </w:t>
      </w:r>
      <w:r>
        <w:rPr/>
        <w:t>(1996)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Eyong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al.,</w:t>
      </w:r>
      <w:r>
        <w:rPr>
          <w:spacing w:val="1"/>
          <w:sz w:val="25"/>
        </w:rPr>
        <w:t> </w:t>
      </w:r>
      <w:r>
        <w:rPr/>
        <w:t>(2004)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carcinogenic</w:t>
      </w:r>
      <w:r>
        <w:rPr>
          <w:spacing w:val="-3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exposures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high</w:t>
      </w:r>
      <w:r>
        <w:rPr>
          <w:spacing w:val="-2"/>
        </w:rPr>
        <w:t> </w:t>
      </w:r>
      <w:r>
        <w:rPr/>
        <w:t>concentrations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hydrocarbons</w:t>
      </w:r>
      <w:r>
        <w:rPr>
          <w:spacing w:val="-1"/>
        </w:rPr>
        <w:t> </w:t>
      </w:r>
      <w:r>
        <w:rPr/>
        <w:t>(UNDP,</w:t>
      </w:r>
      <w:r>
        <w:rPr>
          <w:spacing w:val="-5"/>
        </w:rPr>
        <w:t> </w:t>
      </w:r>
      <w:r>
        <w:rPr/>
        <w:t>2006).</w:t>
      </w:r>
    </w:p>
    <w:p>
      <w:pPr>
        <w:pStyle w:val="BodyText"/>
        <w:spacing w:line="475" w:lineRule="auto" w:before="7"/>
        <w:ind w:left="1198" w:right="575"/>
        <w:jc w:val="both"/>
      </w:pPr>
      <w:r>
        <w:rPr/>
        <w:t>Soil and water contamination by hydrocarbons from leaking storage tanks and improper</w:t>
      </w:r>
      <w:r>
        <w:rPr>
          <w:spacing w:val="1"/>
        </w:rPr>
        <w:t> </w:t>
      </w:r>
      <w:r>
        <w:rPr/>
        <w:t>disposal of hazardous waste are of concerns worldwide. Petroleum hydrocarbons are</w:t>
      </w:r>
      <w:r>
        <w:rPr>
          <w:spacing w:val="1"/>
        </w:rPr>
        <w:t> </w:t>
      </w:r>
      <w:r>
        <w:rPr/>
        <w:t>responsible for 65% of all contaminated groundwater sites (Ramos Vianna </w:t>
      </w:r>
      <w:r>
        <w:rPr>
          <w:sz w:val="25"/>
        </w:rPr>
        <w:t>et al., </w:t>
      </w:r>
      <w:r>
        <w:rPr/>
        <w:t>2004). If</w:t>
      </w:r>
      <w:r>
        <w:rPr>
          <w:spacing w:val="1"/>
        </w:rPr>
        <w:t> </w:t>
      </w:r>
      <w:r>
        <w:rPr/>
        <w:t>proper remediation measures are not taken, the organic pollutants released from gasoline</w:t>
      </w:r>
      <w:r>
        <w:rPr>
          <w:spacing w:val="1"/>
        </w:rPr>
        <w:t> </w:t>
      </w:r>
      <w:r>
        <w:rPr/>
        <w:t>spills can lead to surface and ground water contamination, which can be potentially toxic to</w:t>
      </w:r>
      <w:r>
        <w:rPr>
          <w:spacing w:val="-72"/>
        </w:rPr>
        <w:t> </w:t>
      </w:r>
      <w:r>
        <w:rPr/>
        <w:t>biota and</w:t>
      </w:r>
      <w:r>
        <w:rPr>
          <w:spacing w:val="-1"/>
        </w:rPr>
        <w:t> </w:t>
      </w:r>
      <w:r>
        <w:rPr/>
        <w:t>humans.</w:t>
      </w:r>
    </w:p>
    <w:p>
      <w:pPr>
        <w:pStyle w:val="BodyText"/>
        <w:spacing w:line="475" w:lineRule="auto" w:before="10"/>
        <w:ind w:left="1198" w:right="575"/>
        <w:jc w:val="both"/>
      </w:pPr>
      <w:r>
        <w:rPr/>
        <w:t>Oil spill cleanup in wetlands is problematic because of the limited remediation techniques</w:t>
      </w:r>
      <w:r>
        <w:rPr>
          <w:spacing w:val="1"/>
        </w:rPr>
        <w:t> </w:t>
      </w:r>
      <w:r>
        <w:rPr/>
        <w:t>that can be applied in such environments (Chung and Venosa, 2008). Remediation of</w:t>
      </w:r>
      <w:r>
        <w:rPr>
          <w:spacing w:val="1"/>
        </w:rPr>
        <w:t> </w:t>
      </w:r>
      <w:r>
        <w:rPr/>
        <w:t>wetland ecosystems impacted by crude oil spills is a challenging task because often times,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destructive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spill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(Venosa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al.,</w:t>
      </w:r>
      <w:r>
        <w:rPr>
          <w:spacing w:val="78"/>
          <w:sz w:val="25"/>
        </w:rPr>
        <w:t> </w:t>
      </w:r>
      <w:r>
        <w:rPr/>
        <w:t>2002).</w:t>
      </w:r>
      <w:r>
        <w:rPr>
          <w:spacing w:val="1"/>
        </w:rPr>
        <w:t> </w:t>
      </w:r>
      <w:r>
        <w:rPr/>
        <w:t>Implications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cleanup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oil</w:t>
      </w:r>
      <w:r>
        <w:rPr>
          <w:spacing w:val="-3"/>
        </w:rPr>
        <w:t> </w:t>
      </w:r>
      <w:r>
        <w:rPr/>
        <w:t>contaminated</w:t>
      </w:r>
      <w:r>
        <w:rPr>
          <w:spacing w:val="-3"/>
        </w:rPr>
        <w:t> </w:t>
      </w:r>
      <w:r>
        <w:rPr/>
        <w:t>wetlands.</w:t>
      </w:r>
    </w:p>
    <w:p>
      <w:pPr>
        <w:pStyle w:val="BodyText"/>
        <w:spacing w:line="472" w:lineRule="auto"/>
        <w:ind w:left="1198" w:right="579"/>
        <w:jc w:val="both"/>
      </w:pPr>
      <w:r>
        <w:rPr/>
        <w:t>Also, it is clear from spills and also field and laboratory studies (Wardrop </w:t>
      </w:r>
      <w:r>
        <w:rPr>
          <w:sz w:val="25"/>
        </w:rPr>
        <w:t>et al., </w:t>
      </w:r>
      <w:r>
        <w:rPr/>
        <w:t>1996; Duke</w:t>
      </w:r>
      <w:r>
        <w:rPr>
          <w:spacing w:val="-72"/>
        </w:rPr>
        <w:t> </w:t>
      </w:r>
      <w:r>
        <w:rPr>
          <w:sz w:val="25"/>
        </w:rPr>
        <w:t>et al., </w:t>
      </w:r>
      <w:r>
        <w:rPr/>
        <w:t>2000; Shigenaka, 2002), that at least in many circumstances, oil harms or kills</w:t>
      </w:r>
      <w:r>
        <w:rPr>
          <w:spacing w:val="1"/>
        </w:rPr>
        <w:t> </w:t>
      </w:r>
      <w:r>
        <w:rPr/>
        <w:t>mangroves. What is less obvious is how that harm occurs and the mechanism of toxicity.</w:t>
      </w:r>
      <w:r>
        <w:rPr>
          <w:spacing w:val="1"/>
        </w:rPr>
        <w:t> </w:t>
      </w:r>
      <w:r>
        <w:rPr/>
        <w:t>Although there are some consensus that oil causes physical suffocation and toxicological or</w:t>
      </w:r>
      <w:r>
        <w:rPr>
          <w:spacing w:val="-72"/>
        </w:rPr>
        <w:t> </w:t>
      </w:r>
      <w:r>
        <w:rPr/>
        <w:t>physiological</w:t>
      </w:r>
      <w:r>
        <w:rPr>
          <w:spacing w:val="32"/>
        </w:rPr>
        <w:t> </w:t>
      </w:r>
      <w:r>
        <w:rPr/>
        <w:t>impacts,</w:t>
      </w:r>
      <w:r>
        <w:rPr>
          <w:spacing w:val="33"/>
        </w:rPr>
        <w:t> </w:t>
      </w:r>
      <w:r>
        <w:rPr/>
        <w:t>researchers</w:t>
      </w:r>
      <w:r>
        <w:rPr>
          <w:spacing w:val="32"/>
        </w:rPr>
        <w:t> </w:t>
      </w:r>
      <w:r>
        <w:rPr/>
        <w:t>disagree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relative</w:t>
      </w:r>
      <w:r>
        <w:rPr>
          <w:spacing w:val="30"/>
        </w:rPr>
        <w:t> </w:t>
      </w:r>
      <w:r>
        <w:rPr/>
        <w:t>contribution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each</w:t>
      </w:r>
    </w:p>
    <w:p>
      <w:pPr>
        <w:spacing w:after="0" w:line="472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75" w:lineRule="auto" w:before="85"/>
        <w:ind w:left="1198" w:right="572"/>
        <w:jc w:val="both"/>
      </w:pPr>
      <w:r>
        <w:rPr/>
        <w:t>mechanism which may vary with type of oil and time since the spill (Proffitt </w:t>
      </w:r>
      <w:r>
        <w:rPr>
          <w:sz w:val="25"/>
        </w:rPr>
        <w:t>et al., </w:t>
      </w:r>
      <w:r>
        <w:rPr/>
        <w:t>1997).</w:t>
      </w:r>
      <w:r>
        <w:rPr>
          <w:spacing w:val="1"/>
        </w:rPr>
        <w:t> </w:t>
      </w:r>
      <w:r>
        <w:rPr/>
        <w:t>Investigations from many spill events around the world have shown that mangroves suffer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lethal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sub</w:t>
      </w:r>
      <w:r>
        <w:rPr>
          <w:spacing w:val="-2"/>
        </w:rPr>
        <w:t> </w:t>
      </w:r>
      <w:r>
        <w:rPr/>
        <w:t>lethal effects from</w:t>
      </w:r>
      <w:r>
        <w:rPr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exposure.</w:t>
      </w:r>
    </w:p>
    <w:p>
      <w:pPr>
        <w:pStyle w:val="BodyText"/>
        <w:spacing w:line="480" w:lineRule="auto" w:before="6"/>
        <w:ind w:left="1198" w:right="575"/>
        <w:jc w:val="both"/>
      </w:pPr>
      <w:r>
        <w:rPr/>
        <w:t>One of the universal challenges faced by researchers when dealing with oil impacts is the</w:t>
      </w:r>
      <w:r>
        <w:rPr>
          <w:spacing w:val="1"/>
        </w:rPr>
        <w:t> </w:t>
      </w:r>
      <w:r>
        <w:rPr/>
        <w:t>fact that oil is a complex mixture of many kinds of chemicals. The oil spilled in one incident</w:t>
      </w:r>
      <w:r>
        <w:rPr>
          <w:spacing w:val="-72"/>
        </w:rPr>
        <w:t> </w:t>
      </w:r>
      <w:r>
        <w:rPr/>
        <w:t>is almost different from that spilled in another. In addition, oils within broad categories like</w:t>
      </w:r>
      <w:r>
        <w:rPr>
          <w:spacing w:val="1"/>
        </w:rPr>
        <w:t> </w:t>
      </w:r>
      <w:r>
        <w:rPr/>
        <w:t>“crude oil” or diesel can be vastly different, depending on the geological source of the</w:t>
      </w:r>
      <w:r>
        <w:rPr>
          <w:spacing w:val="1"/>
        </w:rPr>
        <w:t> </w:t>
      </w:r>
      <w:r>
        <w:rPr/>
        <w:t>original material, refining processes</w:t>
      </w:r>
      <w:r>
        <w:rPr>
          <w:spacing w:val="1"/>
        </w:rPr>
        <w:t> </w:t>
      </w:r>
      <w:r>
        <w:rPr/>
        <w:t>and additives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from transportation in</w:t>
      </w:r>
      <w:r>
        <w:rPr>
          <w:spacing w:val="1"/>
        </w:rPr>
        <w:t> </w:t>
      </w:r>
      <w:r>
        <w:rPr/>
        <w:t>barges or tankers. Even if we could somehow stipulate that all spilled oil was to be of a</w:t>
      </w:r>
      <w:r>
        <w:rPr>
          <w:spacing w:val="1"/>
        </w:rPr>
        <w:t> </w:t>
      </w:r>
      <w:r>
        <w:rPr/>
        <w:t>single fixed chemical formulation, petroleum products released into the environment are</w:t>
      </w:r>
      <w:r>
        <w:rPr>
          <w:spacing w:val="1"/>
        </w:rPr>
        <w:t> </w:t>
      </w:r>
      <w:r>
        <w:rPr/>
        <w:t>subjective to different processes of weathering that immediately begin altering its original</w:t>
      </w:r>
      <w:r>
        <w:rPr>
          <w:spacing w:val="1"/>
        </w:rPr>
        <w:t> </w:t>
      </w:r>
      <w:r>
        <w:rPr/>
        <w:t>physical and chemical characteristics. As a result, samples of oil of exactly the same source</w:t>
      </w:r>
      <w:r>
        <w:rPr>
          <w:spacing w:val="-72"/>
        </w:rPr>
        <w:t> </w:t>
      </w:r>
      <w:r>
        <w:rPr/>
        <w:t>can be different in composition after being subjected to a different mix of environmental</w:t>
      </w:r>
      <w:r>
        <w:rPr>
          <w:spacing w:val="1"/>
        </w:rPr>
        <w:t> </w:t>
      </w:r>
      <w:r>
        <w:rPr/>
        <w:t>influences.</w:t>
      </w:r>
    </w:p>
    <w:p>
      <w:pPr>
        <w:pStyle w:val="BodyText"/>
        <w:spacing w:line="477" w:lineRule="auto"/>
        <w:ind w:left="1198" w:right="575"/>
        <w:jc w:val="both"/>
      </w:pPr>
      <w:r>
        <w:rPr/>
        <w:t>Similar to the oil toxicity situation for many other intertidal environments, the mangrove-</w:t>
      </w:r>
      <w:r>
        <w:rPr>
          <w:spacing w:val="1"/>
        </w:rPr>
        <w:t> </w:t>
      </w:r>
      <w:r>
        <w:rPr/>
        <w:t>related biological resources at risk</w:t>
      </w:r>
      <w:r>
        <w:rPr>
          <w:spacing w:val="75"/>
        </w:rPr>
        <w:t> </w:t>
      </w:r>
      <w:r>
        <w:rPr/>
        <w:t>in a spill situation can be affected in at least two</w:t>
      </w:r>
      <w:r>
        <w:rPr>
          <w:spacing w:val="1"/>
        </w:rPr>
        <w:t> </w:t>
      </w:r>
      <w:r>
        <w:rPr/>
        <w:t>principal ways: First from physical effects; second, the true toxicological effects of the</w:t>
      </w:r>
      <w:r>
        <w:rPr>
          <w:spacing w:val="1"/>
        </w:rPr>
        <w:t> </w:t>
      </w:r>
      <w:r>
        <w:rPr/>
        <w:t>petroleum (Shigenaka, 2002). As the crude oil is a very complex mixture of many different</w:t>
      </w:r>
      <w:r>
        <w:rPr>
          <w:spacing w:val="1"/>
        </w:rPr>
        <w:t> </w:t>
      </w:r>
      <w:r>
        <w:rPr/>
        <w:t>chemicals, consequently the effect of an oil spill on the marine environment is dependent</w:t>
      </w:r>
      <w:r>
        <w:rPr>
          <w:spacing w:val="1"/>
        </w:rPr>
        <w:t> </w:t>
      </w:r>
      <w:r>
        <w:rPr/>
        <w:t>on the exact nature and quantity of the oil spilled as well as such other factors as the</w:t>
      </w:r>
      <w:r>
        <w:rPr>
          <w:spacing w:val="1"/>
        </w:rPr>
        <w:t> </w:t>
      </w:r>
      <w:r>
        <w:rPr/>
        <w:t>prevailing conditions and the ecological characteristics of the effected region (Sayed </w:t>
      </w:r>
      <w:r>
        <w:rPr>
          <w:sz w:val="25"/>
        </w:rPr>
        <w:t>et al.,</w:t>
      </w:r>
      <w:r>
        <w:rPr>
          <w:spacing w:val="1"/>
          <w:sz w:val="25"/>
        </w:rPr>
        <w:t> </w:t>
      </w:r>
      <w:r>
        <w:rPr/>
        <w:t>2004). Many oil products are highly viscous. In particular, crude oils and heavy fuels oils</w:t>
      </w:r>
      <w:r>
        <w:rPr>
          <w:spacing w:val="1"/>
        </w:rPr>
        <w:t> </w:t>
      </w:r>
      <w:r>
        <w:rPr/>
        <w:t>can</w:t>
      </w:r>
      <w:r>
        <w:rPr>
          <w:spacing w:val="49"/>
        </w:rPr>
        <w:t> </w:t>
      </w:r>
      <w:r>
        <w:rPr/>
        <w:t>be</w:t>
      </w:r>
      <w:r>
        <w:rPr>
          <w:spacing w:val="50"/>
        </w:rPr>
        <w:t> </w:t>
      </w:r>
      <w:r>
        <w:rPr/>
        <w:t>deposited</w:t>
      </w:r>
      <w:r>
        <w:rPr>
          <w:spacing w:val="49"/>
        </w:rPr>
        <w:t> </w:t>
      </w:r>
      <w:r>
        <w:rPr/>
        <w:t>on</w:t>
      </w:r>
      <w:r>
        <w:rPr>
          <w:spacing w:val="49"/>
        </w:rPr>
        <w:t> </w:t>
      </w:r>
      <w:r>
        <w:rPr/>
        <w:t>shorelines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shoreline</w:t>
      </w:r>
      <w:r>
        <w:rPr>
          <w:spacing w:val="51"/>
        </w:rPr>
        <w:t> </w:t>
      </w:r>
      <w:r>
        <w:rPr/>
        <w:t>resources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thick,</w:t>
      </w:r>
      <w:r>
        <w:rPr>
          <w:spacing w:val="46"/>
        </w:rPr>
        <w:t> </w:t>
      </w:r>
      <w:r>
        <w:rPr/>
        <w:t>stick</w:t>
      </w:r>
      <w:r>
        <w:rPr>
          <w:spacing w:val="50"/>
        </w:rPr>
        <w:t> </w:t>
      </w:r>
      <w:r>
        <w:rPr/>
        <w:t>layers</w:t>
      </w:r>
      <w:r>
        <w:rPr>
          <w:spacing w:val="50"/>
        </w:rPr>
        <w:t> </w:t>
      </w:r>
      <w:r>
        <w:rPr/>
        <w:t>that</w:t>
      </w:r>
      <w:r>
        <w:rPr>
          <w:spacing w:val="47"/>
        </w:rPr>
        <w:t> </w:t>
      </w:r>
      <w:r>
        <w:rPr/>
        <w:t>may</w:t>
      </w:r>
      <w:r>
        <w:rPr>
          <w:spacing w:val="-72"/>
        </w:rPr>
        <w:t> </w:t>
      </w:r>
      <w:r>
        <w:rPr/>
        <w:t>either</w:t>
      </w:r>
      <w:r>
        <w:rPr>
          <w:spacing w:val="3"/>
        </w:rPr>
        <w:t> </w:t>
      </w:r>
      <w:r>
        <w:rPr/>
        <w:t>disrupt</w:t>
      </w:r>
      <w:r>
        <w:rPr>
          <w:spacing w:val="74"/>
        </w:rPr>
        <w:t> </w:t>
      </w:r>
      <w:r>
        <w:rPr/>
        <w:t>or</w:t>
      </w:r>
      <w:r>
        <w:rPr>
          <w:spacing w:val="1"/>
        </w:rPr>
        <w:t> </w:t>
      </w:r>
      <w:r>
        <w:rPr/>
        <w:t>completely</w:t>
      </w:r>
      <w:r>
        <w:rPr>
          <w:spacing w:val="2"/>
        </w:rPr>
        <w:t> </w:t>
      </w:r>
      <w:r>
        <w:rPr/>
        <w:t>prevent</w:t>
      </w:r>
      <w:r>
        <w:rPr>
          <w:spacing w:val="2"/>
        </w:rPr>
        <w:t> </w:t>
      </w:r>
      <w:r>
        <w:rPr/>
        <w:t>normal</w:t>
      </w:r>
      <w:r>
        <w:rPr>
          <w:spacing w:val="2"/>
        </w:rPr>
        <w:t> </w:t>
      </w:r>
      <w:r>
        <w:rPr/>
        <w:t>biological</w:t>
      </w:r>
      <w:r>
        <w:rPr>
          <w:spacing w:val="2"/>
        </w:rPr>
        <w:t> </w:t>
      </w:r>
      <w:r>
        <w:rPr/>
        <w:t>process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exchange</w:t>
      </w:r>
      <w:r>
        <w:rPr>
          <w:spacing w:val="3"/>
        </w:rPr>
        <w:t> </w:t>
      </w:r>
      <w:r>
        <w:rPr/>
        <w:t>with</w:t>
      </w:r>
      <w:r>
        <w:rPr>
          <w:spacing w:val="3"/>
        </w:rPr>
        <w:t> </w:t>
      </w:r>
      <w:r>
        <w:rPr/>
        <w:t>the</w:t>
      </w:r>
    </w:p>
    <w:p>
      <w:pPr>
        <w:spacing w:after="0" w:line="477" w:lineRule="auto"/>
        <w:jc w:val="both"/>
        <w:sectPr>
          <w:pgSz w:w="11910" w:h="16840"/>
          <w:pgMar w:header="0" w:footer="987" w:top="1120" w:bottom="1260" w:left="420" w:right="0"/>
        </w:sectPr>
      </w:pPr>
    </w:p>
    <w:p>
      <w:pPr>
        <w:pStyle w:val="BodyText"/>
        <w:spacing w:line="477" w:lineRule="auto" w:before="75"/>
        <w:ind w:left="1198" w:right="576"/>
        <w:jc w:val="both"/>
      </w:pPr>
      <w:r>
        <w:rPr/>
        <w:t>environment. These hydrocarbon spills damage marine ecosystem and cause wide spread</w:t>
      </w:r>
      <w:r>
        <w:rPr>
          <w:spacing w:val="1"/>
        </w:rPr>
        <w:t> </w:t>
      </w:r>
      <w:r>
        <w:rPr/>
        <w:t>contamination of the surrounding environment. The contamination of shorelines generally</w:t>
      </w:r>
      <w:r>
        <w:rPr>
          <w:spacing w:val="1"/>
        </w:rPr>
        <w:t> </w:t>
      </w:r>
      <w:r>
        <w:rPr/>
        <w:t>has the greatest environmental and economic impact due in part to the difficulties of</w:t>
      </w:r>
      <w:r>
        <w:rPr>
          <w:spacing w:val="1"/>
        </w:rPr>
        <w:t> </w:t>
      </w:r>
      <w:r>
        <w:rPr/>
        <w:t>cleanup</w:t>
      </w:r>
      <w:r>
        <w:rPr>
          <w:spacing w:val="-3"/>
        </w:rPr>
        <w:t> </w:t>
      </w:r>
      <w:r>
        <w:rPr/>
        <w:t>measures (Frost</w:t>
      </w:r>
      <w:r>
        <w:rPr>
          <w:spacing w:val="-1"/>
        </w:rPr>
        <w:t>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al.,</w:t>
      </w:r>
      <w:r>
        <w:rPr>
          <w:spacing w:val="-5"/>
          <w:sz w:val="25"/>
        </w:rPr>
        <w:t> </w:t>
      </w:r>
      <w:r>
        <w:rPr/>
        <w:t>2007).</w:t>
      </w:r>
    </w:p>
    <w:p>
      <w:pPr>
        <w:pStyle w:val="BodyText"/>
        <w:spacing w:line="480" w:lineRule="auto"/>
        <w:ind w:left="1198" w:right="578"/>
        <w:jc w:val="both"/>
      </w:pPr>
      <w:r>
        <w:rPr/>
        <w:t>Even if a petroleum product is not especially toxic in its own right, when oil physically</w:t>
      </w:r>
      <w:r>
        <w:rPr>
          <w:spacing w:val="1"/>
        </w:rPr>
        <w:t> </w:t>
      </w:r>
      <w:r>
        <w:rPr/>
        <w:t>covers plant and animals they may die from suffocation, starvation or other physical</w:t>
      </w:r>
      <w:r>
        <w:rPr>
          <w:spacing w:val="1"/>
        </w:rPr>
        <w:t> </w:t>
      </w:r>
      <w:r>
        <w:rPr/>
        <w:t>interferences with normal physiological function. The lighter or lower molecular weight</w:t>
      </w:r>
      <w:r>
        <w:rPr>
          <w:spacing w:val="1"/>
        </w:rPr>
        <w:t> </w:t>
      </w:r>
      <w:r>
        <w:rPr/>
        <w:t>aromatic hydrocarbons often are major components of oil mixtures and are also known to</w:t>
      </w:r>
      <w:r>
        <w:rPr>
          <w:spacing w:val="1"/>
        </w:rPr>
        <w:t> </w:t>
      </w:r>
      <w:r>
        <w:rPr/>
        <w:t>damage the cellular membranes in subsurface roots: this in turn could impair salt exclusion</w:t>
      </w:r>
      <w:r>
        <w:rPr>
          <w:spacing w:val="-72"/>
        </w:rPr>
        <w:t> </w:t>
      </w:r>
      <w:r>
        <w:rPr/>
        <w:t>in those mangroves that have the root filters. Genetic damage is a more subtle effect of oil</w:t>
      </w:r>
      <w:r>
        <w:rPr>
          <w:spacing w:val="1"/>
        </w:rPr>
        <w:t> </w:t>
      </w:r>
      <w:r>
        <w:rPr/>
        <w:t>exposure but can cause significant impact at the population level. For example, researchers</w:t>
      </w:r>
      <w:r>
        <w:rPr>
          <w:spacing w:val="-72"/>
        </w:rPr>
        <w:t> </w:t>
      </w:r>
      <w:r>
        <w:rPr/>
        <w:t>have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polynuclear</w:t>
      </w:r>
      <w:r>
        <w:rPr>
          <w:spacing w:val="1"/>
        </w:rPr>
        <w:t> </w:t>
      </w:r>
      <w:r>
        <w:rPr/>
        <w:t>aromatic</w:t>
      </w:r>
      <w:r>
        <w:rPr>
          <w:spacing w:val="1"/>
        </w:rPr>
        <w:t> </w:t>
      </w:r>
      <w:r>
        <w:rPr/>
        <w:t>hydrocarbons</w:t>
      </w:r>
      <w:r>
        <w:rPr>
          <w:spacing w:val="1"/>
        </w:rPr>
        <w:t> </w:t>
      </w:r>
      <w:r>
        <w:rPr/>
        <w:t>(PAH)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 incidence of a mangrove mutation in which chlorophyll is deficient or absent</w:t>
      </w:r>
      <w:r>
        <w:rPr>
          <w:spacing w:val="1"/>
        </w:rPr>
        <w:t> </w:t>
      </w:r>
      <w:r>
        <w:rPr/>
        <w:t>(Shigenaka,</w:t>
      </w:r>
      <w:r>
        <w:rPr>
          <w:spacing w:val="-2"/>
        </w:rPr>
        <w:t> </w:t>
      </w:r>
      <w:r>
        <w:rPr/>
        <w:t>2002).</w:t>
      </w:r>
    </w:p>
    <w:p>
      <w:pPr>
        <w:pStyle w:val="Heading3"/>
        <w:numPr>
          <w:ilvl w:val="2"/>
          <w:numId w:val="2"/>
        </w:numPr>
        <w:tabs>
          <w:tab w:pos="1918" w:val="left" w:leader="none"/>
        </w:tabs>
        <w:spacing w:line="240" w:lineRule="auto" w:before="191" w:after="0"/>
        <w:ind w:left="1918" w:right="0" w:hanging="720"/>
        <w:jc w:val="both"/>
      </w:pPr>
      <w:r>
        <w:rPr/>
        <w:t>The</w:t>
      </w:r>
      <w:r>
        <w:rPr>
          <w:spacing w:val="-5"/>
        </w:rPr>
        <w:t> </w:t>
      </w:r>
      <w:r>
        <w:rPr/>
        <w:t>Toxic</w:t>
      </w:r>
      <w:r>
        <w:rPr>
          <w:spacing w:val="-1"/>
        </w:rPr>
        <w:t> </w:t>
      </w:r>
      <w:r>
        <w:rPr/>
        <w:t>Content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Crude</w:t>
      </w:r>
      <w:r>
        <w:rPr>
          <w:spacing w:val="-4"/>
        </w:rPr>
        <w:t> </w:t>
      </w:r>
      <w:r>
        <w:rPr/>
        <w:t>Oil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77" w:lineRule="auto"/>
        <w:ind w:left="1198" w:right="577"/>
        <w:jc w:val="both"/>
      </w:pPr>
      <w:r>
        <w:rPr/>
        <w:t>It has been noted by some people assisting in the clean-up operations that their health has</w:t>
      </w:r>
      <w:r>
        <w:rPr>
          <w:spacing w:val="-72"/>
        </w:rPr>
        <w:t> </w:t>
      </w:r>
      <w:r>
        <w:rPr/>
        <w:t>been affected.</w:t>
      </w:r>
      <w:r>
        <w:rPr>
          <w:spacing w:val="75"/>
        </w:rPr>
        <w:t> </w:t>
      </w:r>
      <w:r>
        <w:rPr/>
        <w:t>The obvious effect of the spill is odour (many of these compounds have</w:t>
      </w:r>
      <w:r>
        <w:rPr>
          <w:spacing w:val="1"/>
        </w:rPr>
        <w:t> </w:t>
      </w:r>
      <w:r>
        <w:rPr/>
        <w:t>very low odour threshold), however, the other effects noted such as headaches or fatigues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polynuclear</w:t>
      </w:r>
      <w:r>
        <w:rPr>
          <w:spacing w:val="75"/>
        </w:rPr>
        <w:t> </w:t>
      </w:r>
      <w:r>
        <w:rPr/>
        <w:t>aromatic</w:t>
      </w:r>
      <w:r>
        <w:rPr>
          <w:spacing w:val="1"/>
        </w:rPr>
        <w:t> </w:t>
      </w:r>
      <w:r>
        <w:rPr/>
        <w:t>hydrocarbons (PAH) (Mobbs, 1996). Eyong </w:t>
      </w:r>
      <w:r>
        <w:rPr>
          <w:sz w:val="25"/>
        </w:rPr>
        <w:t>et al., </w:t>
      </w:r>
      <w:r>
        <w:rPr/>
        <w:t>(2004) reported that the ingestion of</w:t>
      </w:r>
      <w:r>
        <w:rPr>
          <w:spacing w:val="1"/>
        </w:rPr>
        <w:t> </w:t>
      </w:r>
      <w:r>
        <w:rPr/>
        <w:t>crude oil directly or indirectly, results in toxicity targeted at the hematopoietic system.</w:t>
      </w:r>
      <w:r>
        <w:rPr>
          <w:spacing w:val="1"/>
        </w:rPr>
        <w:t> </w:t>
      </w:r>
      <w:r>
        <w:rPr/>
        <w:t>There are a number of toxic compounds which are of concern since they are present in</w:t>
      </w:r>
      <w:r>
        <w:rPr>
          <w:spacing w:val="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quantities</w:t>
      </w:r>
      <w:r>
        <w:rPr>
          <w:spacing w:val="-1"/>
        </w:rPr>
        <w:t> </w:t>
      </w:r>
      <w:r>
        <w:rPr/>
        <w:t>within the oil (Mobbs,</w:t>
      </w:r>
      <w:r>
        <w:rPr>
          <w:spacing w:val="-1"/>
        </w:rPr>
        <w:t> </w:t>
      </w:r>
      <w:r>
        <w:rPr/>
        <w:t>1996).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example:</w:t>
      </w:r>
    </w:p>
    <w:p>
      <w:pPr>
        <w:spacing w:after="0" w:line="477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80" w:lineRule="auto" w:before="85"/>
        <w:ind w:left="1198" w:right="579"/>
        <w:jc w:val="both"/>
      </w:pPr>
      <w:r>
        <w:rPr>
          <w:sz w:val="25"/>
        </w:rPr>
        <w:t>Toluene</w:t>
      </w:r>
      <w:r>
        <w:rPr/>
        <w:t>: Toluene is a known constituent of crude oil (Mobbs, 1996). Crude oil is by far the</w:t>
      </w:r>
      <w:r>
        <w:rPr>
          <w:spacing w:val="-72"/>
        </w:rPr>
        <w:t> </w:t>
      </w:r>
      <w:r>
        <w:rPr/>
        <w:t>largest source of toluene (USEPA, 1994). The most important health concern for humans</w:t>
      </w:r>
      <w:r>
        <w:rPr>
          <w:spacing w:val="1"/>
        </w:rPr>
        <w:t> </w:t>
      </w:r>
      <w:r>
        <w:rPr/>
        <w:t>from either intentional or occupational exposures to toluene is its harmful effects on the</w:t>
      </w:r>
      <w:r>
        <w:rPr>
          <w:spacing w:val="1"/>
        </w:rPr>
        <w:t> </w:t>
      </w:r>
      <w:r>
        <w:rPr/>
        <w:t>nervous system. These effects of toluene depend on both the amount and length of</w:t>
      </w:r>
      <w:r>
        <w:rPr>
          <w:spacing w:val="1"/>
        </w:rPr>
        <w:t> </w:t>
      </w:r>
      <w:r>
        <w:rPr/>
        <w:t>exposure. Short term exposure</w:t>
      </w:r>
      <w:r>
        <w:rPr>
          <w:spacing w:val="1"/>
        </w:rPr>
        <w:t> </w:t>
      </w:r>
      <w:r>
        <w:rPr/>
        <w:t>to moderate amount of</w:t>
      </w:r>
      <w:r>
        <w:rPr>
          <w:spacing w:val="1"/>
        </w:rPr>
        <w:t> </w:t>
      </w:r>
      <w:r>
        <w:rPr/>
        <w:t>toluene, such</w:t>
      </w:r>
      <w:r>
        <w:rPr>
          <w:spacing w:val="1"/>
        </w:rPr>
        <w:t> </w:t>
      </w:r>
      <w:r>
        <w:rPr/>
        <w:t>as in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workplace exposures can produce fatigue, confusion, general weakness, drunken type</w:t>
      </w:r>
      <w:r>
        <w:rPr>
          <w:spacing w:val="1"/>
        </w:rPr>
        <w:t> </w:t>
      </w:r>
      <w:r>
        <w:rPr/>
        <w:t>actions, memory loss,</w:t>
      </w:r>
      <w:r>
        <w:rPr>
          <w:spacing w:val="1"/>
        </w:rPr>
        <w:t> </w:t>
      </w:r>
      <w:r>
        <w:rPr/>
        <w:t>nausea and 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appetite, these symptoms disappear when</w:t>
      </w:r>
      <w:r>
        <w:rPr>
          <w:spacing w:val="1"/>
        </w:rPr>
        <w:t> </w:t>
      </w:r>
      <w:r>
        <w:rPr/>
        <w:t>exposure is stopped (ATSDR, 2008a).</w:t>
      </w:r>
      <w:r>
        <w:rPr>
          <w:spacing w:val="1"/>
        </w:rPr>
        <w:t> </w:t>
      </w:r>
      <w:r>
        <w:rPr/>
        <w:t>Teratological and epidemiological evidence relating</w:t>
      </w:r>
      <w:r>
        <w:rPr>
          <w:spacing w:val="1"/>
        </w:rPr>
        <w:t> </w:t>
      </w:r>
      <w:r>
        <w:rPr/>
        <w:t>toluene exposures to reproductive issues have also been reported (Louise, 1997; Bukowski,</w:t>
      </w:r>
      <w:r>
        <w:rPr>
          <w:spacing w:val="-72"/>
        </w:rPr>
        <w:t> </w:t>
      </w:r>
      <w:r>
        <w:rPr/>
        <w:t>2001).</w:t>
      </w:r>
      <w:r>
        <w:rPr>
          <w:spacing w:val="1"/>
        </w:rPr>
        <w:t> </w:t>
      </w:r>
      <w:r>
        <w:rPr/>
        <w:t>Effects on fertility such as abortion were reported in rabbits by inhalation (Vee Gee</w:t>
      </w:r>
      <w:r>
        <w:rPr>
          <w:spacing w:val="1"/>
        </w:rPr>
        <w:t> </w:t>
      </w:r>
      <w:r>
        <w:rPr/>
        <w:t>scientific, 2004). Phenolic compounds generated by petroleum and petrochemicals, coal</w:t>
      </w:r>
      <w:r>
        <w:rPr>
          <w:spacing w:val="1"/>
        </w:rPr>
        <w:t> </w:t>
      </w:r>
      <w:r>
        <w:rPr/>
        <w:t>conversion and phenol producing industries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contaminants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(Ramos-Vianna, 2004).</w:t>
      </w:r>
    </w:p>
    <w:p>
      <w:pPr>
        <w:pStyle w:val="BodyText"/>
        <w:spacing w:line="281" w:lineRule="exact"/>
        <w:ind w:left="1198"/>
        <w:jc w:val="both"/>
      </w:pPr>
      <w:r>
        <w:rPr>
          <w:sz w:val="25"/>
        </w:rPr>
        <w:t>Benzene</w:t>
      </w:r>
      <w:r>
        <w:rPr/>
        <w:t>: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-2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benzene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water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atmospheric</w:t>
      </w:r>
      <w:r>
        <w:rPr>
          <w:spacing w:val="-1"/>
        </w:rPr>
        <w:t> </w:t>
      </w:r>
      <w:r>
        <w:rPr/>
        <w:t>deposition,</w:t>
      </w:r>
      <w:r>
        <w:rPr>
          <w:spacing w:val="-2"/>
        </w:rPr>
        <w:t> </w:t>
      </w:r>
      <w:r>
        <w:rPr/>
        <w:t>spills from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77" w:lineRule="auto"/>
        <w:ind w:left="1198" w:right="576"/>
        <w:jc w:val="both"/>
      </w:pPr>
      <w:r>
        <w:rPr/>
        <w:t>petroleum and other petroleum products and chemical plant effluents. Benzene is known to</w:t>
      </w:r>
      <w:r>
        <w:rPr>
          <w:spacing w:val="-72"/>
        </w:rPr>
        <w:t> </w:t>
      </w:r>
      <w:r>
        <w:rPr/>
        <w:t>be a human carcinogen based on sufficient evidence in humans (IARC, 2005). Case report</w:t>
      </w:r>
      <w:r>
        <w:rPr>
          <w:spacing w:val="1"/>
        </w:rPr>
        <w:t> </w:t>
      </w:r>
      <w:r>
        <w:rPr/>
        <w:t>and case series have reported leukemia in individuals exposed to benzene. Benzene is</w:t>
      </w:r>
      <w:r>
        <w:rPr>
          <w:spacing w:val="1"/>
        </w:rPr>
        <w:t> </w:t>
      </w:r>
      <w:r>
        <w:rPr/>
        <w:t>harmful, especially to the tissues that form blood cells. In addition, human and animal</w:t>
      </w:r>
      <w:r>
        <w:rPr>
          <w:spacing w:val="1"/>
        </w:rPr>
        <w:t> </w:t>
      </w:r>
      <w:r>
        <w:rPr/>
        <w:t>studies indicate that benzene is harmful to the immune system, increasing the chance for</w:t>
      </w:r>
      <w:r>
        <w:rPr>
          <w:spacing w:val="1"/>
        </w:rPr>
        <w:t> </w:t>
      </w:r>
      <w:r>
        <w:rPr/>
        <w:t>infections and perhaps lowering the body’s defense against tumor (Mobbs, 1996). Later</w:t>
      </w:r>
      <w:r>
        <w:rPr>
          <w:spacing w:val="1"/>
        </w:rPr>
        <w:t> </w:t>
      </w:r>
      <w:r>
        <w:rPr/>
        <w:t>studies reported that when administered, benzene by gauge, mice developed head and</w:t>
      </w:r>
      <w:r>
        <w:rPr>
          <w:spacing w:val="1"/>
        </w:rPr>
        <w:t> </w:t>
      </w:r>
      <w:r>
        <w:rPr/>
        <w:t>neck, thoracic cavity and subcutaneous sarcomas (French </w:t>
      </w:r>
      <w:r>
        <w:rPr>
          <w:sz w:val="25"/>
        </w:rPr>
        <w:t>et al., </w:t>
      </w:r>
      <w:r>
        <w:rPr/>
        <w:t>2001; Hulla </w:t>
      </w:r>
      <w:r>
        <w:rPr>
          <w:sz w:val="25"/>
        </w:rPr>
        <w:t>et al., </w:t>
      </w:r>
      <w:r>
        <w:rPr/>
        <w:t>2001).</w:t>
      </w:r>
      <w:r>
        <w:rPr>
          <w:spacing w:val="1"/>
        </w:rPr>
        <w:t> </w:t>
      </w:r>
      <w:r>
        <w:rPr/>
        <w:t>The United States Agency for Toxic Substance and Disease Registry (ATSDR) (1997) listed</w:t>
      </w:r>
      <w:r>
        <w:rPr>
          <w:spacing w:val="1"/>
        </w:rPr>
        <w:t> </w:t>
      </w:r>
      <w:r>
        <w:rPr/>
        <w:t>benzene</w:t>
      </w:r>
      <w:r>
        <w:rPr>
          <w:spacing w:val="-1"/>
        </w:rPr>
        <w:t> </w:t>
      </w:r>
      <w:r>
        <w:rPr/>
        <w:t>as one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top</w:t>
      </w:r>
      <w:r>
        <w:rPr>
          <w:spacing w:val="-2"/>
        </w:rPr>
        <w:t> </w:t>
      </w:r>
      <w:r>
        <w:rPr/>
        <w:t>twenty toxic</w:t>
      </w:r>
      <w:r>
        <w:rPr>
          <w:spacing w:val="-2"/>
        </w:rPr>
        <w:t> </w:t>
      </w:r>
      <w:r>
        <w:rPr/>
        <w:t>chemicals.</w:t>
      </w:r>
    </w:p>
    <w:p>
      <w:pPr>
        <w:spacing w:after="0" w:line="477" w:lineRule="auto"/>
        <w:jc w:val="both"/>
        <w:sectPr>
          <w:pgSz w:w="11910" w:h="16840"/>
          <w:pgMar w:header="0" w:footer="987" w:top="1120" w:bottom="1260" w:left="420" w:right="0"/>
        </w:sectPr>
      </w:pPr>
    </w:p>
    <w:p>
      <w:pPr>
        <w:pStyle w:val="BodyText"/>
        <w:spacing w:line="477" w:lineRule="auto" w:before="85"/>
        <w:ind w:left="1198" w:right="578"/>
        <w:jc w:val="both"/>
      </w:pPr>
      <w:r>
        <w:rPr>
          <w:sz w:val="25"/>
        </w:rPr>
        <w:t>Cresols (a group of Phenolic compounds)</w:t>
      </w:r>
      <w:r>
        <w:rPr/>
        <w:t>: When cresols are breathed, ingested or applied</w:t>
      </w:r>
      <w:r>
        <w:rPr>
          <w:spacing w:val="-72"/>
        </w:rPr>
        <w:t> </w:t>
      </w:r>
      <w:r>
        <w:rPr/>
        <w:t>to the skin at very high levels, they can be very harmful. The US ATSDR (1997) has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cresols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carcinogens.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include</w:t>
      </w:r>
      <w:r>
        <w:rPr>
          <w:spacing w:val="-72"/>
        </w:rPr>
        <w:t> </w:t>
      </w:r>
      <w:r>
        <w:rPr/>
        <w:t>irritation and burning of skin, eyes, mouth, and throat; abdominal pain and vomiting; heart</w:t>
      </w:r>
      <w:r>
        <w:rPr>
          <w:spacing w:val="-72"/>
        </w:rPr>
        <w:t> </w:t>
      </w:r>
      <w:r>
        <w:rPr/>
        <w:t>damage; anemia; liver and kidney damage; facial paralysis; coma and even death (Mobbs,</w:t>
      </w:r>
      <w:r>
        <w:rPr>
          <w:spacing w:val="1"/>
        </w:rPr>
        <w:t> </w:t>
      </w:r>
      <w:r>
        <w:rPr/>
        <w:t>1996). It is not known what the effects are from long-term ingestion or skin contact with</w:t>
      </w:r>
      <w:r>
        <w:rPr>
          <w:spacing w:val="1"/>
        </w:rPr>
        <w:t> </w:t>
      </w:r>
      <w:r>
        <w:rPr/>
        <w:t>low</w:t>
      </w:r>
      <w:r>
        <w:rPr>
          <w:spacing w:val="-2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cresols (ATSDR,</w:t>
      </w:r>
      <w:r>
        <w:rPr>
          <w:spacing w:val="-2"/>
        </w:rPr>
        <w:t> </w:t>
      </w:r>
      <w:r>
        <w:rPr/>
        <w:t>2008b).</w:t>
      </w:r>
    </w:p>
    <w:p>
      <w:pPr>
        <w:pStyle w:val="BodyText"/>
        <w:spacing w:line="477" w:lineRule="auto"/>
        <w:ind w:left="1198" w:right="577"/>
        <w:jc w:val="both"/>
      </w:pPr>
      <w:r>
        <w:rPr>
          <w:sz w:val="25"/>
        </w:rPr>
        <w:t>Polynuclear</w:t>
      </w:r>
      <w:r>
        <w:rPr>
          <w:spacing w:val="-13"/>
          <w:sz w:val="25"/>
        </w:rPr>
        <w:t> </w:t>
      </w:r>
      <w:r>
        <w:rPr>
          <w:sz w:val="25"/>
        </w:rPr>
        <w:t>Aromatic</w:t>
      </w:r>
      <w:r>
        <w:rPr>
          <w:spacing w:val="-12"/>
          <w:sz w:val="25"/>
        </w:rPr>
        <w:t> </w:t>
      </w:r>
      <w:r>
        <w:rPr>
          <w:sz w:val="25"/>
        </w:rPr>
        <w:t>Hydrocarbons</w:t>
      </w:r>
      <w:r>
        <w:rPr>
          <w:spacing w:val="-11"/>
          <w:sz w:val="25"/>
        </w:rPr>
        <w:t> </w:t>
      </w:r>
      <w:r>
        <w:rPr>
          <w:sz w:val="25"/>
        </w:rPr>
        <w:t>(PAH)</w:t>
      </w:r>
      <w:r>
        <w:rPr/>
        <w:t>: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quantities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PAH’s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crude</w:t>
      </w:r>
      <w:r>
        <w:rPr>
          <w:spacing w:val="-8"/>
        </w:rPr>
        <w:t> </w:t>
      </w:r>
      <w:r>
        <w:rPr/>
        <w:t>oil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uncertain</w:t>
      </w:r>
      <w:r>
        <w:rPr>
          <w:spacing w:val="-73"/>
        </w:rPr>
        <w:t> </w:t>
      </w:r>
      <w:r>
        <w:rPr/>
        <w:t>as there are particular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 PAH. As a</w:t>
      </w:r>
      <w:r>
        <w:rPr>
          <w:spacing w:val="1"/>
        </w:rPr>
        <w:t> </w:t>
      </w:r>
      <w:r>
        <w:rPr/>
        <w:t>pollutant,</w:t>
      </w:r>
      <w:r>
        <w:rPr>
          <w:spacing w:val="1"/>
        </w:rPr>
        <w:t> </w:t>
      </w:r>
      <w:r>
        <w:rPr/>
        <w:t>they are of</w:t>
      </w:r>
      <w:r>
        <w:rPr>
          <w:spacing w:val="75"/>
        </w:rPr>
        <w:t> </w:t>
      </w:r>
      <w:r>
        <w:rPr/>
        <w:t>concern because some</w:t>
      </w:r>
      <w:r>
        <w:rPr>
          <w:spacing w:val="1"/>
        </w:rPr>
        <w:t> </w:t>
      </w:r>
      <w:r>
        <w:rPr/>
        <w:t>have been identified as carcinogenic mutagenic and teratogenic (European Commission,</w:t>
      </w:r>
      <w:r>
        <w:rPr>
          <w:spacing w:val="1"/>
        </w:rPr>
        <w:t> </w:t>
      </w:r>
      <w:r>
        <w:rPr/>
        <w:t>2002). Drinking water or swallowing food, soil or dust particle that contain PAH are other</w:t>
      </w:r>
      <w:r>
        <w:rPr>
          <w:spacing w:val="1"/>
        </w:rPr>
        <w:t> </w:t>
      </w:r>
      <w:r>
        <w:rPr/>
        <w:t>routes for these chemicals to enter the body. Under normal conditions of environmental</w:t>
      </w:r>
      <w:r>
        <w:rPr>
          <w:spacing w:val="1"/>
        </w:rPr>
        <w:t> </w:t>
      </w:r>
      <w:r>
        <w:rPr/>
        <w:t>exposure,</w:t>
      </w:r>
      <w:r>
        <w:rPr>
          <w:spacing w:val="29"/>
        </w:rPr>
        <w:t> </w:t>
      </w:r>
      <w:r>
        <w:rPr/>
        <w:t>PAH’s</w:t>
      </w:r>
      <w:r>
        <w:rPr>
          <w:spacing w:val="31"/>
        </w:rPr>
        <w:t> </w:t>
      </w:r>
      <w:r>
        <w:rPr/>
        <w:t>could</w:t>
      </w:r>
      <w:r>
        <w:rPr>
          <w:spacing w:val="30"/>
        </w:rPr>
        <w:t> </w:t>
      </w:r>
      <w:r>
        <w:rPr/>
        <w:t>enter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body</w:t>
      </w:r>
      <w:r>
        <w:rPr>
          <w:spacing w:val="30"/>
        </w:rPr>
        <w:t> </w:t>
      </w:r>
      <w:r>
        <w:rPr/>
        <w:t>if</w:t>
      </w:r>
      <w:r>
        <w:rPr>
          <w:spacing w:val="30"/>
        </w:rPr>
        <w:t> </w:t>
      </w:r>
      <w:r>
        <w:rPr/>
        <w:t>skin</w:t>
      </w:r>
      <w:r>
        <w:rPr>
          <w:spacing w:val="31"/>
        </w:rPr>
        <w:t> </w:t>
      </w:r>
      <w:r>
        <w:rPr/>
        <w:t>comes</w:t>
      </w:r>
      <w:r>
        <w:rPr>
          <w:spacing w:val="31"/>
        </w:rPr>
        <w:t> </w:t>
      </w:r>
      <w:r>
        <w:rPr/>
        <w:t>into</w:t>
      </w:r>
      <w:r>
        <w:rPr>
          <w:spacing w:val="29"/>
        </w:rPr>
        <w:t> </w:t>
      </w:r>
      <w:r>
        <w:rPr/>
        <w:t>contact</w:t>
      </w:r>
      <w:r>
        <w:rPr>
          <w:spacing w:val="30"/>
        </w:rPr>
        <w:t> </w:t>
      </w:r>
      <w:r>
        <w:rPr/>
        <w:t>with</w:t>
      </w:r>
      <w:r>
        <w:rPr>
          <w:spacing w:val="31"/>
        </w:rPr>
        <w:t> </w:t>
      </w:r>
      <w:r>
        <w:rPr/>
        <w:t>soils</w:t>
      </w:r>
      <w:r>
        <w:rPr>
          <w:spacing w:val="31"/>
        </w:rPr>
        <w:t> </w:t>
      </w:r>
      <w:r>
        <w:rPr/>
        <w:t>that</w:t>
      </w:r>
      <w:r>
        <w:rPr>
          <w:spacing w:val="29"/>
        </w:rPr>
        <w:t> </w:t>
      </w:r>
      <w:r>
        <w:rPr/>
        <w:t>contains</w:t>
      </w:r>
      <w:r>
        <w:rPr>
          <w:spacing w:val="-73"/>
        </w:rPr>
        <w:t> </w:t>
      </w:r>
      <w:r>
        <w:rPr/>
        <w:t>high level of PAH’s. The department of health and human services had determined that</w:t>
      </w:r>
      <w:r>
        <w:rPr>
          <w:spacing w:val="1"/>
        </w:rPr>
        <w:t> </w:t>
      </w:r>
      <w:r>
        <w:rPr/>
        <w:t>PAH’s may reasonably be anticipated to be carcinogens (ATSDR, 1996). Several of the</w:t>
      </w:r>
      <w:r>
        <w:rPr>
          <w:spacing w:val="1"/>
        </w:rPr>
        <w:t> </w:t>
      </w:r>
      <w:r>
        <w:rPr/>
        <w:t>PAH’s are reported to have caused tumors in laboratory animals when they ate them, when</w:t>
      </w:r>
      <w:r>
        <w:rPr>
          <w:spacing w:val="-72"/>
        </w:rPr>
        <w:t> </w:t>
      </w:r>
      <w:r>
        <w:rPr/>
        <w:t>they were applied to skin and when they breathed them in air for long periods of time</w:t>
      </w:r>
      <w:r>
        <w:rPr>
          <w:spacing w:val="1"/>
        </w:rPr>
        <w:t> </w:t>
      </w:r>
      <w:r>
        <w:rPr/>
        <w:t>(Adonis</w:t>
      </w:r>
      <w:r>
        <w:rPr>
          <w:spacing w:val="-3"/>
        </w:rPr>
        <w:t> </w:t>
      </w:r>
      <w:r>
        <w:rPr>
          <w:sz w:val="25"/>
        </w:rPr>
        <w:t>et</w:t>
      </w:r>
      <w:r>
        <w:rPr>
          <w:spacing w:val="-7"/>
          <w:sz w:val="25"/>
        </w:rPr>
        <w:t> </w:t>
      </w:r>
      <w:r>
        <w:rPr>
          <w:sz w:val="25"/>
        </w:rPr>
        <w:t>al.,</w:t>
      </w:r>
      <w:r>
        <w:rPr>
          <w:spacing w:val="-6"/>
          <w:sz w:val="25"/>
        </w:rPr>
        <w:t> </w:t>
      </w:r>
      <w:r>
        <w:rPr/>
        <w:t>2003;</w:t>
      </w:r>
      <w:r>
        <w:rPr>
          <w:spacing w:val="-4"/>
        </w:rPr>
        <w:t> </w:t>
      </w:r>
      <w:r>
        <w:rPr/>
        <w:t>Armstrong</w:t>
      </w:r>
      <w:r>
        <w:rPr>
          <w:spacing w:val="-2"/>
        </w:rPr>
        <w:t>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al.,</w:t>
      </w:r>
      <w:r>
        <w:rPr>
          <w:spacing w:val="-8"/>
          <w:sz w:val="25"/>
        </w:rPr>
        <w:t> </w:t>
      </w:r>
      <w:r>
        <w:rPr/>
        <w:t>2004).</w:t>
      </w:r>
      <w:r>
        <w:rPr>
          <w:spacing w:val="-4"/>
        </w:rPr>
        <w:t> </w:t>
      </w:r>
      <w:r>
        <w:rPr/>
        <w:t>Similar</w:t>
      </w:r>
      <w:r>
        <w:rPr>
          <w:spacing w:val="-3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occur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humans.</w:t>
      </w:r>
    </w:p>
    <w:p>
      <w:pPr>
        <w:pStyle w:val="BodyText"/>
        <w:spacing w:line="480" w:lineRule="auto"/>
        <w:ind w:left="1198" w:right="578"/>
        <w:jc w:val="both"/>
      </w:pPr>
      <w:r>
        <w:rPr/>
        <w:t>The effect of these compounds may be showing up in those people most exposed to the oil</w:t>
      </w:r>
      <w:r>
        <w:rPr>
          <w:spacing w:val="-72"/>
        </w:rPr>
        <w:t> </w:t>
      </w:r>
      <w:r>
        <w:rPr/>
        <w:t>slick and the accompanying air pollution – for example problems of fatigue, headache,</w:t>
      </w:r>
      <w:r>
        <w:rPr>
          <w:spacing w:val="1"/>
        </w:rPr>
        <w:t> </w:t>
      </w:r>
      <w:r>
        <w:rPr/>
        <w:t>nausea and skin rashes. It is important to note also that these substances are not only</w:t>
      </w:r>
      <w:r>
        <w:rPr>
          <w:spacing w:val="1"/>
        </w:rPr>
        <w:t> </w:t>
      </w:r>
      <w:r>
        <w:rPr/>
        <w:t>harmful by ingestion or inhalation, if the skin is exposed, they can be absorbed into the</w:t>
      </w:r>
      <w:r>
        <w:rPr>
          <w:spacing w:val="1"/>
        </w:rPr>
        <w:t> </w:t>
      </w:r>
      <w:r>
        <w:rPr/>
        <w:t>body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an obvious</w:t>
      </w:r>
      <w:r>
        <w:rPr>
          <w:spacing w:val="-2"/>
        </w:rPr>
        <w:t> </w:t>
      </w:r>
      <w:r>
        <w:rPr/>
        <w:t>problem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those</w:t>
      </w:r>
      <w:r>
        <w:rPr>
          <w:spacing w:val="-2"/>
        </w:rPr>
        <w:t> </w:t>
      </w:r>
      <w:r>
        <w:rPr/>
        <w:t>coming</w:t>
      </w:r>
      <w:r>
        <w:rPr>
          <w:spacing w:val="-2"/>
        </w:rPr>
        <w:t> </w:t>
      </w:r>
      <w:r>
        <w:rPr/>
        <w:t>into</w:t>
      </w:r>
      <w:r>
        <w:rPr>
          <w:spacing w:val="-3"/>
        </w:rPr>
        <w:t> </w:t>
      </w:r>
      <w:r>
        <w:rPr/>
        <w:t>direct</w:t>
      </w:r>
      <w:r>
        <w:rPr>
          <w:spacing w:val="-4"/>
        </w:rPr>
        <w:t> </w:t>
      </w:r>
      <w:r>
        <w:rPr/>
        <w:t>contact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(Mobbs,</w:t>
      </w:r>
      <w:r>
        <w:rPr>
          <w:spacing w:val="-3"/>
        </w:rPr>
        <w:t> </w:t>
      </w:r>
      <w:r>
        <w:rPr/>
        <w:t>1996).</w:t>
      </w:r>
    </w:p>
    <w:p>
      <w:pPr>
        <w:spacing w:after="0" w:line="480" w:lineRule="auto"/>
        <w:jc w:val="both"/>
        <w:sectPr>
          <w:pgSz w:w="11910" w:h="16840"/>
          <w:pgMar w:header="0" w:footer="987" w:top="1120" w:bottom="1260" w:left="420" w:right="0"/>
        </w:sectPr>
      </w:pPr>
    </w:p>
    <w:p>
      <w:pPr>
        <w:pStyle w:val="Heading3"/>
        <w:numPr>
          <w:ilvl w:val="2"/>
          <w:numId w:val="2"/>
        </w:numPr>
        <w:tabs>
          <w:tab w:pos="1918" w:val="left" w:leader="none"/>
        </w:tabs>
        <w:spacing w:line="240" w:lineRule="auto" w:before="77" w:after="0"/>
        <w:ind w:left="1918" w:right="0" w:hanging="720"/>
        <w:jc w:val="left"/>
      </w:pPr>
      <w:r>
        <w:rPr/>
        <w:t>Oil</w:t>
      </w:r>
      <w:r>
        <w:rPr>
          <w:spacing w:val="-6"/>
        </w:rPr>
        <w:t> </w:t>
      </w:r>
      <w:r>
        <w:rPr/>
        <w:t>Spill</w:t>
      </w:r>
      <w:r>
        <w:rPr>
          <w:spacing w:val="-3"/>
        </w:rPr>
        <w:t> </w:t>
      </w:r>
      <w:r>
        <w:rPr/>
        <w:t>Response</w:t>
      </w:r>
      <w:r>
        <w:rPr>
          <w:spacing w:val="-6"/>
        </w:rPr>
        <w:t> </w:t>
      </w:r>
      <w:r>
        <w:rPr/>
        <w:t>Techniques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75" w:lineRule="auto" w:before="1"/>
        <w:ind w:left="1198" w:right="576"/>
        <w:jc w:val="both"/>
      </w:pPr>
      <w:r>
        <w:rPr/>
        <w:t>The serious environmental consequences of oil spills have long been recognized and</w:t>
      </w:r>
      <w:r>
        <w:rPr>
          <w:spacing w:val="1"/>
        </w:rPr>
        <w:t> </w:t>
      </w:r>
      <w:r>
        <w:rPr/>
        <w:t>considerable research and technological development has been carried out to develop</w:t>
      </w:r>
      <w:r>
        <w:rPr>
          <w:spacing w:val="1"/>
        </w:rPr>
        <w:t> </w:t>
      </w:r>
      <w:r>
        <w:rPr/>
        <w:t>appropriate remediation techniques (Sun </w:t>
      </w:r>
      <w:r>
        <w:rPr>
          <w:sz w:val="25"/>
        </w:rPr>
        <w:t>et al., </w:t>
      </w:r>
      <w:r>
        <w:rPr/>
        <w:t>2004; Ventikos </w:t>
      </w:r>
      <w:r>
        <w:rPr>
          <w:sz w:val="25"/>
        </w:rPr>
        <w:t>et al., </w:t>
      </w:r>
      <w:r>
        <w:rPr/>
        <w:t>2004). The objective</w:t>
      </w:r>
      <w:r>
        <w:rPr>
          <w:spacing w:val="-72"/>
        </w:rPr>
        <w:t> </w:t>
      </w:r>
      <w:r>
        <w:rPr/>
        <w:t>of spill response in any habitat is to minimize the damage caused by the accidental and</w:t>
      </w:r>
      <w:r>
        <w:rPr>
          <w:spacing w:val="1"/>
        </w:rPr>
        <w:t> </w:t>
      </w:r>
      <w:r>
        <w:rPr/>
        <w:t>released oil (Yender, 2002). In clean-up operations, after oil spills, the first requirement is</w:t>
      </w:r>
      <w:r>
        <w:rPr>
          <w:spacing w:val="1"/>
        </w:rPr>
        <w:t> </w:t>
      </w:r>
      <w:r>
        <w:rPr/>
        <w:t>to contain the spills in as small an area as possible and prevent it from reaching water</w:t>
      </w:r>
      <w:r>
        <w:rPr>
          <w:spacing w:val="1"/>
        </w:rPr>
        <w:t> </w:t>
      </w:r>
      <w:r>
        <w:rPr/>
        <w:t>courses and thus contaminating their environment (Greene </w:t>
      </w:r>
      <w:r>
        <w:rPr>
          <w:sz w:val="25"/>
        </w:rPr>
        <w:t>et al.,</w:t>
      </w:r>
      <w:r>
        <w:rPr/>
        <w:t>1975</w:t>
      </w:r>
      <w:r>
        <w:rPr>
          <w:sz w:val="25"/>
        </w:rPr>
        <w:t>,</w:t>
      </w:r>
      <w:r>
        <w:rPr/>
        <w:t>). When significant</w:t>
      </w:r>
      <w:r>
        <w:rPr>
          <w:spacing w:val="1"/>
        </w:rPr>
        <w:t> </w:t>
      </w:r>
      <w:r>
        <w:rPr/>
        <w:t>deposits of oil were discovered in the 19</w:t>
      </w:r>
      <w:r>
        <w:rPr>
          <w:vertAlign w:val="superscript"/>
        </w:rPr>
        <w:t>th</w:t>
      </w:r>
      <w:r>
        <w:rPr>
          <w:vertAlign w:val="baseline"/>
        </w:rPr>
        <w:t> century, this fossil fuel appeared to offer a</w:t>
      </w:r>
      <w:r>
        <w:rPr>
          <w:spacing w:val="1"/>
          <w:vertAlign w:val="baseline"/>
        </w:rPr>
        <w:t> </w:t>
      </w:r>
      <w:r>
        <w:rPr>
          <w:vertAlign w:val="baseline"/>
        </w:rPr>
        <w:t>limitless source of energy to</w:t>
      </w:r>
      <w:r>
        <w:rPr>
          <w:spacing w:val="75"/>
          <w:vertAlign w:val="baseline"/>
        </w:rPr>
        <w:t> </w:t>
      </w:r>
      <w:r>
        <w:rPr>
          <w:vertAlign w:val="baseline"/>
        </w:rPr>
        <w:t>drive development. Oil spills and leaks along coastline pose</w:t>
      </w:r>
      <w:r>
        <w:rPr>
          <w:spacing w:val="1"/>
          <w:vertAlign w:val="baseline"/>
        </w:rPr>
        <w:t> </w:t>
      </w:r>
      <w:r>
        <w:rPr>
          <w:vertAlign w:val="baseline"/>
        </w:rPr>
        <w:t>risk</w:t>
      </w:r>
      <w:r>
        <w:rPr>
          <w:spacing w:val="63"/>
          <w:vertAlign w:val="baseline"/>
        </w:rPr>
        <w:t> </w:t>
      </w:r>
      <w:r>
        <w:rPr>
          <w:vertAlign w:val="baseline"/>
        </w:rPr>
        <w:t>to</w:t>
      </w:r>
      <w:r>
        <w:rPr>
          <w:spacing w:val="62"/>
          <w:vertAlign w:val="baseline"/>
        </w:rPr>
        <w:t> </w:t>
      </w:r>
      <w:r>
        <w:rPr>
          <w:vertAlign w:val="baseline"/>
        </w:rPr>
        <w:t>marine</w:t>
      </w:r>
      <w:r>
        <w:rPr>
          <w:spacing w:val="63"/>
          <w:vertAlign w:val="baseline"/>
        </w:rPr>
        <w:t> </w:t>
      </w:r>
      <w:r>
        <w:rPr>
          <w:vertAlign w:val="baseline"/>
        </w:rPr>
        <w:t>life</w:t>
      </w:r>
      <w:r>
        <w:rPr>
          <w:spacing w:val="61"/>
          <w:vertAlign w:val="baseline"/>
        </w:rPr>
        <w:t> </w:t>
      </w:r>
      <w:r>
        <w:rPr>
          <w:vertAlign w:val="baseline"/>
        </w:rPr>
        <w:t>and</w:t>
      </w:r>
      <w:r>
        <w:rPr>
          <w:spacing w:val="64"/>
          <w:vertAlign w:val="baseline"/>
        </w:rPr>
        <w:t> </w:t>
      </w:r>
      <w:r>
        <w:rPr>
          <w:vertAlign w:val="baseline"/>
        </w:rPr>
        <w:t>fishes</w:t>
      </w:r>
      <w:r>
        <w:rPr>
          <w:spacing w:val="64"/>
          <w:vertAlign w:val="baseline"/>
        </w:rPr>
        <w:t> </w:t>
      </w:r>
      <w:r>
        <w:rPr>
          <w:vertAlign w:val="baseline"/>
        </w:rPr>
        <w:t>and</w:t>
      </w:r>
      <w:r>
        <w:rPr>
          <w:spacing w:val="64"/>
          <w:vertAlign w:val="baseline"/>
        </w:rPr>
        <w:t> </w:t>
      </w:r>
      <w:r>
        <w:rPr>
          <w:vertAlign w:val="baseline"/>
        </w:rPr>
        <w:t>can</w:t>
      </w:r>
      <w:r>
        <w:rPr>
          <w:spacing w:val="64"/>
          <w:vertAlign w:val="baseline"/>
        </w:rPr>
        <w:t> </w:t>
      </w:r>
      <w:r>
        <w:rPr>
          <w:vertAlign w:val="baseline"/>
        </w:rPr>
        <w:t>threaten</w:t>
      </w:r>
      <w:r>
        <w:rPr>
          <w:spacing w:val="64"/>
          <w:vertAlign w:val="baseline"/>
        </w:rPr>
        <w:t> </w:t>
      </w:r>
      <w:r>
        <w:rPr>
          <w:vertAlign w:val="baseline"/>
        </w:rPr>
        <w:t>the</w:t>
      </w:r>
      <w:r>
        <w:rPr>
          <w:spacing w:val="65"/>
          <w:vertAlign w:val="baseline"/>
        </w:rPr>
        <w:t> </w:t>
      </w:r>
      <w:r>
        <w:rPr>
          <w:vertAlign w:val="baseline"/>
        </w:rPr>
        <w:t>livelihood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64"/>
          <w:vertAlign w:val="baseline"/>
        </w:rPr>
        <w:t> </w:t>
      </w:r>
      <w:r>
        <w:rPr>
          <w:vertAlign w:val="baseline"/>
        </w:rPr>
        <w:t>human</w:t>
      </w:r>
      <w:r>
        <w:rPr>
          <w:spacing w:val="64"/>
          <w:vertAlign w:val="baseline"/>
        </w:rPr>
        <w:t> </w:t>
      </w:r>
      <w:r>
        <w:rPr>
          <w:vertAlign w:val="baseline"/>
        </w:rPr>
        <w:t>communities</w:t>
      </w:r>
      <w:r>
        <w:rPr>
          <w:spacing w:val="-72"/>
          <w:vertAlign w:val="baseline"/>
        </w:rPr>
        <w:t> </w:t>
      </w:r>
      <w:r>
        <w:rPr>
          <w:vertAlign w:val="baseline"/>
        </w:rPr>
        <w:t>(Burgeir </w:t>
      </w:r>
      <w:r>
        <w:rPr>
          <w:sz w:val="25"/>
          <w:vertAlign w:val="baseline"/>
        </w:rPr>
        <w:t>et al., </w:t>
      </w:r>
      <w:r>
        <w:rPr>
          <w:vertAlign w:val="baseline"/>
        </w:rPr>
        <w:t>2002). Each year, 0.75-1.8 billion gallons of crude oil are unintentionally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released into the environment (Burgeir </w:t>
      </w:r>
      <w:r>
        <w:rPr>
          <w:sz w:val="25"/>
          <w:vertAlign w:val="baseline"/>
        </w:rPr>
        <w:t>et al., </w:t>
      </w:r>
      <w:r>
        <w:rPr>
          <w:vertAlign w:val="baseline"/>
        </w:rPr>
        <w:t>2002). Variables such as oil types whether</w:t>
      </w:r>
      <w:r>
        <w:rPr>
          <w:spacing w:val="1"/>
          <w:vertAlign w:val="baseline"/>
        </w:rPr>
        <w:t> </w:t>
      </w:r>
      <w:r>
        <w:rPr>
          <w:vertAlign w:val="baseline"/>
        </w:rPr>
        <w:t>location and availability of response equipment will determine initial spill response options.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best case scenario, oil is prevented from moving into and contaminating mangrove</w:t>
      </w:r>
      <w:r>
        <w:rPr>
          <w:spacing w:val="1"/>
          <w:vertAlign w:val="baseline"/>
        </w:rPr>
        <w:t> </w:t>
      </w:r>
      <w:r>
        <w:rPr>
          <w:vertAlign w:val="baseline"/>
        </w:rPr>
        <w:t>areas. Promising on-water responses that can help prevent oil from reaching mangrove</w:t>
      </w:r>
      <w:r>
        <w:rPr>
          <w:spacing w:val="1"/>
          <w:vertAlign w:val="baseline"/>
        </w:rPr>
        <w:t> </w:t>
      </w:r>
      <w:r>
        <w:rPr>
          <w:vertAlign w:val="baseline"/>
        </w:rPr>
        <w:t>forest include chemical dispersant and in-situ burning. Potential</w:t>
      </w:r>
      <w:r>
        <w:rPr>
          <w:spacing w:val="75"/>
          <w:vertAlign w:val="baseline"/>
        </w:rPr>
        <w:t> </w:t>
      </w:r>
      <w:r>
        <w:rPr>
          <w:vertAlign w:val="baseline"/>
        </w:rPr>
        <w:t>benefits of oil removal</w:t>
      </w:r>
      <w:r>
        <w:rPr>
          <w:spacing w:val="1"/>
          <w:vertAlign w:val="baseline"/>
        </w:rPr>
        <w:t> </w:t>
      </w:r>
      <w:r>
        <w:rPr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weighed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risk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harmful</w:t>
      </w:r>
      <w:r>
        <w:rPr>
          <w:spacing w:val="1"/>
          <w:vertAlign w:val="baseline"/>
        </w:rPr>
        <w:t> </w:t>
      </w:r>
      <w:r>
        <w:rPr>
          <w:vertAlign w:val="baseline"/>
        </w:rPr>
        <w:t>impacts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75"/>
          <w:vertAlign w:val="baseline"/>
        </w:rPr>
        <w:t> </w:t>
      </w:r>
      <w:r>
        <w:rPr>
          <w:vertAlign w:val="baseline"/>
        </w:rPr>
        <w:t>clean-up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techniques (Yender, 2002). There are five major options for responding to oil spills as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1.4: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containment,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methods,</w:t>
      </w:r>
      <w:r>
        <w:rPr>
          <w:spacing w:val="75"/>
          <w:vertAlign w:val="baseline"/>
        </w:rPr>
        <w:t> </w:t>
      </w:r>
      <w:r>
        <w:rPr>
          <w:vertAlign w:val="baseline"/>
        </w:rPr>
        <w:t>in-situ</w:t>
      </w:r>
      <w:r>
        <w:rPr>
          <w:spacing w:val="1"/>
          <w:vertAlign w:val="baseline"/>
        </w:rPr>
        <w:t> </w:t>
      </w:r>
      <w:r>
        <w:rPr>
          <w:vertAlign w:val="baseline"/>
        </w:rPr>
        <w:t>burning,</w:t>
      </w:r>
      <w:r>
        <w:rPr>
          <w:spacing w:val="-3"/>
          <w:vertAlign w:val="baseline"/>
        </w:rPr>
        <w:t> </w:t>
      </w:r>
      <w:r>
        <w:rPr>
          <w:vertAlign w:val="baseline"/>
        </w:rPr>
        <w:t>bio</w:t>
      </w:r>
      <w:r>
        <w:rPr>
          <w:spacing w:val="-2"/>
          <w:vertAlign w:val="baseline"/>
        </w:rPr>
        <w:t> </w:t>
      </w:r>
      <w:r>
        <w:rPr>
          <w:vertAlign w:val="baseline"/>
        </w:rPr>
        <w:t>remediation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and,</w:t>
      </w:r>
      <w:r>
        <w:rPr>
          <w:spacing w:val="-2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removal (Mullin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Champ,</w:t>
      </w:r>
      <w:r>
        <w:rPr>
          <w:spacing w:val="-1"/>
          <w:vertAlign w:val="baseline"/>
        </w:rPr>
        <w:t> </w:t>
      </w:r>
      <w:r>
        <w:rPr>
          <w:vertAlign w:val="baseline"/>
        </w:rPr>
        <w:t>2003)</w:t>
      </w:r>
    </w:p>
    <w:p>
      <w:pPr>
        <w:spacing w:after="0" w:line="475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2168"/>
        <w:rPr>
          <w:sz w:val="20"/>
        </w:rPr>
      </w:pPr>
      <w:r>
        <w:rPr>
          <w:sz w:val="20"/>
        </w:rPr>
        <w:drawing>
          <wp:inline distT="0" distB="0" distL="0" distR="0">
            <wp:extent cx="4692824" cy="668807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824" cy="668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35"/>
      </w:pPr>
      <w:r>
        <w:rPr/>
        <w:t>Figure</w:t>
      </w:r>
      <w:r>
        <w:rPr>
          <w:spacing w:val="-6"/>
        </w:rPr>
        <w:t> </w:t>
      </w:r>
      <w:r>
        <w:rPr/>
        <w:t>1.4:</w:t>
      </w:r>
      <w:r>
        <w:rPr>
          <w:spacing w:val="-3"/>
        </w:rPr>
        <w:t> </w:t>
      </w:r>
      <w:r>
        <w:rPr/>
        <w:t>Oil</w:t>
      </w:r>
      <w:r>
        <w:rPr>
          <w:spacing w:val="-3"/>
        </w:rPr>
        <w:t> </w:t>
      </w:r>
      <w:r>
        <w:rPr/>
        <w:t>spill</w:t>
      </w:r>
      <w:r>
        <w:rPr>
          <w:spacing w:val="-5"/>
        </w:rPr>
        <w:t> </w:t>
      </w:r>
      <w:r>
        <w:rPr/>
        <w:t>treatment</w:t>
      </w:r>
      <w:r>
        <w:rPr>
          <w:spacing w:val="-4"/>
        </w:rPr>
        <w:t> </w:t>
      </w:r>
      <w:r>
        <w:rPr/>
        <w:t>techniques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pStyle w:val="ListParagraph"/>
        <w:numPr>
          <w:ilvl w:val="3"/>
          <w:numId w:val="2"/>
        </w:numPr>
        <w:tabs>
          <w:tab w:pos="2637" w:val="left" w:leader="none"/>
          <w:tab w:pos="2638" w:val="left" w:leader="none"/>
        </w:tabs>
        <w:spacing w:line="240" w:lineRule="auto" w:before="77" w:after="0"/>
        <w:ind w:left="2638" w:right="0" w:hanging="1440"/>
        <w:jc w:val="left"/>
        <w:rPr>
          <w:b/>
          <w:sz w:val="24"/>
        </w:rPr>
      </w:pPr>
      <w:r>
        <w:rPr>
          <w:b/>
          <w:sz w:val="24"/>
        </w:rPr>
        <w:t>Mechanical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recovery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80" w:lineRule="auto" w:before="1"/>
        <w:ind w:left="1198" w:right="578"/>
        <w:jc w:val="both"/>
      </w:pPr>
      <w:r>
        <w:rPr/>
        <w:t>Mechanical recovery is the transfer of oil</w:t>
      </w:r>
      <w:r>
        <w:rPr>
          <w:spacing w:val="75"/>
        </w:rPr>
        <w:t> </w:t>
      </w:r>
      <w:r>
        <w:rPr/>
        <w:t>from the water surface to some transportable</w:t>
      </w:r>
      <w:r>
        <w:rPr>
          <w:spacing w:val="1"/>
        </w:rPr>
        <w:t> </w:t>
      </w:r>
      <w:r>
        <w:rPr/>
        <w:t>form of temporary storage by the help of booms to contain or divert oil, skimmers or</w:t>
      </w:r>
      <w:r>
        <w:rPr>
          <w:spacing w:val="1"/>
        </w:rPr>
        <w:t> </w:t>
      </w:r>
      <w:r>
        <w:rPr/>
        <w:t>solvents to recover or remove it from the water surface, hoses and pumps (Yender, 2002).</w:t>
      </w:r>
      <w:r>
        <w:rPr>
          <w:spacing w:val="1"/>
        </w:rPr>
        <w:t> </w:t>
      </w:r>
      <w:r>
        <w:rPr/>
        <w:t>Mechanical containment and collection of spilled oil on water using equipment such as</w:t>
      </w:r>
      <w:r>
        <w:rPr>
          <w:spacing w:val="1"/>
        </w:rPr>
        <w:t> </w:t>
      </w:r>
      <w:r>
        <w:rPr/>
        <w:t>booms and skimmers cleanup methods is used at many spills (Yender, 2002). Mechanical</w:t>
      </w:r>
      <w:r>
        <w:rPr>
          <w:spacing w:val="1"/>
        </w:rPr>
        <w:t> </w:t>
      </w:r>
      <w:r>
        <w:rPr/>
        <w:t>methods for oil spill remediation have been utilized for a long time with varying degrees of</w:t>
      </w:r>
      <w:r>
        <w:rPr>
          <w:spacing w:val="1"/>
        </w:rPr>
        <w:t> </w:t>
      </w:r>
      <w:r>
        <w:rPr/>
        <w:t>success (Wei </w:t>
      </w:r>
      <w:r>
        <w:rPr>
          <w:sz w:val="25"/>
        </w:rPr>
        <w:t>et al., </w:t>
      </w:r>
      <w:r>
        <w:rPr/>
        <w:t>2003). Booms are employed to prevent oil from spreading on the</w:t>
      </w:r>
      <w:r>
        <w:rPr>
          <w:spacing w:val="1"/>
        </w:rPr>
        <w:t> </w:t>
      </w:r>
      <w:r>
        <w:rPr/>
        <w:t>water’s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spill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(ITOPF,</w:t>
      </w:r>
      <w:r>
        <w:rPr>
          <w:spacing w:val="1"/>
        </w:rPr>
        <w:t> </w:t>
      </w:r>
      <w:r>
        <w:rPr/>
        <w:t>2004).</w:t>
      </w:r>
      <w:r>
        <w:rPr>
          <w:spacing w:val="75"/>
        </w:rPr>
        <w:t> </w:t>
      </w:r>
      <w:r>
        <w:rPr/>
        <w:t>However,</w:t>
      </w:r>
      <w:r>
        <w:rPr>
          <w:spacing w:val="-72"/>
        </w:rPr>
        <w:t> </w:t>
      </w:r>
      <w:r>
        <w:rPr/>
        <w:t>different from booms, skimmers are designed to recover oil from the surface of water.</w:t>
      </w:r>
      <w:r>
        <w:rPr>
          <w:spacing w:val="1"/>
        </w:rPr>
        <w:t> </w:t>
      </w:r>
      <w:r>
        <w:rPr/>
        <w:t>There are different skimming techniques such as weir skimmer, oleophilic skimmer and</w:t>
      </w:r>
      <w:r>
        <w:rPr>
          <w:spacing w:val="1"/>
        </w:rPr>
        <w:t> </w:t>
      </w:r>
      <w:r>
        <w:rPr/>
        <w:t>suction skimmer (USEPA, 2004a). The use of booms and skimmers is still a primary option</w:t>
      </w:r>
      <w:r>
        <w:rPr>
          <w:spacing w:val="1"/>
        </w:rPr>
        <w:t> </w:t>
      </w:r>
      <w:r>
        <w:rPr/>
        <w:t>for combating marine oil spills (Mullin and Champ, 2003) since it is fairly quick and easy.</w:t>
      </w:r>
      <w:r>
        <w:rPr>
          <w:spacing w:val="1"/>
        </w:rPr>
        <w:t> </w:t>
      </w:r>
      <w:r>
        <w:rPr/>
        <w:t>Barriers can be used along mangrove shorelines and inlets to prevent oil entry. Proper</w:t>
      </w:r>
      <w:r>
        <w:rPr>
          <w:spacing w:val="1"/>
        </w:rPr>
        <w:t> </w:t>
      </w:r>
      <w:r>
        <w:rPr/>
        <w:t>strategic booms deployment in sheltered lagoon areas may be highly effective in trapping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quantities</w:t>
      </w:r>
      <w:r>
        <w:rPr>
          <w:spacing w:val="1"/>
        </w:rPr>
        <w:t> </w:t>
      </w:r>
      <w:r>
        <w:rPr/>
        <w:t>of mobile</w:t>
      </w:r>
      <w:r>
        <w:rPr>
          <w:spacing w:val="1"/>
        </w:rPr>
        <w:t> </w:t>
      </w:r>
      <w:r>
        <w:rPr/>
        <w:t>oil and</w:t>
      </w:r>
      <w:r>
        <w:rPr>
          <w:spacing w:val="1"/>
        </w:rPr>
        <w:t> </w:t>
      </w:r>
      <w:r>
        <w:rPr/>
        <w:t>reducing oil impacts</w:t>
      </w:r>
      <w:r>
        <w:rPr>
          <w:spacing w:val="1"/>
        </w:rPr>
        <w:t> </w:t>
      </w:r>
      <w:r>
        <w:rPr/>
        <w:t>to interior mangroves.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effective,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deployed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spill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moves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mangrove areas (Yender,</w:t>
      </w:r>
      <w:r>
        <w:rPr>
          <w:spacing w:val="-2"/>
        </w:rPr>
        <w:t> </w:t>
      </w:r>
      <w:r>
        <w:rPr/>
        <w:t>2002).</w:t>
      </w:r>
    </w:p>
    <w:p>
      <w:pPr>
        <w:pStyle w:val="BodyText"/>
        <w:spacing w:line="267" w:lineRule="exact"/>
        <w:ind w:left="1198"/>
        <w:jc w:val="both"/>
      </w:pPr>
      <w:r>
        <w:rPr/>
        <w:t>Manual</w:t>
      </w:r>
      <w:r>
        <w:rPr>
          <w:spacing w:val="32"/>
        </w:rPr>
        <w:t> </w:t>
      </w:r>
      <w:r>
        <w:rPr/>
        <w:t>removal,</w:t>
      </w:r>
      <w:r>
        <w:rPr>
          <w:spacing w:val="31"/>
        </w:rPr>
        <w:t> </w:t>
      </w:r>
      <w:r>
        <w:rPr/>
        <w:t>using</w:t>
      </w:r>
      <w:r>
        <w:rPr>
          <w:spacing w:val="31"/>
        </w:rPr>
        <w:t> </w:t>
      </w:r>
      <w:r>
        <w:rPr/>
        <w:t>hand</w:t>
      </w:r>
      <w:r>
        <w:rPr>
          <w:spacing w:val="32"/>
        </w:rPr>
        <w:t> </w:t>
      </w:r>
      <w:r>
        <w:rPr/>
        <w:t>tools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manual</w:t>
      </w:r>
      <w:r>
        <w:rPr>
          <w:spacing w:val="32"/>
        </w:rPr>
        <w:t> </w:t>
      </w:r>
      <w:r>
        <w:rPr/>
        <w:t>labor,</w:t>
      </w:r>
      <w:r>
        <w:rPr>
          <w:spacing w:val="31"/>
        </w:rPr>
        <w:t> </w:t>
      </w:r>
      <w:r>
        <w:rPr/>
        <w:t>is</w:t>
      </w:r>
      <w:r>
        <w:rPr>
          <w:spacing w:val="33"/>
        </w:rPr>
        <w:t> </w:t>
      </w:r>
      <w:r>
        <w:rPr/>
        <w:t>often</w:t>
      </w:r>
      <w:r>
        <w:rPr>
          <w:spacing w:val="32"/>
        </w:rPr>
        <w:t> </w:t>
      </w:r>
      <w:r>
        <w:rPr/>
        <w:t>conducted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remove</w:t>
      </w:r>
      <w:r>
        <w:rPr>
          <w:spacing w:val="33"/>
        </w:rPr>
        <w:t> </w:t>
      </w:r>
      <w:r>
        <w:rPr/>
        <w:t>bulk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98" w:right="575"/>
        <w:jc w:val="both"/>
      </w:pPr>
      <w:r>
        <w:rPr/>
        <w:t>oiling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heavier</w:t>
      </w:r>
      <w:r>
        <w:rPr>
          <w:spacing w:val="61"/>
        </w:rPr>
        <w:t> </w:t>
      </w:r>
      <w:r>
        <w:rPr/>
        <w:t>oils</w:t>
      </w:r>
      <w:r>
        <w:rPr>
          <w:spacing w:val="61"/>
        </w:rPr>
        <w:t> </w:t>
      </w:r>
      <w:r>
        <w:rPr/>
        <w:t>such</w:t>
      </w:r>
      <w:r>
        <w:rPr>
          <w:spacing w:val="61"/>
        </w:rPr>
        <w:t> </w:t>
      </w:r>
      <w:r>
        <w:rPr/>
        <w:t>as</w:t>
      </w:r>
      <w:r>
        <w:rPr>
          <w:spacing w:val="62"/>
        </w:rPr>
        <w:t> </w:t>
      </w:r>
      <w:r>
        <w:rPr/>
        <w:t>crude</w:t>
      </w:r>
      <w:r>
        <w:rPr>
          <w:spacing w:val="60"/>
        </w:rPr>
        <w:t> </w:t>
      </w:r>
      <w:r>
        <w:rPr/>
        <w:t>oil</w:t>
      </w:r>
      <w:r>
        <w:rPr>
          <w:spacing w:val="60"/>
        </w:rPr>
        <w:t> </w:t>
      </w:r>
      <w:r>
        <w:rPr/>
        <w:t>or</w:t>
      </w:r>
      <w:r>
        <w:rPr>
          <w:spacing w:val="63"/>
        </w:rPr>
        <w:t> </w:t>
      </w:r>
      <w:r>
        <w:rPr/>
        <w:t>bunker</w:t>
      </w:r>
      <w:r>
        <w:rPr>
          <w:spacing w:val="60"/>
        </w:rPr>
        <w:t> </w:t>
      </w:r>
      <w:r>
        <w:rPr/>
        <w:t>oil</w:t>
      </w:r>
      <w:r>
        <w:rPr>
          <w:spacing w:val="61"/>
        </w:rPr>
        <w:t> </w:t>
      </w:r>
      <w:r>
        <w:rPr/>
        <w:t>stranded</w:t>
      </w:r>
      <w:r>
        <w:rPr>
          <w:spacing w:val="63"/>
        </w:rPr>
        <w:t> </w:t>
      </w:r>
      <w:r>
        <w:rPr/>
        <w:t>in</w:t>
      </w:r>
      <w:r>
        <w:rPr>
          <w:spacing w:val="61"/>
        </w:rPr>
        <w:t> </w:t>
      </w:r>
      <w:r>
        <w:rPr/>
        <w:t>mangroves.</w:t>
      </w:r>
      <w:r>
        <w:rPr>
          <w:spacing w:val="60"/>
        </w:rPr>
        <w:t> </w:t>
      </w:r>
      <w:r>
        <w:rPr/>
        <w:t>Manual</w:t>
      </w:r>
      <w:r>
        <w:rPr>
          <w:spacing w:val="-73"/>
        </w:rPr>
        <w:t> </w:t>
      </w:r>
      <w:r>
        <w:rPr/>
        <w:t>removal</w:t>
      </w:r>
      <w:r>
        <w:rPr>
          <w:spacing w:val="30"/>
        </w:rPr>
        <w:t> </w:t>
      </w:r>
      <w:r>
        <w:rPr/>
        <w:t>help</w:t>
      </w:r>
      <w:r>
        <w:rPr>
          <w:spacing w:val="29"/>
        </w:rPr>
        <w:t> </w:t>
      </w:r>
      <w:r>
        <w:rPr/>
        <w:t>prevent</w:t>
      </w:r>
      <w:r>
        <w:rPr>
          <w:spacing w:val="28"/>
        </w:rPr>
        <w:t> </w:t>
      </w:r>
      <w:r>
        <w:rPr/>
        <w:t>other</w:t>
      </w:r>
      <w:r>
        <w:rPr>
          <w:spacing w:val="29"/>
        </w:rPr>
        <w:t> </w:t>
      </w:r>
      <w:r>
        <w:rPr/>
        <w:t>areas</w:t>
      </w:r>
      <w:r>
        <w:rPr>
          <w:spacing w:val="31"/>
        </w:rPr>
        <w:t> </w:t>
      </w:r>
      <w:r>
        <w:rPr/>
        <w:t>from</w:t>
      </w:r>
      <w:r>
        <w:rPr>
          <w:spacing w:val="29"/>
        </w:rPr>
        <w:t> </w:t>
      </w:r>
      <w:r>
        <w:rPr/>
        <w:t>becoming</w:t>
      </w:r>
      <w:r>
        <w:rPr>
          <w:spacing w:val="29"/>
        </w:rPr>
        <w:t> </w:t>
      </w:r>
      <w:r>
        <w:rPr/>
        <w:t>contaminated</w:t>
      </w:r>
      <w:r>
        <w:rPr>
          <w:spacing w:val="30"/>
        </w:rPr>
        <w:t> </w:t>
      </w:r>
      <w:r>
        <w:rPr/>
        <w:t>as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oil</w:t>
      </w:r>
      <w:r>
        <w:rPr>
          <w:spacing w:val="27"/>
        </w:rPr>
        <w:t> </w:t>
      </w:r>
      <w:r>
        <w:rPr/>
        <w:t>moves</w:t>
      </w:r>
      <w:r>
        <w:rPr>
          <w:spacing w:val="28"/>
        </w:rPr>
        <w:t> </w:t>
      </w:r>
      <w:r>
        <w:rPr/>
        <w:t>around</w:t>
      </w:r>
      <w:r>
        <w:rPr>
          <w:spacing w:val="-72"/>
        </w:rPr>
        <w:t> </w:t>
      </w:r>
      <w:r>
        <w:rPr/>
        <w:t>and helps limit long term sediment contamination (Yender, 2002). Performance of any of</w:t>
      </w:r>
      <w:r>
        <w:rPr>
          <w:spacing w:val="1"/>
        </w:rPr>
        <w:t> </w:t>
      </w:r>
      <w:r>
        <w:rPr/>
        <w:t>these however can be severally limited by oceanic conditions</w:t>
      </w:r>
      <w:r>
        <w:rPr>
          <w:spacing w:val="1"/>
        </w:rPr>
        <w:t> </w:t>
      </w:r>
      <w:r>
        <w:rPr/>
        <w:t>and weather, including</w:t>
      </w:r>
      <w:r>
        <w:rPr>
          <w:spacing w:val="1"/>
        </w:rPr>
        <w:t> </w:t>
      </w:r>
      <w:r>
        <w:rPr/>
        <w:t>currents,</w:t>
      </w:r>
      <w:r>
        <w:rPr>
          <w:spacing w:val="75"/>
        </w:rPr>
        <w:t> </w:t>
      </w:r>
      <w:r>
        <w:rPr/>
        <w:t>waves</w:t>
      </w:r>
      <w:r>
        <w:rPr>
          <w:spacing w:val="77"/>
        </w:rPr>
        <w:t> </w:t>
      </w:r>
      <w:r>
        <w:rPr/>
        <w:t>and</w:t>
      </w:r>
      <w:r>
        <w:rPr>
          <w:spacing w:val="76"/>
        </w:rPr>
        <w:t> </w:t>
      </w:r>
      <w:r>
        <w:rPr/>
        <w:t>wind  and</w:t>
      </w:r>
      <w:r>
        <w:rPr>
          <w:spacing w:val="75"/>
        </w:rPr>
        <w:t> </w:t>
      </w:r>
      <w:r>
        <w:rPr/>
        <w:t>by</w:t>
      </w:r>
      <w:r>
        <w:rPr>
          <w:spacing w:val="76"/>
        </w:rPr>
        <w:t> </w:t>
      </w:r>
      <w:r>
        <w:rPr/>
        <w:t>the</w:t>
      </w:r>
      <w:r>
        <w:rPr>
          <w:spacing w:val="77"/>
        </w:rPr>
        <w:t> </w:t>
      </w:r>
      <w:r>
        <w:rPr/>
        <w:t>nature</w:t>
      </w:r>
      <w:r>
        <w:rPr>
          <w:spacing w:val="77"/>
        </w:rPr>
        <w:t> </w:t>
      </w:r>
      <w:r>
        <w:rPr/>
        <w:t>of</w:t>
      </w:r>
      <w:r>
        <w:rPr>
          <w:spacing w:val="76"/>
        </w:rPr>
        <w:t> </w:t>
      </w:r>
      <w:r>
        <w:rPr/>
        <w:t>oil</w:t>
      </w:r>
      <w:r>
        <w:rPr>
          <w:spacing w:val="75"/>
        </w:rPr>
        <w:t> </w:t>
      </w:r>
      <w:r>
        <w:rPr/>
        <w:t>slick.</w:t>
      </w:r>
      <w:r>
        <w:rPr>
          <w:spacing w:val="76"/>
        </w:rPr>
        <w:t> </w:t>
      </w:r>
      <w:r>
        <w:rPr/>
        <w:t>Research</w:t>
      </w:r>
      <w:r>
        <w:rPr>
          <w:spacing w:val="76"/>
        </w:rPr>
        <w:t> </w:t>
      </w:r>
      <w:r>
        <w:rPr/>
        <w:t>has</w:t>
      </w:r>
      <w:r>
        <w:rPr>
          <w:spacing w:val="77"/>
        </w:rPr>
        <w:t> </w:t>
      </w:r>
      <w:r>
        <w:rPr/>
        <w:t>shown</w:t>
      </w:r>
      <w:r>
        <w:rPr>
          <w:spacing w:val="77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80" w:lineRule="auto" w:before="75"/>
        <w:ind w:left="1198" w:right="577"/>
        <w:jc w:val="both"/>
      </w:pPr>
      <w:r>
        <w:rPr/>
        <w:t>mechanical recovery alone usually cannot adequately deal with very large spills offshore.</w:t>
      </w:r>
      <w:r>
        <w:rPr>
          <w:spacing w:val="1"/>
        </w:rPr>
        <w:t> </w:t>
      </w:r>
      <w:r>
        <w:rPr/>
        <w:t>Weather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mechanical recovery.</w:t>
      </w:r>
    </w:p>
    <w:p>
      <w:pPr>
        <w:pStyle w:val="BodyText"/>
        <w:spacing w:line="477" w:lineRule="auto" w:before="2"/>
        <w:ind w:left="1198" w:right="577"/>
        <w:jc w:val="both"/>
      </w:pPr>
      <w:r>
        <w:rPr/>
        <w:t>Another important method is the use of sorbents. There are numerous compounds and</w:t>
      </w:r>
      <w:r>
        <w:rPr>
          <w:spacing w:val="1"/>
        </w:rPr>
        <w:t> </w:t>
      </w:r>
      <w:r>
        <w:rPr/>
        <w:t>materials available as sorbents to collect oil slicks. Today the sorbents in use can be</w:t>
      </w:r>
      <w:r>
        <w:rPr>
          <w:spacing w:val="1"/>
        </w:rPr>
        <w:t> </w:t>
      </w:r>
      <w:r>
        <w:rPr/>
        <w:t>classified as either: natural organic products such as saw dust, rice husks or maize husk,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plastic or polyurethane</w:t>
      </w:r>
      <w:r>
        <w:rPr>
          <w:spacing w:val="1"/>
        </w:rPr>
        <w:t> </w:t>
      </w:r>
      <w:r>
        <w:rPr/>
        <w:t>foam</w:t>
      </w:r>
      <w:r>
        <w:rPr>
          <w:spacing w:val="1"/>
        </w:rPr>
        <w:t> </w:t>
      </w:r>
      <w:r>
        <w:rPr/>
        <w:t>or natural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products such as zeolite and goethite (Deschamps </w:t>
      </w:r>
      <w:r>
        <w:rPr>
          <w:sz w:val="25"/>
        </w:rPr>
        <w:t>et al., </w:t>
      </w:r>
      <w:r>
        <w:rPr/>
        <w:t>2003). Sorbent booms or other</w:t>
      </w:r>
      <w:r>
        <w:rPr>
          <w:spacing w:val="1"/>
        </w:rPr>
        <w:t> </w:t>
      </w:r>
      <w:r>
        <w:rPr/>
        <w:t>sorbent materials can be placed at the fringe of oiled mangroves forest to passively recover</w:t>
      </w:r>
      <w:r>
        <w:rPr>
          <w:spacing w:val="-72"/>
        </w:rPr>
        <w:t> </w:t>
      </w:r>
      <w:r>
        <w:rPr/>
        <w:t>any mobile oil including sheens. Sorbents are oleophilic and either absorb or adsorb oil.</w:t>
      </w:r>
      <w:r>
        <w:rPr>
          <w:spacing w:val="1"/>
        </w:rPr>
        <w:t> </w:t>
      </w:r>
      <w:r>
        <w:rPr/>
        <w:t>They can be composed of either synthetic or natural materials and they come in variety of</w:t>
      </w:r>
      <w:r>
        <w:rPr>
          <w:spacing w:val="1"/>
        </w:rPr>
        <w:t> </w:t>
      </w:r>
      <w:r>
        <w:rPr/>
        <w:t>forms,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sausage</w:t>
      </w:r>
      <w:r>
        <w:rPr>
          <w:spacing w:val="1"/>
        </w:rPr>
        <w:t> </w:t>
      </w:r>
      <w:r>
        <w:rPr/>
        <w:t>boom,</w:t>
      </w:r>
      <w:r>
        <w:rPr>
          <w:spacing w:val="1"/>
        </w:rPr>
        <w:t> </w:t>
      </w:r>
      <w:r>
        <w:rPr/>
        <w:t>“pom-pom”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snare</w:t>
      </w:r>
      <w:r>
        <w:rPr>
          <w:spacing w:val="1"/>
        </w:rPr>
        <w:t> </w:t>
      </w:r>
      <w:r>
        <w:rPr/>
        <w:t>boom,</w:t>
      </w:r>
      <w:r>
        <w:rPr>
          <w:spacing w:val="1"/>
        </w:rPr>
        <w:t> </w:t>
      </w:r>
      <w:r>
        <w:rPr/>
        <w:t>sheet</w:t>
      </w:r>
      <w:r>
        <w:rPr>
          <w:spacing w:val="1"/>
        </w:rPr>
        <w:t> </w:t>
      </w:r>
      <w:r>
        <w:rPr/>
        <w:t>rolls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loose</w:t>
      </w:r>
      <w:r>
        <w:rPr>
          <w:spacing w:val="1"/>
        </w:rPr>
        <w:t> </w:t>
      </w:r>
      <w:r>
        <w:rPr/>
        <w:t>particulates. Sorbents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depending upon</w:t>
      </w:r>
      <w:r>
        <w:rPr>
          <w:spacing w:val="1"/>
        </w:rPr>
        <w:t> </w:t>
      </w:r>
      <w:r>
        <w:rPr/>
        <w:t>type,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weathering and absorption capacity. Sorbent materials must be placed and removed (when</w:t>
      </w:r>
      <w:r>
        <w:rPr>
          <w:spacing w:val="-72"/>
        </w:rPr>
        <w:t> </w:t>
      </w:r>
      <w:r>
        <w:rPr/>
        <w:t>they are saturated and no longer needed) carefully to minimize disturbance of sediments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injury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mangrove roots (Yender,</w:t>
      </w:r>
      <w:r>
        <w:rPr>
          <w:spacing w:val="-2"/>
        </w:rPr>
        <w:t> </w:t>
      </w:r>
      <w:r>
        <w:rPr/>
        <w:t>2002).</w:t>
      </w:r>
    </w:p>
    <w:p>
      <w:pPr>
        <w:pStyle w:val="Heading3"/>
        <w:numPr>
          <w:ilvl w:val="3"/>
          <w:numId w:val="2"/>
        </w:numPr>
        <w:tabs>
          <w:tab w:pos="2638" w:val="left" w:leader="none"/>
        </w:tabs>
        <w:spacing w:line="240" w:lineRule="auto" w:before="216" w:after="0"/>
        <w:ind w:left="2638" w:right="0" w:hanging="1440"/>
        <w:jc w:val="both"/>
      </w:pPr>
      <w:r>
        <w:rPr/>
        <w:t>Chemical</w:t>
      </w:r>
      <w:r>
        <w:rPr>
          <w:spacing w:val="-4"/>
        </w:rPr>
        <w:t> </w:t>
      </w:r>
      <w:r>
        <w:rPr/>
        <w:t>methods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80" w:lineRule="auto"/>
        <w:ind w:left="1198" w:right="578"/>
        <w:jc w:val="both"/>
      </w:pPr>
      <w:r>
        <w:rPr/>
        <w:t>Chemical Methods are best methods for removing small spills; widely spread thin layers of</w:t>
      </w:r>
      <w:r>
        <w:rPr>
          <w:spacing w:val="1"/>
        </w:rPr>
        <w:t> </w:t>
      </w:r>
      <w:r>
        <w:rPr/>
        <w:t>oil, oil rough seas and oil spills immediately threatening damage to property and life.</w:t>
      </w:r>
      <w:r>
        <w:rPr>
          <w:spacing w:val="1"/>
        </w:rPr>
        <w:t> </w:t>
      </w:r>
      <w:r>
        <w:rPr/>
        <w:t>Chemical methods involve the use of dispersants, sinking agents, demulsifiers, gelling</w:t>
      </w:r>
      <w:r>
        <w:rPr>
          <w:spacing w:val="1"/>
        </w:rPr>
        <w:t> </w:t>
      </w:r>
      <w:r>
        <w:rPr/>
        <w:t>agents and neutralization agents. Chemical shoreline cleaners are sprayed on oil coated</w:t>
      </w:r>
      <w:r>
        <w:rPr>
          <w:spacing w:val="1"/>
        </w:rPr>
        <w:t> </w:t>
      </w:r>
      <w:r>
        <w:rPr/>
        <w:t>surfaces to loosen the oil from the surface so that it can be flushed off with ambient water.</w:t>
      </w:r>
      <w:r>
        <w:rPr>
          <w:spacing w:val="-72"/>
        </w:rPr>
        <w:t> </w:t>
      </w:r>
      <w:r>
        <w:rPr/>
        <w:t>Tidal</w:t>
      </w:r>
      <w:r>
        <w:rPr>
          <w:spacing w:val="47"/>
        </w:rPr>
        <w:t> </w:t>
      </w:r>
      <w:r>
        <w:rPr/>
        <w:t>waters</w:t>
      </w:r>
      <w:r>
        <w:rPr>
          <w:spacing w:val="47"/>
        </w:rPr>
        <w:t> </w:t>
      </w:r>
      <w:r>
        <w:rPr/>
        <w:t>or</w:t>
      </w:r>
      <w:r>
        <w:rPr>
          <w:spacing w:val="48"/>
        </w:rPr>
        <w:t> </w:t>
      </w:r>
      <w:r>
        <w:rPr/>
        <w:t>water</w:t>
      </w:r>
      <w:r>
        <w:rPr>
          <w:spacing w:val="49"/>
        </w:rPr>
        <w:t> </w:t>
      </w:r>
      <w:r>
        <w:rPr/>
        <w:t>sprays</w:t>
      </w:r>
      <w:r>
        <w:rPr>
          <w:spacing w:val="47"/>
        </w:rPr>
        <w:t> </w:t>
      </w:r>
      <w:r>
        <w:rPr/>
        <w:t>alone</w:t>
      </w:r>
      <w:r>
        <w:rPr>
          <w:spacing w:val="47"/>
        </w:rPr>
        <w:t> </w:t>
      </w:r>
      <w:r>
        <w:rPr/>
        <w:t>cannot</w:t>
      </w:r>
      <w:r>
        <w:rPr>
          <w:spacing w:val="48"/>
        </w:rPr>
        <w:t> </w:t>
      </w:r>
      <w:r>
        <w:rPr/>
        <w:t>effectively</w:t>
      </w:r>
      <w:r>
        <w:rPr>
          <w:spacing w:val="47"/>
        </w:rPr>
        <w:t> </w:t>
      </w:r>
      <w:r>
        <w:rPr/>
        <w:t>wash</w:t>
      </w:r>
      <w:r>
        <w:rPr>
          <w:spacing w:val="47"/>
        </w:rPr>
        <w:t> </w:t>
      </w:r>
      <w:r>
        <w:rPr/>
        <w:t>away</w:t>
      </w:r>
      <w:r>
        <w:rPr>
          <w:spacing w:val="48"/>
        </w:rPr>
        <w:t> </w:t>
      </w:r>
      <w:r>
        <w:rPr/>
        <w:t>heavy</w:t>
      </w:r>
      <w:r>
        <w:rPr>
          <w:spacing w:val="47"/>
        </w:rPr>
        <w:t> </w:t>
      </w:r>
      <w:r>
        <w:rPr/>
        <w:t>oil.</w:t>
      </w:r>
      <w:r>
        <w:rPr>
          <w:spacing w:val="45"/>
        </w:rPr>
        <w:t> </w:t>
      </w:r>
      <w:r>
        <w:rPr/>
        <w:t>Shore</w:t>
      </w:r>
      <w:r>
        <w:rPr>
          <w:spacing w:val="48"/>
        </w:rPr>
        <w:t> </w:t>
      </w:r>
      <w:r>
        <w:rPr/>
        <w:t>line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82" w:lineRule="auto" w:before="75"/>
        <w:ind w:left="1198" w:right="581"/>
        <w:jc w:val="both"/>
      </w:pPr>
      <w:r>
        <w:rPr/>
        <w:t>cleaning products vary in their toxicity and recoverability of the treated, mobilized oil.</w:t>
      </w:r>
      <w:r>
        <w:rPr>
          <w:spacing w:val="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shoreline cleaners</w:t>
      </w:r>
      <w:r>
        <w:rPr>
          <w:spacing w:val="-1"/>
        </w:rPr>
        <w:t> </w:t>
      </w:r>
      <w:r>
        <w:rPr/>
        <w:t>loosen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dissolve</w:t>
      </w:r>
      <w:r>
        <w:rPr>
          <w:spacing w:val="-1"/>
        </w:rPr>
        <w:t> </w:t>
      </w:r>
      <w:r>
        <w:rPr/>
        <w:t>heavy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deposits</w:t>
      </w:r>
      <w:r>
        <w:rPr>
          <w:spacing w:val="-1"/>
        </w:rPr>
        <w:t> </w:t>
      </w:r>
      <w:r>
        <w:rPr/>
        <w:t>(Yender,</w:t>
      </w:r>
      <w:r>
        <w:rPr>
          <w:spacing w:val="-2"/>
        </w:rPr>
        <w:t> </w:t>
      </w:r>
      <w:r>
        <w:rPr/>
        <w:t>2002).</w:t>
      </w:r>
    </w:p>
    <w:p>
      <w:pPr>
        <w:pStyle w:val="BodyText"/>
        <w:spacing w:line="480" w:lineRule="auto"/>
        <w:ind w:left="1198" w:right="575"/>
        <w:jc w:val="both"/>
      </w:pPr>
      <w:r>
        <w:rPr/>
        <w:t>Chemical dispersants are products applied to oil on the water surface to enhance formation</w:t>
      </w:r>
      <w:r>
        <w:rPr>
          <w:spacing w:val="-72"/>
        </w:rPr>
        <w:t> </w:t>
      </w:r>
      <w:r>
        <w:rPr/>
        <w:t>of tiny oil droplets, which mix into the water column and are dispersed by currents.</w:t>
      </w:r>
      <w:r>
        <w:rPr>
          <w:spacing w:val="1"/>
        </w:rPr>
        <w:t> </w:t>
      </w:r>
      <w:r>
        <w:rPr/>
        <w:t>Dispersants</w:t>
      </w:r>
      <w:r>
        <w:rPr>
          <w:spacing w:val="19"/>
        </w:rPr>
        <w:t> </w:t>
      </w:r>
      <w:r>
        <w:rPr/>
        <w:t>break</w:t>
      </w:r>
      <w:r>
        <w:rPr>
          <w:spacing w:val="20"/>
        </w:rPr>
        <w:t> </w:t>
      </w:r>
      <w:r>
        <w:rPr/>
        <w:t>spilt</w:t>
      </w:r>
      <w:r>
        <w:rPr>
          <w:spacing w:val="18"/>
        </w:rPr>
        <w:t> </w:t>
      </w:r>
      <w:r>
        <w:rPr/>
        <w:t>oil</w:t>
      </w:r>
      <w:r>
        <w:rPr>
          <w:spacing w:val="19"/>
        </w:rPr>
        <w:t> </w:t>
      </w:r>
      <w:r>
        <w:rPr/>
        <w:t>into</w:t>
      </w:r>
      <w:r>
        <w:rPr>
          <w:spacing w:val="18"/>
        </w:rPr>
        <w:t> </w:t>
      </w:r>
      <w:r>
        <w:rPr/>
        <w:t>tiny</w:t>
      </w:r>
      <w:r>
        <w:rPr>
          <w:spacing w:val="20"/>
        </w:rPr>
        <w:t> </w:t>
      </w:r>
      <w:r>
        <w:rPr/>
        <w:t>particle,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different</w:t>
      </w:r>
      <w:r>
        <w:rPr>
          <w:spacing w:val="19"/>
        </w:rPr>
        <w:t> </w:t>
      </w:r>
      <w:r>
        <w:rPr/>
        <w:t>sizes</w:t>
      </w:r>
      <w:r>
        <w:rPr>
          <w:spacing w:val="20"/>
        </w:rPr>
        <w:t> </w:t>
      </w:r>
      <w:r>
        <w:rPr/>
        <w:t>that</w:t>
      </w:r>
      <w:r>
        <w:rPr>
          <w:spacing w:val="21"/>
        </w:rPr>
        <w:t> </w:t>
      </w:r>
      <w:r>
        <w:rPr/>
        <w:t>can</w:t>
      </w:r>
      <w:r>
        <w:rPr>
          <w:spacing w:val="20"/>
        </w:rPr>
        <w:t> </w:t>
      </w:r>
      <w:r>
        <w:rPr/>
        <w:t>be</w:t>
      </w:r>
      <w:r>
        <w:rPr>
          <w:spacing w:val="20"/>
        </w:rPr>
        <w:t> </w:t>
      </w:r>
      <w:r>
        <w:rPr/>
        <w:t>easily</w:t>
      </w:r>
      <w:r>
        <w:rPr>
          <w:spacing w:val="20"/>
        </w:rPr>
        <w:t> </w:t>
      </w:r>
      <w:r>
        <w:rPr/>
        <w:t>degraded</w:t>
      </w:r>
      <w:r>
        <w:rPr>
          <w:spacing w:val="-73"/>
        </w:rPr>
        <w:t> </w:t>
      </w:r>
      <w:r>
        <w:rPr/>
        <w:t>by bacteria (Sun, 2010). Most oil physically disperse naturally to some degree due to</w:t>
      </w:r>
      <w:r>
        <w:rPr>
          <w:spacing w:val="1"/>
        </w:rPr>
        <w:t> </w:t>
      </w:r>
      <w:r>
        <w:rPr/>
        <w:t>agitation created by wave action and ocean turbulence. The key components of a chemical</w:t>
      </w:r>
      <w:r>
        <w:rPr>
          <w:spacing w:val="1"/>
        </w:rPr>
        <w:t> </w:t>
      </w:r>
      <w:r>
        <w:rPr/>
        <w:t>dispersant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surface-active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surfactant,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“detergents”. They contain molecules with both water-compatible (hydrophilic) and oil</w:t>
      </w:r>
      <w:r>
        <w:rPr>
          <w:spacing w:val="1"/>
        </w:rPr>
        <w:t> </w:t>
      </w:r>
      <w:r>
        <w:rPr/>
        <w:t>compatible (hydrophobic) portions. Most chemical dispersants also contain a solvent that</w:t>
      </w:r>
      <w:r>
        <w:rPr>
          <w:spacing w:val="1"/>
        </w:rPr>
        <w:t> </w:t>
      </w:r>
      <w:r>
        <w:rPr/>
        <w:t>reduces viscosity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facilitates dispersal.</w:t>
      </w:r>
    </w:p>
    <w:p>
      <w:pPr>
        <w:pStyle w:val="BodyText"/>
        <w:spacing w:line="480" w:lineRule="auto"/>
        <w:ind w:left="1198" w:right="579"/>
        <w:jc w:val="both"/>
      </w:pPr>
      <w:r>
        <w:rPr/>
        <w:t>Chemical dispersants enhance and speed up this natural dispersion process, minimizes</w:t>
      </w:r>
      <w:r>
        <w:rPr>
          <w:spacing w:val="1"/>
        </w:rPr>
        <w:t> </w:t>
      </w:r>
      <w:r>
        <w:rPr/>
        <w:t>impact in wildlife at the water surface (e.g. birds and marine mammals) and reduces the</w:t>
      </w:r>
      <w:r>
        <w:rPr>
          <w:spacing w:val="1"/>
        </w:rPr>
        <w:t> </w:t>
      </w:r>
      <w:r>
        <w:rPr/>
        <w:t>amount of floating oil that reaches sensitive near shore and shoreline habitats (Yender,</w:t>
      </w:r>
      <w:r>
        <w:rPr>
          <w:spacing w:val="1"/>
        </w:rPr>
        <w:t> </w:t>
      </w:r>
      <w:r>
        <w:rPr/>
        <w:t>2002). Moreover using dispersant in oil spill remediation does not create any wastage</w:t>
      </w:r>
      <w:r>
        <w:rPr>
          <w:spacing w:val="1"/>
        </w:rPr>
        <w:t> </w:t>
      </w:r>
      <w:r>
        <w:rPr/>
        <w:t>(NOAA,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470" w:lineRule="auto"/>
        <w:ind w:left="1198" w:right="577"/>
        <w:jc w:val="both"/>
      </w:pPr>
      <w:r>
        <w:rPr/>
        <w:t>Typical sinking agents include sand, brick dust, fly ash, china clay, coal dust and cement.</w:t>
      </w:r>
      <w:r>
        <w:rPr>
          <w:spacing w:val="1"/>
        </w:rPr>
        <w:t> </w:t>
      </w:r>
      <w:r>
        <w:rPr/>
        <w:t>However, sinking is seldom completely effective initially, and some oil tends to surface.</w:t>
      </w:r>
      <w:r>
        <w:rPr>
          <w:spacing w:val="1"/>
        </w:rPr>
        <w:t> </w:t>
      </w:r>
      <w:r>
        <w:rPr/>
        <w:t>Other chemical materials have also been used in the combat against oil spills with a less</w:t>
      </w:r>
      <w:r>
        <w:rPr>
          <w:spacing w:val="1"/>
        </w:rPr>
        <w:t> </w:t>
      </w:r>
      <w:r>
        <w:rPr/>
        <w:t>extensive scale. They include emulsion breakers (Nordvik </w:t>
      </w:r>
      <w:r>
        <w:rPr>
          <w:sz w:val="25"/>
        </w:rPr>
        <w:t>et al., </w:t>
      </w:r>
      <w:r>
        <w:rPr/>
        <w:t>1996; Buist </w:t>
      </w:r>
      <w:r>
        <w:rPr>
          <w:sz w:val="25"/>
        </w:rPr>
        <w:t>et al., </w:t>
      </w:r>
      <w:r>
        <w:rPr/>
        <w:t>1999)</w:t>
      </w:r>
      <w:r>
        <w:rPr>
          <w:spacing w:val="1"/>
        </w:rPr>
        <w:t> </w:t>
      </w:r>
      <w:r>
        <w:rPr/>
        <w:t>and gelling agents or solidifiers (Delaune </w:t>
      </w:r>
      <w:r>
        <w:rPr>
          <w:sz w:val="25"/>
        </w:rPr>
        <w:t>et al., </w:t>
      </w:r>
      <w:r>
        <w:rPr/>
        <w:t>1999; Reynolds </w:t>
      </w:r>
      <w:r>
        <w:rPr>
          <w:sz w:val="25"/>
        </w:rPr>
        <w:t>et al., </w:t>
      </w:r>
      <w:r>
        <w:rPr/>
        <w:t>2001; USEPA,</w:t>
      </w:r>
      <w:r>
        <w:rPr>
          <w:spacing w:val="1"/>
        </w:rPr>
        <w:t> </w:t>
      </w:r>
      <w:r>
        <w:rPr/>
        <w:t>2004b)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neutralizing</w:t>
      </w:r>
      <w:r>
        <w:rPr>
          <w:spacing w:val="-3"/>
        </w:rPr>
        <w:t> </w:t>
      </w:r>
      <w:r>
        <w:rPr/>
        <w:t>agents (Ventikos</w:t>
      </w:r>
      <w:r>
        <w:rPr>
          <w:spacing w:val="-2"/>
        </w:rPr>
        <w:t> </w:t>
      </w:r>
      <w:r>
        <w:rPr>
          <w:sz w:val="25"/>
        </w:rPr>
        <w:t>et</w:t>
      </w:r>
      <w:r>
        <w:rPr>
          <w:spacing w:val="-4"/>
          <w:sz w:val="25"/>
        </w:rPr>
        <w:t> </w:t>
      </w:r>
      <w:r>
        <w:rPr>
          <w:sz w:val="25"/>
        </w:rPr>
        <w:t>al.,</w:t>
      </w:r>
      <w:r>
        <w:rPr>
          <w:spacing w:val="-5"/>
          <w:sz w:val="25"/>
        </w:rPr>
        <w:t> </w:t>
      </w:r>
      <w:r>
        <w:rPr/>
        <w:t>2004).</w:t>
      </w:r>
    </w:p>
    <w:p>
      <w:pPr>
        <w:spacing w:after="0" w:line="47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numPr>
          <w:ilvl w:val="3"/>
          <w:numId w:val="2"/>
        </w:numPr>
        <w:tabs>
          <w:tab w:pos="2637" w:val="left" w:leader="none"/>
          <w:tab w:pos="2638" w:val="left" w:leader="none"/>
        </w:tabs>
        <w:spacing w:line="240" w:lineRule="auto" w:before="77" w:after="0"/>
        <w:ind w:left="2638" w:right="0" w:hanging="1440"/>
        <w:jc w:val="left"/>
      </w:pPr>
      <w:r>
        <w:rPr/>
        <w:t>In-situ</w:t>
      </w:r>
      <w:r>
        <w:rPr>
          <w:spacing w:val="-5"/>
        </w:rPr>
        <w:t> </w:t>
      </w:r>
      <w:r>
        <w:rPr/>
        <w:t>burning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80" w:lineRule="auto" w:before="1"/>
        <w:ind w:left="1198" w:right="576"/>
        <w:jc w:val="both"/>
      </w:pPr>
      <w:r>
        <w:rPr/>
        <w:t>In-situ burning is an oil spill response technique that involves the controlled ignition of the</w:t>
      </w:r>
      <w:r>
        <w:rPr>
          <w:spacing w:val="1"/>
        </w:rPr>
        <w:t> </w:t>
      </w:r>
      <w:r>
        <w:rPr/>
        <w:t>oil at or near the spill site on the surface of the water or in marsh (Mullin and Champ,</w:t>
      </w:r>
      <w:r>
        <w:rPr>
          <w:spacing w:val="1"/>
        </w:rPr>
        <w:t> </w:t>
      </w:r>
      <w:r>
        <w:rPr/>
        <w:t>2003). In-situ burning involves the ignition and controlled combustion of the spilled oil</w:t>
      </w:r>
      <w:r>
        <w:rPr>
          <w:spacing w:val="1"/>
        </w:rPr>
        <w:t> </w:t>
      </w:r>
      <w:r>
        <w:rPr/>
        <w:t>(USACE, 2005). In order for oil on water to burn, the slick must be relatively fresh and at</w:t>
      </w:r>
      <w:r>
        <w:rPr>
          <w:spacing w:val="1"/>
        </w:rPr>
        <w:t> </w:t>
      </w:r>
      <w:r>
        <w:rPr/>
        <w:t>least 3mm thick. In-situ burning is a response technique in which spilled oil is burned in a</w:t>
      </w:r>
      <w:r>
        <w:rPr>
          <w:spacing w:val="1"/>
        </w:rPr>
        <w:t> </w:t>
      </w:r>
      <w:r>
        <w:rPr/>
        <w:t>place, when viewed appropriately, in-situ burning can remove large quantities of oil quickly</w:t>
      </w:r>
      <w:r>
        <w:rPr>
          <w:spacing w:val="-72"/>
        </w:rPr>
        <w:t> </w:t>
      </w:r>
      <w:r>
        <w:rPr/>
        <w:t>and efficiently with minimal logical support. Like dispersants, in-situ burning can help</w:t>
      </w:r>
      <w:r>
        <w:rPr>
          <w:spacing w:val="1"/>
        </w:rPr>
        <w:t> </w:t>
      </w:r>
      <w:r>
        <w:rPr/>
        <w:t>minimize impacts to wildlife at the water surface and reduce the amount of oil that reaches</w:t>
      </w:r>
      <w:r>
        <w:rPr>
          <w:spacing w:val="-72"/>
        </w:rPr>
        <w:t> </w:t>
      </w:r>
      <w:r>
        <w:rPr/>
        <w:t>sensitive</w:t>
      </w:r>
      <w:r>
        <w:rPr>
          <w:spacing w:val="-1"/>
        </w:rPr>
        <w:t> </w:t>
      </w:r>
      <w:r>
        <w:rPr/>
        <w:t>near</w:t>
      </w:r>
      <w:r>
        <w:rPr>
          <w:spacing w:val="-2"/>
        </w:rPr>
        <w:t> </w:t>
      </w:r>
      <w:r>
        <w:rPr/>
        <w:t>shore and</w:t>
      </w:r>
      <w:r>
        <w:rPr>
          <w:spacing w:val="-2"/>
        </w:rPr>
        <w:t> </w:t>
      </w:r>
      <w:r>
        <w:rPr/>
        <w:t>shoreline</w:t>
      </w:r>
      <w:r>
        <w:rPr>
          <w:spacing w:val="1"/>
        </w:rPr>
        <w:t> </w:t>
      </w:r>
      <w:r>
        <w:rPr/>
        <w:t>habitats</w:t>
      </w:r>
      <w:r>
        <w:rPr>
          <w:spacing w:val="-1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mangroves (Yender,</w:t>
      </w:r>
      <w:r>
        <w:rPr>
          <w:spacing w:val="-2"/>
        </w:rPr>
        <w:t> </w:t>
      </w:r>
      <w:r>
        <w:rPr/>
        <w:t>2002).</w:t>
      </w:r>
    </w:p>
    <w:p>
      <w:pPr>
        <w:pStyle w:val="BodyText"/>
        <w:spacing w:line="477" w:lineRule="auto" w:before="1"/>
        <w:ind w:left="1198" w:right="578"/>
        <w:jc w:val="both"/>
      </w:pPr>
      <w:r>
        <w:rPr/>
        <w:t>Since volatile components in the oil begin to evaporate as soon as the spill occurs, the</w:t>
      </w:r>
      <w:r>
        <w:rPr>
          <w:spacing w:val="1"/>
        </w:rPr>
        <w:t> </w:t>
      </w:r>
      <w:r>
        <w:rPr/>
        <w:t>potential for burning decrease with time. Burning is usually 95-98% efficient, but does</w:t>
      </w:r>
      <w:r>
        <w:rPr>
          <w:spacing w:val="1"/>
        </w:rPr>
        <w:t> </w:t>
      </w:r>
      <w:r>
        <w:rPr/>
        <w:t>cause black smoke. The smoke is not more toxic than if the oil were burned as intended in</w:t>
      </w:r>
      <w:r>
        <w:rPr>
          <w:spacing w:val="1"/>
        </w:rPr>
        <w:t> </w:t>
      </w:r>
      <w:r>
        <w:rPr/>
        <w:t>fuels. However, burning oil is not an environmentally friendly method as it causes air</w:t>
      </w:r>
      <w:r>
        <w:rPr>
          <w:spacing w:val="1"/>
        </w:rPr>
        <w:t> </w:t>
      </w:r>
      <w:r>
        <w:rPr/>
        <w:t>pollution and leaves residual unburnt particles (Christodoulou, 2002). One gallon of oil</w:t>
      </w:r>
      <w:r>
        <w:rPr>
          <w:spacing w:val="1"/>
        </w:rPr>
        <w:t> </w:t>
      </w:r>
      <w:r>
        <w:rPr/>
        <w:t>burned this way creates the same pollutions as tree logs in fire place and woodstove.</w:t>
      </w:r>
      <w:r>
        <w:rPr>
          <w:spacing w:val="1"/>
        </w:rPr>
        <w:t> </w:t>
      </w:r>
      <w:r>
        <w:rPr/>
        <w:t>Burning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 be dangerous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(Buist</w:t>
      </w:r>
      <w:r>
        <w:rPr>
          <w:spacing w:val="75"/>
        </w:rPr>
        <w:t> </w:t>
      </w:r>
      <w:r>
        <w:rPr>
          <w:sz w:val="25"/>
        </w:rPr>
        <w:t>et al.,</w:t>
      </w:r>
      <w:r>
        <w:rPr>
          <w:spacing w:val="1"/>
          <w:sz w:val="25"/>
        </w:rPr>
        <w:t> </w:t>
      </w:r>
      <w:r>
        <w:rPr/>
        <w:t>1999).</w:t>
      </w:r>
    </w:p>
    <w:p>
      <w:pPr>
        <w:pStyle w:val="Heading3"/>
        <w:numPr>
          <w:ilvl w:val="3"/>
          <w:numId w:val="2"/>
        </w:numPr>
        <w:tabs>
          <w:tab w:pos="2637" w:val="left" w:leader="none"/>
          <w:tab w:pos="2638" w:val="left" w:leader="none"/>
        </w:tabs>
        <w:spacing w:line="240" w:lineRule="auto" w:before="201" w:after="0"/>
        <w:ind w:left="2638" w:right="0" w:hanging="1440"/>
        <w:jc w:val="left"/>
      </w:pPr>
      <w:r>
        <w:rPr/>
        <w:t>Bioremediation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80" w:lineRule="auto"/>
        <w:ind w:left="1198" w:right="575"/>
        <w:jc w:val="both"/>
      </w:pPr>
      <w:r>
        <w:rPr/>
        <w:t>Constituents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degrade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attacked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bacteria,</w:t>
      </w:r>
      <w:r>
        <w:rPr>
          <w:spacing w:val="1"/>
        </w:rPr>
        <w:t> </w:t>
      </w:r>
      <w:r>
        <w:rPr/>
        <w:t>algae,</w:t>
      </w:r>
      <w:r>
        <w:rPr>
          <w:spacing w:val="75"/>
        </w:rPr>
        <w:t> </w:t>
      </w:r>
      <w:r>
        <w:rPr/>
        <w:t>protozoa and</w:t>
      </w:r>
      <w:r>
        <w:rPr>
          <w:spacing w:val="-72"/>
        </w:rPr>
        <w:t> </w:t>
      </w:r>
      <w:r>
        <w:rPr/>
        <w:t>marine fungi. Enhancement of biological degradation has been proposed using specially</w:t>
      </w:r>
      <w:r>
        <w:rPr>
          <w:spacing w:val="1"/>
        </w:rPr>
        <w:t> </w:t>
      </w:r>
      <w:r>
        <w:rPr/>
        <w:t>bioengineered</w:t>
      </w:r>
      <w:r>
        <w:rPr>
          <w:spacing w:val="1"/>
        </w:rPr>
        <w:t> </w:t>
      </w:r>
      <w:r>
        <w:rPr/>
        <w:t>microbes.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microbes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degrade</w:t>
      </w:r>
      <w:r>
        <w:rPr>
          <w:spacing w:val="1"/>
        </w:rPr>
        <w:t> </w:t>
      </w:r>
      <w:r>
        <w:rPr/>
        <w:t>hydrocarbons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available</w:t>
      </w:r>
      <w:r>
        <w:rPr>
          <w:spacing w:val="18"/>
        </w:rPr>
        <w:t> </w:t>
      </w:r>
      <w:r>
        <w:rPr/>
        <w:t>everywhere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nature,</w:t>
      </w:r>
      <w:r>
        <w:rPr>
          <w:spacing w:val="17"/>
        </w:rPr>
        <w:t> </w:t>
      </w:r>
      <w:r>
        <w:rPr/>
        <w:t>except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polar</w:t>
      </w:r>
      <w:r>
        <w:rPr>
          <w:spacing w:val="18"/>
        </w:rPr>
        <w:t> </w:t>
      </w:r>
      <w:r>
        <w:rPr/>
        <w:t>waters</w:t>
      </w:r>
      <w:r>
        <w:rPr>
          <w:spacing w:val="18"/>
        </w:rPr>
        <w:t> </w:t>
      </w:r>
      <w:r>
        <w:rPr/>
        <w:t>where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rates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breakdown</w:t>
      </w:r>
      <w:r>
        <w:rPr>
          <w:spacing w:val="21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75" w:lineRule="auto" w:before="75"/>
        <w:ind w:left="1198" w:right="575"/>
        <w:jc w:val="both"/>
      </w:pPr>
      <w:r>
        <w:rPr/>
        <w:t>very slow and variable. It does not appear necessary in most cases to enhance their action.</w:t>
      </w:r>
      <w:r>
        <w:rPr>
          <w:spacing w:val="-72"/>
        </w:rPr>
        <w:t> </w:t>
      </w:r>
      <w:r>
        <w:rPr/>
        <w:t>Nutrient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biodegradation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nutrient-limited conditions.</w:t>
      </w:r>
      <w:r>
        <w:rPr>
          <w:spacing w:val="1"/>
        </w:rPr>
        <w:t> </w:t>
      </w:r>
      <w:r>
        <w:rPr/>
        <w:t>Microbes and essential nutrients for oil degradation generally are not limited to mangrove</w:t>
      </w:r>
      <w:r>
        <w:rPr>
          <w:spacing w:val="1"/>
        </w:rPr>
        <w:t> </w:t>
      </w:r>
      <w:r>
        <w:rPr/>
        <w:t>habitats, so enrichment may not offer much benefit. Burns </w:t>
      </w:r>
      <w:r>
        <w:rPr>
          <w:sz w:val="25"/>
        </w:rPr>
        <w:t>et al., </w:t>
      </w:r>
      <w:r>
        <w:rPr/>
        <w:t>(1999) concluded that</w:t>
      </w:r>
      <w:r>
        <w:rPr>
          <w:spacing w:val="1"/>
        </w:rPr>
        <w:t> </w:t>
      </w:r>
      <w:r>
        <w:rPr/>
        <w:t>aeration of contaminated sediments may be effective in enhancing biodegradation of oil in</w:t>
      </w:r>
      <w:r>
        <w:rPr>
          <w:spacing w:val="1"/>
        </w:rPr>
        <w:t> </w:t>
      </w:r>
      <w:r>
        <w:rPr/>
        <w:t>the mangrove sediments, since mangrove sediments are usually anaerobic below surface</w:t>
      </w:r>
      <w:r>
        <w:rPr>
          <w:spacing w:val="1"/>
        </w:rPr>
        <w:t> </w:t>
      </w:r>
      <w:r>
        <w:rPr/>
        <w:t>layers.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researchers</w:t>
      </w:r>
      <w:r>
        <w:rPr>
          <w:spacing w:val="16"/>
        </w:rPr>
        <w:t> </w:t>
      </w:r>
      <w:r>
        <w:rPr/>
        <w:t>suggest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bioremediation</w:t>
      </w:r>
      <w:r>
        <w:rPr>
          <w:spacing w:val="16"/>
        </w:rPr>
        <w:t> </w:t>
      </w:r>
      <w:r>
        <w:rPr/>
        <w:t>strategy</w:t>
      </w:r>
      <w:r>
        <w:rPr>
          <w:spacing w:val="16"/>
        </w:rPr>
        <w:t> </w:t>
      </w:r>
      <w:r>
        <w:rPr/>
        <w:t>that</w:t>
      </w:r>
      <w:r>
        <w:rPr>
          <w:spacing w:val="15"/>
        </w:rPr>
        <w:t> </w:t>
      </w:r>
      <w:r>
        <w:rPr/>
        <w:t>employs</w:t>
      </w:r>
      <w:r>
        <w:rPr>
          <w:spacing w:val="16"/>
        </w:rPr>
        <w:t> </w:t>
      </w:r>
      <w:r>
        <w:rPr/>
        <w:t>selective</w:t>
      </w:r>
      <w:r>
        <w:rPr>
          <w:spacing w:val="17"/>
        </w:rPr>
        <w:t> </w:t>
      </w:r>
      <w:r>
        <w:rPr/>
        <w:t>aeration</w:t>
      </w:r>
      <w:r>
        <w:rPr>
          <w:spacing w:val="-73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integrity</w:t>
      </w:r>
      <w:r>
        <w:rPr>
          <w:spacing w:val="1"/>
        </w:rPr>
        <w:t> </w:t>
      </w:r>
      <w:r>
        <w:rPr/>
        <w:t>of</w:t>
      </w:r>
      <w:r>
        <w:rPr>
          <w:spacing w:val="75"/>
        </w:rPr>
        <w:t> </w:t>
      </w:r>
      <w:r>
        <w:rPr/>
        <w:t>the</w:t>
      </w:r>
      <w:r>
        <w:rPr>
          <w:spacing w:val="1"/>
        </w:rPr>
        <w:t> </w:t>
      </w:r>
      <w:r>
        <w:rPr/>
        <w:t>mangrove forest. Burns </w:t>
      </w:r>
      <w:r>
        <w:rPr>
          <w:sz w:val="25"/>
        </w:rPr>
        <w:t>et al., </w:t>
      </w:r>
      <w:r>
        <w:rPr/>
        <w:t>(1999), points out that aeration is not necessarily a strategy</w:t>
      </w:r>
      <w:r>
        <w:rPr>
          <w:spacing w:val="-72"/>
        </w:rPr>
        <w:t> </w:t>
      </w:r>
      <w:r>
        <w:rPr/>
        <w:t>to</w:t>
      </w:r>
      <w:r>
        <w:rPr>
          <w:spacing w:val="-3"/>
        </w:rPr>
        <w:t> </w:t>
      </w:r>
      <w:r>
        <w:rPr/>
        <w:t>be used</w:t>
      </w:r>
      <w:r>
        <w:rPr>
          <w:spacing w:val="-2"/>
        </w:rPr>
        <w:t> </w:t>
      </w:r>
      <w:r>
        <w:rPr/>
        <w:t>over large</w:t>
      </w:r>
      <w:r>
        <w:rPr>
          <w:spacing w:val="1"/>
        </w:rPr>
        <w:t> </w:t>
      </w:r>
      <w:r>
        <w:rPr/>
        <w:t>areas.</w:t>
      </w:r>
    </w:p>
    <w:p>
      <w:pPr>
        <w:pStyle w:val="BodyText"/>
        <w:spacing w:line="475" w:lineRule="auto" w:before="1"/>
        <w:ind w:left="1198" w:right="577"/>
        <w:jc w:val="both"/>
      </w:pPr>
      <w:r>
        <w:rPr/>
        <w:t>Bioremediation methods have also been studied by Tsutsumi </w:t>
      </w:r>
      <w:r>
        <w:rPr>
          <w:sz w:val="25"/>
        </w:rPr>
        <w:t>et al., </w:t>
      </w:r>
      <w:r>
        <w:rPr/>
        <w:t>(2000). Bioremediation</w:t>
      </w:r>
      <w:r>
        <w:rPr>
          <w:spacing w:val="-72"/>
        </w:rPr>
        <w:t> </w:t>
      </w:r>
      <w:r>
        <w:rPr/>
        <w:t>is time consuming (USEPA, 2004c) since the rate is normally equal to the half lives of the</w:t>
      </w:r>
      <w:r>
        <w:rPr>
          <w:spacing w:val="1"/>
        </w:rPr>
        <w:t> </w:t>
      </w:r>
      <w:r>
        <w:rPr/>
        <w:t>hydrocarbons</w:t>
      </w:r>
      <w:r>
        <w:rPr>
          <w:spacing w:val="1"/>
        </w:rPr>
        <w:t> </w:t>
      </w:r>
      <w:r>
        <w:rPr/>
        <w:t>(Wang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al.,</w:t>
      </w:r>
      <w:r>
        <w:rPr>
          <w:spacing w:val="1"/>
          <w:sz w:val="25"/>
        </w:rPr>
        <w:t> </w:t>
      </w:r>
      <w:r>
        <w:rPr/>
        <w:t>2001).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75"/>
        </w:rPr>
        <w:t> </w:t>
      </w:r>
      <w:r>
        <w:rPr/>
        <w:t>their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microorganisms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remediation.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phytoremediation.</w:t>
      </w:r>
      <w:r>
        <w:rPr>
          <w:spacing w:val="1"/>
        </w:rPr>
        <w:t> </w:t>
      </w:r>
      <w:r>
        <w:rPr/>
        <w:t>Phytoremediation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proving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contaminants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hydrocarbons (Fingas and</w:t>
      </w:r>
      <w:r>
        <w:rPr>
          <w:spacing w:val="-2"/>
        </w:rPr>
        <w:t> </w:t>
      </w:r>
      <w:r>
        <w:rPr/>
        <w:t>Charles,</w:t>
      </w:r>
      <w:r>
        <w:rPr>
          <w:spacing w:val="-2"/>
        </w:rPr>
        <w:t> </w:t>
      </w:r>
      <w:r>
        <w:rPr/>
        <w:t>2001).</w:t>
      </w:r>
    </w:p>
    <w:p>
      <w:pPr>
        <w:pStyle w:val="Heading3"/>
        <w:numPr>
          <w:ilvl w:val="3"/>
          <w:numId w:val="2"/>
        </w:numPr>
        <w:tabs>
          <w:tab w:pos="2637" w:val="left" w:leader="none"/>
          <w:tab w:pos="2638" w:val="left" w:leader="none"/>
        </w:tabs>
        <w:spacing w:line="240" w:lineRule="auto" w:before="200" w:after="0"/>
        <w:ind w:left="2638" w:right="0" w:hanging="1440"/>
        <w:jc w:val="left"/>
      </w:pPr>
      <w:r>
        <w:rPr/>
        <w:t>Natural</w:t>
      </w:r>
      <w:r>
        <w:rPr>
          <w:spacing w:val="-6"/>
        </w:rPr>
        <w:t> </w:t>
      </w:r>
      <w:r>
        <w:rPr/>
        <w:t>removal</w:t>
      </w:r>
    </w:p>
    <w:p>
      <w:pPr>
        <w:pStyle w:val="BodyText"/>
        <w:spacing w:before="6"/>
        <w:rPr>
          <w:b/>
          <w:sz w:val="40"/>
        </w:rPr>
      </w:pPr>
    </w:p>
    <w:p>
      <w:pPr>
        <w:pStyle w:val="BodyText"/>
        <w:spacing w:line="480" w:lineRule="auto"/>
        <w:ind w:left="1198" w:right="574"/>
        <w:jc w:val="both"/>
      </w:pPr>
      <w:r>
        <w:rPr/>
        <w:t>Natural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eventually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oil.</w:t>
      </w:r>
      <w:r>
        <w:rPr>
          <w:spacing w:val="1"/>
        </w:rPr>
        <w:t> </w:t>
      </w:r>
      <w:r>
        <w:rPr/>
        <w:t>Tidal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can</w:t>
      </w:r>
      <w:r>
        <w:rPr>
          <w:spacing w:val="75"/>
        </w:rPr>
        <w:t> </w:t>
      </w:r>
      <w:r>
        <w:rPr/>
        <w:t>help</w:t>
      </w:r>
      <w:r>
        <w:rPr>
          <w:spacing w:val="1"/>
        </w:rPr>
        <w:t> </w:t>
      </w:r>
      <w:r>
        <w:rPr/>
        <w:t>physically flush sanded oil out of contaminated mangrove areas. Weathering processes</w:t>
      </w:r>
      <w:r>
        <w:rPr>
          <w:spacing w:val="1"/>
        </w:rPr>
        <w:t> </w:t>
      </w:r>
      <w:r>
        <w:rPr/>
        <w:t>degrade the oil, gradually reducing quantity and toxicity. There are several circumstances</w:t>
      </w:r>
      <w:r>
        <w:rPr>
          <w:spacing w:val="1"/>
        </w:rPr>
        <w:t> </w:t>
      </w:r>
      <w:r>
        <w:rPr/>
        <w:t>under which it is appropriate to do nothing. When no cleaning is conducted, oil will slowly</w:t>
      </w:r>
      <w:r>
        <w:rPr>
          <w:spacing w:val="1"/>
        </w:rPr>
        <w:t> </w:t>
      </w:r>
      <w:r>
        <w:rPr/>
        <w:t>degrade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can</w:t>
      </w:r>
      <w:r>
        <w:rPr>
          <w:spacing w:val="15"/>
        </w:rPr>
        <w:t> </w:t>
      </w:r>
      <w:r>
        <w:rPr/>
        <w:t>be</w:t>
      </w:r>
      <w:r>
        <w:rPr>
          <w:spacing w:val="15"/>
        </w:rPr>
        <w:t> </w:t>
      </w:r>
      <w:r>
        <w:rPr/>
        <w:t>removed</w:t>
      </w:r>
      <w:r>
        <w:rPr>
          <w:spacing w:val="14"/>
        </w:rPr>
        <w:t> </w:t>
      </w:r>
      <w:r>
        <w:rPr/>
        <w:t>naturally,</w:t>
      </w:r>
      <w:r>
        <w:rPr>
          <w:spacing w:val="16"/>
        </w:rPr>
        <w:t> </w:t>
      </w:r>
      <w:r>
        <w:rPr/>
        <w:t>assisted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/>
        <w:t>natural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storm</w:t>
      </w:r>
      <w:r>
        <w:rPr>
          <w:spacing w:val="14"/>
        </w:rPr>
        <w:t> </w:t>
      </w:r>
      <w:r>
        <w:rPr/>
        <w:t>generated</w:t>
      </w:r>
      <w:r>
        <w:rPr>
          <w:spacing w:val="14"/>
        </w:rPr>
        <w:t> </w:t>
      </w:r>
      <w:r>
        <w:rPr/>
        <w:t>flushing.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82" w:lineRule="auto" w:before="75"/>
        <w:ind w:left="1198" w:right="573"/>
        <w:jc w:val="both"/>
      </w:pPr>
      <w:r>
        <w:rPr/>
        <w:t>Other natural processes that result in the removal of oil from the natural environment</w:t>
      </w:r>
      <w:r>
        <w:rPr>
          <w:spacing w:val="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evaporation, oxidation,</w:t>
      </w:r>
      <w:r>
        <w:rPr>
          <w:spacing w:val="-1"/>
        </w:rPr>
        <w:t> </w:t>
      </w:r>
      <w:r>
        <w:rPr/>
        <w:t>biodegradation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flushing</w:t>
      </w:r>
      <w:r>
        <w:rPr>
          <w:spacing w:val="-3"/>
        </w:rPr>
        <w:t> </w:t>
      </w:r>
      <w:r>
        <w:rPr/>
        <w:t>(USEPA,</w:t>
      </w:r>
      <w:r>
        <w:rPr>
          <w:spacing w:val="-2"/>
        </w:rPr>
        <w:t> </w:t>
      </w:r>
      <w:r>
        <w:rPr/>
        <w:t>1999).</w:t>
      </w:r>
    </w:p>
    <w:p>
      <w:pPr>
        <w:pStyle w:val="BodyText"/>
        <w:spacing w:line="480" w:lineRule="auto"/>
        <w:ind w:left="1198" w:right="575"/>
        <w:jc w:val="both"/>
      </w:pPr>
      <w:r>
        <w:rPr/>
        <w:t>Spills of light oils, which will naturally evaporate and break down very rapidly, do not</w:t>
      </w:r>
      <w:r>
        <w:rPr>
          <w:spacing w:val="1"/>
        </w:rPr>
        <w:t> </w:t>
      </w:r>
      <w:r>
        <w:rPr/>
        <w:t>require clean up. Such light oils are usually gone within five days. Furthermore, light fuel</w:t>
      </w:r>
      <w:r>
        <w:rPr>
          <w:spacing w:val="1"/>
        </w:rPr>
        <w:t> </w:t>
      </w:r>
      <w:r>
        <w:rPr/>
        <w:t>oils such as gasoline and jet fuels typically impart their toxic impact immediately and clean</w:t>
      </w:r>
      <w:r>
        <w:rPr>
          <w:spacing w:val="1"/>
        </w:rPr>
        <w:t> </w:t>
      </w:r>
      <w:r>
        <w:rPr/>
        <w:t>up can do little to reduce the damage. The only light refined product that might warrant</w:t>
      </w:r>
      <w:r>
        <w:rPr>
          <w:spacing w:val="1"/>
        </w:rPr>
        <w:t> </w:t>
      </w:r>
      <w:r>
        <w:rPr/>
        <w:t>some clean up is diesel (if sediment could be contacted) (Yender, 2002) Clean-up is not</w:t>
      </w:r>
      <w:r>
        <w:rPr>
          <w:spacing w:val="1"/>
        </w:rPr>
        <w:t> </w:t>
      </w:r>
      <w:r>
        <w:rPr/>
        <w:t>recommended for small accumulation of oil regardless of product type. Impacts caused by</w:t>
      </w:r>
      <w:r>
        <w:rPr>
          <w:spacing w:val="1"/>
        </w:rPr>
        <w:t> </w:t>
      </w:r>
      <w:r>
        <w:rPr/>
        <w:t>light accumulations, regardless of product type, generally do not warrant the tradeoffs</w:t>
      </w:r>
      <w:r>
        <w:rPr>
          <w:spacing w:val="1"/>
        </w:rPr>
        <w:t> </w:t>
      </w:r>
      <w:r>
        <w:rPr/>
        <w:t>associated with cleanup activities. Even for major oil spills, there may be cases for which it</w:t>
      </w:r>
      <w:r>
        <w:rPr>
          <w:spacing w:val="1"/>
        </w:rPr>
        <w:t> </w:t>
      </w:r>
      <w:r>
        <w:rPr/>
        <w:t>is best to take no action, depending on the nature of oiling and characteristics of the</w:t>
      </w:r>
      <w:r>
        <w:rPr>
          <w:spacing w:val="1"/>
        </w:rPr>
        <w:t> </w:t>
      </w:r>
      <w:r>
        <w:rPr/>
        <w:t>mangrove forest</w:t>
      </w:r>
      <w:r>
        <w:rPr>
          <w:spacing w:val="-1"/>
        </w:rPr>
        <w:t> </w:t>
      </w:r>
      <w:r>
        <w:rPr/>
        <w:t>affected</w:t>
      </w:r>
      <w:r>
        <w:rPr>
          <w:spacing w:val="-2"/>
        </w:rPr>
        <w:t> </w:t>
      </w:r>
      <w:r>
        <w:rPr/>
        <w:t>(Yender,</w:t>
      </w:r>
      <w:r>
        <w:rPr>
          <w:spacing w:val="-1"/>
        </w:rPr>
        <w:t> </w:t>
      </w:r>
      <w:r>
        <w:rPr/>
        <w:t>2002).</w:t>
      </w:r>
    </w:p>
    <w:p>
      <w:pPr>
        <w:pStyle w:val="Heading3"/>
        <w:numPr>
          <w:ilvl w:val="2"/>
          <w:numId w:val="2"/>
        </w:numPr>
        <w:tabs>
          <w:tab w:pos="1918" w:val="left" w:leader="none"/>
        </w:tabs>
        <w:spacing w:line="240" w:lineRule="auto" w:before="197" w:after="0"/>
        <w:ind w:left="1918" w:right="0" w:hanging="720"/>
        <w:jc w:val="both"/>
      </w:pPr>
      <w:r>
        <w:rPr/>
        <w:t>Sorbent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Oil</w:t>
      </w:r>
      <w:r>
        <w:rPr>
          <w:spacing w:val="-4"/>
        </w:rPr>
        <w:t> </w:t>
      </w:r>
      <w:r>
        <w:rPr/>
        <w:t>Spillage</w:t>
      </w:r>
      <w:r>
        <w:rPr>
          <w:spacing w:val="-3"/>
        </w:rPr>
        <w:t> </w:t>
      </w:r>
      <w:r>
        <w:rPr/>
        <w:t>Treatment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77" w:lineRule="auto"/>
        <w:ind w:left="1198" w:right="578"/>
        <w:jc w:val="both"/>
      </w:pPr>
      <w:r>
        <w:rPr/>
        <w:t>One of the most economic and efficient means of cleaning up hydrocarbon spill on the</w:t>
      </w:r>
      <w:r>
        <w:rPr>
          <w:spacing w:val="1"/>
        </w:rPr>
        <w:t> </w:t>
      </w:r>
      <w:r>
        <w:rPr/>
        <w:t>shoreline and on water is the use of sorbents (Frost </w:t>
      </w:r>
      <w:r>
        <w:rPr>
          <w:sz w:val="25"/>
        </w:rPr>
        <w:t>et al., </w:t>
      </w:r>
      <w:r>
        <w:rPr/>
        <w:t>2007). The use of sorbents to</w:t>
      </w:r>
      <w:r>
        <w:rPr>
          <w:spacing w:val="1"/>
        </w:rPr>
        <w:t> </w:t>
      </w:r>
      <w:r>
        <w:rPr/>
        <w:t>clean-up oil spill presents nearly many advantages due to simplicity of approach and the</w:t>
      </w:r>
      <w:r>
        <w:rPr>
          <w:spacing w:val="1"/>
        </w:rPr>
        <w:t> </w:t>
      </w:r>
      <w:r>
        <w:rPr/>
        <w:t>inexpensive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(Chung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Venosa,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Recently,</w:t>
      </w:r>
      <w:r>
        <w:rPr>
          <w:spacing w:val="1"/>
        </w:rPr>
        <w:t> </w:t>
      </w:r>
      <w:r>
        <w:rPr/>
        <w:t>increasing</w:t>
      </w:r>
      <w:r>
        <w:rPr>
          <w:spacing w:val="-72"/>
        </w:rPr>
        <w:t> </w:t>
      </w:r>
      <w:r>
        <w:rPr/>
        <w:t>concerns about pollution of ground water by organic chemicals has led to research on the</w:t>
      </w:r>
      <w:r>
        <w:rPr>
          <w:spacing w:val="1"/>
        </w:rPr>
        <w:t> </w:t>
      </w:r>
      <w:r>
        <w:rPr/>
        <w:t>use of various sorbents (Ramos-Vianna et al., 2004). Once a sorbent is applied to an</w:t>
      </w:r>
      <w:r>
        <w:rPr>
          <w:spacing w:val="1"/>
        </w:rPr>
        <w:t> </w:t>
      </w:r>
      <w:r>
        <w:rPr/>
        <w:t>impacted wetland, it absorbs the contaminating oil. It retains the oil for a sufficient length</w:t>
      </w:r>
      <w:r>
        <w:rPr>
          <w:spacing w:val="1"/>
        </w:rPr>
        <w:t> </w:t>
      </w:r>
      <w:r>
        <w:rPr/>
        <w:t>of time to allow biodegradation of hydrocarbon by indigenous bacteria under aerobic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(Chung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Venosa,</w:t>
      </w:r>
      <w:r>
        <w:rPr>
          <w:spacing w:val="-1"/>
        </w:rPr>
        <w:t> </w:t>
      </w:r>
      <w:r>
        <w:rPr/>
        <w:t>2008).</w:t>
      </w:r>
    </w:p>
    <w:p>
      <w:pPr>
        <w:spacing w:after="0" w:line="477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75" w:lineRule="auto" w:before="75"/>
        <w:ind w:left="1198" w:right="575"/>
        <w:jc w:val="both"/>
      </w:pPr>
      <w:r>
        <w:rPr/>
        <w:t>Sorbents for oil spill in water are materials that soak up the oil. Sorbents work by either</w:t>
      </w:r>
      <w:r>
        <w:rPr>
          <w:spacing w:val="1"/>
        </w:rPr>
        <w:t> </w:t>
      </w:r>
      <w:r>
        <w:rPr/>
        <w:t>absorption or adsorption (Ghalambor, 1995). Absorbents operate like sponges and collect</w:t>
      </w:r>
      <w:r>
        <w:rPr>
          <w:spacing w:val="1"/>
        </w:rPr>
        <w:t> </w:t>
      </w:r>
      <w:r>
        <w:rPr/>
        <w:t>oils by capillary action or suction. They rely on large surface area, the chemical affinity of</w:t>
      </w:r>
      <w:r>
        <w:rPr>
          <w:spacing w:val="1"/>
        </w:rPr>
        <w:t> </w:t>
      </w:r>
      <w:r>
        <w:rPr/>
        <w:t>the sorbent for the spilled oil and chemical constituents including their porosity, molecular</w:t>
      </w:r>
      <w:r>
        <w:rPr>
          <w:spacing w:val="1"/>
        </w:rPr>
        <w:t> </w:t>
      </w:r>
      <w:r>
        <w:rPr/>
        <w:t>structure and changes in volume. Absorbents work best on light, less viscous oil. In some</w:t>
      </w:r>
      <w:r>
        <w:rPr>
          <w:spacing w:val="1"/>
        </w:rPr>
        <w:t> </w:t>
      </w:r>
      <w:r>
        <w:rPr/>
        <w:t>cases, a sorbent material may utilize both techniques for oil recovery (Aboul-Gheit</w:t>
      </w:r>
      <w:r>
        <w:rPr>
          <w:sz w:val="25"/>
        </w:rPr>
        <w:t>et al.</w:t>
      </w:r>
      <w:r>
        <w:rPr/>
        <w:t>,</w:t>
      </w:r>
      <w:r>
        <w:rPr>
          <w:spacing w:val="1"/>
        </w:rPr>
        <w:t> </w:t>
      </w:r>
      <w:r>
        <w:rPr/>
        <w:t>2006). From literature and field experiences (Choi </w:t>
      </w:r>
      <w:r>
        <w:rPr>
          <w:sz w:val="25"/>
        </w:rPr>
        <w:t>et al., </w:t>
      </w:r>
      <w:r>
        <w:rPr/>
        <w:t>1993; Teas </w:t>
      </w:r>
      <w:r>
        <w:rPr>
          <w:sz w:val="25"/>
        </w:rPr>
        <w:t>et al., </w:t>
      </w:r>
      <w:r>
        <w:rPr/>
        <w:t>2001; Adebajo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-9"/>
          <w:sz w:val="25"/>
        </w:rPr>
        <w:t> </w:t>
      </w:r>
      <w:r>
        <w:rPr>
          <w:sz w:val="25"/>
        </w:rPr>
        <w:t>al.,</w:t>
      </w:r>
      <w:r>
        <w:rPr>
          <w:spacing w:val="-6"/>
          <w:sz w:val="25"/>
        </w:rPr>
        <w:t> </w:t>
      </w:r>
      <w:r>
        <w:rPr/>
        <w:t>2003),</w:t>
      </w:r>
      <w:r>
        <w:rPr>
          <w:spacing w:val="-5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5"/>
        </w:rPr>
        <w:t> </w:t>
      </w:r>
      <w:r>
        <w:rPr/>
        <w:t>efficient</w:t>
      </w:r>
      <w:r>
        <w:rPr>
          <w:spacing w:val="-5"/>
        </w:rPr>
        <w:t> </w:t>
      </w:r>
      <w:r>
        <w:rPr/>
        <w:t>means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cleaning</w:t>
      </w:r>
      <w:r>
        <w:rPr>
          <w:spacing w:val="-5"/>
        </w:rPr>
        <w:t> </w:t>
      </w:r>
      <w:r>
        <w:rPr/>
        <w:t>hydrocarbon</w:t>
      </w:r>
      <w:r>
        <w:rPr>
          <w:spacing w:val="-4"/>
        </w:rPr>
        <w:t> </w:t>
      </w:r>
      <w:r>
        <w:rPr/>
        <w:t>spill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shoreline</w:t>
      </w:r>
      <w:r>
        <w:rPr>
          <w:spacing w:val="-72"/>
        </w:rPr>
        <w:t> </w:t>
      </w:r>
      <w:r>
        <w:rPr/>
        <w:t>(on land) is the use of sorbents. They can be used to recover oil through the mechanism of</w:t>
      </w:r>
      <w:r>
        <w:rPr>
          <w:spacing w:val="-72"/>
        </w:rPr>
        <w:t> </w:t>
      </w:r>
      <w:r>
        <w:rPr/>
        <w:t>absorption and</w:t>
      </w:r>
      <w:r>
        <w:rPr>
          <w:spacing w:val="1"/>
        </w:rPr>
        <w:t> </w:t>
      </w:r>
      <w:r>
        <w:rPr/>
        <w:t>adsorption or both. Absorbents allow oil</w:t>
      </w:r>
      <w:r>
        <w:rPr>
          <w:spacing w:val="75"/>
        </w:rPr>
        <w:t> </w:t>
      </w:r>
      <w:r>
        <w:rPr/>
        <w:t>to penetrate into pore spaces in</w:t>
      </w:r>
      <w:r>
        <w:rPr>
          <w:spacing w:val="1"/>
        </w:rPr>
        <w:t> </w:t>
      </w:r>
      <w:r>
        <w:rPr/>
        <w:t>the material they are made of, while adsorbent attract oil to their surfaces but do not allow</w:t>
      </w:r>
      <w:r>
        <w:rPr>
          <w:spacing w:val="-72"/>
        </w:rPr>
        <w:t> </w:t>
      </w:r>
      <w:r>
        <w:rPr/>
        <w:t>it</w:t>
      </w:r>
      <w:r>
        <w:rPr>
          <w:spacing w:val="-3"/>
        </w:rPr>
        <w:t> </w:t>
      </w:r>
      <w:r>
        <w:rPr/>
        <w:t>to penetrate</w:t>
      </w:r>
      <w:r>
        <w:rPr>
          <w:spacing w:val="-1"/>
        </w:rPr>
        <w:t> </w:t>
      </w:r>
      <w:r>
        <w:rPr/>
        <w:t>into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material</w:t>
      </w:r>
      <w:r>
        <w:rPr>
          <w:spacing w:val="1"/>
        </w:rPr>
        <w:t> </w:t>
      </w:r>
      <w:r>
        <w:rPr/>
        <w:t>(Aboul-Gheit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al.,</w:t>
      </w:r>
      <w:r>
        <w:rPr>
          <w:spacing w:val="-6"/>
          <w:sz w:val="25"/>
        </w:rPr>
        <w:t> </w:t>
      </w:r>
      <w:r>
        <w:rPr/>
        <w:t>2006).</w:t>
      </w:r>
    </w:p>
    <w:p>
      <w:pPr>
        <w:pStyle w:val="BodyText"/>
        <w:spacing w:line="265" w:lineRule="exact"/>
        <w:ind w:left="1198"/>
        <w:jc w:val="both"/>
      </w:pPr>
      <w:r>
        <w:rPr/>
        <w:t>Once</w:t>
      </w:r>
      <w:r>
        <w:rPr>
          <w:spacing w:val="50"/>
        </w:rPr>
        <w:t> </w:t>
      </w:r>
      <w:r>
        <w:rPr/>
        <w:t>sorbents</w:t>
      </w:r>
      <w:r>
        <w:rPr>
          <w:spacing w:val="51"/>
        </w:rPr>
        <w:t> </w:t>
      </w:r>
      <w:r>
        <w:rPr/>
        <w:t>have</w:t>
      </w:r>
      <w:r>
        <w:rPr>
          <w:spacing w:val="46"/>
        </w:rPr>
        <w:t> </w:t>
      </w:r>
      <w:r>
        <w:rPr/>
        <w:t>been</w:t>
      </w:r>
      <w:r>
        <w:rPr>
          <w:spacing w:val="51"/>
        </w:rPr>
        <w:t> </w:t>
      </w:r>
      <w:r>
        <w:rPr/>
        <w:t>used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/>
        <w:t>recover</w:t>
      </w:r>
      <w:r>
        <w:rPr>
          <w:spacing w:val="50"/>
        </w:rPr>
        <w:t> </w:t>
      </w:r>
      <w:r>
        <w:rPr/>
        <w:t>oil,</w:t>
      </w:r>
      <w:r>
        <w:rPr>
          <w:spacing w:val="50"/>
        </w:rPr>
        <w:t> </w:t>
      </w:r>
      <w:r>
        <w:rPr/>
        <w:t>they</w:t>
      </w:r>
      <w:r>
        <w:rPr>
          <w:spacing w:val="50"/>
        </w:rPr>
        <w:t> </w:t>
      </w:r>
      <w:r>
        <w:rPr/>
        <w:t>must</w:t>
      </w:r>
      <w:r>
        <w:rPr>
          <w:spacing w:val="49"/>
        </w:rPr>
        <w:t> </w:t>
      </w:r>
      <w:r>
        <w:rPr/>
        <w:t>be</w:t>
      </w:r>
      <w:r>
        <w:rPr>
          <w:spacing w:val="50"/>
        </w:rPr>
        <w:t> </w:t>
      </w:r>
      <w:r>
        <w:rPr/>
        <w:t>removed</w:t>
      </w:r>
      <w:r>
        <w:rPr>
          <w:spacing w:val="50"/>
        </w:rPr>
        <w:t> </w:t>
      </w:r>
      <w:r>
        <w:rPr/>
        <w:t>from</w:t>
      </w:r>
      <w:r>
        <w:rPr>
          <w:spacing w:val="50"/>
        </w:rPr>
        <w:t> </w:t>
      </w:r>
      <w:r>
        <w:rPr/>
        <w:t>water</w:t>
      </w:r>
      <w:r>
        <w:rPr>
          <w:spacing w:val="49"/>
        </w:rPr>
        <w:t> </w:t>
      </w:r>
      <w:r>
        <w:rPr/>
        <w:t>and</w:t>
      </w:r>
    </w:p>
    <w:p>
      <w:pPr>
        <w:pStyle w:val="BodyText"/>
        <w:spacing w:before="1"/>
      </w:pPr>
    </w:p>
    <w:p>
      <w:pPr>
        <w:pStyle w:val="BodyText"/>
        <w:spacing w:line="470" w:lineRule="auto"/>
        <w:ind w:left="1198" w:right="585"/>
        <w:jc w:val="both"/>
      </w:pPr>
      <w:r>
        <w:rPr/>
        <w:t>properly disposed on land or cleaned for reuse. Any sorbent that is removed from the</w:t>
      </w:r>
      <w:r>
        <w:rPr>
          <w:spacing w:val="1"/>
        </w:rPr>
        <w:t> </w:t>
      </w:r>
      <w:r>
        <w:rPr/>
        <w:t>sorption</w:t>
      </w:r>
      <w:r>
        <w:rPr>
          <w:spacing w:val="-3"/>
        </w:rPr>
        <w:t> </w:t>
      </w:r>
      <w:r>
        <w:rPr/>
        <w:t>system</w:t>
      </w:r>
      <w:r>
        <w:rPr>
          <w:spacing w:val="-2"/>
        </w:rPr>
        <w:t> </w:t>
      </w:r>
      <w:r>
        <w:rPr/>
        <w:t>must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disposed</w:t>
      </w:r>
      <w:r>
        <w:rPr>
          <w:spacing w:val="-4"/>
        </w:rPr>
        <w:t> </w:t>
      </w:r>
      <w:r>
        <w:rPr/>
        <w:t>off</w:t>
      </w:r>
      <w:r>
        <w:rPr>
          <w:spacing w:val="-1"/>
        </w:rPr>
        <w:t> </w:t>
      </w:r>
      <w:r>
        <w:rPr/>
        <w:t>or recycled</w:t>
      </w:r>
      <w:r>
        <w:rPr>
          <w:spacing w:val="-3"/>
        </w:rPr>
        <w:t> </w:t>
      </w:r>
      <w:r>
        <w:rPr/>
        <w:t>(Aboul-Gheit </w:t>
      </w:r>
      <w:r>
        <w:rPr>
          <w:sz w:val="25"/>
        </w:rPr>
        <w:t>et</w:t>
      </w:r>
      <w:r>
        <w:rPr>
          <w:spacing w:val="-7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2"/>
        </w:rPr>
        <w:t> </w:t>
      </w:r>
      <w:r>
        <w:rPr/>
        <w:t>2006).</w:t>
      </w:r>
    </w:p>
    <w:p>
      <w:pPr>
        <w:pStyle w:val="Heading3"/>
        <w:numPr>
          <w:ilvl w:val="2"/>
          <w:numId w:val="2"/>
        </w:numPr>
        <w:tabs>
          <w:tab w:pos="1918" w:val="left" w:leader="none"/>
        </w:tabs>
        <w:spacing w:line="240" w:lineRule="auto" w:before="202" w:after="0"/>
        <w:ind w:left="1918" w:right="0" w:hanging="720"/>
        <w:jc w:val="both"/>
      </w:pPr>
      <w:r>
        <w:rPr/>
        <w:t>Types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Sorbents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65" w:lineRule="auto"/>
        <w:ind w:left="1198" w:right="576"/>
        <w:jc w:val="both"/>
      </w:pPr>
      <w:r>
        <w:rPr/>
        <w:t>Sorbents can be natural organic substances, synthetic organic substances and natural</w:t>
      </w:r>
      <w:r>
        <w:rPr>
          <w:spacing w:val="1"/>
        </w:rPr>
        <w:t> </w:t>
      </w:r>
      <w:r>
        <w:rPr/>
        <w:t>inorganic substances or a mixture of the three (Ventikos </w:t>
      </w:r>
      <w:r>
        <w:rPr>
          <w:sz w:val="25"/>
        </w:rPr>
        <w:t>et al., </w:t>
      </w:r>
      <w:r>
        <w:rPr/>
        <w:t>2004; Bayat </w:t>
      </w:r>
      <w:r>
        <w:rPr>
          <w:sz w:val="25"/>
        </w:rPr>
        <w:t>et al., </w:t>
      </w:r>
      <w:r>
        <w:rPr/>
        <w:t>2005;</w:t>
      </w:r>
      <w:r>
        <w:rPr>
          <w:spacing w:val="1"/>
        </w:rPr>
        <w:t> </w:t>
      </w:r>
      <w:r>
        <w:rPr/>
        <w:t>Frost</w:t>
      </w:r>
      <w:r>
        <w:rPr>
          <w:spacing w:val="-3"/>
        </w:rPr>
        <w:t> </w:t>
      </w:r>
      <w:r>
        <w:rPr>
          <w:sz w:val="25"/>
        </w:rPr>
        <w:t>et</w:t>
      </w:r>
      <w:r>
        <w:rPr>
          <w:spacing w:val="-3"/>
          <w:sz w:val="25"/>
        </w:rPr>
        <w:t> </w:t>
      </w:r>
      <w:r>
        <w:rPr>
          <w:sz w:val="25"/>
        </w:rPr>
        <w:t>al.,</w:t>
      </w:r>
      <w:r>
        <w:rPr>
          <w:spacing w:val="-5"/>
          <w:sz w:val="25"/>
        </w:rPr>
        <w:t> </w:t>
      </w:r>
      <w:r>
        <w:rPr/>
        <w:t>2007).</w:t>
      </w:r>
    </w:p>
    <w:p>
      <w:pPr>
        <w:pStyle w:val="Heading3"/>
        <w:numPr>
          <w:ilvl w:val="3"/>
          <w:numId w:val="2"/>
        </w:numPr>
        <w:tabs>
          <w:tab w:pos="2638" w:val="left" w:leader="none"/>
        </w:tabs>
        <w:spacing w:line="240" w:lineRule="auto" w:before="207" w:after="0"/>
        <w:ind w:left="2638" w:right="0" w:hanging="1440"/>
        <w:jc w:val="both"/>
      </w:pPr>
      <w:r>
        <w:rPr/>
        <w:t>Natural</w:t>
      </w:r>
      <w:r>
        <w:rPr>
          <w:spacing w:val="-5"/>
        </w:rPr>
        <w:t> </w:t>
      </w:r>
      <w:r>
        <w:rPr/>
        <w:t>organic</w:t>
      </w:r>
      <w:r>
        <w:rPr>
          <w:spacing w:val="-4"/>
        </w:rPr>
        <w:t> </w:t>
      </w:r>
      <w:r>
        <w:rPr/>
        <w:t>sorbents</w:t>
      </w:r>
    </w:p>
    <w:p>
      <w:pPr>
        <w:pStyle w:val="BodyText"/>
        <w:spacing w:before="7"/>
        <w:rPr>
          <w:b/>
          <w:sz w:val="39"/>
        </w:rPr>
      </w:pPr>
    </w:p>
    <w:p>
      <w:pPr>
        <w:pStyle w:val="BodyText"/>
        <w:spacing w:line="465" w:lineRule="auto"/>
        <w:ind w:left="1198" w:right="578"/>
        <w:jc w:val="both"/>
      </w:pPr>
      <w:r>
        <w:rPr/>
        <w:t>This first category include peat moss (Balternas and Vaisis, 2005), straw (Sun </w:t>
      </w:r>
      <w:r>
        <w:rPr>
          <w:sz w:val="25"/>
        </w:rPr>
        <w:t>et al., </w:t>
      </w:r>
      <w:r>
        <w:rPr/>
        <w:t>2002),</w:t>
      </w:r>
      <w:r>
        <w:rPr>
          <w:spacing w:val="-72"/>
        </w:rPr>
        <w:t> </w:t>
      </w:r>
      <w:r>
        <w:rPr/>
        <w:t>hay, sawdust, bark (Haussard </w:t>
      </w:r>
      <w:r>
        <w:rPr>
          <w:sz w:val="25"/>
        </w:rPr>
        <w:t>et al., </w:t>
      </w:r>
      <w:r>
        <w:rPr/>
        <w:t>2003), grown corn cobs, wool (Choi and Moreau,</w:t>
      </w:r>
      <w:r>
        <w:rPr>
          <w:spacing w:val="1"/>
        </w:rPr>
        <w:t> </w:t>
      </w:r>
      <w:r>
        <w:rPr/>
        <w:t>1993;</w:t>
      </w:r>
      <w:r>
        <w:rPr>
          <w:spacing w:val="39"/>
        </w:rPr>
        <w:t> </w:t>
      </w:r>
      <w:r>
        <w:rPr/>
        <w:t>Choi,</w:t>
      </w:r>
      <w:r>
        <w:rPr>
          <w:spacing w:val="40"/>
        </w:rPr>
        <w:t> </w:t>
      </w:r>
      <w:r>
        <w:rPr/>
        <w:t>1996),</w:t>
      </w:r>
      <w:r>
        <w:rPr>
          <w:spacing w:val="38"/>
        </w:rPr>
        <w:t> </w:t>
      </w:r>
      <w:r>
        <w:rPr/>
        <w:t>feathers</w:t>
      </w:r>
      <w:r>
        <w:rPr>
          <w:spacing w:val="42"/>
        </w:rPr>
        <w:t> </w:t>
      </w:r>
      <w:r>
        <w:rPr/>
        <w:t>(Coxeter,</w:t>
      </w:r>
      <w:r>
        <w:rPr>
          <w:spacing w:val="40"/>
        </w:rPr>
        <w:t> </w:t>
      </w:r>
      <w:r>
        <w:rPr/>
        <w:t>1994)</w:t>
      </w:r>
      <w:r>
        <w:rPr>
          <w:spacing w:val="39"/>
        </w:rPr>
        <w:t> </w:t>
      </w:r>
      <w:r>
        <w:rPr/>
        <w:t>and</w:t>
      </w:r>
      <w:r>
        <w:rPr>
          <w:spacing w:val="43"/>
        </w:rPr>
        <w:t> </w:t>
      </w:r>
      <w:r>
        <w:rPr/>
        <w:t>other</w:t>
      </w:r>
      <w:r>
        <w:rPr>
          <w:spacing w:val="41"/>
        </w:rPr>
        <w:t> </w:t>
      </w:r>
      <w:r>
        <w:rPr/>
        <w:t>wood</w:t>
      </w:r>
      <w:r>
        <w:rPr>
          <w:spacing w:val="39"/>
        </w:rPr>
        <w:t> </w:t>
      </w:r>
      <w:r>
        <w:rPr/>
        <w:t>based</w:t>
      </w:r>
      <w:r>
        <w:rPr>
          <w:spacing w:val="40"/>
        </w:rPr>
        <w:t> </w:t>
      </w:r>
      <w:r>
        <w:rPr/>
        <w:t>products.</w:t>
      </w:r>
      <w:r>
        <w:rPr>
          <w:spacing w:val="39"/>
        </w:rPr>
        <w:t> </w:t>
      </w:r>
      <w:r>
        <w:rPr/>
        <w:t>They</w:t>
      </w:r>
      <w:r>
        <w:rPr>
          <w:spacing w:val="44"/>
        </w:rPr>
        <w:t> </w:t>
      </w:r>
      <w:r>
        <w:rPr/>
        <w:t>are</w:t>
      </w:r>
    </w:p>
    <w:p>
      <w:pPr>
        <w:spacing w:after="0" w:line="465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80" w:lineRule="auto" w:before="75"/>
        <w:ind w:left="1198" w:right="575"/>
        <w:jc w:val="both"/>
      </w:pPr>
      <w:r>
        <w:rPr/>
        <w:t>relatively inexpensive and generally readily available. Organic sorbents can absorb three to</w:t>
      </w:r>
      <w:r>
        <w:rPr>
          <w:spacing w:val="1"/>
        </w:rPr>
        <w:t> </w:t>
      </w:r>
      <w:r>
        <w:rPr/>
        <w:t>fifteen times their weight of oil but they also present some disadvantages. Some organic</w:t>
      </w:r>
      <w:r>
        <w:rPr>
          <w:spacing w:val="1"/>
        </w:rPr>
        <w:t> </w:t>
      </w:r>
      <w:r>
        <w:rPr/>
        <w:t>sorbents are loose particles such as sawdust and are difficult to collect after they spread on</w:t>
      </w:r>
      <w:r>
        <w:rPr>
          <w:spacing w:val="-72"/>
        </w:rPr>
        <w:t> </w:t>
      </w:r>
      <w:r>
        <w:rPr/>
        <w:t>water (Ghalambor, 1995). In addition, plant derived organic sorbents are biodegradable</w:t>
      </w:r>
      <w:r>
        <w:rPr>
          <w:spacing w:val="1"/>
        </w:rPr>
        <w:t> </w:t>
      </w:r>
      <w:r>
        <w:rPr/>
        <w:t>thus leaves no permanent residue. Choi and Cloud, (1992) conducted further studies on</w:t>
      </w:r>
      <w:r>
        <w:rPr>
          <w:spacing w:val="1"/>
        </w:rPr>
        <w:t> </w:t>
      </w:r>
      <w:r>
        <w:rPr/>
        <w:t>milkweed and cotton fibers. The results showed that milkweed and cotton sorb oil more</w:t>
      </w:r>
      <w:r>
        <w:rPr>
          <w:spacing w:val="1"/>
        </w:rPr>
        <w:t> </w:t>
      </w:r>
      <w:r>
        <w:rPr/>
        <w:t>efficiently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cannot</w:t>
      </w:r>
      <w:r>
        <w:rPr>
          <w:spacing w:val="-3"/>
        </w:rPr>
        <w:t> </w:t>
      </w:r>
      <w:r>
        <w:rPr/>
        <w:t>be reused</w:t>
      </w:r>
      <w:r>
        <w:rPr>
          <w:spacing w:val="-3"/>
        </w:rPr>
        <w:t> </w:t>
      </w:r>
      <w:r>
        <w:rPr/>
        <w:t>as often as</w:t>
      </w:r>
      <w:r>
        <w:rPr>
          <w:spacing w:val="-1"/>
        </w:rPr>
        <w:t> </w:t>
      </w:r>
      <w:r>
        <w:rPr/>
        <w:t>polypropylene.</w:t>
      </w:r>
    </w:p>
    <w:p>
      <w:pPr>
        <w:pStyle w:val="BodyText"/>
        <w:spacing w:line="477" w:lineRule="auto" w:before="1"/>
        <w:ind w:left="1198" w:right="578"/>
        <w:jc w:val="both"/>
      </w:pPr>
      <w:r>
        <w:rPr/>
        <w:t>The disadvantage of organic sorbents is that organic sorbent are loose particles and are</w:t>
      </w:r>
      <w:r>
        <w:rPr>
          <w:spacing w:val="1"/>
        </w:rPr>
        <w:t> </w:t>
      </w:r>
      <w:r>
        <w:rPr/>
        <w:t>difficult to collect after they have spread on water (Sayed</w:t>
      </w:r>
      <w:r>
        <w:rPr>
          <w:spacing w:val="75"/>
        </w:rPr>
        <w:t> </w:t>
      </w:r>
      <w:r>
        <w:rPr>
          <w:sz w:val="25"/>
        </w:rPr>
        <w:t>et al., </w:t>
      </w:r>
      <w:r>
        <w:rPr/>
        <w:t>2004). The use of</w:t>
      </w:r>
      <w:r>
        <w:rPr>
          <w:spacing w:val="1"/>
        </w:rPr>
        <w:t> </w:t>
      </w:r>
      <w:r>
        <w:rPr/>
        <w:t>sorbents combined with bioremediation represents an environmentally friendly, simple and</w:t>
      </w:r>
      <w:r>
        <w:rPr>
          <w:spacing w:val="1"/>
        </w:rPr>
        <w:t> </w:t>
      </w:r>
      <w:r>
        <w:rPr/>
        <w:t>cost effective remediation technology for the cleanup of oil from wetlands. The idea is to</w:t>
      </w:r>
      <w:r>
        <w:rPr>
          <w:spacing w:val="1"/>
        </w:rPr>
        <w:t> </w:t>
      </w:r>
      <w:r>
        <w:rPr/>
        <w:t>sorb or wick the oil</w:t>
      </w:r>
      <w:r>
        <w:rPr>
          <w:spacing w:val="75"/>
        </w:rPr>
        <w:t> </w:t>
      </w:r>
      <w:r>
        <w:rPr/>
        <w:t>from the anaerobic sub-surfaces for hydrocarbon biodegradation</w:t>
      </w:r>
      <w:r>
        <w:rPr>
          <w:spacing w:val="1"/>
        </w:rPr>
        <w:t> </w:t>
      </w:r>
      <w:r>
        <w:rPr/>
        <w:t>(Chung and Venosa, 2008). Organic substances are inexpensive and readily available. Most</w:t>
      </w:r>
      <w:r>
        <w:rPr>
          <w:spacing w:val="-72"/>
        </w:rPr>
        <w:t> </w:t>
      </w:r>
      <w:r>
        <w:rPr/>
        <w:t>organic materials can only be used on land and not adaptable to water use for oil spill</w:t>
      </w:r>
      <w:r>
        <w:rPr>
          <w:spacing w:val="1"/>
        </w:rPr>
        <w:t> </w:t>
      </w:r>
      <w:r>
        <w:rPr/>
        <w:t>cleanup.</w:t>
      </w:r>
    </w:p>
    <w:p>
      <w:pPr>
        <w:pStyle w:val="Heading3"/>
        <w:numPr>
          <w:ilvl w:val="3"/>
          <w:numId w:val="2"/>
        </w:numPr>
        <w:tabs>
          <w:tab w:pos="2637" w:val="left" w:leader="none"/>
          <w:tab w:pos="2638" w:val="left" w:leader="none"/>
        </w:tabs>
        <w:spacing w:line="240" w:lineRule="auto" w:before="203" w:after="0"/>
        <w:ind w:left="2638" w:right="0" w:hanging="1440"/>
        <w:jc w:val="left"/>
      </w:pPr>
      <w:r>
        <w:rPr/>
        <w:t>Natural</w:t>
      </w:r>
      <w:r>
        <w:rPr>
          <w:spacing w:val="-5"/>
        </w:rPr>
        <w:t> </w:t>
      </w:r>
      <w:r>
        <w:rPr/>
        <w:t>inorganic</w:t>
      </w:r>
      <w:r>
        <w:rPr>
          <w:spacing w:val="-4"/>
        </w:rPr>
        <w:t> </w:t>
      </w:r>
      <w:r>
        <w:rPr/>
        <w:t>sorbents</w:t>
      </w:r>
    </w:p>
    <w:p>
      <w:pPr>
        <w:pStyle w:val="BodyText"/>
        <w:spacing w:before="7"/>
        <w:rPr>
          <w:b/>
          <w:sz w:val="39"/>
        </w:rPr>
      </w:pPr>
    </w:p>
    <w:p>
      <w:pPr>
        <w:pStyle w:val="BodyText"/>
        <w:spacing w:line="472" w:lineRule="auto"/>
        <w:ind w:left="1198" w:right="576"/>
        <w:jc w:val="both"/>
      </w:pPr>
      <w:r>
        <w:rPr/>
        <w:t>These sorbents include clay (Alther, 2001; Sayed, </w:t>
      </w:r>
      <w:r>
        <w:rPr>
          <w:sz w:val="25"/>
        </w:rPr>
        <w:t>et al., </w:t>
      </w:r>
      <w:r>
        <w:rPr/>
        <w:t>2003), perlite (Teas </w:t>
      </w:r>
      <w:r>
        <w:rPr>
          <w:sz w:val="25"/>
        </w:rPr>
        <w:t>et al., </w:t>
      </w:r>
      <w:r>
        <w:rPr/>
        <w:t>2001;</w:t>
      </w:r>
      <w:r>
        <w:rPr>
          <w:spacing w:val="1"/>
        </w:rPr>
        <w:t> </w:t>
      </w:r>
      <w:r>
        <w:rPr/>
        <w:t>Roulia </w:t>
      </w:r>
      <w:r>
        <w:rPr>
          <w:sz w:val="25"/>
        </w:rPr>
        <w:t>et al., </w:t>
      </w:r>
      <w:r>
        <w:rPr/>
        <w:t>2003), vermiculite (Hitzman and Okia, 1968), glass wool (Smith, 1983) and</w:t>
      </w:r>
      <w:r>
        <w:rPr>
          <w:spacing w:val="1"/>
        </w:rPr>
        <w:t> </w:t>
      </w:r>
      <w:r>
        <w:rPr/>
        <w:t>volcanic ash. They can absorb four to twenty times their weight of oil. These products are</w:t>
      </w:r>
      <w:r>
        <w:rPr>
          <w:spacing w:val="1"/>
        </w:rPr>
        <w:t> </w:t>
      </w:r>
      <w:r>
        <w:rPr/>
        <w:t>used in the oil spill cleanup in the light of the fact that they are inexpensive and are</w:t>
      </w:r>
      <w:r>
        <w:rPr>
          <w:spacing w:val="1"/>
        </w:rPr>
        <w:t> </w:t>
      </w:r>
      <w:r>
        <w:rPr/>
        <w:t>available</w:t>
      </w:r>
      <w:r>
        <w:rPr>
          <w:spacing w:val="67"/>
        </w:rPr>
        <w:t> </w:t>
      </w:r>
      <w:r>
        <w:rPr/>
        <w:t>in</w:t>
      </w:r>
      <w:r>
        <w:rPr>
          <w:spacing w:val="68"/>
        </w:rPr>
        <w:t> </w:t>
      </w:r>
      <w:r>
        <w:rPr/>
        <w:t>large</w:t>
      </w:r>
      <w:r>
        <w:rPr>
          <w:spacing w:val="66"/>
        </w:rPr>
        <w:t> </w:t>
      </w:r>
      <w:r>
        <w:rPr/>
        <w:t>quantities.</w:t>
      </w:r>
      <w:r>
        <w:rPr>
          <w:spacing w:val="67"/>
        </w:rPr>
        <w:t> </w:t>
      </w:r>
      <w:r>
        <w:rPr/>
        <w:t>One</w:t>
      </w:r>
      <w:r>
        <w:rPr>
          <w:spacing w:val="68"/>
        </w:rPr>
        <w:t> </w:t>
      </w:r>
      <w:r>
        <w:rPr/>
        <w:t>of</w:t>
      </w:r>
      <w:r>
        <w:rPr>
          <w:spacing w:val="66"/>
        </w:rPr>
        <w:t> </w:t>
      </w:r>
      <w:r>
        <w:rPr/>
        <w:t>their</w:t>
      </w:r>
      <w:r>
        <w:rPr>
          <w:spacing w:val="65"/>
        </w:rPr>
        <w:t> </w:t>
      </w:r>
      <w:r>
        <w:rPr/>
        <w:t>advantages</w:t>
      </w:r>
      <w:r>
        <w:rPr>
          <w:spacing w:val="68"/>
        </w:rPr>
        <w:t> </w:t>
      </w:r>
      <w:r>
        <w:rPr/>
        <w:t>is</w:t>
      </w:r>
      <w:r>
        <w:rPr>
          <w:spacing w:val="67"/>
        </w:rPr>
        <w:t> </w:t>
      </w:r>
      <w:r>
        <w:rPr/>
        <w:t>that</w:t>
      </w:r>
      <w:r>
        <w:rPr>
          <w:spacing w:val="66"/>
        </w:rPr>
        <w:t> </w:t>
      </w:r>
      <w:r>
        <w:rPr/>
        <w:t>they</w:t>
      </w:r>
      <w:r>
        <w:rPr>
          <w:spacing w:val="68"/>
        </w:rPr>
        <w:t> </w:t>
      </w:r>
      <w:r>
        <w:rPr/>
        <w:t>have</w:t>
      </w:r>
      <w:r>
        <w:rPr>
          <w:spacing w:val="67"/>
        </w:rPr>
        <w:t> </w:t>
      </w:r>
      <w:r>
        <w:rPr/>
        <w:t>low</w:t>
      </w:r>
      <w:r>
        <w:rPr>
          <w:spacing w:val="66"/>
        </w:rPr>
        <w:t> </w:t>
      </w:r>
      <w:r>
        <w:rPr/>
        <w:t>sorption</w:t>
      </w:r>
      <w:r>
        <w:rPr>
          <w:spacing w:val="-73"/>
        </w:rPr>
        <w:t> </w:t>
      </w:r>
      <w:r>
        <w:rPr/>
        <w:t>capacity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non-polar</w:t>
      </w:r>
      <w:r>
        <w:rPr>
          <w:spacing w:val="2"/>
        </w:rPr>
        <w:t> </w:t>
      </w:r>
      <w:r>
        <w:rPr/>
        <w:t>hydrocarbons (Ribeiro</w:t>
      </w:r>
      <w:r>
        <w:rPr>
          <w:spacing w:val="3"/>
        </w:rPr>
        <w:t>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al.,</w:t>
      </w:r>
      <w:r>
        <w:rPr>
          <w:spacing w:val="-6"/>
          <w:sz w:val="25"/>
        </w:rPr>
        <w:t> </w:t>
      </w:r>
      <w:r>
        <w:rPr/>
        <w:t>2000).</w:t>
      </w:r>
    </w:p>
    <w:p>
      <w:pPr>
        <w:spacing w:after="0" w:line="472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numPr>
          <w:ilvl w:val="3"/>
          <w:numId w:val="2"/>
        </w:numPr>
        <w:tabs>
          <w:tab w:pos="2637" w:val="left" w:leader="none"/>
          <w:tab w:pos="2638" w:val="left" w:leader="none"/>
        </w:tabs>
        <w:spacing w:line="240" w:lineRule="auto" w:before="77" w:after="0"/>
        <w:ind w:left="2638" w:right="0" w:hanging="1440"/>
        <w:jc w:val="left"/>
      </w:pPr>
      <w:r>
        <w:rPr/>
        <w:t>Synthetic</w:t>
      </w:r>
      <w:r>
        <w:rPr>
          <w:spacing w:val="-6"/>
        </w:rPr>
        <w:t> </w:t>
      </w:r>
      <w:r>
        <w:rPr/>
        <w:t>organic</w:t>
      </w:r>
      <w:r>
        <w:rPr>
          <w:spacing w:val="-6"/>
        </w:rPr>
        <w:t> </w:t>
      </w:r>
      <w:r>
        <w:rPr/>
        <w:t>sorbents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75" w:lineRule="auto" w:before="1"/>
        <w:ind w:left="1198" w:right="575"/>
        <w:jc w:val="both"/>
      </w:pPr>
      <w:r>
        <w:rPr/>
        <w:t>Synthetic organic sorbents include man-made, polymeric materials such as polypropylene</w:t>
      </w:r>
      <w:r>
        <w:rPr>
          <w:spacing w:val="1"/>
        </w:rPr>
        <w:t> </w:t>
      </w:r>
      <w:r>
        <w:rPr/>
        <w:t>(Wei </w:t>
      </w:r>
      <w:r>
        <w:rPr>
          <w:sz w:val="25"/>
        </w:rPr>
        <w:t>et al., </w:t>
      </w:r>
      <w:r>
        <w:rPr/>
        <w:t>2003), nylon fibers and polyurethane foams (Teas </w:t>
      </w:r>
      <w:r>
        <w:rPr>
          <w:sz w:val="25"/>
        </w:rPr>
        <w:t>et al., </w:t>
      </w:r>
      <w:r>
        <w:rPr/>
        <w:t>2001) which are</w:t>
      </w:r>
      <w:r>
        <w:rPr>
          <w:spacing w:val="1"/>
        </w:rPr>
        <w:t> </w:t>
      </w:r>
      <w:r>
        <w:rPr/>
        <w:t>commonly used sorbents in oil spill clean-up due to their oleophilic and hydrophobic</w:t>
      </w:r>
      <w:r>
        <w:rPr>
          <w:spacing w:val="1"/>
        </w:rPr>
        <w:t> </w:t>
      </w:r>
      <w:r>
        <w:rPr/>
        <w:t>characteristics. Most synthetic sorbents can absorb as much as seventy times their weight</w:t>
      </w:r>
      <w:r>
        <w:rPr>
          <w:spacing w:val="1"/>
        </w:rPr>
        <w:t> </w:t>
      </w:r>
      <w:r>
        <w:rPr/>
        <w:t>of oil (Adebajo and Frost, 2004b). Synthetic sorbents that cannot be cleaned after use can</w:t>
      </w:r>
      <w:r>
        <w:rPr>
          <w:spacing w:val="1"/>
        </w:rPr>
        <w:t> </w:t>
      </w:r>
      <w:r>
        <w:rPr/>
        <w:t>present difficulties because they must be stored temporarily until they can be disposed of</w:t>
      </w:r>
      <w:r>
        <w:rPr>
          <w:spacing w:val="1"/>
        </w:rPr>
        <w:t> </w:t>
      </w:r>
      <w:r>
        <w:rPr/>
        <w:t>properly.</w:t>
      </w:r>
      <w:r>
        <w:rPr>
          <w:spacing w:val="30"/>
        </w:rPr>
        <w:t> </w:t>
      </w:r>
      <w:r>
        <w:rPr/>
        <w:t>They</w:t>
      </w:r>
      <w:r>
        <w:rPr>
          <w:spacing w:val="31"/>
        </w:rPr>
        <w:t> </w:t>
      </w:r>
      <w:r>
        <w:rPr/>
        <w:t>are</w:t>
      </w:r>
      <w:r>
        <w:rPr>
          <w:spacing w:val="32"/>
        </w:rPr>
        <w:t> </w:t>
      </w:r>
      <w:r>
        <w:rPr/>
        <w:t>best</w:t>
      </w:r>
      <w:r>
        <w:rPr>
          <w:spacing w:val="29"/>
        </w:rPr>
        <w:t> </w:t>
      </w:r>
      <w:r>
        <w:rPr/>
        <w:t>suited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/>
        <w:t>absorb</w:t>
      </w:r>
      <w:r>
        <w:rPr>
          <w:spacing w:val="29"/>
        </w:rPr>
        <w:t> </w:t>
      </w:r>
      <w:r>
        <w:rPr/>
        <w:t>lighter</w:t>
      </w:r>
      <w:r>
        <w:rPr>
          <w:spacing w:val="32"/>
        </w:rPr>
        <w:t> </w:t>
      </w:r>
      <w:r>
        <w:rPr/>
        <w:t>viscosity</w:t>
      </w:r>
      <w:r>
        <w:rPr>
          <w:spacing w:val="30"/>
        </w:rPr>
        <w:t> </w:t>
      </w:r>
      <w:r>
        <w:rPr/>
        <w:t>oils</w:t>
      </w:r>
      <w:r>
        <w:rPr>
          <w:spacing w:val="32"/>
        </w:rPr>
        <w:t> </w:t>
      </w:r>
      <w:r>
        <w:rPr/>
        <w:t>that</w:t>
      </w:r>
      <w:r>
        <w:rPr>
          <w:spacing w:val="29"/>
        </w:rPr>
        <w:t> </w:t>
      </w:r>
      <w:r>
        <w:rPr/>
        <w:t>can</w:t>
      </w:r>
      <w:r>
        <w:rPr>
          <w:spacing w:val="31"/>
        </w:rPr>
        <w:t> </w:t>
      </w:r>
      <w:r>
        <w:rPr/>
        <w:t>penetrate</w:t>
      </w:r>
      <w:r>
        <w:rPr>
          <w:spacing w:val="32"/>
        </w:rPr>
        <w:t> </w:t>
      </w:r>
      <w:r>
        <w:rPr/>
        <w:t>or</w:t>
      </w:r>
      <w:r>
        <w:rPr>
          <w:spacing w:val="30"/>
        </w:rPr>
        <w:t> </w:t>
      </w:r>
      <w:r>
        <w:rPr/>
        <w:t>wick</w:t>
      </w:r>
      <w:r>
        <w:rPr>
          <w:spacing w:val="-72"/>
        </w:rPr>
        <w:t> </w:t>
      </w:r>
      <w:r>
        <w:rPr/>
        <w:t>into its fiber (Aboul-Gheit </w:t>
      </w:r>
      <w:r>
        <w:rPr>
          <w:sz w:val="25"/>
        </w:rPr>
        <w:t>et al., </w:t>
      </w:r>
      <w:r>
        <w:rPr/>
        <w:t>2006). Organo-clays and coal/mineral complex were used</w:t>
      </w:r>
      <w:r>
        <w:rPr>
          <w:spacing w:val="1"/>
        </w:rPr>
        <w:t> </w:t>
      </w:r>
      <w:r>
        <w:rPr/>
        <w:t>by Ramos-Vianna, (2004) and found out that organo-clays can be utilized effectively as</w:t>
      </w:r>
      <w:r>
        <w:rPr>
          <w:spacing w:val="1"/>
        </w:rPr>
        <w:t> </w:t>
      </w:r>
      <w:r>
        <w:rPr/>
        <w:t>liners for controlling pollution from petroleum contaminated waters. Aboul-Gheit </w:t>
      </w:r>
      <w:r>
        <w:rPr>
          <w:sz w:val="25"/>
        </w:rPr>
        <w:t>et al.,</w:t>
      </w:r>
      <w:r>
        <w:rPr>
          <w:spacing w:val="1"/>
          <w:sz w:val="25"/>
        </w:rPr>
        <w:t> </w:t>
      </w:r>
      <w:r>
        <w:rPr/>
        <w:t>(2006)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plastics</w:t>
      </w:r>
      <w:r>
        <w:rPr>
          <w:spacing w:val="1"/>
        </w:rPr>
        <w:t> </w:t>
      </w:r>
      <w:r>
        <w:rPr/>
        <w:t>(polyethylene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propylene</w:t>
      </w:r>
      <w:r>
        <w:rPr>
          <w:spacing w:val="1"/>
        </w:rPr>
        <w:t> </w:t>
      </w:r>
      <w:r>
        <w:rPr/>
        <w:t>powder) and concluded that they absorb heavier crude oil more strongly than lighter crude</w:t>
      </w:r>
      <w:r>
        <w:rPr>
          <w:spacing w:val="1"/>
        </w:rPr>
        <w:t> </w:t>
      </w:r>
      <w:r>
        <w:rPr/>
        <w:t>oil and 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property of reusability. Synthetic products have</w:t>
      </w:r>
      <w:r>
        <w:rPr>
          <w:spacing w:val="1"/>
        </w:rPr>
        <w:t> </w:t>
      </w:r>
      <w:r>
        <w:rPr/>
        <w:t>high oleophilic and</w:t>
      </w:r>
      <w:r>
        <w:rPr>
          <w:spacing w:val="1"/>
        </w:rPr>
        <w:t> </w:t>
      </w:r>
      <w:r>
        <w:rPr/>
        <w:t>hydrophobic properties and are the most widely used sorbents in the remediation of oil</w:t>
      </w:r>
      <w:r>
        <w:rPr>
          <w:spacing w:val="1"/>
        </w:rPr>
        <w:t> </w:t>
      </w:r>
      <w:r>
        <w:rPr/>
        <w:t>spills. However these materials degrade very slowly relative to mineral and vegetable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(Lee</w:t>
      </w:r>
      <w:r>
        <w:rPr>
          <w:spacing w:val="-1"/>
        </w:rPr>
        <w:t> </w:t>
      </w:r>
      <w:r>
        <w:rPr>
          <w:sz w:val="25"/>
        </w:rPr>
        <w:t>et</w:t>
      </w:r>
      <w:r>
        <w:rPr>
          <w:spacing w:val="-3"/>
          <w:sz w:val="25"/>
        </w:rPr>
        <w:t> </w:t>
      </w:r>
      <w:r>
        <w:rPr>
          <w:sz w:val="25"/>
        </w:rPr>
        <w:t>al.,</w:t>
      </w:r>
      <w:r>
        <w:rPr>
          <w:spacing w:val="-5"/>
          <w:sz w:val="25"/>
        </w:rPr>
        <w:t> </w:t>
      </w:r>
      <w:r>
        <w:rPr/>
        <w:t>1999).</w:t>
      </w:r>
    </w:p>
    <w:p>
      <w:pPr>
        <w:pStyle w:val="Heading3"/>
        <w:numPr>
          <w:ilvl w:val="2"/>
          <w:numId w:val="2"/>
        </w:numPr>
        <w:tabs>
          <w:tab w:pos="1918" w:val="left" w:leader="none"/>
        </w:tabs>
        <w:spacing w:line="240" w:lineRule="auto" w:before="201" w:after="0"/>
        <w:ind w:left="1918" w:right="0" w:hanging="720"/>
        <w:jc w:val="left"/>
      </w:pPr>
      <w:r>
        <w:rPr/>
        <w:t>Properties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Sorbents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80" w:lineRule="auto"/>
        <w:ind w:left="1198" w:right="573"/>
        <w:jc w:val="both"/>
      </w:pPr>
      <w:r>
        <w:rPr/>
        <w:t>Absorbent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attractive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-72"/>
        </w:rPr>
        <w:t> </w:t>
      </w:r>
      <w:r>
        <w:rPr/>
        <w:t>collection and complete removal of the oil from the spill site. The addition of absorbents to</w:t>
      </w:r>
      <w:r>
        <w:rPr>
          <w:spacing w:val="1"/>
        </w:rPr>
        <w:t> </w:t>
      </w:r>
      <w:r>
        <w:rPr/>
        <w:t>oil spill areas facilitate a change from liquid to semi solid phase and once this change is</w:t>
      </w:r>
      <w:r>
        <w:rPr>
          <w:spacing w:val="1"/>
        </w:rPr>
        <w:t> </w:t>
      </w:r>
      <w:r>
        <w:rPr/>
        <w:t>achieved, the removal of the oil by the removal of the absorbent structure then becomes</w:t>
      </w:r>
      <w:r>
        <w:rPr>
          <w:spacing w:val="1"/>
        </w:rPr>
        <w:t> </w:t>
      </w:r>
      <w:r>
        <w:rPr/>
        <w:t>easier.</w:t>
      </w:r>
      <w:r>
        <w:rPr>
          <w:spacing w:val="47"/>
        </w:rPr>
        <w:t> </w:t>
      </w:r>
      <w:r>
        <w:rPr/>
        <w:t>Some</w:t>
      </w:r>
      <w:r>
        <w:rPr>
          <w:spacing w:val="48"/>
        </w:rPr>
        <w:t> </w:t>
      </w:r>
      <w:r>
        <w:rPr/>
        <w:t>properties</w:t>
      </w:r>
      <w:r>
        <w:rPr>
          <w:spacing w:val="49"/>
        </w:rPr>
        <w:t> </w:t>
      </w:r>
      <w:r>
        <w:rPr/>
        <w:t>of</w:t>
      </w:r>
      <w:r>
        <w:rPr>
          <w:spacing w:val="47"/>
        </w:rPr>
        <w:t> </w:t>
      </w:r>
      <w:r>
        <w:rPr/>
        <w:t>good</w:t>
      </w:r>
      <w:r>
        <w:rPr>
          <w:spacing w:val="48"/>
        </w:rPr>
        <w:t> </w:t>
      </w:r>
      <w:r>
        <w:rPr/>
        <w:t>absorbents</w:t>
      </w:r>
      <w:r>
        <w:rPr>
          <w:spacing w:val="48"/>
        </w:rPr>
        <w:t> </w:t>
      </w:r>
      <w:r>
        <w:rPr/>
        <w:t>materials</w:t>
      </w:r>
      <w:r>
        <w:rPr>
          <w:spacing w:val="49"/>
        </w:rPr>
        <w:t> </w:t>
      </w:r>
      <w:r>
        <w:rPr/>
        <w:t>include</w:t>
      </w:r>
      <w:r>
        <w:rPr>
          <w:spacing w:val="48"/>
        </w:rPr>
        <w:t> </w:t>
      </w:r>
      <w:r>
        <w:rPr/>
        <w:t>hydrophobicity</w:t>
      </w:r>
      <w:r>
        <w:rPr>
          <w:spacing w:val="50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70" w:lineRule="auto" w:before="75"/>
        <w:ind w:left="1198" w:right="578"/>
        <w:jc w:val="both"/>
      </w:pPr>
      <w:r>
        <w:rPr/>
        <w:t>oleophilicity, buoyancy, high uptake retention over time, oil recovery from absorbents and</w:t>
      </w:r>
      <w:r>
        <w:rPr>
          <w:spacing w:val="1"/>
        </w:rPr>
        <w:t> </w:t>
      </w:r>
      <w:r>
        <w:rPr/>
        <w:t>reusability of the absorbent (Adebajo </w:t>
      </w:r>
      <w:r>
        <w:rPr>
          <w:sz w:val="25"/>
        </w:rPr>
        <w:t>et al., </w:t>
      </w:r>
      <w:r>
        <w:rPr/>
        <w:t>2003). These properties affect the sorption</w:t>
      </w:r>
      <w:r>
        <w:rPr>
          <w:spacing w:val="1"/>
        </w:rPr>
        <w:t> </w:t>
      </w:r>
      <w:r>
        <w:rPr/>
        <w:t>capacity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sorbents.</w:t>
      </w:r>
      <w:r>
        <w:rPr>
          <w:spacing w:val="-4"/>
        </w:rPr>
        <w:t> </w:t>
      </w:r>
      <w:r>
        <w:rPr/>
        <w:t>Some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factors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however</w:t>
      </w:r>
      <w:r>
        <w:rPr>
          <w:spacing w:val="-3"/>
        </w:rPr>
        <w:t> </w:t>
      </w:r>
      <w:r>
        <w:rPr/>
        <w:t>are;</w:t>
      </w:r>
    </w:p>
    <w:p>
      <w:pPr>
        <w:pStyle w:val="ListParagraph"/>
        <w:numPr>
          <w:ilvl w:val="0"/>
          <w:numId w:val="3"/>
        </w:numPr>
        <w:tabs>
          <w:tab w:pos="1918" w:val="left" w:leader="none"/>
        </w:tabs>
        <w:spacing w:line="477" w:lineRule="auto" w:before="3" w:after="0"/>
        <w:ind w:left="1918" w:right="578" w:hanging="360"/>
        <w:jc w:val="both"/>
        <w:rPr>
          <w:sz w:val="24"/>
        </w:rPr>
      </w:pPr>
      <w:r>
        <w:rPr>
          <w:sz w:val="25"/>
        </w:rPr>
        <w:t>Density</w:t>
      </w:r>
      <w:r>
        <w:rPr>
          <w:sz w:val="24"/>
        </w:rPr>
        <w:t>: There are two types of density relative to absorption; true density and bulk</w:t>
      </w:r>
      <w:r>
        <w:rPr>
          <w:spacing w:val="-72"/>
          <w:sz w:val="24"/>
        </w:rPr>
        <w:t> </w:t>
      </w:r>
      <w:r>
        <w:rPr>
          <w:sz w:val="24"/>
        </w:rPr>
        <w:t>density. The density is a measure of solids only regardless of any internal voids or</w:t>
      </w:r>
      <w:r>
        <w:rPr>
          <w:spacing w:val="1"/>
          <w:sz w:val="24"/>
        </w:rPr>
        <w:t> </w:t>
      </w:r>
      <w:r>
        <w:rPr>
          <w:sz w:val="24"/>
        </w:rPr>
        <w:t>interstitial areas and once determined, can be considered constant for a given</w:t>
      </w:r>
      <w:r>
        <w:rPr>
          <w:spacing w:val="1"/>
          <w:sz w:val="24"/>
        </w:rPr>
        <w:t> </w:t>
      </w:r>
      <w:r>
        <w:rPr>
          <w:sz w:val="24"/>
        </w:rPr>
        <w:t>material. To determine density, both mass and volume must be known, it can be</w:t>
      </w:r>
      <w:r>
        <w:rPr>
          <w:spacing w:val="1"/>
          <w:sz w:val="24"/>
        </w:rPr>
        <w:t> </w:t>
      </w:r>
      <w:r>
        <w:rPr>
          <w:sz w:val="24"/>
        </w:rPr>
        <w:t>determined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formula</w:t>
      </w:r>
    </w:p>
    <w:p>
      <w:pPr>
        <w:pStyle w:val="BodyText"/>
        <w:tabs>
          <w:tab w:pos="6958" w:val="left" w:leader="none"/>
        </w:tabs>
        <w:spacing w:before="1"/>
        <w:ind w:left="1918"/>
      </w:pPr>
      <w:r>
        <w:rPr/>
        <w:t>D</w:t>
      </w:r>
      <w:r>
        <w:rPr>
          <w:vertAlign w:val="subscript"/>
        </w:rPr>
        <w:t>s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l</w:t>
      </w:r>
      <w:r>
        <w:rPr>
          <w:vertAlign w:val="baseline"/>
        </w:rPr>
        <w:t>(M</w:t>
      </w:r>
      <w:r>
        <w:rPr>
          <w:vertAlign w:val="subscript"/>
        </w:rPr>
        <w:t>s</w:t>
      </w:r>
      <w:r>
        <w:rPr>
          <w:vertAlign w:val="baseline"/>
        </w:rPr>
        <w:t>/M</w:t>
      </w:r>
      <w:r>
        <w:rPr>
          <w:vertAlign w:val="subscript"/>
        </w:rPr>
        <w:t>l</w:t>
      </w:r>
      <w:r>
        <w:rPr>
          <w:vertAlign w:val="baseline"/>
        </w:rPr>
        <w:t>+M</w:t>
      </w:r>
      <w:r>
        <w:rPr>
          <w:vertAlign w:val="subscript"/>
        </w:rPr>
        <w:t>l</w:t>
      </w:r>
      <w:r>
        <w:rPr>
          <w:vertAlign w:val="baseline"/>
        </w:rPr>
        <w:t>-M</w:t>
      </w:r>
      <w:r>
        <w:rPr>
          <w:vertAlign w:val="subscript"/>
        </w:rPr>
        <w:t>2</w:t>
      </w:r>
      <w:r>
        <w:rPr>
          <w:vertAlign w:val="baseline"/>
        </w:rPr>
        <w:t>)</w:t>
        <w:tab/>
        <w:t>(1.1)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918" w:right="575"/>
      </w:pPr>
      <w:r>
        <w:rPr/>
        <w:t>D</w:t>
      </w:r>
      <w:r>
        <w:rPr>
          <w:vertAlign w:val="subscript"/>
        </w:rPr>
        <w:t>s</w:t>
      </w:r>
      <w:r>
        <w:rPr>
          <w:spacing w:val="8"/>
          <w:vertAlign w:val="baseline"/>
        </w:rPr>
        <w:t> </w:t>
      </w:r>
      <w:r>
        <w:rPr>
          <w:vertAlign w:val="baseline"/>
        </w:rPr>
        <w:t>=density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solid,</w:t>
      </w:r>
      <w:r>
        <w:rPr>
          <w:spacing w:val="7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l</w:t>
      </w:r>
      <w:r>
        <w:rPr>
          <w:spacing w:val="8"/>
          <w:vertAlign w:val="baseline"/>
        </w:rPr>
        <w:t> </w:t>
      </w:r>
      <w:r>
        <w:rPr>
          <w:vertAlign w:val="baseline"/>
        </w:rPr>
        <w:t>=</w:t>
      </w:r>
      <w:r>
        <w:rPr>
          <w:spacing w:val="9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wetting</w:t>
      </w:r>
      <w:r>
        <w:rPr>
          <w:spacing w:val="9"/>
          <w:vertAlign w:val="baseline"/>
        </w:rPr>
        <w:t> </w:t>
      </w:r>
      <w:r>
        <w:rPr>
          <w:vertAlign w:val="baseline"/>
        </w:rPr>
        <w:t>liquid,</w:t>
      </w:r>
      <w:r>
        <w:rPr>
          <w:spacing w:val="7"/>
          <w:vertAlign w:val="baseline"/>
        </w:rPr>
        <w:t> </w:t>
      </w:r>
      <w:r>
        <w:rPr>
          <w:vertAlign w:val="baseline"/>
        </w:rPr>
        <w:t>M</w:t>
      </w:r>
      <w:r>
        <w:rPr>
          <w:vertAlign w:val="subscript"/>
        </w:rPr>
        <w:t>s</w:t>
      </w:r>
      <w:r>
        <w:rPr>
          <w:spacing w:val="8"/>
          <w:vertAlign w:val="baseline"/>
        </w:rPr>
        <w:t> </w:t>
      </w:r>
      <w:r>
        <w:rPr>
          <w:vertAlign w:val="baseline"/>
        </w:rPr>
        <w:t>=</w:t>
      </w:r>
      <w:r>
        <w:rPr>
          <w:spacing w:val="9"/>
          <w:vertAlign w:val="baseline"/>
        </w:rPr>
        <w:t> </w:t>
      </w:r>
      <w:r>
        <w:rPr>
          <w:vertAlign w:val="baseline"/>
        </w:rPr>
        <w:t>mass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solid,</w:t>
      </w:r>
      <w:r>
        <w:rPr>
          <w:spacing w:val="7"/>
          <w:vertAlign w:val="baseline"/>
        </w:rPr>
        <w:t> </w:t>
      </w:r>
      <w:r>
        <w:rPr>
          <w:vertAlign w:val="baseline"/>
        </w:rPr>
        <w:t>M</w:t>
      </w:r>
      <w:r>
        <w:rPr>
          <w:vertAlign w:val="subscript"/>
        </w:rPr>
        <w:t>l</w:t>
      </w:r>
      <w:r>
        <w:rPr>
          <w:spacing w:val="8"/>
          <w:vertAlign w:val="baseline"/>
        </w:rPr>
        <w:t> </w:t>
      </w:r>
      <w:r>
        <w:rPr>
          <w:vertAlign w:val="baseline"/>
        </w:rPr>
        <w:t>=mass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-72"/>
          <w:vertAlign w:val="baseline"/>
        </w:rPr>
        <w:t> </w:t>
      </w:r>
      <w:r>
        <w:rPr>
          <w:vertAlign w:val="baseline"/>
        </w:rPr>
        <w:t>liquid</w:t>
      </w:r>
      <w:r>
        <w:rPr>
          <w:spacing w:val="18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9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vertAlign w:val="baseline"/>
        </w:rPr>
        <w:t>fill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measuring</w:t>
      </w:r>
      <w:r>
        <w:rPr>
          <w:spacing w:val="19"/>
          <w:vertAlign w:val="baseline"/>
        </w:rPr>
        <w:t> </w:t>
      </w:r>
      <w:r>
        <w:rPr>
          <w:vertAlign w:val="baseline"/>
        </w:rPr>
        <w:t>container</w:t>
      </w:r>
      <w:r>
        <w:rPr>
          <w:spacing w:val="18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19"/>
          <w:vertAlign w:val="baseline"/>
        </w:rPr>
        <w:t> </w:t>
      </w:r>
      <w:r>
        <w:rPr>
          <w:vertAlign w:val="baseline"/>
        </w:rPr>
        <w:t>fiber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M</w:t>
      </w:r>
      <w:r>
        <w:rPr>
          <w:vertAlign w:val="subscript"/>
        </w:rPr>
        <w:t>2</w:t>
      </w:r>
      <w:r>
        <w:rPr>
          <w:vertAlign w:val="baseline"/>
        </w:rPr>
        <w:t>=</w:t>
      </w:r>
      <w:r>
        <w:rPr>
          <w:spacing w:val="20"/>
          <w:vertAlign w:val="baseline"/>
        </w:rPr>
        <w:t> </w:t>
      </w:r>
      <w:r>
        <w:rPr>
          <w:vertAlign w:val="baseline"/>
        </w:rPr>
        <w:t>mass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liquid</w:t>
      </w:r>
      <w:r>
        <w:rPr>
          <w:spacing w:val="-72"/>
          <w:vertAlign w:val="baseline"/>
        </w:rPr>
        <w:t> </w:t>
      </w:r>
      <w:r>
        <w:rPr>
          <w:vertAlign w:val="baseline"/>
        </w:rPr>
        <w:t>required to fill the measuring container without Ms in the container (English, 1997).</w:t>
      </w:r>
      <w:r>
        <w:rPr>
          <w:spacing w:val="1"/>
          <w:vertAlign w:val="baseline"/>
        </w:rPr>
        <w:t> </w:t>
      </w:r>
      <w:r>
        <w:rPr>
          <w:vertAlign w:val="baseline"/>
        </w:rPr>
        <w:t>Bulk</w:t>
      </w:r>
      <w:r>
        <w:rPr>
          <w:spacing w:val="28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28"/>
          <w:vertAlign w:val="baseline"/>
        </w:rPr>
        <w:t> </w:t>
      </w:r>
      <w:r>
        <w:rPr>
          <w:vertAlign w:val="baseline"/>
        </w:rPr>
        <w:t>is</w:t>
      </w:r>
      <w:r>
        <w:rPr>
          <w:spacing w:val="27"/>
          <w:vertAlign w:val="baseline"/>
        </w:rPr>
        <w:t> </w:t>
      </w:r>
      <w:r>
        <w:rPr>
          <w:vertAlign w:val="baseline"/>
        </w:rPr>
        <w:t>a</w:t>
      </w:r>
      <w:r>
        <w:rPr>
          <w:spacing w:val="28"/>
          <w:vertAlign w:val="baseline"/>
        </w:rPr>
        <w:t> </w:t>
      </w:r>
      <w:r>
        <w:rPr>
          <w:vertAlign w:val="baseline"/>
        </w:rPr>
        <w:t>measure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26"/>
          <w:vertAlign w:val="baseline"/>
        </w:rPr>
        <w:t> </w:t>
      </w:r>
      <w:r>
        <w:rPr>
          <w:vertAlign w:val="baseline"/>
        </w:rPr>
        <w:t>including</w:t>
      </w:r>
      <w:r>
        <w:rPr>
          <w:spacing w:val="28"/>
          <w:vertAlign w:val="baseline"/>
        </w:rPr>
        <w:t> </w:t>
      </w:r>
      <w:r>
        <w:rPr>
          <w:vertAlign w:val="baseline"/>
        </w:rPr>
        <w:t>void</w:t>
      </w:r>
      <w:r>
        <w:rPr>
          <w:spacing w:val="27"/>
          <w:vertAlign w:val="baseline"/>
        </w:rPr>
        <w:t> </w:t>
      </w:r>
      <w:r>
        <w:rPr>
          <w:vertAlign w:val="baseline"/>
        </w:rPr>
        <w:t>pores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interstices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may</w:t>
      </w:r>
      <w:r>
        <w:rPr>
          <w:spacing w:val="-72"/>
          <w:vertAlign w:val="baseline"/>
        </w:rPr>
        <w:t> </w:t>
      </w:r>
      <w:r>
        <w:rPr>
          <w:vertAlign w:val="baseline"/>
        </w:rPr>
        <w:t>vary</w:t>
      </w:r>
      <w:r>
        <w:rPr>
          <w:spacing w:val="23"/>
          <w:vertAlign w:val="baseline"/>
        </w:rPr>
        <w:t> </w:t>
      </w:r>
      <w:r>
        <w:rPr>
          <w:vertAlign w:val="baseline"/>
        </w:rPr>
        <w:t>depending</w:t>
      </w:r>
      <w:r>
        <w:rPr>
          <w:spacing w:val="23"/>
          <w:vertAlign w:val="baseline"/>
        </w:rPr>
        <w:t> </w:t>
      </w:r>
      <w:r>
        <w:rPr>
          <w:vertAlign w:val="baseline"/>
        </w:rPr>
        <w:t>on</w:t>
      </w:r>
      <w:r>
        <w:rPr>
          <w:spacing w:val="24"/>
          <w:vertAlign w:val="baseline"/>
        </w:rPr>
        <w:t> </w:t>
      </w:r>
      <w:r>
        <w:rPr>
          <w:vertAlign w:val="baseline"/>
        </w:rPr>
        <w:t>compaction.</w:t>
      </w:r>
      <w:r>
        <w:rPr>
          <w:spacing w:val="22"/>
          <w:vertAlign w:val="baseline"/>
        </w:rPr>
        <w:t> </w:t>
      </w:r>
      <w:r>
        <w:rPr>
          <w:vertAlign w:val="baseline"/>
        </w:rPr>
        <w:t>Bulk</w:t>
      </w:r>
      <w:r>
        <w:rPr>
          <w:spacing w:val="25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22"/>
          <w:vertAlign w:val="baseline"/>
        </w:rPr>
        <w:t> </w:t>
      </w:r>
      <w:r>
        <w:rPr>
          <w:vertAlign w:val="baseline"/>
        </w:rPr>
        <w:t>is</w:t>
      </w:r>
      <w:r>
        <w:rPr>
          <w:spacing w:val="25"/>
          <w:vertAlign w:val="baseline"/>
        </w:rPr>
        <w:t> </w:t>
      </w:r>
      <w:r>
        <w:rPr>
          <w:vertAlign w:val="baseline"/>
        </w:rPr>
        <w:t>a</w:t>
      </w:r>
      <w:r>
        <w:rPr>
          <w:spacing w:val="22"/>
          <w:vertAlign w:val="baseline"/>
        </w:rPr>
        <w:t> </w:t>
      </w:r>
      <w:r>
        <w:rPr>
          <w:vertAlign w:val="baseline"/>
        </w:rPr>
        <w:t>simple</w:t>
      </w:r>
      <w:r>
        <w:rPr>
          <w:spacing w:val="25"/>
          <w:vertAlign w:val="baseline"/>
        </w:rPr>
        <w:t> </w:t>
      </w:r>
      <w:r>
        <w:rPr>
          <w:vertAlign w:val="baseline"/>
        </w:rPr>
        <w:t>measure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mass</w:t>
      </w:r>
      <w:r>
        <w:rPr>
          <w:spacing w:val="24"/>
          <w:vertAlign w:val="baseline"/>
        </w:rPr>
        <w:t> </w:t>
      </w:r>
      <w:r>
        <w:rPr>
          <w:vertAlign w:val="baseline"/>
        </w:rPr>
        <w:t>per</w:t>
      </w:r>
      <w:r>
        <w:rPr>
          <w:spacing w:val="24"/>
          <w:vertAlign w:val="baseline"/>
        </w:rPr>
        <w:t> </w:t>
      </w:r>
      <w:r>
        <w:rPr>
          <w:vertAlign w:val="baseline"/>
        </w:rPr>
        <w:t>unit</w:t>
      </w:r>
      <w:r>
        <w:rPr>
          <w:spacing w:val="-72"/>
          <w:vertAlign w:val="baseline"/>
        </w:rPr>
        <w:t> </w:t>
      </w:r>
      <w:r>
        <w:rPr>
          <w:vertAlign w:val="baseline"/>
        </w:rPr>
        <w:t>volume.</w:t>
      </w:r>
    </w:p>
    <w:p>
      <w:pPr>
        <w:pStyle w:val="ListParagraph"/>
        <w:numPr>
          <w:ilvl w:val="0"/>
          <w:numId w:val="3"/>
        </w:numPr>
        <w:tabs>
          <w:tab w:pos="1918" w:val="left" w:leader="none"/>
        </w:tabs>
        <w:spacing w:line="472" w:lineRule="auto" w:before="0" w:after="0"/>
        <w:ind w:left="1918" w:right="576" w:hanging="360"/>
        <w:jc w:val="both"/>
        <w:rPr>
          <w:sz w:val="24"/>
        </w:rPr>
      </w:pPr>
      <w:r>
        <w:rPr>
          <w:sz w:val="25"/>
        </w:rPr>
        <w:t>Porosity</w:t>
      </w:r>
      <w:r>
        <w:rPr>
          <w:sz w:val="24"/>
        </w:rPr>
        <w:t>: porosity or void volume is a measure of how much volume is available in a</w:t>
      </w:r>
      <w:r>
        <w:rPr>
          <w:spacing w:val="-72"/>
          <w:sz w:val="24"/>
        </w:rPr>
        <w:t> </w:t>
      </w:r>
      <w:r>
        <w:rPr>
          <w:sz w:val="24"/>
        </w:rPr>
        <w:t>system for absorption like bulk density, porosity may vary depending in compaction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2"/>
          <w:sz w:val="24"/>
        </w:rPr>
        <w:t> </w:t>
      </w:r>
      <w:r>
        <w:rPr>
          <w:sz w:val="24"/>
        </w:rPr>
        <w:t>be expressed</w:t>
      </w:r>
      <w:r>
        <w:rPr>
          <w:spacing w:val="-4"/>
          <w:sz w:val="24"/>
        </w:rPr>
        <w:t> </w:t>
      </w:r>
      <w:r>
        <w:rPr>
          <w:sz w:val="24"/>
        </w:rPr>
        <w:t>as</w:t>
      </w:r>
    </w:p>
    <w:p>
      <w:pPr>
        <w:pStyle w:val="BodyText"/>
        <w:tabs>
          <w:tab w:pos="7678" w:val="left" w:leader="none"/>
        </w:tabs>
        <w:spacing w:before="4"/>
        <w:ind w:left="1918"/>
        <w:jc w:val="both"/>
      </w:pPr>
      <w:r>
        <w:rPr/>
        <w:t>P</w:t>
      </w:r>
      <w:r>
        <w:rPr>
          <w:vertAlign w:val="subscript"/>
        </w:rPr>
        <w:t>R</w:t>
      </w:r>
      <w:r>
        <w:rPr>
          <w:spacing w:val="-1"/>
          <w:vertAlign w:val="baseline"/>
        </w:rPr>
        <w:t> </w:t>
      </w:r>
      <w:r>
        <w:rPr>
          <w:vertAlign w:val="baseline"/>
        </w:rPr>
        <w:t>=V</w:t>
      </w:r>
      <w:r>
        <w:rPr>
          <w:vertAlign w:val="subscript"/>
        </w:rPr>
        <w:t>1</w:t>
      </w:r>
      <w:r>
        <w:rPr>
          <w:vertAlign w:val="baseline"/>
        </w:rPr>
        <w:t>-V</w:t>
      </w:r>
      <w:r>
        <w:rPr>
          <w:vertAlign w:val="subscript"/>
        </w:rPr>
        <w:t>2</w:t>
      </w:r>
      <w:r>
        <w:rPr>
          <w:vertAlign w:val="baseline"/>
        </w:rPr>
        <w:t>//V</w:t>
      </w:r>
      <w:r>
        <w:rPr>
          <w:vertAlign w:val="subscript"/>
        </w:rPr>
        <w:t>1</w:t>
      </w:r>
      <w:r>
        <w:rPr>
          <w:vertAlign w:val="baseline"/>
        </w:rPr>
        <w:tab/>
        <w:t>(1.2)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918"/>
        <w:jc w:val="both"/>
      </w:pPr>
      <w:r>
        <w:rPr/>
        <w:t>Where,</w:t>
      </w:r>
      <w:r>
        <w:rPr>
          <w:spacing w:val="-3"/>
        </w:rPr>
        <w:t> </w:t>
      </w:r>
      <w:r>
        <w:rPr/>
        <w:t>P</w:t>
      </w:r>
      <w:r>
        <w:rPr>
          <w:vertAlign w:val="subscript"/>
        </w:rPr>
        <w:t>r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porosity,</w:t>
      </w:r>
      <w:r>
        <w:rPr>
          <w:spacing w:val="-3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1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total</w:t>
      </w:r>
      <w:r>
        <w:rPr>
          <w:spacing w:val="-2"/>
          <w:vertAlign w:val="baseline"/>
        </w:rPr>
        <w:t> </w:t>
      </w:r>
      <w:r>
        <w:rPr>
          <w:vertAlign w:val="baseline"/>
        </w:rPr>
        <w:t>volume and V</w:t>
      </w:r>
      <w:r>
        <w:rPr>
          <w:vertAlign w:val="subscript"/>
        </w:rPr>
        <w:t>2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volume of</w:t>
      </w:r>
      <w:r>
        <w:rPr>
          <w:spacing w:val="-3"/>
          <w:vertAlign w:val="baseline"/>
        </w:rPr>
        <w:t> </w:t>
      </w:r>
      <w:r>
        <w:rPr>
          <w:vertAlign w:val="baseline"/>
        </w:rPr>
        <w:t>solid</w:t>
      </w:r>
      <w:r>
        <w:rPr>
          <w:spacing w:val="-2"/>
          <w:vertAlign w:val="baseline"/>
        </w:rPr>
        <w:t> </w:t>
      </w:r>
      <w:r>
        <w:rPr>
          <w:vertAlign w:val="baseline"/>
        </w:rPr>
        <w:t>(English,</w:t>
      </w:r>
      <w:r>
        <w:rPr>
          <w:spacing w:val="-3"/>
          <w:vertAlign w:val="baseline"/>
        </w:rPr>
        <w:t> </w:t>
      </w:r>
      <w:r>
        <w:rPr>
          <w:vertAlign w:val="baseline"/>
        </w:rPr>
        <w:t>1997).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918" w:val="left" w:leader="none"/>
        </w:tabs>
        <w:spacing w:line="470" w:lineRule="auto" w:before="0" w:after="0"/>
        <w:ind w:left="1918" w:right="578" w:hanging="360"/>
        <w:jc w:val="both"/>
        <w:rPr>
          <w:sz w:val="24"/>
        </w:rPr>
      </w:pPr>
      <w:r>
        <w:rPr>
          <w:sz w:val="25"/>
        </w:rPr>
        <w:t>Selectivity</w:t>
      </w:r>
      <w:r>
        <w:rPr>
          <w:sz w:val="24"/>
        </w:rPr>
        <w:t>: selectivity is the ability of a sorptive material to preferentially absorb one</w:t>
      </w:r>
      <w:r>
        <w:rPr>
          <w:spacing w:val="-72"/>
          <w:sz w:val="24"/>
        </w:rPr>
        <w:t> </w:t>
      </w:r>
      <w:r>
        <w:rPr>
          <w:sz w:val="24"/>
        </w:rPr>
        <w:t>material over another. For instance most agro based materials will, to varying</w:t>
      </w:r>
      <w:r>
        <w:rPr>
          <w:spacing w:val="1"/>
          <w:sz w:val="24"/>
        </w:rPr>
        <w:t> </w:t>
      </w:r>
      <w:r>
        <w:rPr>
          <w:sz w:val="24"/>
        </w:rPr>
        <w:t>degree, selectively absorb oil over water (Rowell </w:t>
      </w:r>
      <w:r>
        <w:rPr>
          <w:sz w:val="25"/>
        </w:rPr>
        <w:t>et al., </w:t>
      </w:r>
      <w:r>
        <w:rPr>
          <w:sz w:val="24"/>
        </w:rPr>
        <w:t>1999). This makes these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1"/>
          <w:sz w:val="24"/>
        </w:rPr>
        <w:t> </w:t>
      </w:r>
      <w:r>
        <w:rPr>
          <w:sz w:val="24"/>
        </w:rPr>
        <w:t>attractive</w:t>
      </w:r>
      <w:r>
        <w:rPr>
          <w:spacing w:val="12"/>
          <w:sz w:val="24"/>
        </w:rPr>
        <w:t> </w:t>
      </w:r>
      <w:r>
        <w:rPr>
          <w:sz w:val="24"/>
        </w:rPr>
        <w:t>sorbents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oil</w:t>
      </w:r>
      <w:r>
        <w:rPr>
          <w:spacing w:val="8"/>
          <w:sz w:val="24"/>
        </w:rPr>
        <w:t> </w:t>
      </w:r>
      <w:r>
        <w:rPr>
          <w:sz w:val="24"/>
        </w:rPr>
        <w:t>spills</w:t>
      </w:r>
      <w:r>
        <w:rPr>
          <w:spacing w:val="9"/>
          <w:sz w:val="24"/>
        </w:rPr>
        <w:t> </w:t>
      </w:r>
      <w:r>
        <w:rPr>
          <w:sz w:val="24"/>
        </w:rPr>
        <w:t>caused</w:t>
      </w:r>
      <w:r>
        <w:rPr>
          <w:spacing w:val="10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tanker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offshore</w:t>
      </w:r>
      <w:r>
        <w:rPr>
          <w:spacing w:val="10"/>
          <w:sz w:val="24"/>
        </w:rPr>
        <w:t> </w:t>
      </w:r>
      <w:r>
        <w:rPr>
          <w:sz w:val="24"/>
        </w:rPr>
        <w:t>oil</w:t>
      </w:r>
      <w:r>
        <w:rPr>
          <w:spacing w:val="11"/>
          <w:sz w:val="24"/>
        </w:rPr>
        <w:t> </w:t>
      </w:r>
      <w:r>
        <w:rPr>
          <w:sz w:val="24"/>
        </w:rPr>
        <w:t>rig</w:t>
      </w:r>
      <w:r>
        <w:rPr>
          <w:spacing w:val="10"/>
          <w:sz w:val="24"/>
        </w:rPr>
        <w:t> </w:t>
      </w:r>
      <w:r>
        <w:rPr>
          <w:sz w:val="24"/>
        </w:rPr>
        <w:t>leaks.</w:t>
      </w:r>
    </w:p>
    <w:p>
      <w:pPr>
        <w:spacing w:after="0" w:line="470" w:lineRule="auto"/>
        <w:jc w:val="both"/>
        <w:rPr>
          <w:sz w:val="24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82" w:lineRule="auto" w:before="75"/>
        <w:ind w:left="1918" w:right="581"/>
        <w:jc w:val="both"/>
      </w:pPr>
      <w:r>
        <w:rPr/>
        <w:t>The degree of selectivity is influenced by the sorbents pore size wettability and</w:t>
      </w:r>
      <w:r>
        <w:rPr>
          <w:spacing w:val="1"/>
        </w:rPr>
        <w:t> </w:t>
      </w:r>
      <w:r>
        <w:rPr/>
        <w:t>capillary</w:t>
      </w:r>
      <w:r>
        <w:rPr>
          <w:spacing w:val="-2"/>
        </w:rPr>
        <w:t> </w:t>
      </w:r>
      <w:r>
        <w:rPr/>
        <w:t>pressure</w:t>
      </w:r>
      <w:r>
        <w:rPr>
          <w:spacing w:val="1"/>
        </w:rPr>
        <w:t> </w:t>
      </w:r>
      <w:r>
        <w:rPr/>
        <w:t>(English,</w:t>
      </w:r>
      <w:r>
        <w:rPr>
          <w:spacing w:val="-1"/>
        </w:rPr>
        <w:t> </w:t>
      </w:r>
      <w:r>
        <w:rPr/>
        <w:t>1997).</w:t>
      </w:r>
    </w:p>
    <w:p>
      <w:pPr>
        <w:pStyle w:val="ListParagraph"/>
        <w:numPr>
          <w:ilvl w:val="0"/>
          <w:numId w:val="3"/>
        </w:numPr>
        <w:tabs>
          <w:tab w:pos="1918" w:val="left" w:leader="none"/>
        </w:tabs>
        <w:spacing w:line="287" w:lineRule="exact" w:before="0" w:after="0"/>
        <w:ind w:left="1918" w:right="0" w:hanging="360"/>
        <w:jc w:val="left"/>
        <w:rPr>
          <w:sz w:val="24"/>
        </w:rPr>
      </w:pPr>
      <w:r>
        <w:rPr>
          <w:sz w:val="25"/>
        </w:rPr>
        <w:t>Retention</w:t>
      </w:r>
      <w:r>
        <w:rPr>
          <w:sz w:val="24"/>
        </w:rPr>
        <w:t>:</w:t>
      </w:r>
      <w:r>
        <w:rPr>
          <w:spacing w:val="37"/>
          <w:sz w:val="24"/>
        </w:rPr>
        <w:t> </w:t>
      </w:r>
      <w:r>
        <w:rPr>
          <w:sz w:val="24"/>
        </w:rPr>
        <w:t>Retention</w:t>
      </w:r>
      <w:r>
        <w:rPr>
          <w:spacing w:val="40"/>
          <w:sz w:val="24"/>
        </w:rPr>
        <w:t> </w:t>
      </w:r>
      <w:r>
        <w:rPr>
          <w:sz w:val="24"/>
        </w:rPr>
        <w:t>is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ability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saturated</w:t>
      </w:r>
      <w:r>
        <w:rPr>
          <w:spacing w:val="39"/>
          <w:sz w:val="24"/>
        </w:rPr>
        <w:t> </w:t>
      </w:r>
      <w:r>
        <w:rPr>
          <w:sz w:val="24"/>
        </w:rPr>
        <w:t>sorptive</w:t>
      </w:r>
      <w:r>
        <w:rPr>
          <w:spacing w:val="40"/>
          <w:sz w:val="24"/>
        </w:rPr>
        <w:t> </w:t>
      </w:r>
      <w:r>
        <w:rPr>
          <w:sz w:val="24"/>
        </w:rPr>
        <w:t>material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39"/>
          <w:sz w:val="24"/>
        </w:rPr>
        <w:t> </w:t>
      </w:r>
      <w:r>
        <w:rPr>
          <w:sz w:val="24"/>
        </w:rPr>
        <w:t>retain</w:t>
      </w:r>
      <w:r>
        <w:rPr>
          <w:spacing w:val="40"/>
          <w:sz w:val="24"/>
        </w:rPr>
        <w:t> </w:t>
      </w:r>
      <w:r>
        <w:rPr>
          <w:sz w:val="24"/>
        </w:rPr>
        <w:t>fluid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918" w:right="577"/>
        <w:jc w:val="both"/>
      </w:pPr>
      <w:r>
        <w:rPr/>
        <w:t>when conditions are conducive to drainage (English, 1997). Adsorbents will release</w:t>
      </w:r>
      <w:r>
        <w:rPr>
          <w:spacing w:val="1"/>
        </w:rPr>
        <w:t> </w:t>
      </w:r>
      <w:r>
        <w:rPr/>
        <w:t>varying amount of oil and organic liquids, depending on the viscosity of the liquid,</w:t>
      </w:r>
      <w:r>
        <w:rPr>
          <w:spacing w:val="1"/>
        </w:rPr>
        <w:t> </w:t>
      </w:r>
      <w:r>
        <w:rPr/>
        <w:t>during the retrieval operations. Consequently, the retention ability of absorbents is</w:t>
      </w:r>
      <w:r>
        <w:rPr>
          <w:spacing w:val="1"/>
        </w:rPr>
        <w:t> </w:t>
      </w:r>
      <w:r>
        <w:rPr/>
        <w:t>absolute</w:t>
      </w:r>
      <w:r>
        <w:rPr>
          <w:spacing w:val="1"/>
        </w:rPr>
        <w:t> </w:t>
      </w:r>
      <w:r>
        <w:rPr/>
        <w:t>(USDOA,</w:t>
      </w:r>
      <w:r>
        <w:rPr>
          <w:spacing w:val="1"/>
        </w:rPr>
        <w:t> </w:t>
      </w:r>
      <w:r>
        <w:rPr/>
        <w:t>2008). Retention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because,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practice,</w:t>
      </w:r>
      <w:r>
        <w:rPr>
          <w:spacing w:val="75"/>
        </w:rPr>
        <w:t> </w:t>
      </w:r>
      <w:r>
        <w:rPr/>
        <w:t>retention</w:t>
      </w:r>
      <w:r>
        <w:rPr>
          <w:spacing w:val="-72"/>
        </w:rPr>
        <w:t> </w:t>
      </w:r>
      <w:r>
        <w:rPr/>
        <w:t>levels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based</w:t>
      </w:r>
      <w:r>
        <w:rPr>
          <w:spacing w:val="-4"/>
        </w:rPr>
        <w:t> </w:t>
      </w:r>
      <w:r>
        <w:rPr/>
        <w:t>largely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capillary</w:t>
      </w:r>
      <w:r>
        <w:rPr>
          <w:spacing w:val="-1"/>
        </w:rPr>
        <w:t> </w:t>
      </w:r>
      <w:r>
        <w:rPr/>
        <w:t>actions</w:t>
      </w:r>
      <w:r>
        <w:rPr>
          <w:spacing w:val="-2"/>
        </w:rPr>
        <w:t> </w:t>
      </w:r>
      <w:r>
        <w:rPr/>
        <w:t>(English,</w:t>
      </w:r>
      <w:r>
        <w:rPr>
          <w:spacing w:val="-3"/>
        </w:rPr>
        <w:t> </w:t>
      </w:r>
      <w:r>
        <w:rPr/>
        <w:t>1997).</w:t>
      </w:r>
    </w:p>
    <w:p>
      <w:pPr>
        <w:pStyle w:val="ListParagraph"/>
        <w:numPr>
          <w:ilvl w:val="0"/>
          <w:numId w:val="3"/>
        </w:numPr>
        <w:tabs>
          <w:tab w:pos="1918" w:val="left" w:leader="none"/>
        </w:tabs>
        <w:spacing w:line="475" w:lineRule="auto" w:before="0" w:after="0"/>
        <w:ind w:left="1918" w:right="581" w:hanging="360"/>
        <w:jc w:val="both"/>
        <w:rPr>
          <w:sz w:val="24"/>
        </w:rPr>
      </w:pPr>
      <w:r>
        <w:rPr>
          <w:sz w:val="25"/>
        </w:rPr>
        <w:t>Sorbent</w:t>
      </w:r>
      <w:r>
        <w:rPr>
          <w:spacing w:val="1"/>
          <w:sz w:val="25"/>
        </w:rPr>
        <w:t> </w:t>
      </w:r>
      <w:r>
        <w:rPr>
          <w:sz w:val="25"/>
        </w:rPr>
        <w:t>application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Agro-based</w:t>
      </w:r>
      <w:r>
        <w:rPr>
          <w:spacing w:val="1"/>
          <w:sz w:val="24"/>
        </w:rPr>
        <w:t> </w:t>
      </w:r>
      <w:r>
        <w:rPr>
          <w:sz w:val="24"/>
        </w:rPr>
        <w:t>sorbents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seeing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absorbent socks and booms from oil spill cleanup (English, 1997). The use of</w:t>
      </w:r>
      <w:r>
        <w:rPr>
          <w:spacing w:val="1"/>
          <w:sz w:val="24"/>
        </w:rPr>
        <w:t> </w:t>
      </w:r>
      <w:r>
        <w:rPr>
          <w:sz w:val="24"/>
        </w:rPr>
        <w:t>sorbents for oil spill cleanup work varies in different areas of the country (USDOA,</w:t>
      </w:r>
      <w:r>
        <w:rPr>
          <w:spacing w:val="1"/>
          <w:sz w:val="24"/>
        </w:rPr>
        <w:t> </w:t>
      </w:r>
      <w:r>
        <w:rPr>
          <w:sz w:val="24"/>
        </w:rPr>
        <w:t>2008).</w:t>
      </w:r>
    </w:p>
    <w:p>
      <w:pPr>
        <w:pStyle w:val="BodyText"/>
        <w:spacing w:line="477" w:lineRule="auto"/>
        <w:ind w:left="1198" w:right="581"/>
        <w:jc w:val="both"/>
      </w:pPr>
      <w:r>
        <w:rPr/>
        <w:t>The sorption capacity of a given sorbent may depend also on a series of other properties</w:t>
      </w:r>
      <w:r>
        <w:rPr>
          <w:spacing w:val="1"/>
        </w:rPr>
        <w:t> </w:t>
      </w:r>
      <w:r>
        <w:rPr/>
        <w:t>which are grain size distribution, specific surface area, cation exchange capacity , pH,</w:t>
      </w:r>
      <w:r>
        <w:rPr>
          <w:spacing w:val="1"/>
        </w:rPr>
        <w:t> </w:t>
      </w:r>
      <w:r>
        <w:rPr/>
        <w:t>organic matter or organic carbon content and mineral constituents. These properties may</w:t>
      </w:r>
      <w:r>
        <w:rPr>
          <w:spacing w:val="1"/>
        </w:rPr>
        <w:t> </w:t>
      </w:r>
      <w:r>
        <w:rPr/>
        <w:t>affect sorption more or less depending on the chemical characteristics of the sorbate</w:t>
      </w:r>
      <w:r>
        <w:rPr>
          <w:spacing w:val="1"/>
        </w:rPr>
        <w:t> </w:t>
      </w:r>
      <w:r>
        <w:rPr/>
        <w:t>(Rowell</w:t>
      </w:r>
      <w:r>
        <w:rPr>
          <w:spacing w:val="-1"/>
        </w:rPr>
        <w:t>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al.,</w:t>
      </w:r>
      <w:r>
        <w:rPr>
          <w:spacing w:val="-4"/>
          <w:sz w:val="25"/>
        </w:rPr>
        <w:t> </w:t>
      </w:r>
      <w:r>
        <w:rPr/>
        <w:t>1999).</w:t>
      </w:r>
    </w:p>
    <w:p>
      <w:pPr>
        <w:pStyle w:val="BodyText"/>
        <w:spacing w:line="480" w:lineRule="auto"/>
        <w:ind w:left="1198" w:right="577"/>
        <w:jc w:val="both"/>
      </w:pPr>
      <w:r>
        <w:rPr/>
        <w:t>Sorption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plotting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compound in the sorbent as a function of its equilibrium concentration in a gas phase or in</w:t>
      </w:r>
      <w:r>
        <w:rPr>
          <w:spacing w:val="1"/>
        </w:rPr>
        <w:t> </w:t>
      </w:r>
      <w:r>
        <w:rPr/>
        <w:t>solution at a given temperature. Sorption isotherms are often non-linear. A sorbing system</w:t>
      </w:r>
      <w:r>
        <w:rPr>
          <w:spacing w:val="1"/>
        </w:rPr>
        <w:t> </w:t>
      </w:r>
      <w:r>
        <w:rPr/>
        <w:t>has a sorption capacity q</w:t>
      </w:r>
      <w:r>
        <w:rPr>
          <w:vertAlign w:val="subscript"/>
        </w:rPr>
        <w:t>c</w:t>
      </w:r>
      <w:r>
        <w:rPr>
          <w:vertAlign w:val="baseline"/>
        </w:rPr>
        <w:t> defined as the ratio of the mass of sorbate to the unit mass of</w:t>
      </w:r>
      <w:r>
        <w:rPr>
          <w:spacing w:val="1"/>
          <w:vertAlign w:val="baseline"/>
        </w:rPr>
        <w:t> </w:t>
      </w:r>
      <w:r>
        <w:rPr>
          <w:vertAlign w:val="baseline"/>
        </w:rPr>
        <w:t>sorbent. The total sorption capacity is therefore q</w:t>
      </w:r>
      <w:r>
        <w:rPr>
          <w:vertAlign w:val="subscript"/>
        </w:rPr>
        <w:t>c</w:t>
      </w:r>
      <w:r>
        <w:rPr>
          <w:vertAlign w:val="baseline"/>
        </w:rPr>
        <w:t>m, in which m equals the mass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sorbent. The rate of sorption is assumed to be proportional to the concentration of the oil</w:t>
      </w:r>
      <w:r>
        <w:rPr>
          <w:spacing w:val="1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o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difference between the total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 qc</w:t>
      </w:r>
      <w:r>
        <w:rPr>
          <w:vertAlign w:val="subscript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 amount</w:t>
      </w:r>
      <w:r>
        <w:rPr>
          <w:spacing w:val="-2"/>
          <w:vertAlign w:val="baseline"/>
        </w:rPr>
        <w:t> </w:t>
      </w:r>
      <w:r>
        <w:rPr>
          <w:vertAlign w:val="baseline"/>
        </w:rPr>
        <w:t>sorbed</w:t>
      </w:r>
      <w:r>
        <w:rPr>
          <w:spacing w:val="-2"/>
          <w:vertAlign w:val="baseline"/>
        </w:rPr>
        <w:t> </w:t>
      </w:r>
      <w:r>
        <w:rPr>
          <w:vertAlign w:val="baseline"/>
        </w:rPr>
        <w:t>q</w:t>
      </w:r>
      <w:r>
        <w:rPr>
          <w:vertAlign w:val="subscript"/>
        </w:rPr>
        <w:t>m</w:t>
      </w:r>
      <w:r>
        <w:rPr>
          <w:spacing w:val="-1"/>
          <w:vertAlign w:val="baseline"/>
        </w:rPr>
        <w:t> </w:t>
      </w:r>
      <w:r>
        <w:rPr>
          <w:vertAlign w:val="baseline"/>
        </w:rPr>
        <w:t>where</w:t>
      </w:r>
      <w:r>
        <w:rPr>
          <w:spacing w:val="-2"/>
          <w:vertAlign w:val="baseline"/>
        </w:rPr>
        <w:t> </w:t>
      </w:r>
      <w:r>
        <w:rPr>
          <w:vertAlign w:val="baseline"/>
        </w:rPr>
        <w:t>q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77" w:lineRule="auto" w:before="75"/>
        <w:ind w:left="1198" w:right="580"/>
        <w:jc w:val="both"/>
      </w:pPr>
      <w:r>
        <w:rPr/>
        <w:t>is the actual concentration of the sorbate in the solid phase (Site, 2004). The sorption of a</w:t>
      </w:r>
      <w:r>
        <w:rPr>
          <w:spacing w:val="1"/>
        </w:rPr>
        <w:t> </w:t>
      </w:r>
      <w:r>
        <w:rPr/>
        <w:t>chemical on a solid from a water based solution may be seen as the result of a reversible</w:t>
      </w:r>
      <w:r>
        <w:rPr>
          <w:spacing w:val="1"/>
        </w:rPr>
        <w:t> </w:t>
      </w:r>
      <w:r>
        <w:rPr/>
        <w:t>reaction (sorption-desorption) which reaches a final equilibrium conditions between the</w:t>
      </w:r>
      <w:r>
        <w:rPr>
          <w:spacing w:val="1"/>
        </w:rPr>
        <w:t> </w:t>
      </w:r>
      <w:r>
        <w:rPr/>
        <w:t>concentration of the</w:t>
      </w:r>
      <w:r>
        <w:rPr>
          <w:spacing w:val="1"/>
        </w:rPr>
        <w:t> </w:t>
      </w:r>
      <w:r>
        <w:rPr/>
        <w:t>chemical in the two</w:t>
      </w:r>
      <w:r>
        <w:rPr>
          <w:spacing w:val="1"/>
        </w:rPr>
        <w:t> </w:t>
      </w:r>
      <w:r>
        <w:rPr/>
        <w:t>phases (Site, 2004). It would be definitely</w:t>
      </w:r>
      <w:r>
        <w:rPr>
          <w:spacing w:val="1"/>
        </w:rPr>
        <w:t> </w:t>
      </w:r>
      <w:r>
        <w:rPr/>
        <w:t>expected that factors such as the number of the reactive sites on the substrate and the</w:t>
      </w:r>
      <w:r>
        <w:rPr>
          <w:spacing w:val="1"/>
        </w:rPr>
        <w:t> </w:t>
      </w:r>
      <w:r>
        <w:rPr/>
        <w:t>bulkiness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substrate</w:t>
      </w:r>
      <w:r>
        <w:rPr>
          <w:spacing w:val="-1"/>
        </w:rPr>
        <w:t> </w:t>
      </w:r>
      <w:r>
        <w:rPr/>
        <w:t>would</w:t>
      </w:r>
      <w:r>
        <w:rPr>
          <w:spacing w:val="-4"/>
        </w:rPr>
        <w:t> </w:t>
      </w:r>
      <w:r>
        <w:rPr/>
        <w:t>affect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rate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sorption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adsorbate</w:t>
      </w:r>
      <w:r>
        <w:rPr>
          <w:spacing w:val="-1"/>
        </w:rPr>
        <w:t> </w:t>
      </w:r>
      <w:r>
        <w:rPr/>
        <w:t>(Okoro</w:t>
      </w:r>
      <w:r>
        <w:rPr>
          <w:spacing w:val="-3"/>
        </w:rPr>
        <w:t> </w:t>
      </w:r>
      <w:r>
        <w:rPr>
          <w:sz w:val="25"/>
        </w:rPr>
        <w:t>et</w:t>
      </w:r>
      <w:r>
        <w:rPr>
          <w:spacing w:val="-7"/>
          <w:sz w:val="25"/>
        </w:rPr>
        <w:t> </w:t>
      </w:r>
      <w:r>
        <w:rPr>
          <w:sz w:val="25"/>
        </w:rPr>
        <w:t>al.,</w:t>
      </w:r>
      <w:r>
        <w:rPr>
          <w:spacing w:val="-8"/>
          <w:sz w:val="25"/>
        </w:rPr>
        <w:t> </w:t>
      </w:r>
      <w:r>
        <w:rPr/>
        <w:t>2007b).</w:t>
      </w:r>
    </w:p>
    <w:p>
      <w:pPr>
        <w:pStyle w:val="Heading3"/>
        <w:numPr>
          <w:ilvl w:val="2"/>
          <w:numId w:val="2"/>
        </w:numPr>
        <w:tabs>
          <w:tab w:pos="2637" w:val="left" w:leader="none"/>
          <w:tab w:pos="2638" w:val="left" w:leader="none"/>
        </w:tabs>
        <w:spacing w:line="240" w:lineRule="auto" w:before="197" w:after="0"/>
        <w:ind w:left="2638" w:right="0" w:hanging="1440"/>
        <w:jc w:val="left"/>
      </w:pPr>
      <w:r>
        <w:rPr/>
        <w:t>Modification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Natural</w:t>
      </w:r>
      <w:r>
        <w:rPr>
          <w:spacing w:val="-3"/>
        </w:rPr>
        <w:t> </w:t>
      </w:r>
      <w:r>
        <w:rPr/>
        <w:t>Sorbents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Oil</w:t>
      </w:r>
      <w:r>
        <w:rPr>
          <w:spacing w:val="-3"/>
        </w:rPr>
        <w:t> </w:t>
      </w:r>
      <w:r>
        <w:rPr/>
        <w:t>Spillage</w:t>
      </w:r>
      <w:r>
        <w:rPr>
          <w:spacing w:val="-3"/>
        </w:rPr>
        <w:t> </w:t>
      </w:r>
      <w:r>
        <w:rPr/>
        <w:t>Treatment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77" w:lineRule="auto"/>
        <w:ind w:left="1198" w:right="577"/>
        <w:jc w:val="both"/>
      </w:pPr>
      <w:r>
        <w:rPr/>
        <w:t>Application of agro-industrial residues represents an abundant, inexpensive and readily</w:t>
      </w:r>
      <w:r>
        <w:rPr>
          <w:spacing w:val="1"/>
        </w:rPr>
        <w:t> </w:t>
      </w:r>
      <w:r>
        <w:rPr/>
        <w:t>available source of renewable lignocellulosic biomass. Natural organic materials are widely</w:t>
      </w:r>
      <w:r>
        <w:rPr>
          <w:spacing w:val="1"/>
        </w:rPr>
        <w:t> </w:t>
      </w:r>
      <w:r>
        <w:rPr/>
        <w:t>used around the world and include; straw, hay, reeds, sea grass, husk peat, sawdust and</w:t>
      </w:r>
      <w:r>
        <w:rPr>
          <w:spacing w:val="1"/>
        </w:rPr>
        <w:t> </w:t>
      </w:r>
      <w:r>
        <w:rPr/>
        <w:t>gorse, together with</w:t>
      </w:r>
      <w:r>
        <w:rPr>
          <w:spacing w:val="1"/>
        </w:rPr>
        <w:t> </w:t>
      </w:r>
      <w:r>
        <w:rPr/>
        <w:t>other available local materials such as bagasse (dried sugarcane</w:t>
      </w:r>
      <w:r>
        <w:rPr>
          <w:spacing w:val="1"/>
        </w:rPr>
        <w:t> </w:t>
      </w:r>
      <w:r>
        <w:rPr/>
        <w:t>stalks) or dried palm fronds. These materials all appear to function by virtue of their having</w:t>
      </w:r>
      <w:r>
        <w:rPr>
          <w:spacing w:val="-72"/>
        </w:rPr>
        <w:t> </w:t>
      </w:r>
      <w:r>
        <w:rPr/>
        <w:t>oleophilic surfaces and they trap the oil in</w:t>
      </w:r>
      <w:r>
        <w:rPr>
          <w:spacing w:val="1"/>
        </w:rPr>
        <w:t> </w:t>
      </w:r>
      <w:r>
        <w:rPr/>
        <w:t>the mat of crisscross</w:t>
      </w:r>
      <w:r>
        <w:rPr>
          <w:spacing w:val="75"/>
        </w:rPr>
        <w:t> </w:t>
      </w:r>
      <w:r>
        <w:rPr/>
        <w:t>strands of fibers rather</w:t>
      </w:r>
      <w:r>
        <w:rPr>
          <w:spacing w:val="1"/>
        </w:rPr>
        <w:t> </w:t>
      </w:r>
      <w:r>
        <w:rPr/>
        <w:t>than by actual capillarity (Zhang </w:t>
      </w:r>
      <w:r>
        <w:rPr>
          <w:sz w:val="25"/>
        </w:rPr>
        <w:t>et al., </w:t>
      </w:r>
      <w:r>
        <w:rPr/>
        <w:t>2001). Many of these materials absorb water slowly</w:t>
      </w:r>
      <w:r>
        <w:rPr>
          <w:spacing w:val="-72"/>
        </w:rPr>
        <w:t> </w:t>
      </w:r>
      <w:r>
        <w:rPr/>
        <w:t>so that if fibers are left lying in water, they will gradually float over and may finally sink</w:t>
      </w:r>
      <w:r>
        <w:rPr>
          <w:spacing w:val="1"/>
        </w:rPr>
        <w:t> </w:t>
      </w:r>
      <w:r>
        <w:rPr/>
        <w:t>altogether.</w:t>
      </w:r>
      <w:r>
        <w:rPr>
          <w:spacing w:val="31"/>
        </w:rPr>
        <w:t> </w:t>
      </w:r>
      <w:r>
        <w:rPr/>
        <w:t>These</w:t>
      </w:r>
      <w:r>
        <w:rPr>
          <w:spacing w:val="32"/>
        </w:rPr>
        <w:t> </w:t>
      </w:r>
      <w:r>
        <w:rPr/>
        <w:t>natural</w:t>
      </w:r>
      <w:r>
        <w:rPr>
          <w:spacing w:val="32"/>
        </w:rPr>
        <w:t> </w:t>
      </w:r>
      <w:r>
        <w:rPr/>
        <w:t>sorbents</w:t>
      </w:r>
      <w:r>
        <w:rPr>
          <w:spacing w:val="32"/>
        </w:rPr>
        <w:t> </w:t>
      </w:r>
      <w:r>
        <w:rPr/>
        <w:t>have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advantage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economy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biodegradability</w:t>
      </w:r>
      <w:r>
        <w:rPr>
          <w:spacing w:val="-73"/>
        </w:rPr>
        <w:t> </w:t>
      </w:r>
      <w:r>
        <w:rPr/>
        <w:t>but also have been observed to have the disadvantage of poor buoyancy characteristics,</w:t>
      </w:r>
      <w:r>
        <w:rPr>
          <w:spacing w:val="1"/>
        </w:rPr>
        <w:t> </w:t>
      </w:r>
      <w:r>
        <w:rPr/>
        <w:t>relatively</w:t>
      </w:r>
      <w:r>
        <w:rPr>
          <w:spacing w:val="-1"/>
        </w:rPr>
        <w:t> </w:t>
      </w:r>
      <w:r>
        <w:rPr/>
        <w:t>low</w:t>
      </w:r>
      <w:r>
        <w:rPr>
          <w:spacing w:val="-3"/>
        </w:rPr>
        <w:t> </w:t>
      </w:r>
      <w:r>
        <w:rPr/>
        <w:t>sorption capacity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low</w:t>
      </w:r>
      <w:r>
        <w:rPr>
          <w:spacing w:val="-3"/>
        </w:rPr>
        <w:t> </w:t>
      </w:r>
      <w:r>
        <w:rPr/>
        <w:t>hydrophobicity</w:t>
      </w:r>
      <w:r>
        <w:rPr>
          <w:spacing w:val="-1"/>
        </w:rPr>
        <w:t> </w:t>
      </w:r>
      <w:r>
        <w:rPr/>
        <w:t>(Schatzberg,</w:t>
      </w:r>
      <w:r>
        <w:rPr>
          <w:spacing w:val="-1"/>
        </w:rPr>
        <w:t> </w:t>
      </w:r>
      <w:r>
        <w:rPr/>
        <w:t>1971).</w:t>
      </w:r>
    </w:p>
    <w:p>
      <w:pPr>
        <w:pStyle w:val="BodyText"/>
        <w:spacing w:line="480" w:lineRule="auto" w:before="8"/>
        <w:ind w:left="1198" w:right="575"/>
        <w:jc w:val="both"/>
      </w:pPr>
      <w:r>
        <w:rPr/>
        <w:t>Recent research and development is focused on the improvement of known products and</w:t>
      </w:r>
      <w:r>
        <w:rPr>
          <w:spacing w:val="1"/>
        </w:rPr>
        <w:t> </w:t>
      </w:r>
      <w:r>
        <w:rPr/>
        <w:t>synthesis paths as well as on new derivatives and alternative synthesis concepts (Heinze,</w:t>
      </w:r>
      <w:r>
        <w:rPr>
          <w:spacing w:val="1"/>
        </w:rPr>
        <w:t> </w:t>
      </w:r>
      <w:r>
        <w:rPr/>
        <w:t>2005). Agricultural waste sorbents are abundantly available around the world and several</w:t>
      </w:r>
      <w:r>
        <w:rPr>
          <w:spacing w:val="1"/>
        </w:rPr>
        <w:t> </w:t>
      </w:r>
      <w:r>
        <w:rPr/>
        <w:t>different methods of development with or without catalyst have been developed. A number</w:t>
      </w:r>
      <w:r>
        <w:rPr>
          <w:spacing w:val="-72"/>
        </w:rPr>
        <w:t> </w:t>
      </w:r>
      <w:r>
        <w:rPr/>
        <w:t>of</w:t>
      </w:r>
      <w:r>
        <w:rPr>
          <w:spacing w:val="65"/>
        </w:rPr>
        <w:t> </w:t>
      </w:r>
      <w:r>
        <w:rPr/>
        <w:t>natural</w:t>
      </w:r>
      <w:r>
        <w:rPr>
          <w:spacing w:val="67"/>
        </w:rPr>
        <w:t> </w:t>
      </w:r>
      <w:r>
        <w:rPr/>
        <w:t>sorbents</w:t>
      </w:r>
      <w:r>
        <w:rPr>
          <w:spacing w:val="67"/>
        </w:rPr>
        <w:t> </w:t>
      </w:r>
      <w:r>
        <w:rPr/>
        <w:t>have</w:t>
      </w:r>
      <w:r>
        <w:rPr>
          <w:spacing w:val="67"/>
        </w:rPr>
        <w:t> </w:t>
      </w:r>
      <w:r>
        <w:rPr/>
        <w:t>been</w:t>
      </w:r>
      <w:r>
        <w:rPr>
          <w:spacing w:val="67"/>
        </w:rPr>
        <w:t> </w:t>
      </w:r>
      <w:r>
        <w:rPr/>
        <w:t>modified</w:t>
      </w:r>
      <w:r>
        <w:rPr>
          <w:spacing w:val="65"/>
        </w:rPr>
        <w:t> </w:t>
      </w:r>
      <w:r>
        <w:rPr/>
        <w:t>and</w:t>
      </w:r>
      <w:r>
        <w:rPr>
          <w:spacing w:val="66"/>
        </w:rPr>
        <w:t> </w:t>
      </w:r>
      <w:r>
        <w:rPr/>
        <w:t>studied</w:t>
      </w:r>
      <w:r>
        <w:rPr>
          <w:spacing w:val="66"/>
        </w:rPr>
        <w:t> </w:t>
      </w:r>
      <w:r>
        <w:rPr/>
        <w:t>for</w:t>
      </w:r>
      <w:r>
        <w:rPr>
          <w:spacing w:val="66"/>
        </w:rPr>
        <w:t> </w:t>
      </w:r>
      <w:r>
        <w:rPr/>
        <w:t>use</w:t>
      </w:r>
      <w:r>
        <w:rPr>
          <w:spacing w:val="67"/>
        </w:rPr>
        <w:t> </w:t>
      </w:r>
      <w:r>
        <w:rPr/>
        <w:t>on</w:t>
      </w:r>
      <w:r>
        <w:rPr>
          <w:spacing w:val="67"/>
        </w:rPr>
        <w:t> </w:t>
      </w:r>
      <w:r>
        <w:rPr/>
        <w:t>oil</w:t>
      </w:r>
      <w:r>
        <w:rPr>
          <w:spacing w:val="69"/>
        </w:rPr>
        <w:t> </w:t>
      </w:r>
      <w:r>
        <w:rPr/>
        <w:t>spill</w:t>
      </w:r>
      <w:r>
        <w:rPr>
          <w:spacing w:val="64"/>
        </w:rPr>
        <w:t> </w:t>
      </w:r>
      <w:r>
        <w:rPr/>
        <w:t>cleanup,</w:t>
      </w:r>
      <w:r>
        <w:rPr>
          <w:spacing w:val="65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63" w:lineRule="auto" w:before="85"/>
        <w:ind w:left="1198" w:right="576"/>
        <w:jc w:val="both"/>
      </w:pPr>
      <w:r>
        <w:rPr/>
        <w:t>example; cotton (Johnson </w:t>
      </w:r>
      <w:r>
        <w:rPr>
          <w:sz w:val="25"/>
        </w:rPr>
        <w:t>et al., </w:t>
      </w:r>
      <w:r>
        <w:rPr/>
        <w:t>1973; Choi </w:t>
      </w:r>
      <w:r>
        <w:rPr>
          <w:sz w:val="25"/>
        </w:rPr>
        <w:t>et al</w:t>
      </w:r>
      <w:r>
        <w:rPr/>
        <w:t>, 1993; Choi, 1996), wool (Radetic </w:t>
      </w:r>
      <w:r>
        <w:rPr>
          <w:sz w:val="25"/>
        </w:rPr>
        <w:t>et al.,</w:t>
      </w:r>
      <w:r>
        <w:rPr>
          <w:spacing w:val="1"/>
          <w:sz w:val="25"/>
        </w:rPr>
        <w:t> </w:t>
      </w:r>
      <w:r>
        <w:rPr/>
        <w:t>2003),</w:t>
      </w:r>
      <w:r>
        <w:rPr>
          <w:spacing w:val="-4"/>
        </w:rPr>
        <w:t> </w:t>
      </w:r>
      <w:r>
        <w:rPr/>
        <w:t>bark</w:t>
      </w:r>
      <w:r>
        <w:rPr>
          <w:spacing w:val="-2"/>
        </w:rPr>
        <w:t> </w:t>
      </w:r>
      <w:r>
        <w:rPr/>
        <w:t>(Haussard</w:t>
      </w:r>
      <w:r>
        <w:rPr>
          <w:spacing w:val="2"/>
        </w:rPr>
        <w:t> </w:t>
      </w:r>
      <w:r>
        <w:rPr>
          <w:sz w:val="25"/>
        </w:rPr>
        <w:t>et</w:t>
      </w:r>
      <w:r>
        <w:rPr>
          <w:spacing w:val="-7"/>
          <w:sz w:val="25"/>
        </w:rPr>
        <w:t> </w:t>
      </w:r>
      <w:r>
        <w:rPr>
          <w:sz w:val="25"/>
        </w:rPr>
        <w:t>al.,</w:t>
      </w:r>
      <w:r>
        <w:rPr>
          <w:spacing w:val="-4"/>
          <w:sz w:val="25"/>
        </w:rPr>
        <w:t> </w:t>
      </w:r>
      <w:r>
        <w:rPr/>
        <w:t>2003),</w:t>
      </w:r>
      <w:r>
        <w:rPr>
          <w:spacing w:val="-4"/>
        </w:rPr>
        <w:t> </w:t>
      </w:r>
      <w:r>
        <w:rPr/>
        <w:t>barley</w:t>
      </w:r>
      <w:r>
        <w:rPr>
          <w:spacing w:val="-2"/>
        </w:rPr>
        <w:t> </w:t>
      </w:r>
      <w:r>
        <w:rPr/>
        <w:t>straw</w:t>
      </w:r>
      <w:r>
        <w:rPr>
          <w:spacing w:val="-3"/>
        </w:rPr>
        <w:t> </w:t>
      </w:r>
      <w:r>
        <w:rPr/>
        <w:t>(Amer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-4"/>
          <w:sz w:val="25"/>
        </w:rPr>
        <w:t> </w:t>
      </w:r>
      <w:r>
        <w:rPr>
          <w:sz w:val="25"/>
        </w:rPr>
        <w:t>al.,</w:t>
      </w:r>
      <w:r>
        <w:rPr>
          <w:spacing w:val="-6"/>
          <w:sz w:val="25"/>
        </w:rPr>
        <w:t> </w:t>
      </w:r>
      <w:r>
        <w:rPr/>
        <w:t>2007;</w:t>
      </w:r>
      <w:r>
        <w:rPr>
          <w:spacing w:val="-3"/>
        </w:rPr>
        <w:t> </w:t>
      </w:r>
      <w:r>
        <w:rPr/>
        <w:t>Hussein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-7"/>
          <w:sz w:val="25"/>
        </w:rPr>
        <w:t> </w:t>
      </w:r>
      <w:r>
        <w:rPr>
          <w:sz w:val="25"/>
        </w:rPr>
        <w:t>al.,</w:t>
      </w:r>
      <w:r>
        <w:rPr>
          <w:spacing w:val="-6"/>
          <w:sz w:val="25"/>
        </w:rPr>
        <w:t> </w:t>
      </w:r>
      <w:r>
        <w:rPr/>
        <w:t>2008),</w:t>
      </w:r>
      <w:r>
        <w:rPr>
          <w:spacing w:val="-72"/>
        </w:rPr>
        <w:t> </w:t>
      </w:r>
      <w:r>
        <w:rPr/>
        <w:t>kenaf</w:t>
      </w:r>
      <w:r>
        <w:rPr>
          <w:spacing w:val="-4"/>
        </w:rPr>
        <w:t> </w:t>
      </w:r>
      <w:r>
        <w:rPr/>
        <w:t>(Lee</w:t>
      </w:r>
      <w:r>
        <w:rPr>
          <w:spacing w:val="-4"/>
        </w:rPr>
        <w:t> </w:t>
      </w:r>
      <w:r>
        <w:rPr>
          <w:sz w:val="25"/>
        </w:rPr>
        <w:t>et</w:t>
      </w:r>
      <w:r>
        <w:rPr>
          <w:spacing w:val="-8"/>
          <w:sz w:val="25"/>
        </w:rPr>
        <w:t> </w:t>
      </w:r>
      <w:r>
        <w:rPr>
          <w:sz w:val="25"/>
        </w:rPr>
        <w:t>al.,</w:t>
      </w:r>
      <w:r>
        <w:rPr>
          <w:spacing w:val="-8"/>
          <w:sz w:val="25"/>
        </w:rPr>
        <w:t> </w:t>
      </w:r>
      <w:r>
        <w:rPr/>
        <w:t>1999)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corn-cobs</w:t>
      </w:r>
      <w:r>
        <w:rPr>
          <w:spacing w:val="-4"/>
        </w:rPr>
        <w:t> </w:t>
      </w:r>
      <w:r>
        <w:rPr/>
        <w:t>(Diya'udeen</w:t>
      </w:r>
      <w:r>
        <w:rPr>
          <w:spacing w:val="-4"/>
        </w:rPr>
        <w:t> </w:t>
      </w:r>
      <w:r>
        <w:rPr>
          <w:sz w:val="25"/>
        </w:rPr>
        <w:t>et</w:t>
      </w:r>
      <w:r>
        <w:rPr>
          <w:spacing w:val="-8"/>
          <w:sz w:val="25"/>
        </w:rPr>
        <w:t> </w:t>
      </w:r>
      <w:r>
        <w:rPr>
          <w:sz w:val="25"/>
        </w:rPr>
        <w:t>al.,</w:t>
      </w:r>
      <w:r>
        <w:rPr>
          <w:spacing w:val="-8"/>
          <w:sz w:val="25"/>
        </w:rPr>
        <w:t> </w:t>
      </w:r>
      <w:r>
        <w:rPr/>
        <w:t>2008).</w:t>
      </w:r>
      <w:r>
        <w:rPr>
          <w:spacing w:val="-5"/>
        </w:rPr>
        <w:t> </w:t>
      </w:r>
      <w:r>
        <w:rPr/>
        <w:t>They</w:t>
      </w:r>
      <w:r>
        <w:rPr>
          <w:spacing w:val="-3"/>
        </w:rPr>
        <w:t> </w:t>
      </w:r>
      <w:r>
        <w:rPr/>
        <w:t>were</w:t>
      </w:r>
      <w:r>
        <w:rPr>
          <w:spacing w:val="-5"/>
        </w:rPr>
        <w:t> </w:t>
      </w:r>
      <w:r>
        <w:rPr/>
        <w:t>observed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72"/>
        </w:rPr>
        <w:t> </w:t>
      </w:r>
      <w:r>
        <w:rPr/>
        <w:t>excellent</w:t>
      </w:r>
      <w:r>
        <w:rPr>
          <w:spacing w:val="-2"/>
        </w:rPr>
        <w:t> </w:t>
      </w:r>
      <w:r>
        <w:rPr/>
        <w:t>oil</w:t>
      </w:r>
      <w:r>
        <w:rPr>
          <w:spacing w:val="-2"/>
        </w:rPr>
        <w:t> </w:t>
      </w:r>
      <w:r>
        <w:rPr/>
        <w:t>sorbents</w:t>
      </w:r>
      <w:r>
        <w:rPr>
          <w:spacing w:val="-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their hydrophobic</w:t>
      </w:r>
      <w:r>
        <w:rPr>
          <w:spacing w:val="-3"/>
        </w:rPr>
        <w:t> </w:t>
      </w:r>
      <w:r>
        <w:rPr/>
        <w:t>and oleophilic</w:t>
      </w:r>
      <w:r>
        <w:rPr>
          <w:spacing w:val="-2"/>
        </w:rPr>
        <w:t> </w:t>
      </w:r>
      <w:r>
        <w:rPr/>
        <w:t>character.</w:t>
      </w:r>
    </w:p>
    <w:p>
      <w:pPr>
        <w:pStyle w:val="BodyText"/>
        <w:spacing w:line="475" w:lineRule="auto" w:before="22"/>
        <w:ind w:left="1198" w:right="575"/>
        <w:jc w:val="both"/>
      </w:pPr>
      <w:r>
        <w:rPr/>
        <w:t>Balternas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Vaisis,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75"/>
        </w:rPr>
        <w:t> </w:t>
      </w:r>
      <w:r>
        <w:rPr/>
        <w:t>sorption</w:t>
      </w:r>
      <w:r>
        <w:rPr>
          <w:spacing w:val="1"/>
        </w:rPr>
        <w:t> </w:t>
      </w:r>
      <w:r>
        <w:rPr/>
        <w:t>qualities of bio sorbents. Hussein </w:t>
      </w:r>
      <w:r>
        <w:rPr>
          <w:sz w:val="25"/>
        </w:rPr>
        <w:t>et al., </w:t>
      </w:r>
      <w:r>
        <w:rPr/>
        <w:t>(2008) and Diya’udeen </w:t>
      </w:r>
      <w:r>
        <w:rPr>
          <w:sz w:val="25"/>
        </w:rPr>
        <w:t>et al., </w:t>
      </w:r>
      <w:r>
        <w:rPr/>
        <w:t>(2008) also showed</w:t>
      </w:r>
      <w:r>
        <w:rPr>
          <w:spacing w:val="1"/>
        </w:rPr>
        <w:t> </w:t>
      </w:r>
      <w:r>
        <w:rPr/>
        <w:t>that carbonization of natural sorbents (pith bagasse and corn cobs respectively) had 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sorbents</w:t>
      </w:r>
      <w:r>
        <w:rPr>
          <w:spacing w:val="1"/>
        </w:rPr>
        <w:t> </w:t>
      </w:r>
      <w:r>
        <w:rPr/>
        <w:t>were</w:t>
      </w:r>
      <w:r>
        <w:rPr>
          <w:spacing w:val="75"/>
        </w:rPr>
        <w:t> </w:t>
      </w:r>
      <w:r>
        <w:rPr/>
        <w:t>investigated</w:t>
      </w:r>
      <w:r>
        <w:rPr>
          <w:spacing w:val="75"/>
        </w:rPr>
        <w:t> </w:t>
      </w:r>
      <w:r>
        <w:rPr/>
        <w:t>and</w:t>
      </w:r>
      <w:r>
        <w:rPr>
          <w:spacing w:val="1"/>
        </w:rPr>
        <w:t> </w:t>
      </w:r>
      <w:r>
        <w:rPr/>
        <w:t>reported.</w:t>
      </w:r>
      <w:r>
        <w:rPr>
          <w:spacing w:val="1"/>
        </w:rPr>
        <w:t> </w:t>
      </w:r>
      <w:r>
        <w:rPr/>
        <w:t>Thermo</w:t>
      </w:r>
      <w:r>
        <w:rPr>
          <w:spacing w:val="1"/>
        </w:rPr>
        <w:t> </w:t>
      </w:r>
      <w:r>
        <w:rPr/>
        <w:t>gravimetric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electro-scanning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75"/>
        </w:rPr>
        <w:t> </w:t>
      </w:r>
      <w:r>
        <w:rPr/>
        <w:t>to</w:t>
      </w:r>
      <w:r>
        <w:rPr>
          <w:spacing w:val="1"/>
        </w:rPr>
        <w:t> </w:t>
      </w:r>
      <w:r>
        <w:rPr/>
        <w:t>monitor the behavior of the carbonized sorbents and the product tested under simulated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hygroscopicity. The foremost advantage of wood treated in this manner are its increased</w:t>
      </w:r>
      <w:r>
        <w:rPr>
          <w:spacing w:val="1"/>
        </w:rPr>
        <w:t> </w:t>
      </w:r>
      <w:r>
        <w:rPr/>
        <w:t>resistance to different biodegradation and its improved dimensional stability (Homan </w:t>
      </w:r>
      <w:r>
        <w:rPr>
          <w:sz w:val="25"/>
        </w:rPr>
        <w:t>et al.,</w:t>
      </w:r>
      <w:r>
        <w:rPr>
          <w:spacing w:val="-76"/>
          <w:sz w:val="25"/>
        </w:rPr>
        <w:t> </w:t>
      </w:r>
      <w:r>
        <w:rPr/>
        <w:t>2000).</w:t>
      </w:r>
    </w:p>
    <w:p>
      <w:pPr>
        <w:pStyle w:val="BodyText"/>
        <w:spacing w:line="475" w:lineRule="auto" w:before="11"/>
        <w:ind w:left="1198" w:right="576"/>
        <w:jc w:val="both"/>
      </w:pPr>
      <w:r>
        <w:rPr/>
        <w:t>Chemical modification of plant or wood materials to improve their dimensional stability has</w:t>
      </w:r>
      <w:r>
        <w:rPr>
          <w:spacing w:val="1"/>
        </w:rPr>
        <w:t> </w:t>
      </w:r>
      <w:r>
        <w:rPr/>
        <w:t>been</w:t>
      </w:r>
      <w:r>
        <w:rPr>
          <w:spacing w:val="55"/>
        </w:rPr>
        <w:t> </w:t>
      </w:r>
      <w:r>
        <w:rPr/>
        <w:t>the</w:t>
      </w:r>
      <w:r>
        <w:rPr>
          <w:spacing w:val="57"/>
        </w:rPr>
        <w:t> </w:t>
      </w:r>
      <w:r>
        <w:rPr/>
        <w:t>subject</w:t>
      </w:r>
      <w:r>
        <w:rPr>
          <w:spacing w:val="53"/>
        </w:rPr>
        <w:t> </w:t>
      </w:r>
      <w:r>
        <w:rPr/>
        <w:t>of</w:t>
      </w:r>
      <w:r>
        <w:rPr>
          <w:spacing w:val="55"/>
        </w:rPr>
        <w:t> </w:t>
      </w:r>
      <w:r>
        <w:rPr/>
        <w:t>research</w:t>
      </w:r>
      <w:r>
        <w:rPr>
          <w:spacing w:val="56"/>
        </w:rPr>
        <w:t> </w:t>
      </w:r>
      <w:r>
        <w:rPr/>
        <w:t>for</w:t>
      </w:r>
      <w:r>
        <w:rPr>
          <w:spacing w:val="54"/>
        </w:rPr>
        <w:t> </w:t>
      </w:r>
      <w:r>
        <w:rPr/>
        <w:t>many</w:t>
      </w:r>
      <w:r>
        <w:rPr>
          <w:spacing w:val="56"/>
        </w:rPr>
        <w:t> </w:t>
      </w:r>
      <w:r>
        <w:rPr/>
        <w:t>years.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wide</w:t>
      </w:r>
      <w:r>
        <w:rPr>
          <w:spacing w:val="56"/>
        </w:rPr>
        <w:t> </w:t>
      </w:r>
      <w:r>
        <w:rPr/>
        <w:t>variety</w:t>
      </w:r>
      <w:r>
        <w:rPr>
          <w:spacing w:val="55"/>
        </w:rPr>
        <w:t> </w:t>
      </w:r>
      <w:r>
        <w:rPr/>
        <w:t>of</w:t>
      </w:r>
      <w:r>
        <w:rPr>
          <w:spacing w:val="56"/>
        </w:rPr>
        <w:t> </w:t>
      </w:r>
      <w:r>
        <w:rPr/>
        <w:t>chemicals</w:t>
      </w:r>
      <w:r>
        <w:rPr>
          <w:spacing w:val="55"/>
        </w:rPr>
        <w:t> </w:t>
      </w:r>
      <w:r>
        <w:rPr/>
        <w:t>have</w:t>
      </w:r>
      <w:r>
        <w:rPr>
          <w:spacing w:val="56"/>
        </w:rPr>
        <w:t> </w:t>
      </w:r>
      <w:r>
        <w:rPr/>
        <w:t>been</w:t>
      </w:r>
      <w:r>
        <w:rPr>
          <w:spacing w:val="-73"/>
        </w:rPr>
        <w:t> </w:t>
      </w:r>
      <w:r>
        <w:rPr/>
        <w:t>studied including anhydrides, acid chlorides, carboxylic acids, isocyanates, acetals, esters,</w:t>
      </w:r>
      <w:r>
        <w:rPr>
          <w:spacing w:val="1"/>
        </w:rPr>
        <w:t> </w:t>
      </w:r>
      <w:r>
        <w:rPr/>
        <w:t>acetyl chloride, β-propiolactone, acrylonitrile and epoxides. Cellulosic sorbents have been</w:t>
      </w:r>
      <w:r>
        <w:rPr>
          <w:spacing w:val="1"/>
        </w:rPr>
        <w:t> </w:t>
      </w:r>
      <w:r>
        <w:rPr/>
        <w:t>chemically</w:t>
      </w:r>
      <w:r>
        <w:rPr>
          <w:spacing w:val="15"/>
        </w:rPr>
        <w:t> </w:t>
      </w:r>
      <w:r>
        <w:rPr/>
        <w:t>treated</w:t>
      </w:r>
      <w:r>
        <w:rPr>
          <w:spacing w:val="13"/>
        </w:rPr>
        <w:t> </w:t>
      </w:r>
      <w:r>
        <w:rPr/>
        <w:t>(Sun</w:t>
      </w:r>
      <w:r>
        <w:rPr>
          <w:spacing w:val="16"/>
        </w:rPr>
        <w:t> </w:t>
      </w:r>
      <w:r>
        <w:rPr>
          <w:sz w:val="25"/>
        </w:rPr>
        <w:t>et</w:t>
      </w:r>
      <w:r>
        <w:rPr>
          <w:spacing w:val="11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13"/>
        </w:rPr>
        <w:t> </w:t>
      </w:r>
      <w:r>
        <w:rPr/>
        <w:t>2005)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research</w:t>
      </w:r>
      <w:r>
        <w:rPr>
          <w:spacing w:val="14"/>
        </w:rPr>
        <w:t> </w:t>
      </w:r>
      <w:r>
        <w:rPr/>
        <w:t>into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use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their</w:t>
      </w:r>
      <w:r>
        <w:rPr>
          <w:spacing w:val="14"/>
        </w:rPr>
        <w:t> </w:t>
      </w:r>
      <w:r>
        <w:rPr/>
        <w:t>modified</w:t>
      </w:r>
      <w:r>
        <w:rPr>
          <w:spacing w:val="13"/>
        </w:rPr>
        <w:t> </w:t>
      </w:r>
      <w:r>
        <w:rPr/>
        <w:t>products</w:t>
      </w:r>
      <w:r>
        <w:rPr>
          <w:spacing w:val="-72"/>
        </w:rPr>
        <w:t> </w:t>
      </w:r>
      <w:r>
        <w:rPr/>
        <w:t>as absorbents for the removal of crude oil from aqueous solutions have been on 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(Okoro </w:t>
      </w:r>
      <w:r>
        <w:rPr>
          <w:sz w:val="25"/>
        </w:rPr>
        <w:t>et al.</w:t>
      </w:r>
      <w:r>
        <w:rPr/>
        <w:t>,</w:t>
      </w:r>
      <w:r>
        <w:rPr>
          <w:spacing w:val="1"/>
        </w:rPr>
        <w:t> </w:t>
      </w:r>
      <w:r>
        <w:rPr/>
        <w:t>2007b).</w:t>
      </w:r>
      <w:r>
        <w:rPr>
          <w:spacing w:val="1"/>
        </w:rPr>
        <w:t> </w:t>
      </w:r>
      <w:r>
        <w:rPr/>
        <w:t>Adebajo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Frost,</w:t>
      </w:r>
      <w:r>
        <w:rPr>
          <w:spacing w:val="1"/>
        </w:rPr>
        <w:t> </w:t>
      </w:r>
      <w:r>
        <w:rPr/>
        <w:t>(2004b) 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acetylation</w:t>
      </w:r>
      <w:r>
        <w:rPr>
          <w:spacing w:val="75"/>
        </w:rPr>
        <w:t> </w:t>
      </w:r>
      <w:r>
        <w:rPr/>
        <w:t>of</w:t>
      </w:r>
      <w:r>
        <w:rPr>
          <w:spacing w:val="-72"/>
        </w:rPr>
        <w:t> </w:t>
      </w:r>
      <w:r>
        <w:rPr/>
        <w:t>cotton in order to develop hydrophobic, biodegradable cellulosic materials for subsequent</w:t>
      </w:r>
      <w:r>
        <w:rPr>
          <w:spacing w:val="1"/>
        </w:rPr>
        <w:t> </w:t>
      </w:r>
      <w:r>
        <w:rPr/>
        <w:t>application for oil spill cleanup. Okoro and Ejike, (2007) discussed and investigated the</w:t>
      </w:r>
      <w:r>
        <w:rPr>
          <w:spacing w:val="1"/>
        </w:rPr>
        <w:t> </w:t>
      </w:r>
      <w:r>
        <w:rPr/>
        <w:t>chemical</w:t>
      </w:r>
      <w:r>
        <w:rPr>
          <w:spacing w:val="60"/>
        </w:rPr>
        <w:t> </w:t>
      </w:r>
      <w:r>
        <w:rPr/>
        <w:t>modification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cellulose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its</w:t>
      </w:r>
      <w:r>
        <w:rPr>
          <w:spacing w:val="63"/>
        </w:rPr>
        <w:t> </w:t>
      </w:r>
      <w:r>
        <w:rPr/>
        <w:t>sorption</w:t>
      </w:r>
      <w:r>
        <w:rPr>
          <w:spacing w:val="59"/>
        </w:rPr>
        <w:t> </w:t>
      </w:r>
      <w:r>
        <w:rPr/>
        <w:t>model</w:t>
      </w:r>
      <w:r>
        <w:rPr>
          <w:spacing w:val="61"/>
        </w:rPr>
        <w:t> </w:t>
      </w:r>
      <w:r>
        <w:rPr/>
        <w:t>as</w:t>
      </w:r>
      <w:r>
        <w:rPr>
          <w:spacing w:val="61"/>
        </w:rPr>
        <w:t> </w:t>
      </w:r>
      <w:r>
        <w:rPr/>
        <w:t>crude</w:t>
      </w:r>
      <w:r>
        <w:rPr>
          <w:spacing w:val="60"/>
        </w:rPr>
        <w:t> </w:t>
      </w:r>
      <w:r>
        <w:rPr/>
        <w:t>oil</w:t>
      </w:r>
      <w:r>
        <w:rPr>
          <w:spacing w:val="60"/>
        </w:rPr>
        <w:t> </w:t>
      </w:r>
      <w:r>
        <w:rPr/>
        <w:t>sorbents,</w:t>
      </w:r>
      <w:r>
        <w:rPr>
          <w:spacing w:val="60"/>
        </w:rPr>
        <w:t> </w:t>
      </w:r>
      <w:r>
        <w:rPr/>
        <w:t>using</w:t>
      </w:r>
    </w:p>
    <w:p>
      <w:pPr>
        <w:spacing w:after="0" w:line="475" w:lineRule="auto"/>
        <w:jc w:val="both"/>
        <w:sectPr>
          <w:pgSz w:w="11910" w:h="16840"/>
          <w:pgMar w:header="0" w:footer="987" w:top="1120" w:bottom="1260" w:left="420" w:right="0"/>
        </w:sectPr>
      </w:pPr>
    </w:p>
    <w:p>
      <w:pPr>
        <w:pStyle w:val="BodyText"/>
        <w:spacing w:line="477" w:lineRule="auto" w:before="75"/>
        <w:ind w:left="1198" w:right="576"/>
        <w:jc w:val="both"/>
      </w:pPr>
      <w:r>
        <w:rPr/>
        <w:t>treated wood pulp (newsprint). The procedure was carried out using toluene diisocyanate</w:t>
      </w:r>
      <w:r>
        <w:rPr>
          <w:spacing w:val="1"/>
        </w:rPr>
        <w:t> </w:t>
      </w:r>
      <w:r>
        <w:rPr/>
        <w:t>and benzoyl chloride in the presence of 10% ethanolic sodium hydroxide as catalyst, 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cellulose.</w:t>
      </w:r>
      <w:r>
        <w:rPr>
          <w:spacing w:val="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esterified, by Sun </w:t>
      </w:r>
      <w:r>
        <w:rPr>
          <w:sz w:val="25"/>
        </w:rPr>
        <w:t>et al., </w:t>
      </w:r>
      <w:r>
        <w:rPr/>
        <w:t>(2004), with acetic anhydride using N-Bromosuccinimide as a</w:t>
      </w:r>
      <w:r>
        <w:rPr>
          <w:spacing w:val="1"/>
        </w:rPr>
        <w:t> </w:t>
      </w:r>
      <w:r>
        <w:rPr/>
        <w:t>catalyst under mild conditions. The acetylation significantly increased the hydrophobic</w:t>
      </w:r>
      <w:r>
        <w:rPr>
          <w:spacing w:val="1"/>
        </w:rPr>
        <w:t> </w:t>
      </w:r>
      <w:r>
        <w:rPr/>
        <w:t>properties of bagasse and the oil sorption capacity of the acetylated bagasse obtained at</w:t>
      </w:r>
      <w:r>
        <w:rPr>
          <w:spacing w:val="1"/>
        </w:rPr>
        <w:t> </w:t>
      </w:r>
      <w:r>
        <w:rPr/>
        <w:t>80</w:t>
      </w:r>
      <w:r>
        <w:rPr>
          <w:vertAlign w:val="superscript"/>
        </w:rPr>
        <w:t>o</w:t>
      </w:r>
      <w:r>
        <w:rPr>
          <w:vertAlign w:val="baseline"/>
        </w:rPr>
        <w:t>C for 6hours was 1.9 times higher than that of the commercial sorbent. The most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studied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all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-1"/>
          <w:vertAlign w:val="baseline"/>
        </w:rPr>
        <w:t> </w:t>
      </w:r>
      <w:r>
        <w:rPr>
          <w:vertAlign w:val="baseline"/>
        </w:rPr>
        <w:t>modification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chemistry</w:t>
      </w:r>
      <w:r>
        <w:rPr>
          <w:spacing w:val="-2"/>
          <w:vertAlign w:val="baseline"/>
        </w:rPr>
        <w:t> </w:t>
      </w:r>
      <w:r>
        <w:rPr>
          <w:vertAlign w:val="baseline"/>
        </w:rPr>
        <w:t>is acetylation.</w:t>
      </w:r>
    </w:p>
    <w:p>
      <w:pPr>
        <w:pStyle w:val="Heading3"/>
        <w:numPr>
          <w:ilvl w:val="2"/>
          <w:numId w:val="2"/>
        </w:numPr>
        <w:tabs>
          <w:tab w:pos="2637" w:val="left" w:leader="none"/>
          <w:tab w:pos="2638" w:val="left" w:leader="none"/>
        </w:tabs>
        <w:spacing w:line="240" w:lineRule="auto" w:before="203" w:after="0"/>
        <w:ind w:left="2638" w:right="0" w:hanging="1440"/>
        <w:jc w:val="left"/>
      </w:pPr>
      <w:r>
        <w:rPr/>
        <w:t>Acetylation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Natural</w:t>
      </w:r>
      <w:r>
        <w:rPr>
          <w:spacing w:val="-3"/>
        </w:rPr>
        <w:t> </w:t>
      </w:r>
      <w:r>
        <w:rPr/>
        <w:t>Sorbents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77" w:lineRule="auto"/>
        <w:ind w:left="1198" w:right="575"/>
        <w:jc w:val="both"/>
      </w:pPr>
      <w:r>
        <w:rPr/>
        <w:t>Acetylation is the substitution of an acetyl radical for an active hydrogen. It is a reaction</w:t>
      </w:r>
      <w:r>
        <w:rPr>
          <w:spacing w:val="1"/>
        </w:rPr>
        <w:t> </w:t>
      </w:r>
      <w:r>
        <w:rPr/>
        <w:t>involving the replacement of the hydrogen atom of a hydroxyl group with an acetyl radical</w:t>
      </w:r>
      <w:r>
        <w:rPr>
          <w:spacing w:val="1"/>
        </w:rPr>
        <w:t> </w:t>
      </w:r>
      <w:r>
        <w:rPr/>
        <w:t>(CH</w:t>
      </w:r>
      <w:r>
        <w:rPr>
          <w:vertAlign w:val="subscript"/>
        </w:rPr>
        <w:t>3</w:t>
      </w:r>
      <w:r>
        <w:rPr>
          <w:vertAlign w:val="baseline"/>
        </w:rPr>
        <w:t>CO</w:t>
      </w:r>
      <w:r>
        <w:rPr>
          <w:vertAlign w:val="superscript"/>
        </w:rPr>
        <w:t>·</w:t>
      </w:r>
      <w:r>
        <w:rPr>
          <w:vertAlign w:val="baseline"/>
        </w:rPr>
        <w:t>) to yield a specific ester, the acetate (Stuart, 1989). Acetic anhydride is commonly</w:t>
      </w:r>
      <w:r>
        <w:rPr>
          <w:spacing w:val="-72"/>
          <w:vertAlign w:val="baseline"/>
        </w:rPr>
        <w:t> </w:t>
      </w:r>
      <w:r>
        <w:rPr>
          <w:vertAlign w:val="baseline"/>
        </w:rPr>
        <w:t>used as an acetylating agent reacting with free hydroxyl groups. In the acetylation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 fibers, the product obtained contains acetyl groups bonded to the hydroxyl (OH)</w:t>
      </w:r>
      <w:r>
        <w:rPr>
          <w:spacing w:val="1"/>
          <w:vertAlign w:val="baseline"/>
        </w:rPr>
        <w:t> </w:t>
      </w:r>
      <w:r>
        <w:rPr>
          <w:vertAlign w:val="baseline"/>
        </w:rPr>
        <w:t>sites in wood cell wall. It has been shown that the rate of reaction is diffusion 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with rapid reaction of the anhydride molecule with the cell wall polymer OH site (Hill </w:t>
      </w:r>
      <w:r>
        <w:rPr>
          <w:sz w:val="25"/>
          <w:vertAlign w:val="baseline"/>
        </w:rPr>
        <w:t>et al.,</w:t>
      </w:r>
      <w:r>
        <w:rPr>
          <w:spacing w:val="1"/>
          <w:sz w:val="25"/>
          <w:vertAlign w:val="baseline"/>
        </w:rPr>
        <w:t> </w:t>
      </w:r>
      <w:r>
        <w:rPr>
          <w:vertAlign w:val="baseline"/>
        </w:rPr>
        <w:t>1998). Reaction rates can be increased by raising the temperature and using catalysts. The</w:t>
      </w:r>
      <w:r>
        <w:rPr>
          <w:spacing w:val="-72"/>
          <w:vertAlign w:val="baseline"/>
        </w:rPr>
        <w:t> </w:t>
      </w:r>
      <w:r>
        <w:rPr>
          <w:vertAlign w:val="baseline"/>
        </w:rPr>
        <w:t>extent of acetylation of acetic anhydride with wood is invariably reported as acetyl 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</w:t>
      </w:r>
      <w:r>
        <w:rPr>
          <w:spacing w:val="-2"/>
          <w:vertAlign w:val="baseline"/>
        </w:rPr>
        <w:t> </w:t>
      </w:r>
      <w:r>
        <w:rPr>
          <w:vertAlign w:val="baseline"/>
        </w:rPr>
        <w:t>gain (WPG)</w:t>
      </w:r>
      <w:r>
        <w:rPr>
          <w:spacing w:val="-2"/>
          <w:vertAlign w:val="baseline"/>
        </w:rPr>
        <w:t> </w:t>
      </w:r>
      <w:r>
        <w:rPr>
          <w:vertAlign w:val="baseline"/>
        </w:rPr>
        <w:t>(Hill,</w:t>
      </w:r>
      <w:r>
        <w:rPr>
          <w:spacing w:val="-2"/>
          <w:vertAlign w:val="baseline"/>
        </w:rPr>
        <w:t> </w:t>
      </w:r>
      <w:r>
        <w:rPr>
          <w:vertAlign w:val="baseline"/>
        </w:rPr>
        <w:t>2006a).</w:t>
      </w:r>
      <w:r>
        <w:rPr>
          <w:spacing w:val="-2"/>
          <w:vertAlign w:val="baseline"/>
        </w:rPr>
        <w:t> </w:t>
      </w:r>
      <w:r>
        <w:rPr>
          <w:vertAlign w:val="baseline"/>
        </w:rPr>
        <w:t>Calculated as</w:t>
      </w:r>
      <w:r>
        <w:rPr>
          <w:spacing w:val="-1"/>
          <w:vertAlign w:val="baseline"/>
        </w:rPr>
        <w:t> </w:t>
      </w:r>
      <w:r>
        <w:rPr>
          <w:vertAlign w:val="baseline"/>
        </w:rPr>
        <w:t>shown</w:t>
      </w:r>
      <w:r>
        <w:rPr>
          <w:spacing w:val="-1"/>
          <w:vertAlign w:val="baseline"/>
        </w:rPr>
        <w:t> </w:t>
      </w:r>
      <w:r>
        <w:rPr>
          <w:vertAlign w:val="baseline"/>
        </w:rPr>
        <w:t>below:</w:t>
      </w:r>
    </w:p>
    <w:p>
      <w:pPr>
        <w:pStyle w:val="BodyText"/>
        <w:tabs>
          <w:tab w:pos="8399" w:val="left" w:leader="none"/>
        </w:tabs>
        <w:spacing w:before="6"/>
        <w:ind w:left="1198"/>
        <w:jc w:val="both"/>
      </w:pPr>
      <w:r>
        <w:rPr/>
        <w:t>WPG(%)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[(W</w:t>
      </w:r>
      <w:r>
        <w:rPr>
          <w:vertAlign w:val="subscript"/>
        </w:rPr>
        <w:t>mod</w:t>
      </w:r>
      <w:r>
        <w:rPr>
          <w:spacing w:val="-1"/>
          <w:vertAlign w:val="baseline"/>
        </w:rPr>
        <w:t> </w:t>
      </w:r>
      <w:r>
        <w:rPr>
          <w:vertAlign w:val="baseline"/>
        </w:rPr>
        <w:t>– W</w:t>
      </w:r>
      <w:r>
        <w:rPr>
          <w:vertAlign w:val="subscript"/>
        </w:rPr>
        <w:t>unmod</w:t>
      </w:r>
      <w:r>
        <w:rPr>
          <w:vertAlign w:val="baseline"/>
        </w:rPr>
        <w:t>)/W</w:t>
      </w:r>
      <w:r>
        <w:rPr>
          <w:vertAlign w:val="subscript"/>
        </w:rPr>
        <w:t>unmod</w:t>
      </w:r>
      <w:r>
        <w:rPr>
          <w:vertAlign w:val="baseline"/>
        </w:rPr>
        <w:t>]</w:t>
      </w:r>
      <w:r>
        <w:rPr>
          <w:spacing w:val="-2"/>
          <w:vertAlign w:val="baseline"/>
        </w:rPr>
        <w:t> </w:t>
      </w:r>
      <w:r>
        <w:rPr>
          <w:vertAlign w:val="baseline"/>
        </w:rPr>
        <w:t>x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  <w:tab/>
        <w:t>(1.3)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98" w:right="576"/>
        <w:jc w:val="both"/>
      </w:pPr>
      <w:r>
        <w:rPr/>
        <w:t>Where W</w:t>
      </w:r>
      <w:r>
        <w:rPr>
          <w:vertAlign w:val="subscript"/>
        </w:rPr>
        <w:t>mod</w:t>
      </w:r>
      <w:r>
        <w:rPr>
          <w:vertAlign w:val="baseline"/>
        </w:rPr>
        <w:t> is the oven dry weight of the modified wood and W</w:t>
      </w:r>
      <w:r>
        <w:rPr>
          <w:vertAlign w:val="subscript"/>
        </w:rPr>
        <w:t>unmod</w:t>
      </w:r>
      <w:r>
        <w:rPr>
          <w:vertAlign w:val="baseline"/>
        </w:rPr>
        <w:t> is the weight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wood</w:t>
      </w:r>
      <w:r>
        <w:rPr>
          <w:spacing w:val="14"/>
          <w:vertAlign w:val="baseline"/>
        </w:rPr>
        <w:t> </w:t>
      </w:r>
      <w:r>
        <w:rPr>
          <w:vertAlign w:val="baseline"/>
        </w:rPr>
        <w:t>prior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5"/>
          <w:vertAlign w:val="baseline"/>
        </w:rPr>
        <w:t> </w:t>
      </w:r>
      <w:r>
        <w:rPr>
          <w:vertAlign w:val="baseline"/>
        </w:rPr>
        <w:t>reaction.</w:t>
      </w:r>
      <w:r>
        <w:rPr>
          <w:spacing w:val="32"/>
          <w:vertAlign w:val="baseline"/>
        </w:rPr>
        <w:t> </w:t>
      </w:r>
      <w:r>
        <w:rPr>
          <w:vertAlign w:val="baseline"/>
        </w:rPr>
        <w:t>Although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7"/>
          <w:vertAlign w:val="baseline"/>
        </w:rPr>
        <w:t> </w:t>
      </w:r>
      <w:r>
        <w:rPr>
          <w:vertAlign w:val="baseline"/>
        </w:rPr>
        <w:t>can</w:t>
      </w:r>
      <w:r>
        <w:rPr>
          <w:spacing w:val="17"/>
          <w:vertAlign w:val="baseline"/>
        </w:rPr>
        <w:t> </w:t>
      </w:r>
      <w:r>
        <w:rPr>
          <w:vertAlign w:val="baseline"/>
        </w:rPr>
        <w:t>take</w:t>
      </w:r>
      <w:r>
        <w:rPr>
          <w:spacing w:val="17"/>
          <w:vertAlign w:val="baseline"/>
        </w:rPr>
        <w:t> </w:t>
      </w:r>
      <w:r>
        <w:rPr>
          <w:vertAlign w:val="baseline"/>
        </w:rPr>
        <w:t>place</w:t>
      </w:r>
      <w:r>
        <w:rPr>
          <w:spacing w:val="16"/>
          <w:vertAlign w:val="baseline"/>
        </w:rPr>
        <w:t> </w:t>
      </w:r>
      <w:r>
        <w:rPr>
          <w:vertAlign w:val="baseline"/>
        </w:rPr>
        <w:t>using</w:t>
      </w:r>
      <w:r>
        <w:rPr>
          <w:spacing w:val="16"/>
          <w:vertAlign w:val="baseline"/>
        </w:rPr>
        <w:t> </w:t>
      </w:r>
      <w:r>
        <w:rPr>
          <w:vertAlign w:val="baseline"/>
        </w:rPr>
        <w:t>ketene,</w:t>
      </w:r>
      <w:r>
        <w:rPr>
          <w:spacing w:val="15"/>
          <w:vertAlign w:val="baseline"/>
        </w:rPr>
        <w:t> </w:t>
      </w:r>
      <w:r>
        <w:rPr>
          <w:vertAlign w:val="baseline"/>
        </w:rPr>
        <w:t>acetic</w:t>
      </w:r>
      <w:r>
        <w:rPr>
          <w:spacing w:val="16"/>
          <w:vertAlign w:val="baseline"/>
        </w:rPr>
        <w:t> </w:t>
      </w:r>
      <w:r>
        <w:rPr>
          <w:vertAlign w:val="baseline"/>
        </w:rPr>
        <w:t>acid</w:t>
      </w:r>
      <w:r>
        <w:rPr>
          <w:spacing w:val="15"/>
          <w:vertAlign w:val="baseline"/>
        </w:rPr>
        <w:t> </w:t>
      </w:r>
      <w:r>
        <w:rPr>
          <w:vertAlign w:val="baseline"/>
        </w:rPr>
        <w:t>or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82" w:lineRule="auto" w:before="75"/>
        <w:ind w:left="1198" w:right="583"/>
        <w:jc w:val="both"/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1176120</wp:posOffset>
            </wp:positionH>
            <wp:positionV relativeFrom="paragraph">
              <wp:posOffset>819838</wp:posOffset>
            </wp:positionV>
            <wp:extent cx="3923771" cy="14297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771" cy="1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acetyl</w:t>
      </w:r>
      <w:r>
        <w:rPr>
          <w:spacing w:val="1"/>
        </w:rPr>
        <w:t> </w:t>
      </w:r>
      <w:r>
        <w:rPr/>
        <w:t>chloride,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with</w:t>
      </w:r>
      <w:r>
        <w:rPr>
          <w:spacing w:val="75"/>
        </w:rPr>
        <w:t> </w:t>
      </w:r>
      <w:r>
        <w:rPr/>
        <w:t>acetic</w:t>
      </w:r>
      <w:r>
        <w:rPr>
          <w:spacing w:val="1"/>
        </w:rPr>
        <w:t> </w:t>
      </w:r>
      <w:r>
        <w:rPr/>
        <w:t>anhydride.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77" w:lineRule="auto"/>
        <w:ind w:left="1198" w:right="577"/>
        <w:jc w:val="both"/>
      </w:pPr>
      <w:r>
        <w:rPr/>
        <w:t>In this reaction, acetic acid is produced as a byproduct and is important to remove this as</w:t>
      </w:r>
      <w:r>
        <w:rPr>
          <w:spacing w:val="1"/>
        </w:rPr>
        <w:t> </w:t>
      </w:r>
      <w:r>
        <w:rPr/>
        <w:t>well as unreacted anhydride at the end of the reaction. CELL-OH represents the hydroxyl</w:t>
      </w:r>
      <w:r>
        <w:rPr>
          <w:spacing w:val="1"/>
        </w:rPr>
        <w:t> </w:t>
      </w:r>
      <w:r>
        <w:rPr/>
        <w:t>site of the cellulosic natural sorbents (Tapio </w:t>
      </w:r>
      <w:r>
        <w:rPr>
          <w:sz w:val="25"/>
        </w:rPr>
        <w:t>et al., </w:t>
      </w:r>
      <w:r>
        <w:rPr/>
        <w:t>1994).</w:t>
      </w:r>
      <w:r>
        <w:rPr>
          <w:spacing w:val="1"/>
        </w:rPr>
        <w:t> </w:t>
      </w:r>
      <w:r>
        <w:rPr/>
        <w:t>The common process for</w:t>
      </w:r>
      <w:r>
        <w:rPr>
          <w:spacing w:val="1"/>
        </w:rPr>
        <w:t> </w:t>
      </w:r>
      <w:r>
        <w:rPr/>
        <w:t>acetylation of cellulose is the reaction without solvents because the solvent will reduce the</w:t>
      </w:r>
      <w:r>
        <w:rPr>
          <w:spacing w:val="1"/>
        </w:rPr>
        <w:t> </w:t>
      </w:r>
      <w:r>
        <w:rPr/>
        <w:t>reaction rate by diffusion of modifiers and the use of solvents will require complicated</w:t>
      </w:r>
      <w:r>
        <w:rPr>
          <w:spacing w:val="1"/>
        </w:rPr>
        <w:t> </w:t>
      </w:r>
      <w:r>
        <w:rPr/>
        <w:t>separation processes to recover the chemicals after the reaction, which makes the process</w:t>
      </w:r>
      <w:r>
        <w:rPr>
          <w:spacing w:val="1"/>
        </w:rPr>
        <w:t> </w:t>
      </w:r>
      <w:r>
        <w:rPr/>
        <w:t>undesirable by increasing the production costs. In addition, the use of organic solvents is</w:t>
      </w:r>
      <w:r>
        <w:rPr>
          <w:spacing w:val="1"/>
        </w:rPr>
        <w:t> </w:t>
      </w:r>
      <w:r>
        <w:rPr/>
        <w:t>often harmful to humans and environment. Therefore a solvent free system is preferable to</w:t>
      </w:r>
      <w:r>
        <w:rPr>
          <w:spacing w:val="-72"/>
        </w:rPr>
        <w:t> </w:t>
      </w:r>
      <w:r>
        <w:rPr/>
        <w:t>eliminate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use of</w:t>
      </w:r>
      <w:r>
        <w:rPr>
          <w:spacing w:val="-2"/>
        </w:rPr>
        <w:t> </w:t>
      </w:r>
      <w:r>
        <w:rPr/>
        <w:t>organic solvents (Hill,</w:t>
      </w:r>
      <w:r>
        <w:rPr>
          <w:spacing w:val="-1"/>
        </w:rPr>
        <w:t> </w:t>
      </w:r>
      <w:r>
        <w:rPr/>
        <w:t>2006b).</w:t>
      </w:r>
    </w:p>
    <w:p>
      <w:pPr>
        <w:pStyle w:val="Heading3"/>
        <w:numPr>
          <w:ilvl w:val="3"/>
          <w:numId w:val="2"/>
        </w:numPr>
        <w:tabs>
          <w:tab w:pos="2638" w:val="left" w:leader="none"/>
        </w:tabs>
        <w:spacing w:line="240" w:lineRule="auto" w:before="203" w:after="0"/>
        <w:ind w:left="2638" w:right="0" w:hanging="1440"/>
        <w:jc w:val="both"/>
      </w:pPr>
      <w:r>
        <w:rPr/>
        <w:t>Swelling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wood</w:t>
      </w:r>
      <w:r>
        <w:rPr>
          <w:spacing w:val="-2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acetylation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80" w:lineRule="auto"/>
        <w:ind w:left="1198" w:right="579"/>
        <w:jc w:val="both"/>
      </w:pPr>
      <w:r>
        <w:rPr/>
        <w:t>Wood is swollen by acetylation because the chemically bonded acetyl groups occupy space</w:t>
      </w:r>
      <w:r>
        <w:rPr>
          <w:spacing w:val="1"/>
        </w:rPr>
        <w:t> </w:t>
      </w:r>
      <w:r>
        <w:rPr/>
        <w:t>within the cell wall. Invariably, the swelling is determined by measuring the external</w:t>
      </w:r>
      <w:r>
        <w:rPr>
          <w:spacing w:val="1"/>
        </w:rPr>
        <w:t> </w:t>
      </w:r>
      <w:r>
        <w:rPr/>
        <w:t>dimensions of oven dry wood samples before and after modification. The swellability of</w:t>
      </w:r>
      <w:r>
        <w:rPr>
          <w:spacing w:val="1"/>
        </w:rPr>
        <w:t> </w:t>
      </w:r>
      <w:r>
        <w:rPr/>
        <w:t>wood</w:t>
      </w:r>
      <w:r>
        <w:rPr>
          <w:spacing w:val="-3"/>
        </w:rPr>
        <w:t> </w:t>
      </w:r>
      <w:r>
        <w:rPr/>
        <w:t>is calculated thus</w:t>
      </w:r>
    </w:p>
    <w:p>
      <w:pPr>
        <w:pStyle w:val="BodyText"/>
        <w:tabs>
          <w:tab w:pos="6958" w:val="left" w:leader="none"/>
        </w:tabs>
        <w:spacing w:before="2"/>
        <w:ind w:left="1198"/>
        <w:jc w:val="both"/>
      </w:pPr>
      <w:r>
        <w:rPr/>
        <w:t>S</w:t>
      </w:r>
      <w:r>
        <w:rPr>
          <w:spacing w:val="-1"/>
        </w:rPr>
        <w:t> </w:t>
      </w:r>
      <w:r>
        <w:rPr/>
        <w:t>(%)</w:t>
      </w:r>
      <w:r>
        <w:rPr>
          <w:spacing w:val="-3"/>
        </w:rPr>
        <w:t> </w:t>
      </w:r>
      <w:r>
        <w:rPr/>
        <w:t>= [(V</w:t>
      </w:r>
      <w:r>
        <w:rPr>
          <w:vertAlign w:val="subscript"/>
        </w:rPr>
        <w:t>wet</w:t>
      </w:r>
      <w:r>
        <w:rPr>
          <w:vertAlign w:val="baseline"/>
        </w:rPr>
        <w:t>-V</w:t>
      </w:r>
      <w:r>
        <w:rPr>
          <w:vertAlign w:val="subscript"/>
        </w:rPr>
        <w:t>dry</w:t>
      </w:r>
      <w:r>
        <w:rPr>
          <w:vertAlign w:val="baseline"/>
        </w:rPr>
        <w:t>)/V</w:t>
      </w:r>
      <w:r>
        <w:rPr>
          <w:vertAlign w:val="subscript"/>
        </w:rPr>
        <w:t>dry</w:t>
      </w:r>
      <w:r>
        <w:rPr>
          <w:vertAlign w:val="baseline"/>
        </w:rPr>
        <w:t>]</w:t>
      </w:r>
      <w:r>
        <w:rPr>
          <w:spacing w:val="-3"/>
          <w:vertAlign w:val="baseline"/>
        </w:rPr>
        <w:t> </w:t>
      </w:r>
      <w:r>
        <w:rPr>
          <w:vertAlign w:val="baseline"/>
        </w:rPr>
        <w:t>x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  <w:tab/>
        <w:t>(1.5)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98" w:right="577"/>
        <w:jc w:val="both"/>
      </w:pPr>
      <w:r>
        <w:rPr/>
        <w:t>where W</w:t>
      </w:r>
      <w:r>
        <w:rPr>
          <w:vertAlign w:val="subscript"/>
        </w:rPr>
        <w:t>2</w:t>
      </w:r>
      <w:r>
        <w:rPr>
          <w:vertAlign w:val="baseline"/>
        </w:rPr>
        <w:t> = wet weight of the sample after soaking in water; W</w:t>
      </w:r>
      <w:r>
        <w:rPr>
          <w:vertAlign w:val="subscript"/>
        </w:rPr>
        <w:t>1</w:t>
      </w:r>
      <w:r>
        <w:rPr>
          <w:vertAlign w:val="baseline"/>
        </w:rPr>
        <w:t> = oven dry weight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soaking.</w:t>
      </w:r>
    </w:p>
    <w:p>
      <w:pPr>
        <w:pStyle w:val="Heading3"/>
        <w:numPr>
          <w:ilvl w:val="3"/>
          <w:numId w:val="2"/>
        </w:numPr>
        <w:tabs>
          <w:tab w:pos="2638" w:val="left" w:leader="none"/>
        </w:tabs>
        <w:spacing w:line="240" w:lineRule="auto" w:before="202" w:after="0"/>
        <w:ind w:left="2638" w:right="0" w:hanging="1440"/>
        <w:jc w:val="both"/>
      </w:pPr>
      <w:r>
        <w:rPr/>
        <w:t>Dimensional</w:t>
      </w:r>
      <w:r>
        <w:rPr>
          <w:spacing w:val="-3"/>
        </w:rPr>
        <w:t> </w:t>
      </w:r>
      <w:r>
        <w:rPr/>
        <w:t>stability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82" w:lineRule="auto"/>
        <w:ind w:left="1198" w:right="581"/>
        <w:jc w:val="both"/>
      </w:pPr>
      <w:r>
        <w:rPr/>
        <w:t>When wood is acetylated, it is far less susceptible to shrinking and swelling in the presence</w:t>
      </w:r>
      <w:r>
        <w:rPr>
          <w:spacing w:val="-72"/>
        </w:rPr>
        <w:t> </w:t>
      </w:r>
      <w:r>
        <w:rPr/>
        <w:t>of</w:t>
      </w:r>
      <w:r>
        <w:rPr>
          <w:spacing w:val="32"/>
        </w:rPr>
        <w:t> </w:t>
      </w:r>
      <w:r>
        <w:rPr/>
        <w:t>varying</w:t>
      </w:r>
      <w:r>
        <w:rPr>
          <w:spacing w:val="33"/>
        </w:rPr>
        <w:t> </w:t>
      </w:r>
      <w:r>
        <w:rPr/>
        <w:t>atmospheric</w:t>
      </w:r>
      <w:r>
        <w:rPr>
          <w:spacing w:val="33"/>
        </w:rPr>
        <w:t> </w:t>
      </w:r>
      <w:r>
        <w:rPr/>
        <w:t>conditions.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reason</w:t>
      </w:r>
      <w:r>
        <w:rPr>
          <w:spacing w:val="32"/>
        </w:rPr>
        <w:t> </w:t>
      </w:r>
      <w:r>
        <w:rPr/>
        <w:t>for</w:t>
      </w:r>
      <w:r>
        <w:rPr>
          <w:spacing w:val="32"/>
        </w:rPr>
        <w:t> </w:t>
      </w:r>
      <w:r>
        <w:rPr/>
        <w:t>this</w:t>
      </w:r>
      <w:r>
        <w:rPr>
          <w:spacing w:val="34"/>
        </w:rPr>
        <w:t> </w:t>
      </w:r>
      <w:r>
        <w:rPr/>
        <w:t>simply</w:t>
      </w:r>
      <w:r>
        <w:rPr>
          <w:spacing w:val="33"/>
        </w:rPr>
        <w:t> </w:t>
      </w:r>
      <w:r>
        <w:rPr/>
        <w:t>explained.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cell</w:t>
      </w:r>
      <w:r>
        <w:rPr>
          <w:spacing w:val="33"/>
        </w:rPr>
        <w:t> </w:t>
      </w:r>
      <w:r>
        <w:rPr/>
        <w:t>wall</w:t>
      </w:r>
      <w:r>
        <w:rPr>
          <w:spacing w:val="33"/>
        </w:rPr>
        <w:t> </w:t>
      </w:r>
      <w:r>
        <w:rPr/>
        <w:t>is</w:t>
      </w:r>
    </w:p>
    <w:p>
      <w:pPr>
        <w:spacing w:after="0" w:line="482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80" w:lineRule="auto" w:before="75"/>
        <w:ind w:left="1198" w:right="575"/>
        <w:jc w:val="both"/>
      </w:pPr>
      <w:r>
        <w:rPr/>
        <w:t>now filled with chemically bonded acetyl groups in swollen conditions, the extent of which</w:t>
      </w:r>
      <w:r>
        <w:rPr>
          <w:spacing w:val="1"/>
        </w:rPr>
        <w:t> </w:t>
      </w:r>
      <w:r>
        <w:rPr/>
        <w:t>depend upon the level of modification. There is very little residual swelling when wood is</w:t>
      </w:r>
      <w:r>
        <w:rPr>
          <w:spacing w:val="1"/>
        </w:rPr>
        <w:t> </w:t>
      </w:r>
      <w:r>
        <w:rPr/>
        <w:t>soaked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water.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very</w:t>
      </w:r>
      <w:r>
        <w:rPr>
          <w:spacing w:val="11"/>
        </w:rPr>
        <w:t> </w:t>
      </w:r>
      <w:r>
        <w:rPr/>
        <w:t>common</w:t>
      </w:r>
      <w:r>
        <w:rPr>
          <w:spacing w:val="13"/>
        </w:rPr>
        <w:t> </w:t>
      </w:r>
      <w:r>
        <w:rPr/>
        <w:t>method</w:t>
      </w:r>
      <w:r>
        <w:rPr>
          <w:spacing w:val="10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method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Rowell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Ellis,</w:t>
      </w:r>
      <w:r>
        <w:rPr>
          <w:spacing w:val="12"/>
        </w:rPr>
        <w:t> </w:t>
      </w:r>
      <w:r>
        <w:rPr/>
        <w:t>(1978),</w:t>
      </w:r>
      <w:r>
        <w:rPr>
          <w:spacing w:val="10"/>
        </w:rPr>
        <w:t> </w:t>
      </w:r>
      <w:r>
        <w:rPr/>
        <w:t>which</w:t>
      </w:r>
      <w:r>
        <w:rPr>
          <w:spacing w:val="-72"/>
        </w:rPr>
        <w:t> </w:t>
      </w:r>
      <w:r>
        <w:rPr/>
        <w:t>is to soak the wood for five days in water and determine the swellability. Although this is a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determination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dimensional</w:t>
      </w:r>
      <w:r>
        <w:rPr>
          <w:spacing w:val="1"/>
        </w:rPr>
        <w:t> </w:t>
      </w:r>
      <w:r>
        <w:rPr/>
        <w:t>stability,</w:t>
      </w:r>
      <w:r>
        <w:rPr>
          <w:spacing w:val="1"/>
        </w:rPr>
        <w:t> </w:t>
      </w:r>
      <w:r>
        <w:rPr/>
        <w:t>a much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indicator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</w:t>
      </w:r>
      <w:r>
        <w:rPr>
          <w:spacing w:val="1"/>
        </w:rPr>
        <w:t> </w:t>
      </w:r>
      <w:r>
        <w:rPr/>
        <w:t>shrinking</w:t>
      </w:r>
      <w:r>
        <w:rPr>
          <w:spacing w:val="-2"/>
        </w:rPr>
        <w:t> </w:t>
      </w:r>
      <w:r>
        <w:rPr/>
        <w:t>efficiency (ASE)</w:t>
      </w:r>
      <w:r>
        <w:rPr>
          <w:spacing w:val="-1"/>
        </w:rPr>
        <w:t> </w:t>
      </w:r>
      <w:r>
        <w:rPr/>
        <w:t>determined</w:t>
      </w:r>
      <w:r>
        <w:rPr>
          <w:spacing w:val="-3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below</w:t>
      </w:r>
    </w:p>
    <w:p>
      <w:pPr>
        <w:pStyle w:val="BodyText"/>
        <w:tabs>
          <w:tab w:pos="6958" w:val="left" w:leader="none"/>
        </w:tabs>
        <w:spacing w:before="2"/>
        <w:ind w:left="1198"/>
        <w:jc w:val="both"/>
      </w:pPr>
      <w:r>
        <w:rPr/>
        <w:t>ASE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[(S</w:t>
      </w:r>
      <w:r>
        <w:rPr>
          <w:vertAlign w:val="subscript"/>
        </w:rPr>
        <w:t>o</w:t>
      </w:r>
      <w:r>
        <w:rPr>
          <w:vertAlign w:val="baseline"/>
        </w:rPr>
        <w:t>-S)/S</w:t>
      </w:r>
      <w:r>
        <w:rPr>
          <w:vertAlign w:val="subscript"/>
        </w:rPr>
        <w:t>o</w:t>
      </w:r>
      <w:r>
        <w:rPr>
          <w:vertAlign w:val="baseline"/>
        </w:rPr>
        <w:t>] x</w:t>
      </w:r>
      <w:r>
        <w:rPr>
          <w:spacing w:val="-1"/>
          <w:vertAlign w:val="baseline"/>
        </w:rPr>
        <w:t> </w:t>
      </w:r>
      <w:r>
        <w:rPr>
          <w:vertAlign w:val="baseline"/>
        </w:rPr>
        <w:t>100</w:t>
        <w:tab/>
        <w:t>(1.6)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98" w:right="579"/>
        <w:jc w:val="both"/>
      </w:pPr>
      <w:r>
        <w:rPr/>
        <w:t>S</w:t>
      </w:r>
      <w:r>
        <w:rPr>
          <w:vertAlign w:val="subscript"/>
        </w:rPr>
        <w:t>o</w:t>
      </w:r>
      <w:r>
        <w:rPr>
          <w:vertAlign w:val="baseline"/>
        </w:rPr>
        <w:t> = volumetric swelling of untreated samples and S = volumetric swelling of treated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samples.</w:t>
      </w:r>
    </w:p>
    <w:p>
      <w:pPr>
        <w:pStyle w:val="Heading3"/>
        <w:numPr>
          <w:ilvl w:val="3"/>
          <w:numId w:val="2"/>
        </w:numPr>
        <w:tabs>
          <w:tab w:pos="2638" w:val="left" w:leader="none"/>
        </w:tabs>
        <w:spacing w:line="240" w:lineRule="auto" w:before="202" w:after="0"/>
        <w:ind w:left="2638" w:right="0" w:hanging="1440"/>
        <w:jc w:val="both"/>
      </w:pPr>
      <w:r>
        <w:rPr/>
        <w:t>Catalysts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acetylation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80" w:lineRule="auto"/>
        <w:ind w:left="1198" w:right="577"/>
        <w:jc w:val="both"/>
      </w:pPr>
      <w:r>
        <w:rPr/>
        <w:t>The inability of acetic anhydride to acetylate natural fibers has received much attention</w:t>
      </w:r>
      <w:r>
        <w:rPr>
          <w:spacing w:val="1"/>
        </w:rPr>
        <w:t> </w:t>
      </w:r>
      <w:r>
        <w:rPr/>
        <w:t>from different research workers. It can be assumed that the energy of interaction between</w:t>
      </w:r>
      <w:r>
        <w:rPr>
          <w:spacing w:val="1"/>
        </w:rPr>
        <w:t> </w:t>
      </w:r>
      <w:r>
        <w:rPr/>
        <w:t>acetic anhydride and cellulose in the absence of a catalyst is insufficient to weaken the</w:t>
      </w:r>
      <w:r>
        <w:rPr>
          <w:spacing w:val="1"/>
        </w:rPr>
        <w:t> </w:t>
      </w:r>
      <w:r>
        <w:rPr/>
        <w:t>intermolecular</w:t>
      </w:r>
      <w:r>
        <w:rPr>
          <w:spacing w:val="-2"/>
        </w:rPr>
        <w:t> </w:t>
      </w:r>
      <w:r>
        <w:rPr/>
        <w:t>action</w:t>
      </w:r>
      <w:r>
        <w:rPr>
          <w:spacing w:val="-1"/>
        </w:rPr>
        <w:t> </w:t>
      </w:r>
      <w:r>
        <w:rPr/>
        <w:t>in cellulose.</w:t>
      </w:r>
    </w:p>
    <w:p>
      <w:pPr>
        <w:pStyle w:val="BodyText"/>
        <w:spacing w:line="480" w:lineRule="auto" w:before="2"/>
        <w:ind w:left="1198" w:right="577"/>
        <w:jc w:val="both"/>
      </w:pPr>
      <w:r>
        <w:rPr/>
        <w:t>Several different methods for acetylation of wood with or without catalyst have been</w:t>
      </w:r>
      <w:r>
        <w:rPr>
          <w:spacing w:val="1"/>
        </w:rPr>
        <w:t> </w:t>
      </w:r>
      <w:r>
        <w:rPr/>
        <w:t>developed and a number of various catalysts have been examined for accelerating the rate</w:t>
      </w:r>
      <w:r>
        <w:rPr>
          <w:spacing w:val="1"/>
        </w:rPr>
        <w:t> </w:t>
      </w:r>
      <w:r>
        <w:rPr/>
        <w:t>of reaction of acetic anhydride. A large number of substances have been proposed as</w:t>
      </w:r>
      <w:r>
        <w:rPr>
          <w:spacing w:val="1"/>
        </w:rPr>
        <w:t> </w:t>
      </w:r>
      <w:r>
        <w:rPr/>
        <w:t>catalyst for acetylation, of these, sulphuric acid and perchloric acid in cellulose acetylation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mixtures,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catalysts. The early work was done using acetic anhydride to catalyze with either zinc</w:t>
      </w:r>
      <w:r>
        <w:rPr>
          <w:spacing w:val="1"/>
        </w:rPr>
        <w:t> </w:t>
      </w:r>
      <w:r>
        <w:rPr/>
        <w:t>chloride (Ridgway and Wallington, 1946) or pyridine (Stamm and Tarkow, 1947). Through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years,</w:t>
      </w:r>
      <w:r>
        <w:rPr>
          <w:spacing w:val="13"/>
        </w:rPr>
        <w:t> </w:t>
      </w:r>
      <w:r>
        <w:rPr/>
        <w:t>many</w:t>
      </w:r>
      <w:r>
        <w:rPr>
          <w:spacing w:val="15"/>
        </w:rPr>
        <w:t> </w:t>
      </w:r>
      <w:r>
        <w:rPr/>
        <w:t>other</w:t>
      </w:r>
      <w:r>
        <w:rPr>
          <w:spacing w:val="13"/>
        </w:rPr>
        <w:t> </w:t>
      </w:r>
      <w:r>
        <w:rPr/>
        <w:t>catalyst</w:t>
      </w:r>
      <w:r>
        <w:rPr>
          <w:spacing w:val="13"/>
        </w:rPr>
        <w:t> </w:t>
      </w:r>
      <w:r>
        <w:rPr/>
        <w:t>have</w:t>
      </w:r>
      <w:r>
        <w:rPr>
          <w:spacing w:val="15"/>
        </w:rPr>
        <w:t> </w:t>
      </w:r>
      <w:r>
        <w:rPr/>
        <w:t>been</w:t>
      </w:r>
      <w:r>
        <w:rPr>
          <w:spacing w:val="15"/>
        </w:rPr>
        <w:t> </w:t>
      </w:r>
      <w:r>
        <w:rPr/>
        <w:t>tried</w:t>
      </w:r>
      <w:r>
        <w:rPr>
          <w:spacing w:val="13"/>
        </w:rPr>
        <w:t> </w:t>
      </w:r>
      <w:r>
        <w:rPr/>
        <w:t>both</w:t>
      </w:r>
      <w:r>
        <w:rPr>
          <w:spacing w:val="18"/>
        </w:rPr>
        <w:t> </w:t>
      </w:r>
      <w:r>
        <w:rPr/>
        <w:t>with</w:t>
      </w:r>
      <w:r>
        <w:rPr>
          <w:spacing w:val="14"/>
        </w:rPr>
        <w:t> </w:t>
      </w:r>
      <w:r>
        <w:rPr/>
        <w:t>liquid</w:t>
      </w:r>
      <w:r>
        <w:rPr>
          <w:spacing w:val="17"/>
        </w:rPr>
        <w:t> </w:t>
      </w:r>
      <w:r>
        <w:rPr/>
        <w:t>and</w:t>
      </w:r>
      <w:r>
        <w:rPr>
          <w:spacing w:val="13"/>
        </w:rPr>
        <w:t> </w:t>
      </w:r>
      <w:r>
        <w:rPr/>
        <w:t>vapor</w:t>
      </w:r>
      <w:r>
        <w:rPr>
          <w:spacing w:val="14"/>
        </w:rPr>
        <w:t> </w:t>
      </w:r>
      <w:r>
        <w:rPr/>
        <w:t>systems.</w:t>
      </w:r>
      <w:r>
        <w:rPr>
          <w:spacing w:val="13"/>
        </w:rPr>
        <w:t> </w:t>
      </w:r>
      <w:r>
        <w:rPr/>
        <w:t>Some</w:t>
      </w:r>
      <w:r>
        <w:rPr>
          <w:spacing w:val="-72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catalysts</w:t>
      </w:r>
      <w:r>
        <w:rPr>
          <w:spacing w:val="6"/>
        </w:rPr>
        <w:t> </w:t>
      </w:r>
      <w:r>
        <w:rPr/>
        <w:t>used</w:t>
      </w:r>
      <w:r>
        <w:rPr>
          <w:spacing w:val="3"/>
        </w:rPr>
        <w:t> </w:t>
      </w:r>
      <w:r>
        <w:rPr/>
        <w:t>include</w:t>
      </w:r>
      <w:r>
        <w:rPr>
          <w:spacing w:val="4"/>
        </w:rPr>
        <w:t> </w:t>
      </w:r>
      <w:r>
        <w:rPr/>
        <w:t>urea-ammonium</w:t>
      </w:r>
      <w:r>
        <w:rPr>
          <w:spacing w:val="6"/>
        </w:rPr>
        <w:t> </w:t>
      </w:r>
      <w:r>
        <w:rPr/>
        <w:t>sulphate,</w:t>
      </w:r>
      <w:r>
        <w:rPr>
          <w:spacing w:val="5"/>
        </w:rPr>
        <w:t> </w:t>
      </w:r>
      <w:r>
        <w:rPr/>
        <w:t>dimethyl</w:t>
      </w:r>
      <w:r>
        <w:rPr>
          <w:spacing w:val="6"/>
        </w:rPr>
        <w:t> </w:t>
      </w:r>
      <w:r>
        <w:rPr/>
        <w:t>formamide,</w:t>
      </w:r>
      <w:r>
        <w:rPr>
          <w:spacing w:val="6"/>
        </w:rPr>
        <w:t> </w:t>
      </w:r>
      <w:r>
        <w:rPr/>
        <w:t>sodium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77" w:lineRule="auto" w:before="75"/>
        <w:ind w:left="1198" w:right="578"/>
        <w:jc w:val="both"/>
      </w:pPr>
      <w:r>
        <w:rPr/>
        <w:t>acetate, magnesium persulfate, trifloroacetic acid, boron trifloride and γ-rays. For many</w:t>
      </w:r>
      <w:r>
        <w:rPr>
          <w:spacing w:val="1"/>
        </w:rPr>
        <w:t> </w:t>
      </w:r>
      <w:r>
        <w:rPr/>
        <w:t>years,</w:t>
      </w:r>
      <w:r>
        <w:rPr>
          <w:spacing w:val="69"/>
        </w:rPr>
        <w:t> </w:t>
      </w:r>
      <w:r>
        <w:rPr/>
        <w:t>4-dimethylamino</w:t>
      </w:r>
      <w:r>
        <w:rPr>
          <w:spacing w:val="71"/>
        </w:rPr>
        <w:t> </w:t>
      </w:r>
      <w:r>
        <w:rPr/>
        <w:t>pyridine</w:t>
      </w:r>
      <w:r>
        <w:rPr>
          <w:spacing w:val="72"/>
        </w:rPr>
        <w:t> </w:t>
      </w:r>
      <w:r>
        <w:rPr/>
        <w:t>(DMAP)</w:t>
      </w:r>
      <w:r>
        <w:rPr>
          <w:spacing w:val="70"/>
        </w:rPr>
        <w:t> </w:t>
      </w:r>
      <w:r>
        <w:rPr/>
        <w:t>has</w:t>
      </w:r>
      <w:r>
        <w:rPr>
          <w:spacing w:val="71"/>
        </w:rPr>
        <w:t> </w:t>
      </w:r>
      <w:r>
        <w:rPr/>
        <w:t>been</w:t>
      </w:r>
      <w:r>
        <w:rPr>
          <w:spacing w:val="72"/>
        </w:rPr>
        <w:t> </w:t>
      </w:r>
      <w:r>
        <w:rPr/>
        <w:t>used</w:t>
      </w:r>
      <w:r>
        <w:rPr>
          <w:spacing w:val="70"/>
        </w:rPr>
        <w:t> </w:t>
      </w:r>
      <w:r>
        <w:rPr/>
        <w:t>as</w:t>
      </w:r>
      <w:r>
        <w:rPr>
          <w:spacing w:val="72"/>
        </w:rPr>
        <w:t> </w:t>
      </w:r>
      <w:r>
        <w:rPr/>
        <w:t>an</w:t>
      </w:r>
      <w:r>
        <w:rPr>
          <w:spacing w:val="72"/>
        </w:rPr>
        <w:t> </w:t>
      </w:r>
      <w:r>
        <w:rPr/>
        <w:t>acetylation</w:t>
      </w:r>
      <w:r>
        <w:rPr>
          <w:spacing w:val="70"/>
        </w:rPr>
        <w:t> </w:t>
      </w:r>
      <w:r>
        <w:rPr/>
        <w:t>catalyst</w:t>
      </w:r>
      <w:r>
        <w:rPr>
          <w:spacing w:val="70"/>
        </w:rPr>
        <w:t> </w:t>
      </w:r>
      <w:r>
        <w:rPr/>
        <w:t>in</w:t>
      </w:r>
      <w:r>
        <w:rPr>
          <w:spacing w:val="-73"/>
        </w:rPr>
        <w:t> </w:t>
      </w:r>
      <w:r>
        <w:rPr/>
        <w:t>chemical synthesis. Sun </w:t>
      </w:r>
      <w:r>
        <w:rPr>
          <w:sz w:val="25"/>
        </w:rPr>
        <w:t>et al., </w:t>
      </w:r>
      <w:r>
        <w:rPr/>
        <w:t>(2004), also demonstrated that acetylation of free hydroxyl</w:t>
      </w:r>
      <w:r>
        <w:rPr>
          <w:spacing w:val="1"/>
        </w:rPr>
        <w:t> </w:t>
      </w:r>
      <w:r>
        <w:rPr/>
        <w:t>groups in rice straw with acetic anhydride without solvent provided a suitable and effective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straw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hydrophobic</w:t>
      </w:r>
      <w:r>
        <w:rPr>
          <w:spacing w:val="1"/>
        </w:rPr>
        <w:t> </w:t>
      </w:r>
      <w:r>
        <w:rPr/>
        <w:t>characteristics and high sorption capacity. The reaction was performed at different reaction</w:t>
      </w:r>
      <w:r>
        <w:rPr>
          <w:spacing w:val="-72"/>
        </w:rPr>
        <w:t> </w:t>
      </w:r>
      <w:r>
        <w:rPr/>
        <w:t>times and temperatures in the presence of different catalysts. Among the different catalyst</w:t>
      </w:r>
      <w:r>
        <w:rPr>
          <w:spacing w:val="1"/>
        </w:rPr>
        <w:t> </w:t>
      </w:r>
      <w:r>
        <w:rPr/>
        <w:t>used,</w:t>
      </w:r>
      <w:r>
        <w:rPr>
          <w:spacing w:val="-3"/>
        </w:rPr>
        <w:t> </w:t>
      </w:r>
      <w:r>
        <w:rPr/>
        <w:t>4-dimethyl amino</w:t>
      </w:r>
      <w:r>
        <w:rPr>
          <w:spacing w:val="-2"/>
        </w:rPr>
        <w:t> </w:t>
      </w:r>
      <w:r>
        <w:rPr/>
        <w:t>pyridine was found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 the most</w:t>
      </w:r>
      <w:r>
        <w:rPr>
          <w:spacing w:val="-2"/>
        </w:rPr>
        <w:t> </w:t>
      </w:r>
      <w:r>
        <w:rPr/>
        <w:t>effective.</w:t>
      </w:r>
    </w:p>
    <w:p>
      <w:pPr>
        <w:pStyle w:val="BodyText"/>
        <w:spacing w:line="477" w:lineRule="auto" w:before="2"/>
        <w:ind w:left="1198" w:right="579"/>
        <w:jc w:val="both"/>
      </w:pPr>
      <w:r>
        <w:rPr/>
        <w:t>Compared to pyridine, DMAP in chemical synthesis was found to be approximately over ten</w:t>
      </w:r>
      <w:r>
        <w:rPr>
          <w:spacing w:val="-72"/>
        </w:rPr>
        <w:t> </w:t>
      </w:r>
      <w:r>
        <w:rPr/>
        <w:t>times more active when used as acylation catalyst (Hofle </w:t>
      </w:r>
      <w:r>
        <w:rPr>
          <w:sz w:val="25"/>
        </w:rPr>
        <w:t>et al., </w:t>
      </w:r>
      <w:r>
        <w:rPr/>
        <w:t>1978).</w:t>
      </w:r>
      <w:r>
        <w:rPr>
          <w:spacing w:val="1"/>
        </w:rPr>
        <w:t> </w:t>
      </w:r>
      <w:r>
        <w:rPr/>
        <w:t>DMAP is too</w:t>
      </w:r>
      <w:r>
        <w:rPr>
          <w:spacing w:val="1"/>
        </w:rPr>
        <w:t> </w:t>
      </w:r>
      <w:r>
        <w:rPr/>
        <w:t>expensive and is not a commercially available reagent, which limits its industrial use.</w:t>
      </w:r>
      <w:r>
        <w:rPr>
          <w:spacing w:val="1"/>
        </w:rPr>
        <w:t> </w:t>
      </w:r>
      <w:r>
        <w:rPr/>
        <w:t>However from the standpoint of the so called green and sustainable chemistry, another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cleaner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catalytic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transformations has become increasingly important in recent years (Karimi and Zareyee,</w:t>
      </w:r>
      <w:r>
        <w:rPr>
          <w:spacing w:val="1"/>
        </w:rPr>
        <w:t> </w:t>
      </w:r>
      <w:r>
        <w:rPr/>
        <w:t>2008). More recently, based on the study of acetylation of alcohol under mild reaction</w:t>
      </w:r>
      <w:r>
        <w:rPr>
          <w:spacing w:val="1"/>
        </w:rPr>
        <w:t> </w:t>
      </w:r>
      <w:r>
        <w:rPr/>
        <w:t>condition,</w:t>
      </w:r>
      <w:r>
        <w:rPr>
          <w:spacing w:val="1"/>
        </w:rPr>
        <w:t> </w:t>
      </w:r>
      <w:r>
        <w:rPr/>
        <w:t>Karimi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Seradj,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N-Bromosuccinimide</w:t>
      </w:r>
      <w:r>
        <w:rPr>
          <w:spacing w:val="1"/>
        </w:rPr>
        <w:t> </w:t>
      </w:r>
      <w:r>
        <w:rPr/>
        <w:t>(NBS)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inexpensive and commercially available reagent and is a novel and highly effective catalyst</w:t>
      </w:r>
      <w:r>
        <w:rPr>
          <w:spacing w:val="1"/>
        </w:rPr>
        <w:t> </w:t>
      </w:r>
      <w:r>
        <w:rPr/>
        <w:t>for the acetylation of free alcohols under mild conditions. Karimi and Zareyee (2008)</w:t>
      </w:r>
      <w:r>
        <w:rPr>
          <w:spacing w:val="1"/>
        </w:rPr>
        <w:t> </w:t>
      </w:r>
      <w:r>
        <w:rPr/>
        <w:t>introduced N-bromosuccinimide (NBS) as a mild and nearly neutral electrophilic catalyst for</w:t>
      </w:r>
      <w:r>
        <w:rPr>
          <w:spacing w:val="-72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transformations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acetalization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acylation</w:t>
      </w:r>
      <w:r>
        <w:rPr>
          <w:spacing w:val="75"/>
        </w:rPr>
        <w:t> </w:t>
      </w:r>
      <w:r>
        <w:rPr/>
        <w:t>of</w:t>
      </w:r>
      <w:r>
        <w:rPr>
          <w:spacing w:val="1"/>
        </w:rPr>
        <w:t> </w:t>
      </w:r>
      <w:r>
        <w:rPr/>
        <w:t>carbonyl compounds, acetylation of alcohols, deoxygenation of sulfoxides and deprotection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1,3-oxatioacetals.</w:t>
      </w:r>
      <w:r>
        <w:rPr>
          <w:spacing w:val="-5"/>
        </w:rPr>
        <w:t> </w:t>
      </w:r>
      <w:r>
        <w:rPr/>
        <w:t>Sun</w:t>
      </w:r>
      <w:r>
        <w:rPr>
          <w:spacing w:val="-3"/>
        </w:rPr>
        <w:t> </w:t>
      </w:r>
      <w:r>
        <w:rPr>
          <w:sz w:val="25"/>
        </w:rPr>
        <w:t>et</w:t>
      </w:r>
      <w:r>
        <w:rPr>
          <w:spacing w:val="-9"/>
          <w:sz w:val="25"/>
        </w:rPr>
        <w:t> </w:t>
      </w:r>
      <w:r>
        <w:rPr>
          <w:sz w:val="25"/>
        </w:rPr>
        <w:t>al.,</w:t>
      </w:r>
      <w:r>
        <w:rPr>
          <w:spacing w:val="-6"/>
          <w:sz w:val="25"/>
        </w:rPr>
        <w:t> </w:t>
      </w:r>
      <w:r>
        <w:rPr/>
        <w:t>(2004)</w:t>
      </w:r>
      <w:r>
        <w:rPr>
          <w:spacing w:val="-7"/>
        </w:rPr>
        <w:t> </w:t>
      </w:r>
      <w:r>
        <w:rPr/>
        <w:t>successfully</w:t>
      </w:r>
      <w:r>
        <w:rPr>
          <w:spacing w:val="-4"/>
        </w:rPr>
        <w:t> </w:t>
      </w:r>
      <w:r>
        <w:rPr/>
        <w:t>carried</w:t>
      </w:r>
      <w:r>
        <w:rPr>
          <w:spacing w:val="-6"/>
        </w:rPr>
        <w:t> </w:t>
      </w:r>
      <w:r>
        <w:rPr/>
        <w:t>out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acetylation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sugarcane</w:t>
      </w:r>
      <w:r>
        <w:rPr>
          <w:spacing w:val="-73"/>
        </w:rPr>
        <w:t> </w:t>
      </w:r>
      <w:r>
        <w:rPr/>
        <w:t>bagasse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N-Bromosuccinimide</w:t>
      </w:r>
      <w:r>
        <w:rPr>
          <w:spacing w:val="1"/>
        </w:rPr>
        <w:t> </w:t>
      </w:r>
      <w:r>
        <w:rPr/>
        <w:t>(NBS)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catalyst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anhydride</w:t>
      </w:r>
      <w:r>
        <w:rPr>
          <w:spacing w:val="9"/>
        </w:rPr>
        <w:t> </w:t>
      </w:r>
      <w:r>
        <w:rPr/>
        <w:t>under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solvent</w:t>
      </w:r>
      <w:r>
        <w:rPr>
          <w:spacing w:val="9"/>
        </w:rPr>
        <w:t> </w:t>
      </w:r>
      <w:r>
        <w:rPr/>
        <w:t>free</w:t>
      </w:r>
      <w:r>
        <w:rPr>
          <w:spacing w:val="11"/>
        </w:rPr>
        <w:t> </w:t>
      </w:r>
      <w:r>
        <w:rPr/>
        <w:t>system.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modification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acetic</w:t>
      </w:r>
      <w:r>
        <w:rPr>
          <w:spacing w:val="10"/>
        </w:rPr>
        <w:t> </w:t>
      </w:r>
      <w:r>
        <w:rPr/>
        <w:t>anhydride</w:t>
      </w:r>
      <w:r>
        <w:rPr>
          <w:spacing w:val="10"/>
        </w:rPr>
        <w:t> </w:t>
      </w:r>
      <w:r>
        <w:rPr/>
        <w:t>substituted</w:t>
      </w:r>
    </w:p>
    <w:p>
      <w:pPr>
        <w:spacing w:after="0" w:line="477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80" w:lineRule="auto" w:before="75"/>
        <w:ind w:left="1198" w:right="581"/>
        <w:jc w:val="both"/>
      </w:pPr>
      <w:r>
        <w:rPr/>
        <w:t>the hydroxyl groups modifying the properties of these polymers so that they become</w:t>
      </w:r>
      <w:r>
        <w:rPr>
          <w:spacing w:val="1"/>
        </w:rPr>
        <w:t> </w:t>
      </w:r>
      <w:r>
        <w:rPr/>
        <w:t>hydrophobic. Fourier-Transform infrared (FTIR) and solid state carbon 13 nuclear magnetic</w:t>
      </w:r>
      <w:r>
        <w:rPr>
          <w:spacing w:val="-72"/>
        </w:rPr>
        <w:t> </w:t>
      </w:r>
      <w:r>
        <w:rPr/>
        <w:t>resonance spectroscopy were used to investigate the acetylation reaction. The acetylated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NBS were</w:t>
      </w:r>
      <w:r>
        <w:rPr>
          <w:spacing w:val="-1"/>
        </w:rPr>
        <w:t> </w:t>
      </w:r>
      <w:r>
        <w:rPr/>
        <w:t>able to</w:t>
      </w:r>
      <w:r>
        <w:rPr>
          <w:spacing w:val="-1"/>
        </w:rPr>
        <w:t> </w:t>
      </w:r>
      <w:r>
        <w:rPr/>
        <w:t>absorb</w:t>
      </w:r>
      <w:r>
        <w:rPr>
          <w:spacing w:val="1"/>
        </w:rPr>
        <w:t> </w:t>
      </w:r>
      <w:r>
        <w:rPr/>
        <w:t>almost</w:t>
      </w:r>
      <w:r>
        <w:rPr>
          <w:spacing w:val="-2"/>
        </w:rPr>
        <w:t> </w:t>
      </w:r>
      <w:r>
        <w:rPr/>
        <w:t>20</w:t>
      </w:r>
      <w:r>
        <w:rPr>
          <w:spacing w:val="1"/>
        </w:rPr>
        <w:t> </w:t>
      </w:r>
      <w:r>
        <w:rPr/>
        <w:t>times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weight.</w:t>
      </w:r>
    </w:p>
    <w:p>
      <w:pPr>
        <w:pStyle w:val="Heading3"/>
        <w:numPr>
          <w:ilvl w:val="3"/>
          <w:numId w:val="4"/>
        </w:numPr>
        <w:tabs>
          <w:tab w:pos="2638" w:val="left" w:leader="none"/>
        </w:tabs>
        <w:spacing w:line="240" w:lineRule="auto" w:before="1" w:after="0"/>
        <w:ind w:left="2638" w:right="0" w:hanging="1440"/>
        <w:jc w:val="both"/>
      </w:pPr>
      <w:r>
        <w:rPr/>
        <w:t>Corn</w:t>
      </w:r>
      <w:r>
        <w:rPr>
          <w:spacing w:val="-3"/>
        </w:rPr>
        <w:t> </w:t>
      </w:r>
      <w:r>
        <w:rPr/>
        <w:t>Cobs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Availability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Agro</w:t>
      </w:r>
      <w:r>
        <w:rPr>
          <w:spacing w:val="-2"/>
        </w:rPr>
        <w:t> </w:t>
      </w:r>
      <w:r>
        <w:rPr/>
        <w:t>Based</w:t>
      </w:r>
      <w:r>
        <w:rPr>
          <w:spacing w:val="-3"/>
        </w:rPr>
        <w:t> </w:t>
      </w:r>
      <w:r>
        <w:rPr/>
        <w:t>Sorbent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98" w:right="577"/>
        <w:jc w:val="both"/>
      </w:pPr>
      <w:r>
        <w:rPr/>
        <w:t>Corn (Maize) is a major food crop in many parts of the world. In Nigeria, corn is processed</w:t>
      </w:r>
      <w:r>
        <w:rPr>
          <w:spacing w:val="1"/>
        </w:rPr>
        <w:t> </w:t>
      </w:r>
      <w:r>
        <w:rPr/>
        <w:t>to a variety of diets used for weaning. It is a major component of animal feeds and is</w:t>
      </w:r>
      <w:r>
        <w:rPr>
          <w:spacing w:val="1"/>
        </w:rPr>
        <w:t> </w:t>
      </w:r>
      <w:r>
        <w:rPr/>
        <w:t>consumed by many Nigerians as snack, either boiled or roasted (Bolanle and Alhassan,</w:t>
      </w:r>
      <w:r>
        <w:rPr>
          <w:spacing w:val="1"/>
        </w:rPr>
        <w:t> </w:t>
      </w:r>
      <w:r>
        <w:rPr/>
        <w:t>2012). According to Food and Agriculture Organisation (FAO) data, 589 million tonnes of</w:t>
      </w:r>
      <w:r>
        <w:rPr>
          <w:spacing w:val="1"/>
        </w:rPr>
        <w:t> </w:t>
      </w:r>
      <w:r>
        <w:rPr/>
        <w:t>maize were produced worldwide in the year 2000 (FAO, 2002). The United States was the</w:t>
      </w:r>
      <w:r>
        <w:rPr>
          <w:spacing w:val="1"/>
        </w:rPr>
        <w:t> </w:t>
      </w:r>
      <w:r>
        <w:rPr/>
        <w:t>largest maize producer having about 43% of the world’s production. Africa produced about</w:t>
      </w:r>
      <w:r>
        <w:rPr>
          <w:spacing w:val="-72"/>
        </w:rPr>
        <w:t> </w:t>
      </w:r>
      <w:r>
        <w:rPr/>
        <w:t>7% of the world’s maize (IITA, 2002). Nigeria was the second largest producer of maize in</w:t>
      </w:r>
      <w:r>
        <w:rPr>
          <w:spacing w:val="1"/>
        </w:rPr>
        <w:t> </w:t>
      </w:r>
      <w:r>
        <w:rPr/>
        <w:t>Africa in the year 2001 with 4.62million metric tonnes (FAO, 2002). The capacity of corn</w:t>
      </w:r>
      <w:r>
        <w:rPr>
          <w:spacing w:val="1"/>
        </w:rPr>
        <w:t> </w:t>
      </w:r>
      <w:r>
        <w:rPr/>
        <w:t>production in Nigeria is high and efforts towards improvement are being made at various</w:t>
      </w:r>
      <w:r>
        <w:rPr>
          <w:spacing w:val="1"/>
        </w:rPr>
        <w:t> </w:t>
      </w:r>
      <w:r>
        <w:rPr/>
        <w:t>quarters. Currently, about eight million metric tonnes of corn are produced annually and a</w:t>
      </w:r>
      <w:r>
        <w:rPr>
          <w:spacing w:val="1"/>
        </w:rPr>
        <w:t> </w:t>
      </w:r>
      <w:r>
        <w:rPr/>
        <w:t>production forecast for 2010-2015 envisaged a 23% growth (Nwanma, 2009).The maize</w:t>
      </w:r>
      <w:r>
        <w:rPr>
          <w:spacing w:val="1"/>
        </w:rPr>
        <w:t> </w:t>
      </w:r>
      <w:r>
        <w:rPr/>
        <w:t>plant</w:t>
      </w:r>
      <w:r>
        <w:rPr>
          <w:spacing w:val="35"/>
        </w:rPr>
        <w:t> </w:t>
      </w:r>
      <w:r>
        <w:rPr/>
        <w:t>comprises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stalks,</w:t>
      </w:r>
      <w:r>
        <w:rPr>
          <w:spacing w:val="34"/>
        </w:rPr>
        <w:t> </w:t>
      </w:r>
      <w:r>
        <w:rPr/>
        <w:t>husks,</w:t>
      </w:r>
      <w:r>
        <w:rPr>
          <w:spacing w:val="34"/>
        </w:rPr>
        <w:t> </w:t>
      </w:r>
      <w:r>
        <w:rPr/>
        <w:t>shanks,</w:t>
      </w:r>
      <w:r>
        <w:rPr>
          <w:spacing w:val="35"/>
        </w:rPr>
        <w:t> </w:t>
      </w:r>
      <w:r>
        <w:rPr/>
        <w:t>silks,</w:t>
      </w:r>
      <w:r>
        <w:rPr>
          <w:spacing w:val="34"/>
        </w:rPr>
        <w:t> </w:t>
      </w:r>
      <w:r>
        <w:rPr/>
        <w:t>leaf</w:t>
      </w:r>
      <w:r>
        <w:rPr>
          <w:spacing w:val="35"/>
        </w:rPr>
        <w:t> </w:t>
      </w:r>
      <w:r>
        <w:rPr/>
        <w:t>blades,</w:t>
      </w:r>
      <w:r>
        <w:rPr>
          <w:spacing w:val="35"/>
        </w:rPr>
        <w:t> </w:t>
      </w:r>
      <w:r>
        <w:rPr/>
        <w:t>leaf</w:t>
      </w:r>
      <w:r>
        <w:rPr>
          <w:spacing w:val="35"/>
        </w:rPr>
        <w:t> </w:t>
      </w:r>
      <w:r>
        <w:rPr/>
        <w:t>sheaths</w:t>
      </w:r>
      <w:r>
        <w:rPr>
          <w:spacing w:val="36"/>
        </w:rPr>
        <w:t> </w:t>
      </w:r>
      <w:r>
        <w:rPr/>
        <w:t>tassels</w:t>
      </w:r>
      <w:r>
        <w:rPr>
          <w:spacing w:val="36"/>
        </w:rPr>
        <w:t> </w:t>
      </w:r>
      <w:r>
        <w:rPr/>
        <w:t>and</w:t>
      </w:r>
      <w:r>
        <w:rPr>
          <w:spacing w:val="-72"/>
        </w:rPr>
        <w:t> </w:t>
      </w:r>
      <w:r>
        <w:rPr/>
        <w:t>cobs (Bolanle and Alhassan, 2012). The corn cob carries the grains and together with</w:t>
      </w:r>
      <w:r>
        <w:rPr>
          <w:spacing w:val="1"/>
        </w:rPr>
        <w:t> </w:t>
      </w:r>
      <w:r>
        <w:rPr/>
        <w:t>associating</w:t>
      </w:r>
      <w:r>
        <w:rPr>
          <w:spacing w:val="20"/>
        </w:rPr>
        <w:t> </w:t>
      </w:r>
      <w:r>
        <w:rPr/>
        <w:t>husks,</w:t>
      </w:r>
      <w:r>
        <w:rPr>
          <w:spacing w:val="17"/>
        </w:rPr>
        <w:t> </w:t>
      </w:r>
      <w:r>
        <w:rPr/>
        <w:t>shanks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silks</w:t>
      </w:r>
      <w:r>
        <w:rPr>
          <w:spacing w:val="18"/>
        </w:rPr>
        <w:t> </w:t>
      </w:r>
      <w:r>
        <w:rPr/>
        <w:t>are</w:t>
      </w:r>
      <w:r>
        <w:rPr>
          <w:spacing w:val="20"/>
        </w:rPr>
        <w:t> </w:t>
      </w:r>
      <w:r>
        <w:rPr/>
        <w:t>harvested</w:t>
      </w:r>
      <w:r>
        <w:rPr>
          <w:spacing w:val="20"/>
        </w:rPr>
        <w:t> </w:t>
      </w:r>
      <w:r>
        <w:rPr/>
        <w:t>from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farm.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other</w:t>
      </w:r>
      <w:r>
        <w:rPr>
          <w:spacing w:val="20"/>
        </w:rPr>
        <w:t> </w:t>
      </w:r>
      <w:r>
        <w:rPr/>
        <w:t>parts</w:t>
      </w:r>
      <w:r>
        <w:rPr>
          <w:spacing w:val="21"/>
        </w:rPr>
        <w:t> </w:t>
      </w:r>
      <w:r>
        <w:rPr/>
        <w:t>are</w:t>
      </w:r>
      <w:r>
        <w:rPr>
          <w:spacing w:val="20"/>
        </w:rPr>
        <w:t> </w:t>
      </w:r>
      <w:r>
        <w:rPr/>
        <w:t>left</w:t>
      </w:r>
      <w:r>
        <w:rPr>
          <w:spacing w:val="-73"/>
        </w:rPr>
        <w:t> </w:t>
      </w:r>
      <w:r>
        <w:rPr/>
        <w:t>on the farm to rot (Kludze </w:t>
      </w:r>
      <w:r>
        <w:rPr>
          <w:sz w:val="25"/>
        </w:rPr>
        <w:t>et al.</w:t>
      </w:r>
      <w:r>
        <w:rPr/>
        <w:t>, 2010). Corn cob forms about 30% of maize agrowastes</w:t>
      </w:r>
      <w:r>
        <w:rPr>
          <w:spacing w:val="1"/>
        </w:rPr>
        <w:t> </w:t>
      </w:r>
      <w:r>
        <w:rPr/>
        <w:t>(Rangikuti and Djajanegara, 1983) of which application in biofuels industry are the focus of</w:t>
      </w:r>
      <w:r>
        <w:rPr>
          <w:spacing w:val="-72"/>
        </w:rPr>
        <w:t> </w:t>
      </w:r>
      <w:r>
        <w:rPr/>
        <w:t>many researchers aimed at achieving an effective waste management scheme (Bolanle and</w:t>
      </w:r>
      <w:r>
        <w:rPr>
          <w:spacing w:val="-72"/>
        </w:rPr>
        <w:t> </w:t>
      </w:r>
      <w:r>
        <w:rPr/>
        <w:t>Alhassan, 2012). It contains 32.3-45.6% cellulose, 39.8% hemicellulose- mostly pentosan</w:t>
      </w:r>
      <w:r>
        <w:rPr>
          <w:spacing w:val="1"/>
        </w:rPr>
        <w:t> </w:t>
      </w:r>
      <w:r>
        <w:rPr/>
        <w:t>and</w:t>
      </w:r>
      <w:r>
        <w:rPr>
          <w:spacing w:val="8"/>
        </w:rPr>
        <w:t> </w:t>
      </w:r>
      <w:r>
        <w:rPr/>
        <w:t>6.7-13.9%</w:t>
      </w:r>
      <w:r>
        <w:rPr>
          <w:spacing w:val="9"/>
        </w:rPr>
        <w:t> </w:t>
      </w:r>
      <w:r>
        <w:rPr/>
        <w:t>lignin</w:t>
      </w:r>
      <w:r>
        <w:rPr>
          <w:spacing w:val="10"/>
        </w:rPr>
        <w:t> </w:t>
      </w:r>
      <w:r>
        <w:rPr/>
        <w:t>(Sun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Cheng,</w:t>
      </w:r>
      <w:r>
        <w:rPr>
          <w:spacing w:val="8"/>
        </w:rPr>
        <w:t> </w:t>
      </w:r>
      <w:r>
        <w:rPr/>
        <w:t>2002).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two</w:t>
      </w:r>
      <w:r>
        <w:rPr>
          <w:spacing w:val="10"/>
        </w:rPr>
        <w:t> </w:t>
      </w:r>
      <w:r>
        <w:rPr/>
        <w:t>former</w:t>
      </w:r>
      <w:r>
        <w:rPr>
          <w:spacing w:val="9"/>
        </w:rPr>
        <w:t> </w:t>
      </w:r>
      <w:r>
        <w:rPr/>
        <w:t>components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hydrophilic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77" w:lineRule="auto" w:before="75"/>
        <w:ind w:left="1198" w:right="577"/>
        <w:jc w:val="both"/>
      </w:pPr>
      <w:r>
        <w:rPr/>
        <w:t>and the latter is hydrophobic. In other words the cellulose and hemicelluloses being more</w:t>
      </w:r>
      <w:r>
        <w:rPr>
          <w:spacing w:val="1"/>
        </w:rPr>
        <w:t> </w:t>
      </w:r>
      <w:r>
        <w:rPr/>
        <w:t>hydroscopic than lignin are mainly responsible for moisture uptake. These defects can be</w:t>
      </w:r>
      <w:r>
        <w:rPr>
          <w:spacing w:val="1"/>
        </w:rPr>
        <w:t> </w:t>
      </w:r>
      <w:r>
        <w:rPr/>
        <w:t>reduced considerably by chemical modification of its constituents (Sun </w:t>
      </w:r>
      <w:r>
        <w:rPr>
          <w:sz w:val="25"/>
        </w:rPr>
        <w:t>et al., </w:t>
      </w:r>
      <w:r>
        <w:rPr/>
        <w:t>2004), for oil</w:t>
      </w:r>
      <w:r>
        <w:rPr>
          <w:spacing w:val="1"/>
        </w:rPr>
        <w:t> </w:t>
      </w:r>
      <w:r>
        <w:rPr/>
        <w:t>spill response. The microporous polymeric compounds can also be modified by attaching</w:t>
      </w:r>
      <w:r>
        <w:rPr>
          <w:spacing w:val="1"/>
        </w:rPr>
        <w:t> </w:t>
      </w:r>
      <w:r>
        <w:rPr/>
        <w:t>different functional groups to mimic activated carbon and to replace activated carbon for</w:t>
      </w:r>
      <w:r>
        <w:rPr>
          <w:spacing w:val="1"/>
        </w:rPr>
        <w:t> </w:t>
      </w:r>
      <w:r>
        <w:rPr/>
        <w:t>specific applications (Sun, 2010). One of the methods is that the hydroxyl groups which are</w:t>
      </w:r>
      <w:r>
        <w:rPr>
          <w:spacing w:val="-72"/>
        </w:rPr>
        <w:t> </w:t>
      </w:r>
      <w:r>
        <w:rPr/>
        <w:t>mainly responsible for its hygroscopicity, attached to cellulose lignin and hemicelluloses can</w:t>
      </w:r>
      <w:r>
        <w:rPr>
          <w:spacing w:val="-72"/>
        </w:rPr>
        <w:t> </w:t>
      </w:r>
      <w:r>
        <w:rPr/>
        <w:t>be</w:t>
      </w:r>
      <w:r>
        <w:rPr>
          <w:spacing w:val="-1"/>
        </w:rPr>
        <w:t> </w:t>
      </w:r>
      <w:r>
        <w:rPr/>
        <w:t>changed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hydrophobic</w:t>
      </w:r>
      <w:r>
        <w:rPr>
          <w:spacing w:val="-2"/>
        </w:rPr>
        <w:t> </w:t>
      </w:r>
      <w:r>
        <w:rPr/>
        <w:t>groups by</w:t>
      </w:r>
      <w:r>
        <w:rPr>
          <w:spacing w:val="2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modification.</w:t>
      </w:r>
    </w:p>
    <w:p>
      <w:pPr>
        <w:pStyle w:val="Heading3"/>
        <w:numPr>
          <w:ilvl w:val="3"/>
          <w:numId w:val="4"/>
        </w:numPr>
        <w:tabs>
          <w:tab w:pos="2637" w:val="left" w:leader="none"/>
          <w:tab w:pos="2638" w:val="left" w:leader="none"/>
        </w:tabs>
        <w:spacing w:line="240" w:lineRule="auto" w:before="2" w:after="0"/>
        <w:ind w:left="2638" w:right="0" w:hanging="1440"/>
        <w:jc w:val="left"/>
      </w:pPr>
      <w:r>
        <w:rPr/>
        <w:t>Mango</w:t>
      </w:r>
      <w:r>
        <w:rPr>
          <w:spacing w:val="-4"/>
        </w:rPr>
        <w:t> </w:t>
      </w:r>
      <w:r>
        <w:rPr/>
        <w:t>kernel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Agro</w:t>
      </w:r>
      <w:r>
        <w:rPr>
          <w:spacing w:val="-3"/>
        </w:rPr>
        <w:t> </w:t>
      </w:r>
      <w:r>
        <w:rPr/>
        <w:t>waste</w:t>
      </w:r>
      <w:r>
        <w:rPr>
          <w:spacing w:val="-3"/>
        </w:rPr>
        <w:t> </w:t>
      </w:r>
      <w:r>
        <w:rPr/>
        <w:t>sorbent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5" w:lineRule="auto"/>
        <w:ind w:left="1198" w:right="574"/>
        <w:jc w:val="both"/>
      </w:pPr>
      <w:r>
        <w:rPr/>
        <w:t>Mango (Mangifera Indica) is one of the most favoured and commercially valuable fruit</w:t>
      </w:r>
      <w:r>
        <w:rPr>
          <w:spacing w:val="1"/>
        </w:rPr>
        <w:t> </w:t>
      </w:r>
      <w:r>
        <w:rPr/>
        <w:t>growing throughout the tropics and is used in a variety of food product (Kaur et al., 2004.</w:t>
      </w:r>
      <w:r>
        <w:rPr>
          <w:spacing w:val="1"/>
        </w:rPr>
        <w:t> </w:t>
      </w:r>
      <w:r>
        <w:rPr/>
        <w:t>Considerable amounts of mango kernel (seeds) are discarded as waste after industrial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mangoes</w:t>
      </w:r>
      <w:r>
        <w:rPr>
          <w:spacing w:val="1"/>
        </w:rPr>
        <w:t> </w:t>
      </w:r>
      <w:r>
        <w:rPr/>
        <w:t>(PuraVankara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40-60%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generated during processing of mangoes, 12-15% and 15-20% of which consists of peels</w:t>
      </w:r>
      <w:r>
        <w:rPr>
          <w:spacing w:val="1"/>
        </w:rPr>
        <w:t> </w:t>
      </w:r>
      <w:r>
        <w:rPr/>
        <w:t>and kernels respectively (Kaur </w:t>
      </w:r>
      <w:r>
        <w:rPr>
          <w:sz w:val="25"/>
        </w:rPr>
        <w:t>et al., </w:t>
      </w:r>
      <w:r>
        <w:rPr/>
        <w:t>2004). Depending on the variety, mango kernel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6.0%</w:t>
      </w:r>
      <w:r>
        <w:rPr>
          <w:spacing w:val="1"/>
        </w:rPr>
        <w:t> </w:t>
      </w:r>
      <w:r>
        <w:rPr/>
        <w:t>protein,</w:t>
      </w:r>
      <w:r>
        <w:rPr>
          <w:spacing w:val="1"/>
        </w:rPr>
        <w:t> </w:t>
      </w:r>
      <w:r>
        <w:rPr/>
        <w:t>11%</w:t>
      </w:r>
      <w:r>
        <w:rPr>
          <w:spacing w:val="1"/>
        </w:rPr>
        <w:t> </w:t>
      </w:r>
      <w:r>
        <w:rPr/>
        <w:t>fat, 77%</w:t>
      </w:r>
      <w:r>
        <w:rPr>
          <w:spacing w:val="1"/>
        </w:rPr>
        <w:t> </w:t>
      </w:r>
      <w:r>
        <w:rPr/>
        <w:t>carbohydrate, 2.0%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fibre</w:t>
      </w:r>
      <w:r>
        <w:rPr>
          <w:spacing w:val="75"/>
        </w:rPr>
        <w:t> </w:t>
      </w:r>
      <w:r>
        <w:rPr/>
        <w:t>and 2.0%</w:t>
      </w:r>
      <w:r>
        <w:rPr>
          <w:spacing w:val="75"/>
        </w:rPr>
        <w:t> </w:t>
      </w:r>
      <w:r>
        <w:rPr/>
        <w:t>ash,</w:t>
      </w:r>
      <w:r>
        <w:rPr>
          <w:spacing w:val="-72"/>
        </w:rPr>
        <w:t> </w:t>
      </w:r>
      <w:r>
        <w:rPr/>
        <w:t>based on dry weight average (Zeun </w:t>
      </w:r>
      <w:r>
        <w:rPr>
          <w:sz w:val="25"/>
        </w:rPr>
        <w:t>et al., </w:t>
      </w:r>
      <w:r>
        <w:rPr/>
        <w:t>2005). Carbohydrates are the major component</w:t>
      </w:r>
      <w:r>
        <w:rPr>
          <w:spacing w:val="1"/>
        </w:rPr>
        <w:t> </w:t>
      </w:r>
      <w:r>
        <w:rPr/>
        <w:t>of mango kernel and contain several hydroxyl groups which makes it hydrophilic and hence</w:t>
      </w:r>
      <w:r>
        <w:rPr>
          <w:spacing w:val="-72"/>
        </w:rPr>
        <w:t> </w:t>
      </w:r>
      <w:r>
        <w:rPr/>
        <w:t>limits its application as oil spill sorbent in aqueous environments. These defects can be</w:t>
      </w:r>
      <w:r>
        <w:rPr>
          <w:spacing w:val="1"/>
        </w:rPr>
        <w:t> </w:t>
      </w:r>
      <w:r>
        <w:rPr/>
        <w:t>reduced considerably by chemical modification of its constituents thereby improving on its</w:t>
      </w:r>
      <w:r>
        <w:rPr>
          <w:spacing w:val="1"/>
        </w:rPr>
        <w:t> </w:t>
      </w:r>
      <w:r>
        <w:rPr/>
        <w:t>hydrophobic</w:t>
      </w:r>
      <w:r>
        <w:rPr>
          <w:spacing w:val="-3"/>
        </w:rPr>
        <w:t> </w:t>
      </w:r>
      <w:r>
        <w:rPr/>
        <w:t>properties.</w:t>
      </w:r>
    </w:p>
    <w:p>
      <w:pPr>
        <w:spacing w:after="0" w:line="475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tabs>
          <w:tab w:pos="2637" w:val="left" w:leader="none"/>
        </w:tabs>
        <w:spacing w:before="75"/>
      </w:pPr>
      <w:r>
        <w:rPr/>
        <w:t>1.4.13</w:t>
        <w:tab/>
        <w:t>Chemistry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Acetylation</w:t>
      </w:r>
    </w:p>
    <w:p>
      <w:pPr>
        <w:pStyle w:val="BodyText"/>
        <w:spacing w:before="9"/>
        <w:rPr>
          <w:b/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line="198" w:lineRule="exact" w:before="197"/>
        <w:ind w:left="0" w:right="0" w:firstLine="0"/>
        <w:jc w:val="right"/>
        <w:rPr>
          <w:rFonts w:ascii="Arial MT"/>
          <w:sz w:val="22"/>
        </w:rPr>
      </w:pPr>
      <w:r>
        <w:rPr>
          <w:rFonts w:ascii="Arial MT"/>
          <w:w w:val="101"/>
          <w:sz w:val="22"/>
        </w:rPr>
        <w:t>O</w:t>
      </w:r>
    </w:p>
    <w:p>
      <w:pPr>
        <w:spacing w:line="337" w:lineRule="exact" w:before="0"/>
        <w:ind w:left="1549" w:right="0" w:firstLine="0"/>
        <w:jc w:val="left"/>
        <w:rPr>
          <w:rFonts w:ascii="Arial MT"/>
          <w:sz w:val="33"/>
        </w:rPr>
      </w:pPr>
      <w:r>
        <w:rPr>
          <w:rFonts w:ascii="Arial MT"/>
          <w:sz w:val="22"/>
        </w:rPr>
        <w:t>(CH</w:t>
      </w:r>
      <w:r>
        <w:rPr>
          <w:rFonts w:ascii="Arial MT"/>
          <w:position w:val="-6"/>
          <w:sz w:val="15"/>
        </w:rPr>
        <w:t>3</w:t>
      </w:r>
      <w:r>
        <w:rPr>
          <w:rFonts w:ascii="Arial MT"/>
          <w:sz w:val="22"/>
        </w:rPr>
        <w:t>CO</w:t>
      </w:r>
      <w:r>
        <w:rPr>
          <w:rFonts w:ascii="Arial MT"/>
          <w:position w:val="-6"/>
          <w:sz w:val="15"/>
        </w:rPr>
        <w:t>2</w:t>
      </w:r>
      <w:r>
        <w:rPr>
          <w:rFonts w:ascii="Arial MT"/>
          <w:sz w:val="22"/>
        </w:rPr>
        <w:t>)</w:t>
      </w:r>
      <w:r>
        <w:rPr>
          <w:rFonts w:ascii="Arial MT"/>
          <w:position w:val="-6"/>
          <w:sz w:val="15"/>
        </w:rPr>
        <w:t>2</w:t>
      </w:r>
      <w:r>
        <w:rPr>
          <w:rFonts w:ascii="Arial MT"/>
          <w:sz w:val="22"/>
        </w:rPr>
        <w:t>O</w:t>
      </w:r>
      <w:r>
        <w:rPr>
          <w:rFonts w:ascii="Arial MT"/>
          <w:spacing w:val="1"/>
          <w:sz w:val="22"/>
        </w:rPr>
        <w:t> </w:t>
      </w:r>
      <w:r>
        <w:rPr>
          <w:rFonts w:ascii="Arial MT"/>
          <w:position w:val="-1"/>
          <w:sz w:val="33"/>
        </w:rPr>
        <w:t>+</w:t>
      </w:r>
    </w:p>
    <w:p>
      <w:pPr>
        <w:spacing w:line="232" w:lineRule="exact" w:before="96"/>
        <w:ind w:left="2399" w:right="0" w:firstLine="0"/>
        <w:jc w:val="lef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  <w:t>O</w:t>
      </w:r>
    </w:p>
    <w:p>
      <w:pPr>
        <w:spacing w:line="232" w:lineRule="exact" w:before="0"/>
        <w:ind w:left="439" w:right="0" w:firstLine="0"/>
        <w:jc w:val="left"/>
        <w:rPr>
          <w:rFonts w:ascii="Arial MT"/>
          <w:sz w:val="22"/>
        </w:rPr>
      </w:pPr>
      <w:r>
        <w:rPr/>
        <w:pict>
          <v:line style="position:absolute;mso-position-horizontal-relative:page;mso-position-vertical-relative:paragraph;z-index:15732224" from="218.712967pt,17.718496pt" to="218.712967pt,10.552332pt" stroked="true" strokeweight=".641987pt" strokecolor="#000000">
            <v:stroke dashstyle="solid"/>
            <w10:wrap type="none"/>
          </v:line>
        </w:pict>
      </w:r>
      <w:r>
        <w:rPr/>
        <w:pict>
          <v:shape style="position:absolute;margin-left:321.84375pt;margin-top:-5.699007pt;width:27.2pt;height:22.15pt;mso-position-horizontal-relative:page;mso-position-vertical-relative:paragraph;z-index:15733760" coordorigin="6437,-114" coordsize="544,443" path="m6660,328l6660,72m6660,72l6981,-114m6683,48l6470,-77m6651,104l6437,-21e" filled="false" stroked="true" strokeweight=".640472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22"/>
        </w:rPr>
        <w:t>Br</w:t>
      </w:r>
    </w:p>
    <w:p>
      <w:pPr>
        <w:tabs>
          <w:tab w:pos="1084" w:val="left" w:leader="none"/>
          <w:tab w:pos="2059" w:val="left" w:leader="none"/>
          <w:tab w:pos="2725" w:val="left" w:leader="none"/>
          <w:tab w:pos="3369" w:val="left" w:leader="none"/>
        </w:tabs>
        <w:spacing w:line="324" w:lineRule="exact" w:before="91"/>
        <w:ind w:left="439" w:right="0" w:firstLine="0"/>
        <w:jc w:val="left"/>
        <w:rPr>
          <w:rFonts w:ascii="Arial MT"/>
          <w:sz w:val="22"/>
        </w:rPr>
      </w:pPr>
      <w:r>
        <w:rPr/>
        <w:pict>
          <v:shape style="position:absolute;margin-left:191.523788pt;margin-top:15.316016pt;width:54.7pt;height:24.75pt;mso-position-horizontal-relative:page;mso-position-vertical-relative:paragraph;z-index:-24472064" coordorigin="3830,306" coordsize="1094,495" path="m4190,801l4559,801m4559,801l4674,449m4674,449l4477,306m4272,306l4078,449m4078,449l4190,801m4674,482l4924,399m4652,423l4904,338m4099,423l3851,342m4080,486l3830,403e" filled="false" stroked="true" strokeweight=".64047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5.813385pt;margin-top:14.008863pt;width:54.7pt;height:24.75pt;mso-position-horizontal-relative:page;mso-position-vertical-relative:paragraph;z-index:-24470528" coordorigin="6116,280" coordsize="1094,495" path="m6476,774l6844,774m6844,774l6960,423m6960,423l6763,280m6558,280l6364,423m6364,423l6476,774m6385,397l6137,315m6366,461l6116,377m6960,457l7210,373m6938,397l7189,312e" filled="false" stroked="true" strokeweight=".640472pt" strokecolor="#000000">
            <v:path arrowok="t"/>
            <v:stroke dashstyle="solid"/>
            <w10:wrap type="none"/>
          </v:shape>
        </w:pict>
      </w:r>
      <w:r>
        <w:rPr>
          <w:rFonts w:ascii="Arial MT"/>
          <w:position w:val="8"/>
          <w:sz w:val="22"/>
        </w:rPr>
        <w:t>N</w:t>
        <w:tab/>
      </w:r>
      <w:r>
        <w:rPr>
          <w:rFonts w:ascii="Arial MT"/>
          <w:position w:val="-2"/>
          <w:sz w:val="22"/>
        </w:rPr>
        <w:t>O</w:t>
      </w:r>
      <w:r>
        <w:rPr>
          <w:rFonts w:ascii="Arial MT"/>
          <w:position w:val="-2"/>
          <w:sz w:val="22"/>
          <w:u w:val="single"/>
        </w:rPr>
        <w:tab/>
      </w:r>
      <w:r>
        <w:rPr>
          <w:rFonts w:ascii="Arial MT"/>
          <w:sz w:val="22"/>
        </w:rPr>
        <w:t>O</w:t>
        <w:tab/>
      </w:r>
      <w:r>
        <w:rPr>
          <w:rFonts w:ascii="Arial MT"/>
          <w:position w:val="10"/>
          <w:sz w:val="22"/>
        </w:rPr>
        <w:t>N</w:t>
        <w:tab/>
      </w:r>
      <w:r>
        <w:rPr>
          <w:rFonts w:ascii="Arial MT"/>
          <w:sz w:val="22"/>
        </w:rPr>
        <w:t>O</w:t>
      </w:r>
    </w:p>
    <w:p>
      <w:pPr>
        <w:pStyle w:val="Heading1"/>
      </w:pPr>
      <w:r>
        <w:rPr/>
        <w:pict>
          <v:group style="position:absolute;margin-left:292.909668pt;margin-top:6.235529pt;width:7.65pt;height:3.85pt;mso-position-horizontal-relative:page;mso-position-vertical-relative:paragraph;z-index:15732736" coordorigin="5858,125" coordsize="153,77">
            <v:shape style="position:absolute;left:5864;top:131;width:140;height:64" coordorigin="5865,131" coordsize="140,64" path="m5865,131l5908,163,5865,194,6004,163,5865,131xe" filled="true" fillcolor="#000000" stroked="false">
              <v:path arrowok="t"/>
              <v:fill type="solid"/>
            </v:shape>
            <v:shape style="position:absolute;left:5864;top:131;width:140;height:64" coordorigin="5865,131" coordsize="140,64" path="m5865,163l5908,163,5865,131,6004,163,5865,194,5908,163,5865,163xe" filled="false" stroked="true" strokeweight=".639471pt" strokecolor="#000000">
              <v:path arrowok="t"/>
              <v:stroke dashstyle="solid"/>
            </v:shape>
            <w10:wrap type="none"/>
          </v:group>
        </w:pict>
      </w:r>
      <w:r>
        <w:rPr>
          <w:w w:val="101"/>
        </w:rPr>
        <w:t>+</w:t>
      </w:r>
    </w:p>
    <w:p>
      <w:pPr>
        <w:pStyle w:val="BodyText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pStyle w:val="BodyText"/>
        <w:rPr>
          <w:rFonts w:ascii="Arial MT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0"/>
        <w:ind w:left="795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OBr</w:t>
      </w:r>
    </w:p>
    <w:p>
      <w:pPr>
        <w:pStyle w:val="BodyText"/>
        <w:spacing w:before="2"/>
        <w:rPr>
          <w:rFonts w:ascii="Arial MT"/>
          <w:sz w:val="26"/>
        </w:rPr>
      </w:pPr>
    </w:p>
    <w:p>
      <w:pPr>
        <w:spacing w:before="0"/>
        <w:ind w:left="477" w:right="0" w:firstLine="0"/>
        <w:jc w:val="left"/>
        <w:rPr>
          <w:rFonts w:ascii="Arial MT"/>
          <w:sz w:val="22"/>
        </w:rPr>
      </w:pPr>
      <w:r>
        <w:rPr/>
        <w:pict>
          <v:shape style="position:absolute;margin-left:397.943665pt;margin-top:-21.656382pt;width:26.35pt;height:22.05pt;mso-position-horizontal-relative:page;mso-position-vertical-relative:paragraph;z-index:15734272" coordorigin="7959,-433" coordsize="527,441" path="m8279,-249l8486,-372m8279,-249l7959,-433m8247,-256l8247,7m8312,-258l8312,7e" filled="false" stroked="true" strokeweight=".640472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101"/>
          <w:sz w:val="22"/>
        </w:rPr>
        <w:t>O</w:t>
      </w:r>
    </w:p>
    <w:p>
      <w:pPr>
        <w:spacing w:after="0"/>
        <w:jc w:val="left"/>
        <w:rPr>
          <w:rFonts w:ascii="Arial MT"/>
          <w:sz w:val="22"/>
        </w:rPr>
        <w:sectPr>
          <w:type w:val="continuous"/>
          <w:pgSz w:w="11910" w:h="16840"/>
          <w:pgMar w:top="1580" w:bottom="1180" w:left="420" w:right="0"/>
          <w:cols w:num="3" w:equalWidth="0">
            <w:col w:w="3403" w:space="40"/>
            <w:col w:w="3821" w:space="39"/>
            <w:col w:w="4187"/>
          </w:cols>
        </w:sectPr>
      </w:pPr>
    </w:p>
    <w:p>
      <w:pPr>
        <w:pStyle w:val="BodyText"/>
        <w:spacing w:before="3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type w:val="continuous"/>
          <w:pgSz w:w="11910" w:h="16840"/>
          <w:pgMar w:top="1580" w:bottom="1180" w:left="420" w:right="0"/>
        </w:sectPr>
      </w:pPr>
    </w:p>
    <w:p>
      <w:pPr>
        <w:spacing w:before="95"/>
        <w:ind w:left="591" w:right="0" w:firstLine="0"/>
        <w:jc w:val="center"/>
        <w:rPr>
          <w:rFonts w:ascii="Arial MT"/>
          <w:sz w:val="22"/>
        </w:rPr>
      </w:pPr>
      <w:r>
        <w:rPr/>
        <w:pict>
          <v:shape style="position:absolute;margin-left:107.878136pt;margin-top:10.59945pt;width:27.2pt;height:22.15pt;mso-position-horizontal-relative:page;mso-position-vertical-relative:paragraph;z-index:15735296" coordorigin="2158,212" coordsize="544,443" path="m2381,654l2381,398m2381,398l2701,212m2403,374l2191,249m2372,429l2158,305e" filled="false" stroked="true" strokeweight=".640472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101"/>
          <w:sz w:val="22"/>
        </w:rPr>
        <w:t>O</w:t>
      </w:r>
    </w:p>
    <w:p>
      <w:pPr>
        <w:pStyle w:val="BodyText"/>
        <w:spacing w:before="2"/>
        <w:rPr>
          <w:rFonts w:ascii="Arial MT"/>
          <w:sz w:val="26"/>
        </w:rPr>
      </w:pPr>
    </w:p>
    <w:p>
      <w:pPr>
        <w:tabs>
          <w:tab w:pos="1888" w:val="left" w:leader="none"/>
          <w:tab w:pos="2533" w:val="left" w:leader="none"/>
        </w:tabs>
        <w:spacing w:before="0"/>
        <w:ind w:left="1234" w:right="0" w:firstLine="0"/>
        <w:jc w:val="left"/>
        <w:rPr>
          <w:rFonts w:ascii="Arial MT"/>
          <w:sz w:val="22"/>
        </w:rPr>
      </w:pPr>
      <w:r>
        <w:rPr/>
        <w:pict>
          <v:shape style="position:absolute;margin-left:91.850578pt;margin-top:9.458828pt;width:54.7pt;height:24.75pt;mso-position-horizontal-relative:page;mso-position-vertical-relative:paragraph;z-index:-24468992" coordorigin="1837,189" coordsize="1094,495" path="m2197,684l2566,684m2566,684l2681,332m2681,332l2484,189m2279,189l2085,332m2085,332l2197,684m2105,306l1858,224m2087,370l1837,286m2681,366l2931,282m2659,306l2910,221e" filled="false" stroked="true" strokeweight=".640472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22"/>
        </w:rPr>
        <w:t>O</w:t>
        <w:tab/>
      </w:r>
      <w:r>
        <w:rPr>
          <w:rFonts w:ascii="Arial MT"/>
          <w:position w:val="10"/>
          <w:sz w:val="22"/>
        </w:rPr>
        <w:t>N</w:t>
        <w:tab/>
      </w:r>
      <w:r>
        <w:rPr>
          <w:rFonts w:ascii="Arial MT"/>
          <w:spacing w:val="-4"/>
          <w:sz w:val="22"/>
        </w:rPr>
        <w:t>O</w:t>
      </w:r>
    </w:p>
    <w:p>
      <w:pPr>
        <w:pStyle w:val="BodyText"/>
        <w:rPr>
          <w:rFonts w:ascii="Arial MT"/>
          <w:sz w:val="36"/>
        </w:rPr>
      </w:pPr>
      <w:r>
        <w:rPr/>
        <w:br w:type="column"/>
      </w:r>
      <w:r>
        <w:rPr>
          <w:rFonts w:ascii="Arial MT"/>
          <w:sz w:val="36"/>
        </w:rPr>
      </w:r>
    </w:p>
    <w:p>
      <w:pPr>
        <w:pStyle w:val="BodyText"/>
        <w:spacing w:before="5"/>
        <w:rPr>
          <w:rFonts w:ascii="Arial MT"/>
          <w:sz w:val="42"/>
        </w:rPr>
      </w:pPr>
    </w:p>
    <w:p>
      <w:pPr>
        <w:spacing w:before="0"/>
        <w:ind w:left="65" w:right="0" w:firstLine="0"/>
        <w:jc w:val="left"/>
        <w:rPr>
          <w:rFonts w:ascii="Arial MT"/>
          <w:sz w:val="22"/>
        </w:rPr>
      </w:pPr>
      <w:r>
        <w:rPr>
          <w:rFonts w:ascii="Arial MT"/>
          <w:position w:val="-1"/>
          <w:sz w:val="33"/>
        </w:rPr>
        <w:t>+</w:t>
      </w:r>
      <w:r>
        <w:rPr>
          <w:rFonts w:ascii="Arial MT"/>
          <w:spacing w:val="152"/>
          <w:position w:val="-1"/>
          <w:sz w:val="33"/>
        </w:rPr>
        <w:t> </w:t>
      </w:r>
      <w:r>
        <w:rPr>
          <w:rFonts w:ascii="Arial MT"/>
          <w:sz w:val="22"/>
        </w:rPr>
        <w:t>Lignocellulose-OH</w:t>
      </w:r>
    </w:p>
    <w:p>
      <w:pPr>
        <w:pStyle w:val="BodyText"/>
        <w:spacing w:before="9"/>
        <w:rPr>
          <w:rFonts w:ascii="Arial MT"/>
          <w:sz w:val="23"/>
        </w:rPr>
      </w:pPr>
      <w:r>
        <w:rPr/>
        <w:br w:type="column"/>
      </w:r>
      <w:r>
        <w:rPr>
          <w:rFonts w:ascii="Arial MT"/>
          <w:sz w:val="23"/>
        </w:rPr>
      </w:r>
    </w:p>
    <w:p>
      <w:pPr>
        <w:spacing w:before="0"/>
        <w:ind w:left="0" w:right="1620" w:firstLine="0"/>
        <w:jc w:val="right"/>
        <w:rPr>
          <w:rFonts w:ascii="Arial MT"/>
          <w:sz w:val="22"/>
        </w:rPr>
      </w:pPr>
      <w:r>
        <w:rPr>
          <w:rFonts w:ascii="Arial MT"/>
          <w:w w:val="101"/>
          <w:sz w:val="22"/>
        </w:rPr>
        <w:t>H</w:t>
      </w:r>
    </w:p>
    <w:p>
      <w:pPr>
        <w:tabs>
          <w:tab w:pos="4295" w:val="left" w:leader="none"/>
        </w:tabs>
        <w:spacing w:line="227" w:lineRule="exact" w:before="67"/>
        <w:ind w:left="1553" w:right="0" w:firstLine="0"/>
        <w:jc w:val="left"/>
        <w:rPr>
          <w:rFonts w:ascii="Arial MT"/>
          <w:sz w:val="22"/>
        </w:rPr>
      </w:pPr>
      <w:r>
        <w:rPr/>
        <w:pict>
          <v:shape style="position:absolute;margin-left:340.919952pt;margin-top:9.384841pt;width:26.4pt;height:22.05pt;mso-position-horizontal-relative:page;mso-position-vertical-relative:paragraph;z-index:15735808" coordorigin="6818,188" coordsize="528,441" path="m7139,372l7346,249m7139,372l6818,188m7107,364l7107,628m7172,363l7172,628e" filled="false" stroked="true" strokeweight=".640472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4466944" from="509.625183pt,6.140135pt" to="509.625183pt,-1.026028pt" stroked="true" strokeweight=".641987pt" strokecolor="#000000">
            <v:stroke dashstyle="solid"/>
            <w10:wrap type="none"/>
          </v:line>
        </w:pict>
      </w:r>
      <w:r>
        <w:rPr>
          <w:rFonts w:ascii="Arial MT"/>
          <w:sz w:val="22"/>
        </w:rPr>
        <w:t>OLignocellulose</w:t>
        <w:tab/>
      </w:r>
      <w:r>
        <w:rPr>
          <w:rFonts w:ascii="Arial MT"/>
          <w:position w:val="-4"/>
          <w:sz w:val="22"/>
        </w:rPr>
        <w:t>N</w:t>
      </w:r>
    </w:p>
    <w:p>
      <w:pPr>
        <w:tabs>
          <w:tab w:pos="3641" w:val="left" w:leader="none"/>
          <w:tab w:pos="4940" w:val="left" w:leader="none"/>
        </w:tabs>
        <w:spacing w:line="100" w:lineRule="auto" w:before="0"/>
        <w:ind w:left="3211" w:right="0" w:firstLine="0"/>
        <w:jc w:val="left"/>
        <w:rPr>
          <w:rFonts w:ascii="Arial MT"/>
          <w:sz w:val="22"/>
        </w:rPr>
      </w:pPr>
      <w:r>
        <w:rPr/>
        <w:pict>
          <v:shape style="position:absolute;margin-left:482.408051pt;margin-top:1.2823pt;width:54.7pt;height:24.75pt;mso-position-horizontal-relative:page;mso-position-vertical-relative:paragraph;z-index:-24467456" coordorigin="9648,26" coordsize="1094,495" path="m10008,520l10377,520m10377,520l10492,169m10492,169l10295,26m10090,26l9896,169m9896,169l10008,520m9916,143l9669,61m9898,206l9648,122m10492,202l10742,119m10470,143l10721,57e" filled="false" stroked="true" strokeweight=".640472pt" strokecolor="#000000">
            <v:path arrowok="t"/>
            <v:stroke dashstyle="solid"/>
            <w10:wrap type="none"/>
          </v:shape>
        </w:pict>
      </w:r>
      <w:r>
        <w:rPr>
          <w:rFonts w:ascii="Arial MT"/>
          <w:position w:val="-19"/>
          <w:sz w:val="33"/>
        </w:rPr>
        <w:t>+</w:t>
        <w:tab/>
      </w:r>
      <w:r>
        <w:rPr>
          <w:rFonts w:ascii="Arial MT"/>
          <w:sz w:val="22"/>
        </w:rPr>
        <w:t>O</w:t>
        <w:tab/>
        <w:t>O</w:t>
      </w:r>
    </w:p>
    <w:p>
      <w:pPr>
        <w:pStyle w:val="BodyText"/>
        <w:spacing w:line="77" w:lineRule="exact"/>
        <w:ind w:left="-150"/>
        <w:rPr>
          <w:rFonts w:ascii="Arial MT"/>
          <w:sz w:val="7"/>
        </w:rPr>
      </w:pPr>
      <w:r>
        <w:rPr>
          <w:rFonts w:ascii="Arial MT"/>
          <w:position w:val="-1"/>
          <w:sz w:val="7"/>
        </w:rPr>
        <w:pict>
          <v:group style="width:37.35pt;height:3.85pt;mso-position-horizontal-relative:char;mso-position-vertical-relative:line" coordorigin="0,0" coordsize="747,77">
            <v:shape style="position:absolute;left:599;top:6;width:140;height:64" coordorigin="600,6" coordsize="140,64" path="m600,6l643,38,600,70,740,38,600,6xe" filled="true" fillcolor="#000000" stroked="false">
              <v:path arrowok="t"/>
              <v:fill type="solid"/>
            </v:shape>
            <v:shape style="position:absolute;left:0;top:6;width:740;height:64" coordorigin="0,6" coordsize="740,64" path="m0,38l600,38m600,38l643,38,600,6,740,38,600,70,643,38,600,38xe" filled="false" stroked="true" strokeweight=".640472pt" strokecolor="#000000">
              <v:path arrowok="t"/>
              <v:stroke dashstyle="solid"/>
            </v:shape>
          </v:group>
        </w:pict>
      </w:r>
      <w:r>
        <w:rPr>
          <w:rFonts w:ascii="Arial MT"/>
          <w:position w:val="-1"/>
          <w:sz w:val="7"/>
        </w:rPr>
      </w:r>
    </w:p>
    <w:p>
      <w:pPr>
        <w:spacing w:before="0"/>
        <w:ind w:left="1234" w:right="0" w:firstLine="0"/>
        <w:jc w:val="left"/>
        <w:rPr>
          <w:rFonts w:ascii="Arial MT"/>
          <w:sz w:val="22"/>
        </w:rPr>
      </w:pPr>
      <w:r>
        <w:rPr>
          <w:rFonts w:ascii="Arial MT"/>
          <w:w w:val="101"/>
          <w:sz w:val="22"/>
        </w:rPr>
        <w:t>O</w:t>
      </w:r>
    </w:p>
    <w:p>
      <w:pPr>
        <w:spacing w:after="0"/>
        <w:jc w:val="left"/>
        <w:rPr>
          <w:rFonts w:ascii="Arial MT"/>
          <w:sz w:val="22"/>
        </w:rPr>
        <w:sectPr>
          <w:type w:val="continuous"/>
          <w:pgSz w:w="11910" w:h="16840"/>
          <w:pgMar w:top="1580" w:bottom="1180" w:left="420" w:right="0"/>
          <w:cols w:num="3" w:equalWidth="0">
            <w:col w:w="2708" w:space="40"/>
            <w:col w:w="2354" w:space="302"/>
            <w:col w:w="608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7"/>
        </w:rPr>
      </w:pPr>
    </w:p>
    <w:p>
      <w:pPr>
        <w:spacing w:after="0"/>
        <w:rPr>
          <w:rFonts w:ascii="Arial MT"/>
          <w:sz w:val="27"/>
        </w:rPr>
        <w:sectPr>
          <w:type w:val="continuous"/>
          <w:pgSz w:w="11910" w:h="16840"/>
          <w:pgMar w:top="1580" w:bottom="1180" w:left="420" w:right="0"/>
        </w:sectPr>
      </w:pPr>
    </w:p>
    <w:p>
      <w:pPr>
        <w:spacing w:before="95"/>
        <w:ind w:left="1039" w:right="0" w:firstLine="0"/>
        <w:jc w:val="center"/>
        <w:rPr>
          <w:rFonts w:ascii="Arial MT"/>
          <w:sz w:val="22"/>
        </w:rPr>
      </w:pPr>
      <w:r>
        <w:rPr/>
        <w:pict>
          <v:line style="position:absolute;mso-position-horizontal-relative:page;mso-position-vertical-relative:paragraph;z-index:15737856" from="121.382378pt,23.514306pt" to="121.382378pt,16.373173pt" stroked="true" strokeweight=".641987pt" strokecolor="#000000">
            <v:stroke dashstyle="solid"/>
            <w10:wrap type="none"/>
          </v:line>
        </w:pict>
      </w:r>
      <w:r>
        <w:rPr>
          <w:rFonts w:ascii="Arial MT"/>
          <w:w w:val="101"/>
          <w:sz w:val="22"/>
        </w:rPr>
        <w:t>H</w:t>
      </w:r>
    </w:p>
    <w:p>
      <w:pPr>
        <w:tabs>
          <w:tab w:pos="1696" w:val="left" w:leader="none"/>
          <w:tab w:pos="2340" w:val="left" w:leader="none"/>
        </w:tabs>
        <w:spacing w:line="303" w:lineRule="exact" w:before="118"/>
        <w:ind w:left="1042" w:right="0" w:firstLine="0"/>
        <w:jc w:val="center"/>
        <w:rPr>
          <w:rFonts w:ascii="Arial MT"/>
          <w:sz w:val="22"/>
        </w:rPr>
      </w:pPr>
      <w:r>
        <w:rPr/>
        <w:pict>
          <v:shape style="position:absolute;margin-left:94.189461pt;margin-top:15.357928pt;width:54.7pt;height:24.75pt;mso-position-horizontal-relative:page;mso-position-vertical-relative:paragraph;z-index:-24466432" coordorigin="1884,307" coordsize="1094,495" path="m2243,802l2612,802m2612,802l2728,450m2728,450l2530,307m2325,307l2131,450m2131,450l2243,802m2152,424l1904,342m2133,488l1884,404m2728,484l2977,400m2705,424l2957,339e" filled="false" stroked="true" strokeweight=".640472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22"/>
        </w:rPr>
        <w:t>O</w:t>
        <w:tab/>
      </w:r>
      <w:r>
        <w:rPr>
          <w:rFonts w:ascii="Arial MT"/>
          <w:position w:val="10"/>
          <w:sz w:val="22"/>
        </w:rPr>
        <w:t>N</w:t>
        <w:tab/>
      </w:r>
      <w:r>
        <w:rPr>
          <w:rFonts w:ascii="Arial MT"/>
          <w:sz w:val="22"/>
        </w:rPr>
        <w:t>O</w:t>
      </w:r>
    </w:p>
    <w:p>
      <w:pPr>
        <w:pStyle w:val="Heading1"/>
        <w:spacing w:line="330" w:lineRule="exact"/>
      </w:pPr>
      <w:r>
        <w:rPr>
          <w:w w:val="101"/>
        </w:rPr>
        <w:t>+</w:t>
      </w:r>
    </w:p>
    <w:p>
      <w:pPr>
        <w:pStyle w:val="BodyText"/>
        <w:spacing w:before="7"/>
        <w:rPr>
          <w:rFonts w:ascii="Arial MT"/>
          <w:sz w:val="34"/>
        </w:rPr>
      </w:pPr>
      <w:r>
        <w:rPr/>
        <w:br w:type="column"/>
      </w:r>
      <w:r>
        <w:rPr>
          <w:rFonts w:ascii="Arial MT"/>
          <w:sz w:val="34"/>
        </w:rPr>
      </w:r>
    </w:p>
    <w:p>
      <w:pPr>
        <w:tabs>
          <w:tab w:pos="1841" w:val="left" w:leader="none"/>
        </w:tabs>
        <w:spacing w:line="222" w:lineRule="exact" w:before="0"/>
        <w:ind w:left="691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OBr </w:t>
      </w:r>
      <w:r>
        <w:rPr>
          <w:rFonts w:ascii="Arial MT"/>
          <w:spacing w:val="-18"/>
          <w:sz w:val="22"/>
        </w:rPr>
        <w:t> </w:t>
      </w:r>
      <w:r>
        <w:rPr>
          <w:rFonts w:ascii="Arial MT"/>
          <w:w w:val="101"/>
          <w:sz w:val="22"/>
          <w:u w:val="single"/>
        </w:rPr>
        <w:t> </w:t>
      </w:r>
      <w:r>
        <w:rPr>
          <w:rFonts w:ascii="Arial MT"/>
          <w:sz w:val="22"/>
          <w:u w:val="single"/>
        </w:rPr>
        <w:tab/>
      </w:r>
    </w:p>
    <w:p>
      <w:pPr>
        <w:spacing w:line="222" w:lineRule="exact" w:before="0"/>
        <w:ind w:left="2060" w:right="0" w:firstLine="0"/>
        <w:jc w:val="left"/>
        <w:rPr>
          <w:rFonts w:ascii="Arial MT"/>
          <w:sz w:val="22"/>
        </w:rPr>
      </w:pPr>
      <w:r>
        <w:rPr/>
        <w:pict>
          <v:shape style="position:absolute;margin-left:179.228561pt;margin-top:-5.070892pt;width:26.4pt;height:22.05pt;mso-position-horizontal-relative:page;mso-position-vertical-relative:paragraph;z-index:15738368" coordorigin="3585,-101" coordsize="528,441" path="m3905,83l4112,-40m3905,83l3585,-101m3874,75l3874,339m3939,73l3939,339e" filled="false" stroked="true" strokeweight=".640472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101"/>
          <w:sz w:val="22"/>
        </w:rPr>
        <w:t>O</w:t>
      </w:r>
    </w:p>
    <w:p>
      <w:pPr>
        <w:pStyle w:val="BodyText"/>
        <w:spacing w:before="7"/>
        <w:rPr>
          <w:rFonts w:ascii="Arial MT"/>
          <w:sz w:val="2"/>
        </w:rPr>
      </w:pPr>
    </w:p>
    <w:p>
      <w:pPr>
        <w:pStyle w:val="BodyText"/>
        <w:spacing w:line="77" w:lineRule="exact"/>
        <w:ind w:left="1777"/>
        <w:rPr>
          <w:rFonts w:ascii="Arial MT"/>
          <w:sz w:val="7"/>
        </w:rPr>
      </w:pPr>
      <w:r>
        <w:rPr>
          <w:rFonts w:ascii="Arial MT"/>
          <w:position w:val="-1"/>
          <w:sz w:val="7"/>
        </w:rPr>
        <w:pict>
          <v:group style="width:7.65pt;height:3.85pt;mso-position-horizontal-relative:char;mso-position-vertical-relative:line" coordorigin="0,0" coordsize="153,77">
            <v:shape style="position:absolute;left:6;top:6;width:140;height:64" coordorigin="6,6" coordsize="140,64" path="m6,6l50,38,6,70,146,38,6,6xe" filled="true" fillcolor="#000000" stroked="false">
              <v:path arrowok="t"/>
              <v:fill type="solid"/>
            </v:shape>
            <v:shape style="position:absolute;left:6;top:6;width:140;height:64" coordorigin="6,6" coordsize="140,64" path="m6,38l50,38,6,6,146,38,6,70,50,38,6,38xe" filled="false" stroked="true" strokeweight=".639476pt" strokecolor="#000000">
              <v:path arrowok="t"/>
              <v:stroke dashstyle="solid"/>
            </v:shape>
          </v:group>
        </w:pict>
      </w:r>
      <w:r>
        <w:rPr>
          <w:rFonts w:ascii="Arial MT"/>
          <w:position w:val="-1"/>
          <w:sz w:val="7"/>
        </w:rPr>
      </w:r>
    </w:p>
    <w:p>
      <w:pPr>
        <w:spacing w:before="3"/>
        <w:ind w:left="372" w:right="0" w:firstLine="0"/>
        <w:jc w:val="left"/>
        <w:rPr>
          <w:rFonts w:ascii="Arial MT"/>
          <w:sz w:val="22"/>
        </w:rPr>
      </w:pPr>
      <w:r>
        <w:rPr>
          <w:rFonts w:ascii="Arial MT"/>
          <w:w w:val="101"/>
          <w:sz w:val="22"/>
        </w:rPr>
        <w:t>O</w:t>
      </w:r>
    </w:p>
    <w:p>
      <w:pPr>
        <w:spacing w:before="120"/>
        <w:ind w:left="439" w:right="0" w:firstLine="0"/>
        <w:jc w:val="lef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  <w:t>Br</w:t>
      </w:r>
    </w:p>
    <w:p>
      <w:pPr>
        <w:tabs>
          <w:tab w:pos="1084" w:val="left" w:leader="none"/>
        </w:tabs>
        <w:spacing w:line="151" w:lineRule="auto" w:before="153"/>
        <w:ind w:left="439" w:right="0" w:firstLine="0"/>
        <w:jc w:val="left"/>
        <w:rPr>
          <w:rFonts w:ascii="Arial MT"/>
          <w:sz w:val="22"/>
        </w:rPr>
      </w:pPr>
      <w:r>
        <w:rPr/>
        <w:pict>
          <v:shape style="position:absolute;margin-left:284.77179pt;margin-top:15.321077pt;width:54.7pt;height:24.75pt;mso-position-horizontal-relative:page;mso-position-vertical-relative:paragraph;z-index:-24464896" coordorigin="5695,306" coordsize="1094,495" path="m6055,801l6424,801m6424,801l6539,450m6539,450l6341,306m6137,306l5943,450m5943,450l6055,801m6539,483l6789,399m6517,424l6768,338m5964,424l5716,342m5945,487l5695,403e" filled="false" stroked="true" strokeweight=".640472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15739392" from="311.960999pt,6.119093pt" to="311.960999pt,-1.045217pt" stroked="true" strokeweight=".641987pt" strokecolor="#000000">
            <v:stroke dashstyle="solid"/>
            <w10:wrap type="none"/>
          </v:line>
        </w:pict>
      </w:r>
      <w:r>
        <w:rPr>
          <w:rFonts w:ascii="Arial MT"/>
          <w:sz w:val="22"/>
        </w:rPr>
        <w:t>N</w:t>
        <w:tab/>
      </w:r>
      <w:r>
        <w:rPr>
          <w:rFonts w:ascii="Arial MT"/>
          <w:position w:val="-9"/>
          <w:sz w:val="22"/>
        </w:rPr>
        <w:t>O</w:t>
      </w:r>
    </w:p>
    <w:p>
      <w:pPr>
        <w:spacing w:line="326" w:lineRule="exact" w:before="0"/>
        <w:ind w:left="1328" w:right="0" w:firstLine="0"/>
        <w:jc w:val="left"/>
        <w:rPr>
          <w:rFonts w:ascii="Arial MT"/>
          <w:sz w:val="22"/>
        </w:rPr>
      </w:pPr>
      <w:r>
        <w:rPr>
          <w:rFonts w:ascii="Arial MT"/>
          <w:position w:val="-5"/>
          <w:sz w:val="33"/>
        </w:rPr>
        <w:t>+</w:t>
      </w:r>
      <w:r>
        <w:rPr>
          <w:rFonts w:ascii="Arial MT"/>
          <w:spacing w:val="72"/>
          <w:position w:val="-5"/>
          <w:sz w:val="33"/>
        </w:rPr>
        <w:t> </w:t>
      </w:r>
      <w:r>
        <w:rPr>
          <w:rFonts w:ascii="Arial MT"/>
          <w:sz w:val="22"/>
        </w:rPr>
        <w:t>CH</w:t>
      </w:r>
      <w:r>
        <w:rPr>
          <w:rFonts w:ascii="Arial MT"/>
          <w:position w:val="-6"/>
          <w:sz w:val="15"/>
        </w:rPr>
        <w:t>3</w:t>
      </w:r>
      <w:r>
        <w:rPr>
          <w:rFonts w:ascii="Arial MT"/>
          <w:sz w:val="22"/>
        </w:rPr>
        <w:t>COOH</w:t>
      </w:r>
    </w:p>
    <w:p>
      <w:pPr>
        <w:spacing w:after="0" w:line="326" w:lineRule="exact"/>
        <w:jc w:val="left"/>
        <w:rPr>
          <w:rFonts w:ascii="Arial MT"/>
          <w:sz w:val="22"/>
        </w:rPr>
        <w:sectPr>
          <w:type w:val="continuous"/>
          <w:pgSz w:w="11910" w:h="16840"/>
          <w:pgMar w:top="1580" w:bottom="1180" w:left="420" w:right="0"/>
          <w:cols w:num="3" w:equalWidth="0">
            <w:col w:w="2993" w:space="40"/>
            <w:col w:w="2235" w:space="39"/>
            <w:col w:w="6183"/>
          </w:cols>
        </w:sectPr>
      </w:pPr>
    </w:p>
    <w:p>
      <w:pPr>
        <w:pStyle w:val="BodyText"/>
        <w:spacing w:before="8"/>
        <w:rPr>
          <w:rFonts w:ascii="Arial MT"/>
          <w:sz w:val="23"/>
        </w:rPr>
      </w:pPr>
    </w:p>
    <w:p>
      <w:pPr>
        <w:pStyle w:val="Heading3"/>
        <w:spacing w:line="480" w:lineRule="auto" w:before="101"/>
        <w:ind w:right="574"/>
        <w:jc w:val="both"/>
      </w:pPr>
      <w:r>
        <w:rPr/>
        <w:t>Figure 1.5: reaction mechanism for acetylation using N-Bromosuccinimide as</w:t>
      </w:r>
      <w:r>
        <w:rPr>
          <w:spacing w:val="1"/>
        </w:rPr>
        <w:t> </w:t>
      </w:r>
      <w:r>
        <w:rPr/>
        <w:t>catalyst</w:t>
      </w:r>
      <w:r>
        <w:rPr>
          <w:spacing w:val="-1"/>
        </w:rPr>
        <w:t> </w:t>
      </w:r>
      <w:r>
        <w:rPr/>
        <w:t>(Source:</w:t>
      </w:r>
      <w:r>
        <w:rPr>
          <w:spacing w:val="-2"/>
        </w:rPr>
        <w:t> </w:t>
      </w:r>
      <w:r>
        <w:rPr/>
        <w:t>Nwankwere, 2010)</w:t>
      </w:r>
    </w:p>
    <w:p>
      <w:pPr>
        <w:pStyle w:val="BodyText"/>
        <w:spacing w:line="480" w:lineRule="auto"/>
        <w:ind w:left="1198" w:right="577"/>
        <w:jc w:val="both"/>
      </w:pPr>
      <w:r>
        <w:rPr/>
        <w:t>The mechanism is one of free radical reactions. The first step involves the reaction of NBS</w:t>
      </w:r>
      <w:r>
        <w:rPr>
          <w:spacing w:val="1"/>
        </w:rPr>
        <w:t> </w:t>
      </w:r>
      <w:r>
        <w:rPr/>
        <w:t>with acetic anhydride to produce a strong acetylating agent. The splitting of the hemolytic</w:t>
      </w:r>
      <w:r>
        <w:rPr>
          <w:spacing w:val="1"/>
        </w:rPr>
        <w:t> </w:t>
      </w:r>
      <w:r>
        <w:rPr/>
        <w:t>cleavage of the N-Br bond generates a Br radical, which abstracts an acetate group from</w:t>
      </w:r>
      <w:r>
        <w:rPr>
          <w:spacing w:val="1"/>
        </w:rPr>
        <w:t> </w:t>
      </w:r>
      <w:r>
        <w:rPr/>
        <w:t>the acetic</w:t>
      </w:r>
      <w:r>
        <w:rPr>
          <w:spacing w:val="1"/>
        </w:rPr>
        <w:t> </w:t>
      </w:r>
      <w:r>
        <w:rPr/>
        <w:t>anhydride (Fig</w:t>
      </w:r>
      <w:r>
        <w:rPr>
          <w:spacing w:val="-1"/>
        </w:rPr>
        <w:t> </w:t>
      </w:r>
      <w:r>
        <w:rPr/>
        <w:t>1.5).</w:t>
      </w:r>
    </w:p>
    <w:p>
      <w:pPr>
        <w:pStyle w:val="BodyText"/>
        <w:spacing w:line="480" w:lineRule="auto" w:before="1"/>
        <w:ind w:left="1198" w:right="579"/>
        <w:jc w:val="both"/>
      </w:pPr>
      <w:r>
        <w:rPr/>
        <w:t>The acyl carbon centre of the acetyl group forms an acetic succinimide, which is a very</w:t>
      </w:r>
      <w:r>
        <w:rPr>
          <w:spacing w:val="1"/>
        </w:rPr>
        <w:t> </w:t>
      </w:r>
      <w:r>
        <w:rPr/>
        <w:t>reactive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unstable</w:t>
      </w:r>
      <w:r>
        <w:rPr>
          <w:spacing w:val="-2"/>
        </w:rPr>
        <w:t> </w:t>
      </w:r>
      <w:r>
        <w:rPr/>
        <w:t>acetylating</w:t>
      </w:r>
      <w:r>
        <w:rPr>
          <w:spacing w:val="-1"/>
        </w:rPr>
        <w:t> </w:t>
      </w:r>
      <w:r>
        <w:rPr/>
        <w:t>agent,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Nitrogen</w:t>
      </w:r>
      <w:r>
        <w:rPr>
          <w:spacing w:val="-2"/>
        </w:rPr>
        <w:t> </w:t>
      </w:r>
      <w:r>
        <w:rPr/>
        <w:t>radical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succinimide.</w:t>
      </w:r>
    </w:p>
    <w:p>
      <w:pPr>
        <w:pStyle w:val="BodyText"/>
        <w:spacing w:line="480" w:lineRule="auto" w:before="1"/>
        <w:ind w:left="1198" w:right="580"/>
        <w:jc w:val="both"/>
      </w:pPr>
      <w:r>
        <w:rPr/>
        <w:t>The second stage involves a nucleophilic attack on the acyl carbon centre of the acetylating</w:t>
      </w:r>
      <w:r>
        <w:rPr>
          <w:spacing w:val="-72"/>
        </w:rPr>
        <w:t> </w:t>
      </w:r>
      <w:r>
        <w:rPr/>
        <w:t>agent by a lone pair of the hydroxyl group followed by the subsequent reduction of the</w:t>
      </w:r>
      <w:r>
        <w:rPr>
          <w:spacing w:val="1"/>
        </w:rPr>
        <w:t> </w:t>
      </w:r>
      <w:r>
        <w:rPr/>
        <w:t>acetylating</w:t>
      </w:r>
      <w:r>
        <w:rPr>
          <w:spacing w:val="-1"/>
        </w:rPr>
        <w:t> </w:t>
      </w:r>
      <w:r>
        <w:rPr/>
        <w:t>agent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succinimide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thus</w:t>
      </w:r>
      <w:r>
        <w:rPr>
          <w:spacing w:val="-1"/>
        </w:rPr>
        <w:t> </w:t>
      </w:r>
      <w:r>
        <w:rPr/>
        <w:t>generating</w:t>
      </w:r>
      <w:r>
        <w:rPr>
          <w:spacing w:val="-3"/>
        </w:rPr>
        <w:t> </w:t>
      </w:r>
      <w:r>
        <w:rPr/>
        <w:t>the lignocellulosic</w:t>
      </w:r>
      <w:r>
        <w:rPr>
          <w:spacing w:val="-2"/>
        </w:rPr>
        <w:t> </w:t>
      </w:r>
      <w:r>
        <w:rPr/>
        <w:t>acetates.</w:t>
      </w:r>
    </w:p>
    <w:p>
      <w:pPr>
        <w:pStyle w:val="BodyText"/>
        <w:spacing w:line="480" w:lineRule="auto"/>
        <w:ind w:left="1198" w:right="579"/>
        <w:jc w:val="both"/>
      </w:pPr>
      <w:r>
        <w:rPr/>
        <w:t>In the third stage, the succinimide produced reacts with the brominated acetate group,</w:t>
      </w:r>
      <w:r>
        <w:rPr>
          <w:spacing w:val="1"/>
        </w:rPr>
        <w:t> </w:t>
      </w:r>
      <w:r>
        <w:rPr/>
        <w:t>produced in step-1, resulting in the loss of acetic acid and the regeneration of the NBS</w:t>
      </w:r>
      <w:r>
        <w:rPr>
          <w:spacing w:val="1"/>
        </w:rPr>
        <w:t> </w:t>
      </w:r>
      <w:r>
        <w:rPr/>
        <w:t>catalyst.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spacing w:line="482" w:lineRule="auto" w:before="75"/>
        <w:ind w:left="1198"/>
      </w:pPr>
      <w:r>
        <w:rPr/>
        <w:t>The</w:t>
      </w:r>
      <w:r>
        <w:rPr>
          <w:spacing w:val="41"/>
        </w:rPr>
        <w:t> </w:t>
      </w:r>
      <w:r>
        <w:rPr/>
        <w:t>acetates</w:t>
      </w:r>
      <w:r>
        <w:rPr>
          <w:spacing w:val="42"/>
        </w:rPr>
        <w:t> </w:t>
      </w:r>
      <w:r>
        <w:rPr/>
        <w:t>are</w:t>
      </w:r>
      <w:r>
        <w:rPr>
          <w:spacing w:val="42"/>
        </w:rPr>
        <w:t> </w:t>
      </w:r>
      <w:r>
        <w:rPr/>
        <w:t>being</w:t>
      </w:r>
      <w:r>
        <w:rPr>
          <w:spacing w:val="40"/>
        </w:rPr>
        <w:t> </w:t>
      </w:r>
      <w:r>
        <w:rPr/>
        <w:t>washed</w:t>
      </w:r>
      <w:r>
        <w:rPr>
          <w:spacing w:val="40"/>
        </w:rPr>
        <w:t> </w:t>
      </w:r>
      <w:r>
        <w:rPr/>
        <w:t>with</w:t>
      </w:r>
      <w:r>
        <w:rPr>
          <w:spacing w:val="42"/>
        </w:rPr>
        <w:t> </w:t>
      </w:r>
      <w:r>
        <w:rPr/>
        <w:t>excess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acetone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ethanol</w:t>
      </w:r>
      <w:r>
        <w:rPr>
          <w:spacing w:val="41"/>
        </w:rPr>
        <w:t> </w:t>
      </w:r>
      <w:r>
        <w:rPr/>
        <w:t>to</w:t>
      </w:r>
      <w:r>
        <w:rPr>
          <w:spacing w:val="40"/>
        </w:rPr>
        <w:t> </w:t>
      </w:r>
      <w:r>
        <w:rPr/>
        <w:t>remove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by-</w:t>
      </w:r>
      <w:r>
        <w:rPr>
          <w:spacing w:val="-72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acetic acid,</w:t>
      </w:r>
      <w:r>
        <w:rPr>
          <w:spacing w:val="-2"/>
        </w:rPr>
        <w:t> </w:t>
      </w:r>
      <w:r>
        <w:rPr/>
        <w:t>NBS and</w:t>
      </w:r>
      <w:r>
        <w:rPr>
          <w:spacing w:val="-2"/>
        </w:rPr>
        <w:t> </w:t>
      </w:r>
      <w:r>
        <w:rPr/>
        <w:t>the unreacted acetic</w:t>
      </w:r>
      <w:r>
        <w:rPr>
          <w:spacing w:val="-2"/>
        </w:rPr>
        <w:t> </w:t>
      </w:r>
      <w:r>
        <w:rPr/>
        <w:t>anhydride.</w:t>
      </w:r>
    </w:p>
    <w:p>
      <w:pPr>
        <w:spacing w:after="0" w:line="482" w:lineRule="auto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before="7"/>
        <w:rPr>
          <w:sz w:val="9"/>
        </w:rPr>
      </w:pPr>
    </w:p>
    <w:p>
      <w:pPr>
        <w:pStyle w:val="Heading3"/>
        <w:spacing w:before="100"/>
        <w:ind w:left="1228" w:right="1580"/>
        <w:jc w:val="center"/>
      </w:pPr>
      <w:r>
        <w:rPr/>
        <w:t>Chapter</w:t>
      </w:r>
      <w:r>
        <w:rPr>
          <w:spacing w:val="-5"/>
        </w:rPr>
        <w:t> </w:t>
      </w:r>
      <w:r>
        <w:rPr/>
        <w:t>Two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1"/>
          <w:numId w:val="5"/>
        </w:numPr>
        <w:tabs>
          <w:tab w:pos="1917" w:val="left" w:leader="none"/>
          <w:tab w:pos="1918" w:val="left" w:leader="none"/>
        </w:tabs>
        <w:spacing w:line="240" w:lineRule="auto" w:before="0" w:after="0"/>
        <w:ind w:left="1918" w:right="0" w:hanging="720"/>
        <w:jc w:val="left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Heading3"/>
        <w:numPr>
          <w:ilvl w:val="2"/>
          <w:numId w:val="5"/>
        </w:numPr>
        <w:tabs>
          <w:tab w:pos="1918" w:val="left" w:leader="none"/>
        </w:tabs>
        <w:spacing w:line="240" w:lineRule="auto" w:before="101" w:after="0"/>
        <w:ind w:left="1918" w:right="0" w:hanging="720"/>
        <w:jc w:val="both"/>
      </w:pPr>
      <w:r>
        <w:rPr/>
        <w:t>Sample</w:t>
      </w:r>
      <w:r>
        <w:rPr>
          <w:spacing w:val="-4"/>
        </w:rPr>
        <w:t> </w:t>
      </w:r>
      <w:r>
        <w:rPr/>
        <w:t>Collection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 w:before="1"/>
        <w:ind w:left="1198" w:right="580"/>
        <w:jc w:val="both"/>
      </w:pPr>
      <w:r>
        <w:rPr/>
        <w:t>Corn Cob and Mango Kernel (samples) used were collected from a local market in Enugu</w:t>
      </w:r>
      <w:r>
        <w:rPr>
          <w:spacing w:val="1"/>
        </w:rPr>
        <w:t> </w:t>
      </w:r>
      <w:r>
        <w:rPr/>
        <w:t>metropolis, Nigeria. The crude oil samples were collected from Nigerian National Petroleum</w:t>
      </w:r>
      <w:r>
        <w:rPr>
          <w:spacing w:val="-72"/>
        </w:rPr>
        <w:t> </w:t>
      </w:r>
      <w:r>
        <w:rPr/>
        <w:t>Corporation</w:t>
      </w:r>
      <w:r>
        <w:rPr>
          <w:spacing w:val="-2"/>
        </w:rPr>
        <w:t> </w:t>
      </w:r>
      <w:r>
        <w:rPr/>
        <w:t>(NNPC)</w:t>
      </w:r>
      <w:r>
        <w:rPr>
          <w:spacing w:val="1"/>
        </w:rPr>
        <w:t> </w:t>
      </w:r>
      <w:r>
        <w:rPr/>
        <w:t>Port-Harcourt,</w:t>
      </w:r>
      <w:r>
        <w:rPr>
          <w:spacing w:val="-1"/>
        </w:rPr>
        <w:t> </w:t>
      </w:r>
      <w:r>
        <w:rPr/>
        <w:t>Nigeria.</w:t>
      </w:r>
    </w:p>
    <w:p>
      <w:pPr>
        <w:pStyle w:val="Heading3"/>
        <w:numPr>
          <w:ilvl w:val="2"/>
          <w:numId w:val="5"/>
        </w:numPr>
        <w:tabs>
          <w:tab w:pos="1878" w:val="left" w:leader="none"/>
        </w:tabs>
        <w:spacing w:line="240" w:lineRule="auto" w:before="0" w:after="0"/>
        <w:ind w:left="1877" w:right="0" w:hanging="680"/>
        <w:jc w:val="both"/>
      </w:pPr>
      <w:r>
        <w:rPr/>
        <w:t>Sample</w:t>
      </w:r>
      <w:r>
        <w:rPr>
          <w:spacing w:val="-4"/>
        </w:rPr>
        <w:t> </w:t>
      </w:r>
      <w:r>
        <w:rPr/>
        <w:t>preparation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198" w:right="577" w:firstLine="719"/>
        <w:jc w:val="both"/>
      </w:pPr>
      <w:r>
        <w:rPr/>
        <w:t>Corn cob and mango kernel (samples) used were collected from a local market in</w:t>
      </w:r>
      <w:r>
        <w:rPr>
          <w:spacing w:val="1"/>
        </w:rPr>
        <w:t> </w:t>
      </w:r>
      <w:r>
        <w:rPr/>
        <w:t>Enugu metropolis, Nigeria. They were thoroughly washed with water to remove dust,</w:t>
      </w:r>
      <w:r>
        <w:rPr>
          <w:spacing w:val="1"/>
        </w:rPr>
        <w:t> </w:t>
      </w:r>
      <w:r>
        <w:rPr/>
        <w:t>fungus, foreign materials and water soluble components. The washed samples were dried</w:t>
      </w:r>
      <w:r>
        <w:rPr>
          <w:spacing w:val="1"/>
        </w:rPr>
        <w:t> </w:t>
      </w:r>
      <w:r>
        <w:rPr/>
        <w:t>properly in</w:t>
      </w:r>
      <w:r>
        <w:rPr>
          <w:spacing w:val="1"/>
        </w:rPr>
        <w:t> </w:t>
      </w:r>
      <w:r>
        <w:rPr/>
        <w:t>sunlight for twelve</w:t>
      </w:r>
      <w:r>
        <w:rPr>
          <w:spacing w:val="75"/>
        </w:rPr>
        <w:t> </w:t>
      </w:r>
      <w:r>
        <w:rPr/>
        <w:t>hours (four hours for three days) and then left to dry at</w:t>
      </w:r>
      <w:r>
        <w:rPr>
          <w:spacing w:val="1"/>
        </w:rPr>
        <w:t> </w:t>
      </w:r>
      <w:r>
        <w:rPr/>
        <w:t>65</w:t>
      </w:r>
      <w:r>
        <w:rPr>
          <w:vertAlign w:val="superscript"/>
        </w:rPr>
        <w:t>o</w:t>
      </w:r>
      <w:r>
        <w:rPr>
          <w:vertAlign w:val="baseline"/>
        </w:rPr>
        <w:t>C in the oven. They were size reduced and sieved through 20 and 25 British 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Sieve (BSS Sieves). Reagents and chemicals used were from British Drug House (BDH) and</w:t>
      </w:r>
      <w:r>
        <w:rPr>
          <w:spacing w:val="-72"/>
          <w:vertAlign w:val="baseline"/>
        </w:rPr>
        <w:t> </w:t>
      </w:r>
      <w:r>
        <w:rPr>
          <w:vertAlign w:val="baseline"/>
        </w:rPr>
        <w:t>include acetic anhydride, N-Bromosuccinimide (NBS), acetone, ethanol and n-Hexane, and</w:t>
      </w:r>
      <w:r>
        <w:rPr>
          <w:spacing w:val="1"/>
          <w:vertAlign w:val="baseline"/>
        </w:rPr>
        <w:t> </w:t>
      </w:r>
      <w:r>
        <w:rPr>
          <w:vertAlign w:val="baseline"/>
        </w:rPr>
        <w:t>were used</w:t>
      </w:r>
      <w:r>
        <w:rPr>
          <w:spacing w:val="-2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-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-1"/>
          <w:vertAlign w:val="baseline"/>
        </w:rPr>
        <w:t> </w:t>
      </w:r>
      <w:r>
        <w:rPr>
          <w:vertAlign w:val="baseline"/>
        </w:rPr>
        <w:t>purification.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2"/>
          <w:numId w:val="5"/>
        </w:numPr>
        <w:tabs>
          <w:tab w:pos="3358" w:val="left" w:leader="none"/>
          <w:tab w:pos="3359" w:val="left" w:leader="none"/>
        </w:tabs>
        <w:spacing w:line="480" w:lineRule="auto" w:before="240" w:after="0"/>
        <w:ind w:left="1198" w:right="578" w:firstLine="0"/>
        <w:jc w:val="left"/>
        <w:rPr>
          <w:sz w:val="24"/>
        </w:rPr>
      </w:pPr>
      <w:r>
        <w:rPr>
          <w:b/>
          <w:sz w:val="24"/>
        </w:rPr>
        <w:t>Characterization of Corn Cob and Mango Kernel (samples)</w:t>
      </w:r>
      <w:r>
        <w:rPr>
          <w:b/>
          <w:spacing w:val="1"/>
          <w:sz w:val="24"/>
        </w:rPr>
        <w:t> </w:t>
      </w:r>
      <w:r>
        <w:rPr>
          <w:sz w:val="24"/>
        </w:rPr>
        <w:t>Proximate analysis and physical characteristics of the materials was determined as follows;</w:t>
      </w:r>
      <w:r>
        <w:rPr>
          <w:spacing w:val="1"/>
          <w:sz w:val="24"/>
        </w:rPr>
        <w:t> </w:t>
      </w:r>
      <w:r>
        <w:rPr>
          <w:b/>
          <w:sz w:val="24"/>
        </w:rPr>
        <w:t>Bulk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tapped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Density</w:t>
      </w:r>
      <w:r>
        <w:rPr>
          <w:sz w:val="24"/>
        </w:rPr>
        <w:t>: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portion</w:t>
      </w:r>
      <w:r>
        <w:rPr>
          <w:spacing w:val="21"/>
          <w:sz w:val="24"/>
        </w:rPr>
        <w:t> </w:t>
      </w:r>
      <w:r>
        <w:rPr>
          <w:sz w:val="24"/>
        </w:rPr>
        <w:t>(25g)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samples</w:t>
      </w:r>
      <w:r>
        <w:rPr>
          <w:spacing w:val="20"/>
          <w:sz w:val="24"/>
        </w:rPr>
        <w:t> </w:t>
      </w:r>
      <w:r>
        <w:rPr>
          <w:sz w:val="24"/>
        </w:rPr>
        <w:t>was</w:t>
      </w:r>
      <w:r>
        <w:rPr>
          <w:spacing w:val="21"/>
          <w:sz w:val="24"/>
        </w:rPr>
        <w:t> </w:t>
      </w:r>
      <w:r>
        <w:rPr>
          <w:sz w:val="24"/>
        </w:rPr>
        <w:t>accurately</w:t>
      </w:r>
      <w:r>
        <w:rPr>
          <w:spacing w:val="19"/>
          <w:sz w:val="24"/>
        </w:rPr>
        <w:t> </w:t>
      </w:r>
      <w:r>
        <w:rPr>
          <w:sz w:val="24"/>
        </w:rPr>
        <w:t>weighed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-72"/>
          <w:sz w:val="24"/>
        </w:rPr>
        <w:t> </w:t>
      </w:r>
      <w:r>
        <w:rPr>
          <w:sz w:val="24"/>
        </w:rPr>
        <w:t>poured</w:t>
      </w:r>
      <w:r>
        <w:rPr>
          <w:spacing w:val="13"/>
          <w:sz w:val="24"/>
        </w:rPr>
        <w:t> </w:t>
      </w:r>
      <w:r>
        <w:rPr>
          <w:sz w:val="24"/>
        </w:rPr>
        <w:t>into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100ml</w:t>
      </w:r>
      <w:r>
        <w:rPr>
          <w:spacing w:val="14"/>
          <w:sz w:val="24"/>
        </w:rPr>
        <w:t> </w:t>
      </w:r>
      <w:r>
        <w:rPr>
          <w:sz w:val="24"/>
        </w:rPr>
        <w:t>graduated</w:t>
      </w:r>
      <w:r>
        <w:rPr>
          <w:spacing w:val="13"/>
          <w:sz w:val="24"/>
        </w:rPr>
        <w:t> </w:t>
      </w:r>
      <w:r>
        <w:rPr>
          <w:sz w:val="24"/>
        </w:rPr>
        <w:t>cylinder.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cylinder</w:t>
      </w:r>
      <w:r>
        <w:rPr>
          <w:spacing w:val="14"/>
          <w:sz w:val="24"/>
        </w:rPr>
        <w:t> </w:t>
      </w:r>
      <w:r>
        <w:rPr>
          <w:sz w:val="24"/>
        </w:rPr>
        <w:t>was</w:t>
      </w:r>
      <w:r>
        <w:rPr>
          <w:spacing w:val="14"/>
          <w:sz w:val="24"/>
        </w:rPr>
        <w:t> </w:t>
      </w:r>
      <w:r>
        <w:rPr>
          <w:sz w:val="24"/>
        </w:rPr>
        <w:t>stoppered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bulk</w:t>
      </w:r>
      <w:r>
        <w:rPr>
          <w:spacing w:val="14"/>
          <w:sz w:val="24"/>
        </w:rPr>
        <w:t> </w:t>
      </w:r>
      <w:r>
        <w:rPr>
          <w:sz w:val="24"/>
        </w:rPr>
        <w:t>volume</w:t>
      </w:r>
      <w:r>
        <w:rPr>
          <w:spacing w:val="-72"/>
          <w:sz w:val="24"/>
        </w:rPr>
        <w:t> </w:t>
      </w:r>
      <w:r>
        <w:rPr>
          <w:sz w:val="24"/>
        </w:rPr>
        <w:t>Vo</w:t>
      </w:r>
      <w:r>
        <w:rPr>
          <w:spacing w:val="15"/>
          <w:sz w:val="24"/>
        </w:rPr>
        <w:t> </w:t>
      </w:r>
      <w:r>
        <w:rPr>
          <w:sz w:val="24"/>
        </w:rPr>
        <w:t>was</w:t>
      </w:r>
      <w:r>
        <w:rPr>
          <w:spacing w:val="17"/>
          <w:sz w:val="24"/>
        </w:rPr>
        <w:t> </w:t>
      </w:r>
      <w:r>
        <w:rPr>
          <w:sz w:val="24"/>
        </w:rPr>
        <w:t>recorded.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tapped</w:t>
      </w:r>
      <w:r>
        <w:rPr>
          <w:spacing w:val="17"/>
          <w:sz w:val="24"/>
        </w:rPr>
        <w:t> </w:t>
      </w:r>
      <w:r>
        <w:rPr>
          <w:sz w:val="24"/>
        </w:rPr>
        <w:t>density,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cylinder</w:t>
      </w:r>
      <w:r>
        <w:rPr>
          <w:spacing w:val="17"/>
          <w:sz w:val="24"/>
        </w:rPr>
        <w:t> </w:t>
      </w:r>
      <w:r>
        <w:rPr>
          <w:sz w:val="24"/>
        </w:rPr>
        <w:t>was</w:t>
      </w:r>
      <w:r>
        <w:rPr>
          <w:spacing w:val="17"/>
          <w:sz w:val="24"/>
        </w:rPr>
        <w:t> </w:t>
      </w:r>
      <w:r>
        <w:rPr>
          <w:sz w:val="24"/>
        </w:rPr>
        <w:t>tapped</w:t>
      </w:r>
      <w:r>
        <w:rPr>
          <w:spacing w:val="16"/>
          <w:sz w:val="24"/>
        </w:rPr>
        <w:t> </w:t>
      </w:r>
      <w:r>
        <w:rPr>
          <w:sz w:val="24"/>
        </w:rPr>
        <w:t>on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hard</w:t>
      </w:r>
      <w:r>
        <w:rPr>
          <w:spacing w:val="17"/>
          <w:sz w:val="24"/>
        </w:rPr>
        <w:t> </w:t>
      </w:r>
      <w:r>
        <w:rPr>
          <w:sz w:val="24"/>
        </w:rPr>
        <w:t>surface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-72"/>
          <w:sz w:val="24"/>
        </w:rPr>
        <w:t> </w:t>
      </w:r>
      <w:r>
        <w:rPr>
          <w:sz w:val="24"/>
        </w:rPr>
        <w:t>constant volume (until no more settling of the material occured). The final constant volume</w:t>
      </w:r>
      <w:r>
        <w:rPr>
          <w:spacing w:val="-72"/>
          <w:sz w:val="24"/>
        </w:rPr>
        <w:t> </w:t>
      </w:r>
      <w:r>
        <w:rPr>
          <w:sz w:val="24"/>
        </w:rPr>
        <w:t>(V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)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was noted to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be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tapped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volume.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tabs>
          <w:tab w:pos="2637" w:val="left" w:leader="none"/>
          <w:tab w:pos="8399" w:val="left" w:leader="none"/>
        </w:tabs>
        <w:spacing w:line="482" w:lineRule="auto" w:before="75"/>
        <w:ind w:left="1198" w:right="2563"/>
      </w:pPr>
      <w:r>
        <w:rPr/>
        <w:t>The bulk and tapped densities D</w:t>
      </w:r>
      <w:r>
        <w:rPr>
          <w:vertAlign w:val="subscript"/>
        </w:rPr>
        <w:t>bulk</w:t>
      </w:r>
      <w:r>
        <w:rPr>
          <w:vertAlign w:val="baseline"/>
        </w:rPr>
        <w:t> and D</w:t>
      </w:r>
      <w:r>
        <w:rPr>
          <w:vertAlign w:val="subscript"/>
        </w:rPr>
        <w:t>tap</w:t>
      </w:r>
      <w:r>
        <w:rPr>
          <w:vertAlign w:val="baseline"/>
        </w:rPr>
        <w:t> were determined as follows;</w:t>
      </w:r>
      <w:r>
        <w:rPr>
          <w:spacing w:val="-72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bulk</w:t>
      </w:r>
      <w:r>
        <w:rPr>
          <w:spacing w:val="71"/>
          <w:vertAlign w:val="baseline"/>
        </w:rPr>
        <w:t> </w:t>
      </w:r>
      <w:r>
        <w:rPr>
          <w:vertAlign w:val="baseline"/>
        </w:rPr>
        <w:t>=</w:t>
        <w:tab/>
        <w:t>W/Vo</w:t>
        <w:tab/>
        <w:t>2.1</w:t>
      </w:r>
    </w:p>
    <w:p>
      <w:pPr>
        <w:pStyle w:val="BodyText"/>
        <w:tabs>
          <w:tab w:pos="1917" w:val="left" w:leader="none"/>
          <w:tab w:pos="2637" w:val="left" w:leader="none"/>
          <w:tab w:pos="8399" w:val="left" w:leader="none"/>
        </w:tabs>
        <w:spacing w:line="285" w:lineRule="exact"/>
        <w:ind w:left="1198"/>
      </w:pPr>
      <w:r>
        <w:rPr/>
        <w:t>D</w:t>
      </w:r>
      <w:r>
        <w:rPr>
          <w:vertAlign w:val="subscript"/>
        </w:rPr>
        <w:t>tap</w:t>
      </w:r>
      <w:r>
        <w:rPr>
          <w:vertAlign w:val="baseline"/>
        </w:rPr>
        <w:tab/>
        <w:t>=</w:t>
        <w:tab/>
        <w:t>W/V</w:t>
      </w:r>
      <w:r>
        <w:rPr>
          <w:vertAlign w:val="subscript"/>
        </w:rPr>
        <w:t>1</w:t>
      </w:r>
      <w:r>
        <w:rPr>
          <w:position w:val="-2"/>
          <w:vertAlign w:val="baseline"/>
        </w:rPr>
        <w:tab/>
      </w:r>
      <w:r>
        <w:rPr>
          <w:vertAlign w:val="baseline"/>
        </w:rPr>
        <w:t>2.2</w:t>
      </w:r>
    </w:p>
    <w:p>
      <w:pPr>
        <w:pStyle w:val="BodyText"/>
        <w:spacing w:line="480" w:lineRule="auto" w:before="291"/>
        <w:ind w:left="1198" w:right="578"/>
        <w:jc w:val="both"/>
      </w:pPr>
      <w:r>
        <w:rPr>
          <w:b/>
        </w:rPr>
        <w:t>True</w:t>
      </w:r>
      <w:r>
        <w:rPr>
          <w:b/>
          <w:spacing w:val="-4"/>
        </w:rPr>
        <w:t> </w:t>
      </w:r>
      <w:r>
        <w:rPr>
          <w:b/>
        </w:rPr>
        <w:t>density</w:t>
      </w:r>
      <w:r>
        <w:rPr/>
        <w:t>:  </w:t>
      </w:r>
      <w:r>
        <w:rPr>
          <w:spacing w:val="43"/>
        </w:rPr>
        <w:t> </w:t>
      </w:r>
      <w:r>
        <w:rPr/>
        <w:t>A</w:t>
      </w:r>
      <w:r>
        <w:rPr>
          <w:spacing w:val="40"/>
        </w:rPr>
        <w:t> </w:t>
      </w:r>
      <w:r>
        <w:rPr/>
        <w:t>portion</w:t>
      </w:r>
      <w:r>
        <w:rPr>
          <w:spacing w:val="40"/>
        </w:rPr>
        <w:t> </w:t>
      </w:r>
      <w:r>
        <w:rPr/>
        <w:t>(25g)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samples</w:t>
      </w:r>
      <w:r>
        <w:rPr>
          <w:spacing w:val="39"/>
        </w:rPr>
        <w:t> </w:t>
      </w:r>
      <w:r>
        <w:rPr/>
        <w:t>was</w:t>
      </w:r>
      <w:r>
        <w:rPr>
          <w:spacing w:val="41"/>
        </w:rPr>
        <w:t> </w:t>
      </w:r>
      <w:r>
        <w:rPr/>
        <w:t>accurately</w:t>
      </w:r>
      <w:r>
        <w:rPr>
          <w:spacing w:val="40"/>
        </w:rPr>
        <w:t> </w:t>
      </w:r>
      <w:r>
        <w:rPr/>
        <w:t>weighed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poured</w:t>
      </w:r>
      <w:r>
        <w:rPr>
          <w:spacing w:val="-73"/>
        </w:rPr>
        <w:t> </w:t>
      </w:r>
      <w:r>
        <w:rPr/>
        <w:t>into a 100ml graduated cylinder, and distilled water was carefully measured into the</w:t>
      </w:r>
      <w:r>
        <w:rPr>
          <w:spacing w:val="1"/>
        </w:rPr>
        <w:t> </w:t>
      </w:r>
      <w:r>
        <w:rPr/>
        <w:t>cylinder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 level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material.</w:t>
      </w:r>
      <w:r>
        <w:rPr>
          <w:spacing w:val="73"/>
        </w:rPr>
        <w:t> </w:t>
      </w:r>
      <w:r>
        <w:rPr/>
        <w:t>The true</w:t>
      </w:r>
      <w:r>
        <w:rPr>
          <w:spacing w:val="2"/>
        </w:rPr>
        <w:t> </w:t>
      </w:r>
      <w:r>
        <w:rPr/>
        <w:t>density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 as</w:t>
      </w:r>
      <w:r>
        <w:rPr>
          <w:spacing w:val="-2"/>
        </w:rPr>
        <w:t> </w:t>
      </w:r>
      <w:r>
        <w:rPr/>
        <w:t>follows;</w:t>
      </w:r>
    </w:p>
    <w:p>
      <w:pPr>
        <w:pStyle w:val="BodyText"/>
        <w:tabs>
          <w:tab w:pos="8399" w:val="left" w:leader="none"/>
        </w:tabs>
        <w:spacing w:line="289" w:lineRule="exact"/>
        <w:ind w:left="1198"/>
        <w:jc w:val="both"/>
      </w:pPr>
      <w:r>
        <w:rPr/>
        <w:t>True density</w:t>
      </w:r>
      <w:r>
        <w:rPr>
          <w:spacing w:val="46"/>
        </w:rPr>
        <w:t> </w:t>
      </w:r>
      <w:r>
        <w:rPr/>
        <w:t>=      </w:t>
      </w:r>
      <w:r>
        <w:rPr>
          <w:spacing w:val="17"/>
        </w:rPr>
        <w:t> </w:t>
      </w:r>
      <w:r>
        <w:rPr/>
        <w:t>W/V</w:t>
        <w:tab/>
        <w:t>2.3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1"/>
        <w:ind w:left="1198" w:right="575"/>
      </w:pPr>
      <w:r>
        <w:rPr/>
        <w:t>Where W is the weight of the sample and water and V is the volume of the sample</w:t>
      </w:r>
      <w:r>
        <w:rPr>
          <w:spacing w:val="1"/>
        </w:rPr>
        <w:t> </w:t>
      </w:r>
      <w:r>
        <w:rPr>
          <w:b/>
        </w:rPr>
        <w:t>Moisture</w:t>
      </w:r>
      <w:r>
        <w:rPr>
          <w:b/>
          <w:spacing w:val="65"/>
        </w:rPr>
        <w:t> </w:t>
      </w:r>
      <w:r>
        <w:rPr>
          <w:b/>
        </w:rPr>
        <w:t>Content</w:t>
      </w:r>
      <w:r>
        <w:rPr/>
        <w:t>:</w:t>
      </w:r>
      <w:r>
        <w:rPr>
          <w:spacing w:val="69"/>
        </w:rPr>
        <w:t> </w:t>
      </w:r>
      <w:r>
        <w:rPr/>
        <w:t>2g</w:t>
      </w:r>
      <w:r>
        <w:rPr>
          <w:spacing w:val="66"/>
        </w:rPr>
        <w:t> </w:t>
      </w:r>
      <w:r>
        <w:rPr/>
        <w:t>each</w:t>
      </w:r>
      <w:r>
        <w:rPr>
          <w:spacing w:val="69"/>
        </w:rPr>
        <w:t> </w:t>
      </w:r>
      <w:r>
        <w:rPr/>
        <w:t>of</w:t>
      </w:r>
      <w:r>
        <w:rPr>
          <w:spacing w:val="66"/>
        </w:rPr>
        <w:t> </w:t>
      </w:r>
      <w:r>
        <w:rPr/>
        <w:t>the</w:t>
      </w:r>
      <w:r>
        <w:rPr>
          <w:spacing w:val="68"/>
        </w:rPr>
        <w:t> </w:t>
      </w:r>
      <w:r>
        <w:rPr/>
        <w:t>sorbents</w:t>
      </w:r>
      <w:r>
        <w:rPr>
          <w:spacing w:val="68"/>
        </w:rPr>
        <w:t> </w:t>
      </w:r>
      <w:r>
        <w:rPr/>
        <w:t>was</w:t>
      </w:r>
      <w:r>
        <w:rPr>
          <w:spacing w:val="69"/>
        </w:rPr>
        <w:t> </w:t>
      </w:r>
      <w:r>
        <w:rPr/>
        <w:t>measured</w:t>
      </w:r>
      <w:r>
        <w:rPr>
          <w:spacing w:val="67"/>
        </w:rPr>
        <w:t> </w:t>
      </w:r>
      <w:r>
        <w:rPr/>
        <w:t>into</w:t>
      </w:r>
      <w:r>
        <w:rPr>
          <w:spacing w:val="65"/>
        </w:rPr>
        <w:t> </w:t>
      </w:r>
      <w:r>
        <w:rPr/>
        <w:t>a</w:t>
      </w:r>
      <w:r>
        <w:rPr>
          <w:spacing w:val="66"/>
        </w:rPr>
        <w:t> </w:t>
      </w:r>
      <w:r>
        <w:rPr/>
        <w:t>wash</w:t>
      </w:r>
      <w:r>
        <w:rPr>
          <w:spacing w:val="68"/>
        </w:rPr>
        <w:t> </w:t>
      </w:r>
      <w:r>
        <w:rPr/>
        <w:t>glass.</w:t>
      </w:r>
      <w:r>
        <w:rPr>
          <w:spacing w:val="66"/>
        </w:rPr>
        <w:t> </w:t>
      </w:r>
      <w:r>
        <w:rPr/>
        <w:t>The</w:t>
      </w:r>
      <w:r>
        <w:rPr>
          <w:spacing w:val="-72"/>
        </w:rPr>
        <w:t> </w:t>
      </w:r>
      <w:r>
        <w:rPr/>
        <w:t>samples</w:t>
      </w:r>
      <w:r>
        <w:rPr>
          <w:spacing w:val="33"/>
        </w:rPr>
        <w:t> </w:t>
      </w:r>
      <w:r>
        <w:rPr/>
        <w:t>were</w:t>
      </w:r>
      <w:r>
        <w:rPr>
          <w:spacing w:val="33"/>
        </w:rPr>
        <w:t> </w:t>
      </w:r>
      <w:r>
        <w:rPr/>
        <w:t>placed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oven</w:t>
      </w:r>
      <w:r>
        <w:rPr>
          <w:spacing w:val="33"/>
        </w:rPr>
        <w:t> </w:t>
      </w:r>
      <w:r>
        <w:rPr/>
        <w:t>for</w:t>
      </w:r>
      <w:r>
        <w:rPr>
          <w:spacing w:val="31"/>
        </w:rPr>
        <w:t> </w:t>
      </w:r>
      <w:r>
        <w:rPr/>
        <w:t>24</w:t>
      </w:r>
      <w:r>
        <w:rPr>
          <w:spacing w:val="33"/>
        </w:rPr>
        <w:t> </w:t>
      </w:r>
      <w:r>
        <w:rPr/>
        <w:t>hours</w:t>
      </w:r>
      <w:r>
        <w:rPr>
          <w:spacing w:val="32"/>
        </w:rPr>
        <w:t> </w:t>
      </w:r>
      <w:r>
        <w:rPr/>
        <w:t>at</w:t>
      </w:r>
      <w:r>
        <w:rPr>
          <w:spacing w:val="30"/>
        </w:rPr>
        <w:t> </w:t>
      </w:r>
      <w:r>
        <w:rPr/>
        <w:t>105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31"/>
          <w:vertAlign w:val="baseline"/>
        </w:rPr>
        <w:t> </w:t>
      </w:r>
      <w:r>
        <w:rPr>
          <w:vertAlign w:val="baseline"/>
        </w:rPr>
        <w:t>After</w:t>
      </w:r>
      <w:r>
        <w:rPr>
          <w:spacing w:val="32"/>
          <w:vertAlign w:val="baseline"/>
        </w:rPr>
        <w:t> </w:t>
      </w:r>
      <w:r>
        <w:rPr>
          <w:vertAlign w:val="baseline"/>
        </w:rPr>
        <w:t>24</w:t>
      </w:r>
      <w:r>
        <w:rPr>
          <w:spacing w:val="32"/>
          <w:vertAlign w:val="baseline"/>
        </w:rPr>
        <w:t> </w:t>
      </w:r>
      <w:r>
        <w:rPr>
          <w:vertAlign w:val="baseline"/>
        </w:rPr>
        <w:t>hours,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3"/>
          <w:vertAlign w:val="baseline"/>
        </w:rPr>
        <w:t> </w:t>
      </w:r>
      <w:r>
        <w:rPr>
          <w:vertAlign w:val="baseline"/>
        </w:rPr>
        <w:t>oven</w:t>
      </w:r>
      <w:r>
        <w:rPr>
          <w:spacing w:val="33"/>
          <w:vertAlign w:val="baseline"/>
        </w:rPr>
        <w:t> </w:t>
      </w:r>
      <w:r>
        <w:rPr>
          <w:vertAlign w:val="baseline"/>
        </w:rPr>
        <w:t>dried</w:t>
      </w:r>
      <w:r>
        <w:rPr>
          <w:spacing w:val="-72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reweighed</w:t>
      </w:r>
      <w:r>
        <w:rPr>
          <w:spacing w:val="-4"/>
          <w:vertAlign w:val="baseline"/>
        </w:rPr>
        <w:t> </w:t>
      </w:r>
      <w:r>
        <w:rPr>
          <w:vertAlign w:val="baseline"/>
        </w:rPr>
        <w:t>and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-3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-2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formula</w:t>
      </w:r>
    </w:p>
    <w:p>
      <w:pPr>
        <w:pStyle w:val="BodyText"/>
        <w:ind w:left="1198"/>
      </w:pPr>
      <w:r>
        <w:rPr/>
        <w:t>Mc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[(Wo-W</w:t>
      </w:r>
      <w:r>
        <w:rPr>
          <w:vertAlign w:val="subscript"/>
        </w:rPr>
        <w:t>1</w:t>
      </w:r>
      <w:r>
        <w:rPr>
          <w:vertAlign w:val="baseline"/>
        </w:rPr>
        <w:t>)/Wo]</w:t>
      </w:r>
      <w:r>
        <w:rPr>
          <w:spacing w:val="-2"/>
          <w:vertAlign w:val="baseline"/>
        </w:rPr>
        <w:t> </w:t>
      </w:r>
      <w:r>
        <w:rPr>
          <w:vertAlign w:val="baseline"/>
        </w:rPr>
        <w:t>x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</w:r>
    </w:p>
    <w:p>
      <w:pPr>
        <w:pStyle w:val="BodyText"/>
      </w:pPr>
    </w:p>
    <w:p>
      <w:pPr>
        <w:pStyle w:val="BodyText"/>
        <w:spacing w:line="480" w:lineRule="auto"/>
        <w:ind w:left="1198" w:right="579"/>
        <w:jc w:val="both"/>
      </w:pPr>
      <w:r>
        <w:rPr/>
        <w:t>where Mc is the moisture content; W</w:t>
      </w:r>
      <w:r>
        <w:rPr>
          <w:vertAlign w:val="subscript"/>
        </w:rPr>
        <w:t>1</w:t>
      </w:r>
      <w:r>
        <w:rPr>
          <w:vertAlign w:val="baseline"/>
        </w:rPr>
        <w:t> is the new weight after drying; Wo is the initial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dry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1"/>
          <w:vertAlign w:val="baseline"/>
        </w:rPr>
        <w:t> </w:t>
      </w:r>
      <w:r>
        <w:rPr>
          <w:vertAlign w:val="baseline"/>
        </w:rPr>
        <w:t>(ASTM,</w:t>
      </w:r>
      <w:r>
        <w:rPr>
          <w:spacing w:val="-1"/>
          <w:vertAlign w:val="baseline"/>
        </w:rPr>
        <w:t> </w:t>
      </w:r>
      <w:r>
        <w:rPr>
          <w:vertAlign w:val="baseline"/>
        </w:rPr>
        <w:t>1994).</w:t>
      </w:r>
    </w:p>
    <w:p>
      <w:pPr>
        <w:pStyle w:val="BodyText"/>
        <w:spacing w:line="480" w:lineRule="auto"/>
        <w:ind w:left="1198" w:right="575"/>
        <w:jc w:val="both"/>
      </w:pPr>
      <w:r>
        <w:rPr>
          <w:b/>
        </w:rPr>
        <w:t>Ash content</w:t>
      </w:r>
      <w:r>
        <w:rPr/>
        <w:t>: Ash content was determined using the methods employed by Dara, (1991) ;</w:t>
      </w:r>
      <w:r>
        <w:rPr>
          <w:spacing w:val="-72"/>
        </w:rPr>
        <w:t> </w:t>
      </w:r>
      <w:r>
        <w:rPr/>
        <w:t>Aloko and Adebayo, (1997). Dry samples (2g) were placed in a pre-weighed porcelain</w:t>
      </w:r>
      <w:r>
        <w:rPr>
          <w:spacing w:val="1"/>
        </w:rPr>
        <w:t> </w:t>
      </w:r>
      <w:r>
        <w:rPr/>
        <w:t>crucible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transferred</w:t>
      </w:r>
      <w:r>
        <w:rPr>
          <w:spacing w:val="8"/>
        </w:rPr>
        <w:t> </w:t>
      </w:r>
      <w:r>
        <w:rPr/>
        <w:t>into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preheated</w:t>
      </w:r>
      <w:r>
        <w:rPr>
          <w:spacing w:val="8"/>
        </w:rPr>
        <w:t> </w:t>
      </w:r>
      <w:r>
        <w:rPr/>
        <w:t>muffle</w:t>
      </w:r>
      <w:r>
        <w:rPr>
          <w:spacing w:val="9"/>
        </w:rPr>
        <w:t> </w:t>
      </w:r>
      <w:r>
        <w:rPr/>
        <w:t>furnace</w:t>
      </w:r>
      <w:r>
        <w:rPr>
          <w:spacing w:val="9"/>
        </w:rPr>
        <w:t> </w:t>
      </w:r>
      <w:r>
        <w:rPr/>
        <w:t>set</w:t>
      </w:r>
      <w:r>
        <w:rPr>
          <w:spacing w:val="8"/>
        </w:rPr>
        <w:t> </w:t>
      </w:r>
      <w:r>
        <w:rPr/>
        <w:t>at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temperature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600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6"/>
          <w:vertAlign w:val="baseline"/>
        </w:rPr>
        <w:t> </w:t>
      </w:r>
      <w:r>
        <w:rPr>
          <w:vertAlign w:val="baseline"/>
        </w:rPr>
        <w:t>for</w:t>
      </w:r>
    </w:p>
    <w:p>
      <w:pPr>
        <w:pStyle w:val="BodyText"/>
        <w:spacing w:line="480" w:lineRule="auto"/>
        <w:ind w:left="1198" w:right="576"/>
        <w:jc w:val="both"/>
      </w:pPr>
      <w:r>
        <w:rPr/>
        <w:t>1</w:t>
      </w:r>
      <w:r>
        <w:rPr>
          <w:spacing w:val="1"/>
        </w:rPr>
        <w:t> </w:t>
      </w:r>
      <w:r>
        <w:rPr/>
        <w:t>hour after which the</w:t>
      </w:r>
      <w:r>
        <w:rPr>
          <w:spacing w:val="1"/>
        </w:rPr>
        <w:t> </w:t>
      </w:r>
      <w:r>
        <w:rPr/>
        <w:t>crucible</w:t>
      </w:r>
      <w:r>
        <w:rPr>
          <w:spacing w:val="1"/>
        </w:rPr>
        <w:t> </w:t>
      </w:r>
      <w:r>
        <w:rPr/>
        <w:t>and its</w:t>
      </w:r>
      <w:r>
        <w:rPr>
          <w:spacing w:val="1"/>
        </w:rPr>
        <w:t> </w:t>
      </w:r>
      <w:r>
        <w:rPr/>
        <w:t>content were</w:t>
      </w:r>
      <w:r>
        <w:rPr>
          <w:spacing w:val="1"/>
        </w:rPr>
        <w:t> </w:t>
      </w:r>
      <w:r>
        <w:rPr/>
        <w:t>transferred to</w:t>
      </w:r>
      <w:r>
        <w:rPr>
          <w:spacing w:val="75"/>
        </w:rPr>
        <w:t> </w:t>
      </w:r>
      <w:r>
        <w:rPr/>
        <w:t>a</w:t>
      </w:r>
      <w:r>
        <w:rPr>
          <w:spacing w:val="75"/>
        </w:rPr>
        <w:t> </w:t>
      </w:r>
      <w:r>
        <w:rPr/>
        <w:t>desiccator and</w:t>
      </w:r>
      <w:r>
        <w:rPr>
          <w:spacing w:val="1"/>
        </w:rPr>
        <w:t> </w:t>
      </w:r>
      <w:r>
        <w:rPr/>
        <w:t>allowed to cool. The crucible and its content were reweighed and the new weight noted.</w:t>
      </w:r>
      <w:r>
        <w:rPr>
          <w:spacing w:val="1"/>
        </w:rPr>
        <w:t> </w:t>
      </w:r>
      <w:r>
        <w:rPr/>
        <w:t>The percentage</w:t>
      </w:r>
      <w:r>
        <w:rPr>
          <w:spacing w:val="-1"/>
        </w:rPr>
        <w:t> </w:t>
      </w:r>
      <w:r>
        <w:rPr/>
        <w:t>ash content</w:t>
      </w:r>
      <w:r>
        <w:rPr>
          <w:spacing w:val="-2"/>
        </w:rPr>
        <w:t> </w:t>
      </w:r>
      <w:r>
        <w:rPr/>
        <w:t>was calculated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 formula</w:t>
      </w:r>
    </w:p>
    <w:p>
      <w:pPr>
        <w:pStyle w:val="BodyText"/>
        <w:tabs>
          <w:tab w:pos="9119" w:val="left" w:leader="none"/>
        </w:tabs>
        <w:spacing w:before="2"/>
        <w:ind w:left="1198"/>
      </w:pPr>
      <w:r>
        <w:rPr/>
        <w:t>Ac</w:t>
      </w:r>
      <w:r>
        <w:rPr>
          <w:spacing w:val="-2"/>
        </w:rPr>
        <w:t> </w:t>
      </w:r>
      <w:r>
        <w:rPr/>
        <w:t>(%)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(Wa/Wo)</w:t>
      </w:r>
      <w:r>
        <w:rPr>
          <w:spacing w:val="-2"/>
        </w:rPr>
        <w:t> </w:t>
      </w:r>
      <w:r>
        <w:rPr/>
        <w:t>x 100</w:t>
        <w:tab/>
        <w:t>2.4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98" w:right="575"/>
      </w:pPr>
      <w:r>
        <w:rPr/>
        <w:t>where</w:t>
      </w:r>
      <w:r>
        <w:rPr>
          <w:spacing w:val="2"/>
        </w:rPr>
        <w:t> </w:t>
      </w:r>
      <w:r>
        <w:rPr/>
        <w:t>Ac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ash</w:t>
      </w:r>
      <w:r>
        <w:rPr>
          <w:spacing w:val="2"/>
        </w:rPr>
        <w:t> </w:t>
      </w:r>
      <w:r>
        <w:rPr/>
        <w:t>content in</w:t>
      </w:r>
      <w:r>
        <w:rPr>
          <w:spacing w:val="2"/>
        </w:rPr>
        <w:t> </w:t>
      </w:r>
      <w:r>
        <w:rPr/>
        <w:t>percentage;</w:t>
      </w:r>
      <w:r>
        <w:rPr>
          <w:spacing w:val="-2"/>
        </w:rPr>
        <w:t> </w:t>
      </w:r>
      <w:r>
        <w:rPr/>
        <w:t>Wa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weight of</w:t>
      </w:r>
      <w:r>
        <w:rPr>
          <w:spacing w:val="1"/>
        </w:rPr>
        <w:t> </w:t>
      </w:r>
      <w:r>
        <w:rPr/>
        <w:t>ash</w:t>
      </w:r>
      <w:r>
        <w:rPr>
          <w:spacing w:val="2"/>
        </w:rPr>
        <w:t> </w:t>
      </w:r>
      <w:r>
        <w:rPr/>
        <w:t>after</w:t>
      </w:r>
      <w:r>
        <w:rPr>
          <w:spacing w:val="2"/>
        </w:rPr>
        <w:t> </w:t>
      </w:r>
      <w:r>
        <w:rPr/>
        <w:t>cooling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</w:t>
      </w:r>
      <w:r>
        <w:rPr>
          <w:spacing w:val="1"/>
        </w:rPr>
        <w:t> </w:t>
      </w:r>
      <w:r>
        <w:rPr/>
        <w:t>is</w:t>
      </w:r>
      <w:r>
        <w:rPr>
          <w:spacing w:val="-72"/>
        </w:rPr>
        <w:t> </w:t>
      </w:r>
      <w:r>
        <w:rPr/>
        <w:t>the original weight of</w:t>
      </w:r>
      <w:r>
        <w:rPr>
          <w:spacing w:val="1"/>
        </w:rPr>
        <w:t> </w:t>
      </w:r>
      <w:r>
        <w:rPr/>
        <w:t>dry</w:t>
      </w:r>
      <w:r>
        <w:rPr>
          <w:spacing w:val="-1"/>
        </w:rPr>
        <w:t> </w:t>
      </w:r>
      <w:r>
        <w:rPr/>
        <w:t>sorbent.</w:t>
      </w:r>
    </w:p>
    <w:p>
      <w:pPr>
        <w:pStyle w:val="BodyText"/>
        <w:spacing w:before="1"/>
        <w:ind w:left="1198"/>
      </w:pPr>
      <w:r>
        <w:rPr>
          <w:b/>
        </w:rPr>
        <w:t>Porosity</w:t>
      </w:r>
      <w:r>
        <w:rPr/>
        <w:t>: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porosity 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materials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calculated</w:t>
      </w:r>
      <w:r>
        <w:rPr>
          <w:spacing w:val="-5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formula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porosity.</w:t>
      </w:r>
    </w:p>
    <w:p>
      <w:pPr>
        <w:spacing w:after="0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tabs>
          <w:tab w:pos="9454" w:val="right" w:leader="none"/>
        </w:tabs>
        <w:spacing w:before="75"/>
        <w:ind w:left="1198"/>
        <w:jc w:val="both"/>
      </w:pPr>
      <w:r>
        <w:rPr/>
        <w:t>Porosity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1-(BD/TD)</w:t>
        <w:tab/>
        <w:t>2.5</w:t>
      </w:r>
    </w:p>
    <w:p>
      <w:pPr>
        <w:pStyle w:val="BodyText"/>
        <w:spacing w:before="1"/>
      </w:pPr>
    </w:p>
    <w:p>
      <w:pPr>
        <w:pStyle w:val="BodyText"/>
        <w:spacing w:before="1"/>
        <w:ind w:left="1198"/>
        <w:jc w:val="both"/>
      </w:pPr>
      <w:r>
        <w:rPr/>
        <w:t>where</w:t>
      </w:r>
      <w:r>
        <w:rPr>
          <w:spacing w:val="-2"/>
        </w:rPr>
        <w:t> </w:t>
      </w:r>
      <w:r>
        <w:rPr/>
        <w:t>BD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 bulk density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TD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true density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3"/>
        <w:spacing w:before="193"/>
        <w:jc w:val="both"/>
      </w:pPr>
      <w:r>
        <w:rPr>
          <w:spacing w:val="-1"/>
        </w:rPr>
        <w:t>2.1.4.</w:t>
      </w:r>
      <w:r>
        <w:rPr>
          <w:spacing w:val="-34"/>
        </w:rPr>
        <w:t> </w:t>
      </w:r>
      <w:r>
        <w:rPr>
          <w:spacing w:val="-1"/>
        </w:rPr>
        <w:t>Characterization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98" w:right="576"/>
        <w:jc w:val="both"/>
      </w:pPr>
      <w:r>
        <w:rPr>
          <w:b/>
        </w:rPr>
        <w:t>Viscosity</w:t>
      </w:r>
      <w:r>
        <w:rPr/>
        <w:t>: The viscosity of the oil samples was obtained using an NDJ-85 Digital rotary</w:t>
      </w:r>
      <w:r>
        <w:rPr>
          <w:spacing w:val="1"/>
        </w:rPr>
        <w:t> </w:t>
      </w:r>
      <w:r>
        <w:rPr/>
        <w:t>viscometer at 27</w:t>
      </w:r>
      <w:r>
        <w:rPr>
          <w:vertAlign w:val="superscript"/>
        </w:rPr>
        <w:t>o</w:t>
      </w:r>
      <w:r>
        <w:rPr>
          <w:vertAlign w:val="baseline"/>
        </w:rPr>
        <w:t>C. The samples were pre-warmed and placed in the sample chamber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apparatus. The samples were brought to room temperature within 30 minutes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motor</w:t>
      </w:r>
      <w:r>
        <w:rPr>
          <w:spacing w:val="14"/>
          <w:vertAlign w:val="baseline"/>
        </w:rPr>
        <w:t> </w:t>
      </w:r>
      <w:r>
        <w:rPr>
          <w:vertAlign w:val="baseline"/>
        </w:rPr>
        <w:t>started.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viscosity</w:t>
      </w:r>
      <w:r>
        <w:rPr>
          <w:spacing w:val="15"/>
          <w:vertAlign w:val="baseline"/>
        </w:rPr>
        <w:t> </w:t>
      </w:r>
      <w:r>
        <w:rPr>
          <w:vertAlign w:val="baseline"/>
        </w:rPr>
        <w:t>was</w:t>
      </w:r>
      <w:r>
        <w:rPr>
          <w:spacing w:val="16"/>
          <w:vertAlign w:val="baseline"/>
        </w:rPr>
        <w:t> </w:t>
      </w:r>
      <w:r>
        <w:rPr>
          <w:vertAlign w:val="baseline"/>
        </w:rPr>
        <w:t>automatically</w:t>
      </w:r>
      <w:r>
        <w:rPr>
          <w:spacing w:val="16"/>
          <w:vertAlign w:val="baseline"/>
        </w:rPr>
        <w:t> </w:t>
      </w:r>
      <w:r>
        <w:rPr>
          <w:vertAlign w:val="baseline"/>
        </w:rPr>
        <w:t>measured</w:t>
      </w:r>
      <w:r>
        <w:rPr>
          <w:spacing w:val="14"/>
          <w:vertAlign w:val="baseline"/>
        </w:rPr>
        <w:t> </w:t>
      </w:r>
      <w:r>
        <w:rPr>
          <w:vertAlign w:val="baseline"/>
        </w:rPr>
        <w:t>at</w:t>
      </w:r>
      <w:r>
        <w:rPr>
          <w:spacing w:val="14"/>
          <w:vertAlign w:val="baseline"/>
        </w:rPr>
        <w:t> </w:t>
      </w:r>
      <w:r>
        <w:rPr>
          <w:vertAlign w:val="baseline"/>
        </w:rPr>
        <w:t>1</w:t>
      </w:r>
      <w:r>
        <w:rPr>
          <w:spacing w:val="17"/>
          <w:vertAlign w:val="baseline"/>
        </w:rPr>
        <w:t> </w:t>
      </w:r>
      <w:r>
        <w:rPr>
          <w:vertAlign w:val="baseline"/>
        </w:rPr>
        <w:t>minute</w:t>
      </w:r>
      <w:r>
        <w:rPr>
          <w:spacing w:val="16"/>
          <w:vertAlign w:val="baseline"/>
        </w:rPr>
        <w:t> </w:t>
      </w:r>
      <w:r>
        <w:rPr>
          <w:vertAlign w:val="baseline"/>
        </w:rPr>
        <w:t>intervals.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mean</w:t>
      </w:r>
      <w:r>
        <w:rPr>
          <w:spacing w:val="-7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viscosity</w:t>
      </w:r>
      <w:r>
        <w:rPr>
          <w:spacing w:val="-2"/>
          <w:vertAlign w:val="baseline"/>
        </w:rPr>
        <w:t> </w:t>
      </w:r>
      <w:r>
        <w:rPr>
          <w:vertAlign w:val="baseline"/>
        </w:rPr>
        <w:t>was calculated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recorded.</w:t>
      </w:r>
    </w:p>
    <w:p>
      <w:pPr>
        <w:pStyle w:val="BodyText"/>
        <w:tabs>
          <w:tab w:pos="9119" w:val="left" w:leader="none"/>
        </w:tabs>
        <w:spacing w:line="480" w:lineRule="auto" w:before="1"/>
        <w:ind w:left="1198" w:right="575"/>
        <w:jc w:val="both"/>
      </w:pPr>
      <w:r>
        <w:rPr>
          <w:b/>
        </w:rPr>
        <w:t>Density</w:t>
      </w:r>
      <w:r>
        <w:rPr/>
        <w:t>: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density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oil</w:t>
      </w:r>
      <w:r>
        <w:rPr>
          <w:spacing w:val="23"/>
        </w:rPr>
        <w:t> </w:t>
      </w:r>
      <w:r>
        <w:rPr/>
        <w:t>samples</w:t>
      </w:r>
      <w:r>
        <w:rPr>
          <w:spacing w:val="25"/>
        </w:rPr>
        <w:t> </w:t>
      </w:r>
      <w:r>
        <w:rPr/>
        <w:t>was</w:t>
      </w:r>
      <w:r>
        <w:rPr>
          <w:spacing w:val="27"/>
        </w:rPr>
        <w:t> </w:t>
      </w:r>
      <w:r>
        <w:rPr/>
        <w:t>obtained</w:t>
      </w:r>
      <w:r>
        <w:rPr>
          <w:spacing w:val="25"/>
        </w:rPr>
        <w:t> </w:t>
      </w:r>
      <w:r>
        <w:rPr/>
        <w:t>using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methods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(Hassan,</w:t>
      </w:r>
      <w:r>
        <w:rPr>
          <w:spacing w:val="23"/>
        </w:rPr>
        <w:t> </w:t>
      </w:r>
      <w:r>
        <w:rPr/>
        <w:t>et</w:t>
      </w:r>
      <w:r>
        <w:rPr>
          <w:spacing w:val="-73"/>
        </w:rPr>
        <w:t> </w:t>
      </w:r>
      <w:r>
        <w:rPr/>
        <w:t>al., 2006) with a specific gravity bottle. The bottle was filled with the oil and weighed at</w:t>
      </w:r>
      <w:r>
        <w:rPr>
          <w:spacing w:val="1"/>
        </w:rPr>
        <w:t> </w:t>
      </w:r>
      <w:r>
        <w:rPr/>
        <w:t>30oC in a thermostated water bath. The density of the oil was calculated using the formula</w:t>
      </w:r>
      <w:r>
        <w:rPr>
          <w:spacing w:val="-72"/>
        </w:rPr>
        <w:t> </w:t>
      </w:r>
      <w:r>
        <w:rPr/>
        <w:t>ρ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(Ms-Mb)/Vb</w:t>
        <w:tab/>
        <w:t>2.6</w:t>
      </w:r>
    </w:p>
    <w:p>
      <w:pPr>
        <w:pStyle w:val="BodyText"/>
        <w:spacing w:before="1"/>
        <w:ind w:left="1198"/>
        <w:jc w:val="both"/>
      </w:pPr>
      <w:r>
        <w:rPr/>
        <w:t>where</w:t>
      </w:r>
      <w:r>
        <w:rPr>
          <w:spacing w:val="-2"/>
        </w:rPr>
        <w:t> </w:t>
      </w:r>
      <w:r>
        <w:rPr/>
        <w:t>Ms-Mb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mass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used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Vb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volume of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used.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98" w:right="578"/>
        <w:jc w:val="both"/>
      </w:pPr>
      <w:r>
        <w:rPr>
          <w:b/>
        </w:rPr>
        <w:t>Specific gravity</w:t>
      </w:r>
      <w:r>
        <w:rPr/>
        <w:t>: The specific gravity (s.g) of the oil samples was calculated using the</w:t>
      </w:r>
      <w:r>
        <w:rPr>
          <w:spacing w:val="1"/>
        </w:rPr>
        <w:t> </w:t>
      </w:r>
      <w:r>
        <w:rPr/>
        <w:t>results obtained for density. The specific gravity being a more standard measurement was</w:t>
      </w:r>
      <w:r>
        <w:rPr>
          <w:spacing w:val="1"/>
        </w:rPr>
        <w:t> </w:t>
      </w:r>
      <w:r>
        <w:rPr/>
        <w:t>obtained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multiplying</w:t>
      </w:r>
      <w:r>
        <w:rPr>
          <w:spacing w:val="-2"/>
        </w:rPr>
        <w:t> </w:t>
      </w:r>
      <w:r>
        <w:rPr/>
        <w:t>the density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with the density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0.998g/dm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spacing w:line="482" w:lineRule="auto" w:before="0"/>
        <w:ind w:left="1198" w:right="575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American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Petroleum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Institute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(API)-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Gravity</w:t>
      </w:r>
      <w:r>
        <w:rPr>
          <w:sz w:val="24"/>
        </w:rPr>
        <w:t>: This was obtained using the</w:t>
      </w:r>
      <w:r>
        <w:rPr>
          <w:spacing w:val="1"/>
          <w:sz w:val="24"/>
        </w:rPr>
        <w:t> </w:t>
      </w:r>
      <w:r>
        <w:rPr>
          <w:sz w:val="24"/>
        </w:rPr>
        <w:t>formula</w:t>
      </w:r>
      <w:r>
        <w:rPr>
          <w:spacing w:val="-2"/>
          <w:sz w:val="24"/>
        </w:rPr>
        <w:t> </w:t>
      </w:r>
      <w:r>
        <w:rPr>
          <w:sz w:val="24"/>
        </w:rPr>
        <w:t>API</w:t>
      </w:r>
      <w:r>
        <w:rPr>
          <w:spacing w:val="-2"/>
          <w:sz w:val="24"/>
        </w:rPr>
        <w:t> </w:t>
      </w:r>
      <w:r>
        <w:rPr>
          <w:sz w:val="24"/>
        </w:rPr>
        <w:t>gravity given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(Nwankwere,</w:t>
      </w:r>
      <w:r>
        <w:rPr>
          <w:spacing w:val="-1"/>
          <w:sz w:val="24"/>
        </w:rPr>
        <w:t> </w:t>
      </w:r>
      <w:r>
        <w:rPr>
          <w:sz w:val="24"/>
        </w:rPr>
        <w:t>2010)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expressed</w:t>
      </w:r>
      <w:r>
        <w:rPr>
          <w:spacing w:val="-3"/>
          <w:sz w:val="24"/>
        </w:rPr>
        <w:t> </w:t>
      </w:r>
      <w:r>
        <w:rPr>
          <w:sz w:val="24"/>
        </w:rPr>
        <w:t>thus:</w:t>
      </w:r>
    </w:p>
    <w:p>
      <w:pPr>
        <w:pStyle w:val="BodyText"/>
        <w:tabs>
          <w:tab w:pos="9119" w:val="left" w:leader="none"/>
        </w:tabs>
        <w:spacing w:line="285" w:lineRule="exact"/>
        <w:ind w:left="1198"/>
        <w:jc w:val="both"/>
      </w:pPr>
      <w:r>
        <w:rPr/>
        <w:t>API</w:t>
      </w:r>
      <w:r>
        <w:rPr>
          <w:vertAlign w:val="subscript"/>
        </w:rPr>
        <w:t>o</w:t>
      </w:r>
      <w:r>
        <w:rPr>
          <w:spacing w:val="-5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(141.5/S.g)-131.5</w:t>
        <w:tab/>
        <w:t>2.7</w:t>
      </w:r>
    </w:p>
    <w:p>
      <w:pPr>
        <w:pStyle w:val="BodyText"/>
        <w:spacing w:before="1"/>
      </w:pPr>
    </w:p>
    <w:p>
      <w:pPr>
        <w:pStyle w:val="BodyText"/>
        <w:ind w:left="1198"/>
        <w:jc w:val="both"/>
      </w:pPr>
      <w:r>
        <w:rPr/>
        <w:t>Where</w:t>
      </w:r>
      <w:r>
        <w:rPr>
          <w:spacing w:val="-3"/>
        </w:rPr>
        <w:t> </w:t>
      </w:r>
      <w:r>
        <w:rPr/>
        <w:t>s.g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gravity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employed.</w:t>
      </w:r>
    </w:p>
    <w:p>
      <w:pPr>
        <w:spacing w:after="0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numPr>
          <w:ilvl w:val="2"/>
          <w:numId w:val="6"/>
        </w:numPr>
        <w:tabs>
          <w:tab w:pos="1918" w:val="left" w:leader="none"/>
        </w:tabs>
        <w:spacing w:line="240" w:lineRule="auto" w:before="75" w:after="0"/>
        <w:ind w:left="1918" w:right="0" w:hanging="720"/>
        <w:jc w:val="both"/>
      </w:pPr>
      <w:r>
        <w:rPr/>
        <w:t>Soxhlet</w:t>
      </w:r>
      <w:r>
        <w:rPr>
          <w:spacing w:val="-5"/>
        </w:rPr>
        <w:t> </w:t>
      </w:r>
      <w:r>
        <w:rPr/>
        <w:t>Extraction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1198" w:right="577" w:firstLine="719"/>
        <w:jc w:val="both"/>
      </w:pPr>
      <w:r>
        <w:rPr/>
        <w:t>To reduce the influence of the fibre extractives (oil, wax and fat) on acetylation, 10g</w:t>
      </w:r>
      <w:r>
        <w:rPr>
          <w:spacing w:val="-72"/>
        </w:rPr>
        <w:t> </w:t>
      </w:r>
      <w:r>
        <w:rPr/>
        <w:t>of the sieved materials was extracted with a mixture of acetone and n-hexane (4:1 v/v) for</w:t>
      </w:r>
      <w:r>
        <w:rPr>
          <w:spacing w:val="-72"/>
        </w:rPr>
        <w:t> </w:t>
      </w:r>
      <w:r>
        <w:rPr/>
        <w:t>5hours.</w:t>
      </w:r>
      <w:r>
        <w:rPr>
          <w:spacing w:val="-2"/>
        </w:rPr>
        <w:t> </w:t>
      </w:r>
      <w:r>
        <w:rPr/>
        <w:t>The extracted samples were</w:t>
      </w:r>
      <w:r>
        <w:rPr>
          <w:spacing w:val="-1"/>
        </w:rPr>
        <w:t> </w:t>
      </w:r>
      <w:r>
        <w:rPr/>
        <w:t>dried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laboratory</w:t>
      </w:r>
      <w:r>
        <w:rPr>
          <w:spacing w:val="-2"/>
        </w:rPr>
        <w:t> </w:t>
      </w:r>
      <w:r>
        <w:rPr/>
        <w:t>oven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16hours.</w:t>
      </w:r>
    </w:p>
    <w:p>
      <w:pPr>
        <w:pStyle w:val="Heading3"/>
        <w:numPr>
          <w:ilvl w:val="2"/>
          <w:numId w:val="6"/>
        </w:numPr>
        <w:tabs>
          <w:tab w:pos="1878" w:val="left" w:leader="none"/>
        </w:tabs>
        <w:spacing w:line="289" w:lineRule="exact" w:before="0" w:after="0"/>
        <w:ind w:left="1877" w:right="0" w:hanging="680"/>
        <w:jc w:val="both"/>
      </w:pPr>
      <w:r>
        <w:rPr/>
        <w:t>Acetylation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samples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7" w:lineRule="auto"/>
        <w:ind w:left="1198" w:right="578" w:firstLine="719"/>
        <w:jc w:val="both"/>
      </w:pPr>
      <w:r>
        <w:rPr/>
        <w:t>The acetylation of the corn cob and mango kernel under mild conditions, in the</w:t>
      </w:r>
      <w:r>
        <w:rPr>
          <w:spacing w:val="1"/>
        </w:rPr>
        <w:t> </w:t>
      </w:r>
      <w:r>
        <w:rPr/>
        <w:t>presence of NBS, using acetic anhydride was carried out using the method of Sun </w:t>
      </w:r>
      <w:r>
        <w:rPr>
          <w:sz w:val="25"/>
        </w:rPr>
        <w:t>et al.</w:t>
      </w:r>
      <w:r>
        <w:rPr/>
        <w:t>,</w:t>
      </w:r>
      <w:r>
        <w:rPr>
          <w:spacing w:val="1"/>
        </w:rPr>
        <w:t> </w:t>
      </w:r>
      <w:r>
        <w:rPr/>
        <w:t>(2004). The amount of substrate and reactant were combined in a ratio of 1:20 (g dried</w:t>
      </w:r>
      <w:r>
        <w:rPr>
          <w:spacing w:val="1"/>
        </w:rPr>
        <w:t> </w:t>
      </w:r>
      <w:r>
        <w:rPr/>
        <w:t>sorbent/ mL acetic</w:t>
      </w:r>
      <w:r>
        <w:rPr>
          <w:spacing w:val="75"/>
        </w:rPr>
        <w:t> </w:t>
      </w:r>
      <w:r>
        <w:rPr/>
        <w:t>anhydride). The reaction temperature, time and amount of catalyst</w:t>
      </w:r>
      <w:r>
        <w:rPr>
          <w:spacing w:val="1"/>
        </w:rPr>
        <w:t> </w:t>
      </w:r>
      <w:r>
        <w:rPr/>
        <w:t>were 30</w:t>
      </w:r>
      <w:r>
        <w:rPr>
          <w:vertAlign w:val="superscript"/>
        </w:rPr>
        <w:t>o</w:t>
      </w:r>
      <w:r>
        <w:rPr>
          <w:vertAlign w:val="baseline"/>
        </w:rPr>
        <w:t>C-130</w:t>
      </w:r>
      <w:r>
        <w:rPr>
          <w:vertAlign w:val="superscript"/>
        </w:rPr>
        <w:t>o</w:t>
      </w:r>
      <w:r>
        <w:rPr>
          <w:vertAlign w:val="baseline"/>
        </w:rPr>
        <w:t>C, 1-3hrs and 0-4% respectively. The mixture of raw sorbents, acetic</w:t>
      </w:r>
      <w:r>
        <w:rPr>
          <w:spacing w:val="1"/>
          <w:vertAlign w:val="baseline"/>
        </w:rPr>
        <w:t> </w:t>
      </w:r>
      <w:r>
        <w:rPr>
          <w:vertAlign w:val="baseline"/>
        </w:rPr>
        <w:t>anhydride and catalyst was placed in a round bottom flask fitted to a condenser. The flask</w:t>
      </w:r>
      <w:r>
        <w:rPr>
          <w:spacing w:val="1"/>
          <w:vertAlign w:val="baseline"/>
        </w:rPr>
        <w:t> </w:t>
      </w:r>
      <w:r>
        <w:rPr>
          <w:vertAlign w:val="baseline"/>
        </w:rPr>
        <w:t>was placed in an oil bath on top of a thermostatic heating device, thereafter, the flask was</w:t>
      </w:r>
      <w:r>
        <w:rPr>
          <w:spacing w:val="1"/>
          <w:vertAlign w:val="baseline"/>
        </w:rPr>
        <w:t> </w:t>
      </w:r>
      <w:r>
        <w:rPr>
          <w:vertAlign w:val="baseline"/>
        </w:rPr>
        <w:t>removed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bath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hot</w:t>
      </w:r>
      <w:r>
        <w:rPr>
          <w:spacing w:val="1"/>
          <w:vertAlign w:val="baseline"/>
        </w:rPr>
        <w:t> </w:t>
      </w:r>
      <w:r>
        <w:rPr>
          <w:vertAlign w:val="baseline"/>
        </w:rPr>
        <w:t>reagent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decanted</w:t>
      </w:r>
      <w:r>
        <w:rPr>
          <w:spacing w:val="1"/>
          <w:vertAlign w:val="baseline"/>
        </w:rPr>
        <w:t> </w:t>
      </w:r>
      <w:r>
        <w:rPr>
          <w:vertAlign w:val="baseline"/>
        </w:rPr>
        <w:t>off.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sorbents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thoroughly washed with ethanol and acetone to remove unreacted acetic anhydride and</w:t>
      </w:r>
      <w:r>
        <w:rPr>
          <w:spacing w:val="1"/>
          <w:vertAlign w:val="baseline"/>
        </w:rPr>
        <w:t> </w:t>
      </w:r>
      <w:r>
        <w:rPr>
          <w:vertAlign w:val="baseline"/>
        </w:rPr>
        <w:t>acetic acid as by-products. The new products were dried in an oven at 60</w:t>
      </w:r>
      <w:r>
        <w:rPr>
          <w:vertAlign w:val="superscript"/>
        </w:rPr>
        <w:t>o</w:t>
      </w:r>
      <w:r>
        <w:rPr>
          <w:vertAlign w:val="baseline"/>
        </w:rPr>
        <w:t>C for 16hours</w:t>
      </w:r>
      <w:r>
        <w:rPr>
          <w:spacing w:val="1"/>
          <w:vertAlign w:val="baseline"/>
        </w:rPr>
        <w:t> </w:t>
      </w:r>
      <w:r>
        <w:rPr>
          <w:vertAlign w:val="baseline"/>
        </w:rPr>
        <w:t>prior to analysis. The degree of acetylation was estimated from the infrared spectra by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calculating the ratio (R) between the intensity of the acetyl C=O stretching band around</w:t>
      </w:r>
      <w:r>
        <w:rPr>
          <w:spacing w:val="1"/>
          <w:vertAlign w:val="baseline"/>
        </w:rPr>
        <w:t> </w:t>
      </w:r>
      <w:r>
        <w:rPr>
          <w:vertAlign w:val="baseline"/>
        </w:rPr>
        <w:t>1740-1745 cm</w:t>
      </w:r>
      <w:r>
        <w:rPr>
          <w:vertAlign w:val="superscript"/>
        </w:rPr>
        <w:t>-1</w:t>
      </w:r>
      <w:r>
        <w:rPr>
          <w:vertAlign w:val="baseline"/>
        </w:rPr>
        <w:t> and the intensity of the C-O stretching vibrations of cellulose backbone at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1020-1040 cm</w:t>
      </w:r>
      <w:r>
        <w:rPr>
          <w:vertAlign w:val="superscript"/>
        </w:rPr>
        <w:t>-1</w:t>
      </w:r>
      <w:r>
        <w:rPr>
          <w:spacing w:val="-3"/>
          <w:vertAlign w:val="baseline"/>
        </w:rPr>
        <w:t> </w:t>
      </w:r>
      <w:r>
        <w:rPr>
          <w:vertAlign w:val="baseline"/>
        </w:rPr>
        <w:t>as shown</w:t>
      </w:r>
      <w:r>
        <w:rPr>
          <w:spacing w:val="-1"/>
          <w:vertAlign w:val="baseline"/>
        </w:rPr>
        <w:t> </w:t>
      </w:r>
      <w:r>
        <w:rPr>
          <w:vertAlign w:val="baseline"/>
        </w:rPr>
        <w:t>below</w:t>
      </w:r>
      <w:r>
        <w:rPr>
          <w:spacing w:val="-3"/>
          <w:vertAlign w:val="baseline"/>
        </w:rPr>
        <w:t> </w:t>
      </w:r>
      <w:r>
        <w:rPr>
          <w:vertAlign w:val="baseline"/>
        </w:rPr>
        <w:t>(Adebajo and</w:t>
      </w:r>
      <w:r>
        <w:rPr>
          <w:spacing w:val="-1"/>
          <w:vertAlign w:val="baseline"/>
        </w:rPr>
        <w:t> </w:t>
      </w:r>
      <w:r>
        <w:rPr>
          <w:vertAlign w:val="baseline"/>
        </w:rPr>
        <w:t>Frost,</w:t>
      </w:r>
      <w:r>
        <w:rPr>
          <w:spacing w:val="-3"/>
          <w:vertAlign w:val="baseline"/>
        </w:rPr>
        <w:t> </w:t>
      </w:r>
      <w:r>
        <w:rPr>
          <w:vertAlign w:val="baseline"/>
        </w:rPr>
        <w:t>2004):</w:t>
      </w:r>
    </w:p>
    <w:p>
      <w:pPr>
        <w:spacing w:after="0" w:line="477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spacing w:line="168" w:lineRule="auto" w:before="77"/>
        <w:ind w:left="0" w:right="38" w:firstLine="0"/>
        <w:jc w:val="righ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24463872" from="175.550674pt,17.962437pt" to="197.139198pt,17.962437pt" stroked="true" strokeweight=".506076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position w:val="-9"/>
          <w:sz w:val="24"/>
        </w:rPr>
        <w:t>R</w:t>
      </w:r>
      <w:r>
        <w:rPr>
          <w:rFonts w:ascii="Times New Roman" w:hAnsi="Times New Roman"/>
          <w:i/>
          <w:spacing w:val="9"/>
          <w:position w:val="-9"/>
          <w:sz w:val="24"/>
        </w:rPr>
        <w:t> </w:t>
      </w:r>
      <w:r>
        <w:rPr>
          <w:rFonts w:ascii="Symbol" w:hAnsi="Symbol"/>
          <w:position w:val="-9"/>
          <w:sz w:val="24"/>
        </w:rPr>
        <w:t></w:t>
      </w:r>
      <w:r>
        <w:rPr>
          <w:rFonts w:ascii="Times New Roman" w:hAnsi="Times New Roman"/>
          <w:spacing w:val="34"/>
          <w:position w:val="-9"/>
          <w:sz w:val="24"/>
        </w:rPr>
        <w:t> </w:t>
      </w:r>
      <w:r>
        <w:rPr>
          <w:rFonts w:ascii="Times New Roman" w:hAnsi="Times New Roman"/>
          <w:i/>
          <w:position w:val="6"/>
          <w:sz w:val="24"/>
        </w:rPr>
        <w:t>I</w:t>
      </w:r>
      <w:r>
        <w:rPr>
          <w:rFonts w:ascii="Times New Roman" w:hAnsi="Times New Roman"/>
          <w:sz w:val="14"/>
        </w:rPr>
        <w:t>1740</w:t>
      </w:r>
    </w:p>
    <w:p>
      <w:pPr>
        <w:spacing w:line="270" w:lineRule="exact" w:before="0"/>
        <w:ind w:left="0" w:right="38" w:firstLine="0"/>
        <w:jc w:val="right"/>
        <w:rPr>
          <w:rFonts w:ascii="Times New Roman"/>
          <w:sz w:val="14"/>
        </w:rPr>
      </w:pPr>
      <w:r>
        <w:rPr>
          <w:rFonts w:ascii="Times New Roman"/>
          <w:i/>
          <w:position w:val="6"/>
          <w:sz w:val="24"/>
        </w:rPr>
        <w:t>I</w:t>
      </w:r>
      <w:r>
        <w:rPr>
          <w:rFonts w:ascii="Times New Roman"/>
          <w:sz w:val="14"/>
        </w:rPr>
        <w:t>1020</w:t>
      </w:r>
    </w:p>
    <w:p>
      <w:pPr>
        <w:spacing w:before="179"/>
        <w:ind w:left="2665" w:right="2012" w:firstLine="0"/>
        <w:jc w:val="center"/>
        <w:rPr>
          <w:sz w:val="24"/>
        </w:rPr>
      </w:pPr>
      <w:r>
        <w:rPr/>
        <w:br w:type="column"/>
      </w:r>
      <w:r>
        <w:rPr>
          <w:sz w:val="24"/>
        </w:rPr>
        <w:t>2.8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580" w:bottom="1180" w:left="420" w:right="0"/>
          <w:cols w:num="2" w:equalWidth="0">
            <w:col w:w="3527" w:space="2910"/>
            <w:col w:w="5053"/>
          </w:cols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Heading3"/>
        <w:numPr>
          <w:ilvl w:val="2"/>
          <w:numId w:val="6"/>
        </w:numPr>
        <w:tabs>
          <w:tab w:pos="1878" w:val="left" w:leader="none"/>
        </w:tabs>
        <w:spacing w:line="240" w:lineRule="auto" w:before="100" w:after="0"/>
        <w:ind w:left="1877" w:right="0" w:hanging="680"/>
        <w:jc w:val="left"/>
      </w:pPr>
      <w:r>
        <w:rPr/>
        <w:t>Fourier</w:t>
      </w:r>
      <w:r>
        <w:rPr>
          <w:spacing w:val="-6"/>
        </w:rPr>
        <w:t> </w:t>
      </w:r>
      <w:r>
        <w:rPr/>
        <w:t>transform</w:t>
      </w:r>
      <w:r>
        <w:rPr>
          <w:spacing w:val="-5"/>
        </w:rPr>
        <w:t> </w:t>
      </w:r>
      <w:r>
        <w:rPr/>
        <w:t>infrared</w:t>
      </w:r>
      <w:r>
        <w:rPr>
          <w:spacing w:val="-2"/>
        </w:rPr>
        <w:t> </w:t>
      </w:r>
      <w:r>
        <w:rPr/>
        <w:t>spectroscopic</w:t>
      </w:r>
      <w:r>
        <w:rPr>
          <w:spacing w:val="-5"/>
        </w:rPr>
        <w:t> </w:t>
      </w:r>
      <w:r>
        <w:rPr/>
        <w:t>analysis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98" w:right="575" w:firstLine="719"/>
      </w:pP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acetylated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FT-IR</w:t>
      </w:r>
      <w:r>
        <w:rPr>
          <w:spacing w:val="-72"/>
        </w:rPr>
        <w:t> </w:t>
      </w:r>
      <w:r>
        <w:rPr/>
        <w:t>Shimadzu</w:t>
      </w:r>
      <w:r>
        <w:rPr>
          <w:spacing w:val="52"/>
        </w:rPr>
        <w:t> </w:t>
      </w:r>
      <w:r>
        <w:rPr/>
        <w:t>8400s</w:t>
      </w:r>
      <w:r>
        <w:rPr>
          <w:spacing w:val="50"/>
        </w:rPr>
        <w:t> </w:t>
      </w:r>
      <w:r>
        <w:rPr/>
        <w:t>spectrophotometer</w:t>
      </w:r>
      <w:r>
        <w:rPr>
          <w:spacing w:val="51"/>
        </w:rPr>
        <w:t> </w:t>
      </w:r>
      <w:r>
        <w:rPr/>
        <w:t>in</w:t>
      </w:r>
      <w:r>
        <w:rPr>
          <w:spacing w:val="53"/>
        </w:rPr>
        <w:t> </w:t>
      </w:r>
      <w:r>
        <w:rPr/>
        <w:t>the</w:t>
      </w:r>
      <w:r>
        <w:rPr>
          <w:spacing w:val="50"/>
        </w:rPr>
        <w:t> </w:t>
      </w:r>
      <w:r>
        <w:rPr/>
        <w:t>range</w:t>
      </w:r>
      <w:r>
        <w:rPr>
          <w:spacing w:val="53"/>
        </w:rPr>
        <w:t> </w:t>
      </w:r>
      <w:r>
        <w:rPr/>
        <w:t>of</w:t>
      </w:r>
      <w:r>
        <w:rPr>
          <w:spacing w:val="51"/>
        </w:rPr>
        <w:t> </w:t>
      </w:r>
      <w:r>
        <w:rPr/>
        <w:t>4000-400</w:t>
      </w:r>
      <w:r>
        <w:rPr>
          <w:spacing w:val="54"/>
        </w:rPr>
        <w:t> </w:t>
      </w:r>
      <w:r>
        <w:rPr/>
        <w:t>cm</w:t>
      </w:r>
      <w:r>
        <w:rPr>
          <w:vertAlign w:val="superscript"/>
        </w:rPr>
        <w:t>-1</w:t>
      </w:r>
      <w:r>
        <w:rPr>
          <w:vertAlign w:val="baseline"/>
        </w:rPr>
        <w:t>.</w:t>
      </w:r>
      <w:r>
        <w:rPr>
          <w:spacing w:val="51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52"/>
          <w:vertAlign w:val="baseline"/>
        </w:rPr>
        <w:t> </w:t>
      </w:r>
      <w:r>
        <w:rPr>
          <w:vertAlign w:val="baseline"/>
        </w:rPr>
        <w:t>were</w:t>
      </w:r>
      <w:r>
        <w:rPr>
          <w:spacing w:val="51"/>
          <w:vertAlign w:val="baseline"/>
        </w:rPr>
        <w:t> </w:t>
      </w:r>
      <w:r>
        <w:rPr>
          <w:vertAlign w:val="baseline"/>
        </w:rPr>
        <w:t>run</w:t>
      </w:r>
    </w:p>
    <w:p>
      <w:pPr>
        <w:spacing w:after="0" w:line="480" w:lineRule="auto"/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spacing w:line="482" w:lineRule="auto" w:before="75"/>
        <w:ind w:left="1198" w:right="587"/>
        <w:jc w:val="both"/>
      </w:pPr>
      <w:r>
        <w:rPr/>
        <w:t>using the KBr pellet method at the National Research Institute for Chemical Technology</w:t>
      </w:r>
      <w:r>
        <w:rPr>
          <w:spacing w:val="1"/>
        </w:rPr>
        <w:t> </w:t>
      </w:r>
      <w:r>
        <w:rPr/>
        <w:t>(NARICT)</w:t>
      </w:r>
      <w:r>
        <w:rPr>
          <w:spacing w:val="-3"/>
        </w:rPr>
        <w:t> </w:t>
      </w:r>
      <w:r>
        <w:rPr/>
        <w:t>Zaria,</w:t>
      </w:r>
      <w:r>
        <w:rPr>
          <w:spacing w:val="1"/>
        </w:rPr>
        <w:t> </w:t>
      </w:r>
      <w:r>
        <w:rPr/>
        <w:t>Kaduna-Nigeria.</w:t>
      </w:r>
    </w:p>
    <w:p>
      <w:pPr>
        <w:pStyle w:val="BodyText"/>
        <w:rPr>
          <w:sz w:val="28"/>
        </w:rPr>
      </w:pPr>
    </w:p>
    <w:p>
      <w:pPr>
        <w:pStyle w:val="Heading3"/>
        <w:tabs>
          <w:tab w:pos="2637" w:val="left" w:leader="none"/>
        </w:tabs>
        <w:spacing w:before="238"/>
      </w:pPr>
      <w:r>
        <w:rPr/>
        <w:t>2.1.8.</w:t>
        <w:tab/>
        <w:t>Treatment</w:t>
      </w:r>
      <w:r>
        <w:rPr>
          <w:spacing w:val="-5"/>
        </w:rPr>
        <w:t> </w:t>
      </w:r>
      <w:r>
        <w:rPr/>
        <w:t>protocol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77" w:lineRule="auto"/>
        <w:ind w:left="1198" w:right="576"/>
        <w:jc w:val="both"/>
      </w:pPr>
      <w:r>
        <w:rPr/>
        <w:t>The sorption of oil from water was carried out using the methods of Bannerjee </w:t>
      </w:r>
      <w:r>
        <w:rPr>
          <w:sz w:val="25"/>
        </w:rPr>
        <w:t>et al</w:t>
      </w:r>
      <w:r>
        <w:rPr/>
        <w:t>.,</w:t>
      </w:r>
      <w:r>
        <w:rPr>
          <w:spacing w:val="1"/>
        </w:rPr>
        <w:t> </w:t>
      </w:r>
      <w:r>
        <w:rPr/>
        <w:t>(2006). A portion (1g) each of RCC and ACC was placed in a 250ml beaker containing a</w:t>
      </w:r>
      <w:r>
        <w:rPr>
          <w:spacing w:val="1"/>
        </w:rPr>
        <w:t> </w:t>
      </w:r>
      <w:r>
        <w:rPr/>
        <w:t>mixture of crude oil displaced in 100ml of water at 26</w:t>
      </w:r>
      <w:r>
        <w:rPr>
          <w:vertAlign w:val="superscript"/>
        </w:rPr>
        <w:t>o</w:t>
      </w:r>
      <w:r>
        <w:rPr>
          <w:vertAlign w:val="baseline"/>
        </w:rPr>
        <w:t>c. The samples were left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 for about 3minutes with little agitation. The sorbents were removed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beakers using sieve nets. The nets were allowed to drain. The oil loaded sorbents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dried at 60</w:t>
      </w:r>
      <w:r>
        <w:rPr>
          <w:vertAlign w:val="superscript"/>
        </w:rPr>
        <w:t>o</w:t>
      </w:r>
      <w:r>
        <w:rPr>
          <w:vertAlign w:val="baseline"/>
        </w:rPr>
        <w:t>c for 30minutes and reweighed. The oil sorption capacity was calculated by</w:t>
      </w:r>
      <w:r>
        <w:rPr>
          <w:spacing w:val="1"/>
          <w:vertAlign w:val="baseline"/>
        </w:rPr>
        <w:t> </w:t>
      </w:r>
      <w:r>
        <w:rPr>
          <w:vertAlign w:val="baseline"/>
        </w:rPr>
        <w:t>taking</w:t>
      </w:r>
      <w:r>
        <w:rPr>
          <w:spacing w:val="23"/>
          <w:vertAlign w:val="baseline"/>
        </w:rPr>
        <w:t> </w:t>
      </w:r>
      <w:r>
        <w:rPr>
          <w:vertAlign w:val="baseline"/>
        </w:rPr>
        <w:t>into</w:t>
      </w:r>
      <w:r>
        <w:rPr>
          <w:spacing w:val="25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weight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sorbent,</w:t>
      </w:r>
      <w:r>
        <w:rPr>
          <w:spacing w:val="25"/>
          <w:vertAlign w:val="baseline"/>
        </w:rPr>
        <w:t> </w:t>
      </w:r>
      <w:r>
        <w:rPr>
          <w:vertAlign w:val="baseline"/>
        </w:rPr>
        <w:t>weight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sorbent</w:t>
      </w:r>
      <w:r>
        <w:rPr>
          <w:spacing w:val="24"/>
          <w:vertAlign w:val="baseline"/>
        </w:rPr>
        <w:t> </w:t>
      </w:r>
      <w:r>
        <w:rPr>
          <w:vertAlign w:val="baseline"/>
        </w:rPr>
        <w:t>and</w:t>
      </w:r>
      <w:r>
        <w:rPr>
          <w:spacing w:val="26"/>
          <w:vertAlign w:val="baseline"/>
        </w:rPr>
        <w:t> </w:t>
      </w:r>
      <w:r>
        <w:rPr>
          <w:vertAlign w:val="baseline"/>
        </w:rPr>
        <w:t>oil</w:t>
      </w:r>
      <w:r>
        <w:rPr>
          <w:spacing w:val="24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weight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sieve</w:t>
      </w:r>
      <w:r>
        <w:rPr>
          <w:spacing w:val="-73"/>
          <w:vertAlign w:val="baseline"/>
        </w:rPr>
        <w:t> </w:t>
      </w:r>
      <w:r>
        <w:rPr>
          <w:vertAlign w:val="baseline"/>
        </w:rPr>
        <w:t>net.</w:t>
      </w:r>
    </w:p>
    <w:p>
      <w:pPr>
        <w:pStyle w:val="Heading3"/>
        <w:numPr>
          <w:ilvl w:val="2"/>
          <w:numId w:val="7"/>
        </w:numPr>
        <w:tabs>
          <w:tab w:pos="1918" w:val="left" w:leader="none"/>
        </w:tabs>
        <w:spacing w:line="240" w:lineRule="auto" w:before="9" w:after="0"/>
        <w:ind w:left="1918" w:right="0" w:hanging="720"/>
        <w:jc w:val="left"/>
      </w:pPr>
      <w:r>
        <w:rPr/>
        <w:t>X-ray</w:t>
      </w:r>
      <w:r>
        <w:rPr>
          <w:spacing w:val="-6"/>
        </w:rPr>
        <w:t> </w:t>
      </w:r>
      <w:r>
        <w:rPr/>
        <w:t>Fluorescence</w:t>
      </w:r>
      <w:r>
        <w:rPr>
          <w:spacing w:val="-4"/>
        </w:rPr>
        <w:t> </w:t>
      </w:r>
      <w:r>
        <w:rPr/>
        <w:t>(XRF)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198" w:right="579"/>
        <w:jc w:val="both"/>
      </w:pPr>
      <w:r>
        <w:rPr/>
        <w:t>The elemental composition of the raw corn cob (RCC) and raw Mango kernel (RMS) were</w:t>
      </w:r>
      <w:r>
        <w:rPr>
          <w:spacing w:val="1"/>
        </w:rPr>
        <w:t> </w:t>
      </w:r>
      <w:r>
        <w:rPr/>
        <w:t>characterized using oxford Energy dispersive Xray fluorescence. The scanning region were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30(KeV)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region.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Multipurpose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Laboratory,</w:t>
      </w:r>
      <w:r>
        <w:rPr>
          <w:spacing w:val="-2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Zaria, Nigeria.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7"/>
        </w:numPr>
        <w:tabs>
          <w:tab w:pos="2638" w:val="left" w:leader="none"/>
        </w:tabs>
        <w:spacing w:line="240" w:lineRule="auto" w:before="242" w:after="0"/>
        <w:ind w:left="2638" w:right="0" w:hanging="1440"/>
        <w:jc w:val="both"/>
      </w:pPr>
      <w:r>
        <w:rPr/>
        <w:t>Xray</w:t>
      </w:r>
      <w:r>
        <w:rPr>
          <w:spacing w:val="-4"/>
        </w:rPr>
        <w:t> </w:t>
      </w:r>
      <w:r>
        <w:rPr/>
        <w:t>Diffraction</w:t>
      </w:r>
      <w:r>
        <w:rPr>
          <w:spacing w:val="-4"/>
        </w:rPr>
        <w:t> </w:t>
      </w:r>
      <w:r>
        <w:rPr/>
        <w:t>(XRD)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98" w:right="576"/>
        <w:jc w:val="both"/>
      </w:pPr>
      <w:r>
        <w:rPr/>
        <w:t>The Xray patterns of the raw and acetylated corn cob and mango kernel were obtained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Phillips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diffractometer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Kaduna, Kaduna state, Nigeria. The scanning region of the diffraction angle (2theta) was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5</w:t>
      </w:r>
      <w:r>
        <w:rPr>
          <w:vertAlign w:val="superscript"/>
        </w:rPr>
        <w:t>o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45</w:t>
      </w:r>
      <w:r>
        <w:rPr>
          <w:vertAlign w:val="superscript"/>
        </w:rPr>
        <w:t>o</w:t>
      </w:r>
      <w:r>
        <w:rPr>
          <w:vertAlign w:val="baseline"/>
        </w:rPr>
        <w:t>. The crystallinity</w:t>
      </w:r>
      <w:r>
        <w:rPr>
          <w:spacing w:val="-2"/>
          <w:vertAlign w:val="baseline"/>
        </w:rPr>
        <w:t> </w:t>
      </w:r>
      <w:r>
        <w:rPr>
          <w:vertAlign w:val="baseline"/>
        </w:rPr>
        <w:t>index (I</w:t>
      </w:r>
      <w:r>
        <w:rPr>
          <w:vertAlign w:val="subscript"/>
        </w:rPr>
        <w:t>c</w:t>
      </w:r>
      <w:r>
        <w:rPr>
          <w:vertAlign w:val="baseline"/>
        </w:rPr>
        <w:t>)</w:t>
      </w:r>
      <w:r>
        <w:rPr>
          <w:spacing w:val="-3"/>
          <w:vertAlign w:val="baseline"/>
        </w:rPr>
        <w:t> </w:t>
      </w:r>
      <w:r>
        <w:rPr>
          <w:vertAlign w:val="baseline"/>
        </w:rPr>
        <w:t>was</w:t>
      </w:r>
      <w:r>
        <w:rPr>
          <w:spacing w:val="2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-3"/>
          <w:vertAlign w:val="baseline"/>
        </w:rPr>
        <w:t> </w:t>
      </w:r>
      <w:r>
        <w:rPr>
          <w:vertAlign w:val="baseline"/>
        </w:rPr>
        <w:t>using</w:t>
      </w:r>
      <w:r>
        <w:rPr>
          <w:spacing w:val="-2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2.9</w:t>
      </w:r>
      <w:r>
        <w:rPr>
          <w:spacing w:val="-1"/>
          <w:vertAlign w:val="baseline"/>
        </w:rPr>
        <w:t> </w:t>
      </w:r>
      <w:r>
        <w:rPr>
          <w:vertAlign w:val="baseline"/>
        </w:rPr>
        <w:t>below;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tabs>
          <w:tab w:pos="3961" w:val="left" w:leader="none"/>
        </w:tabs>
        <w:spacing w:line="244" w:lineRule="exact" w:before="61"/>
        <w:ind w:left="1198"/>
        <w:rPr>
          <w:rFonts w:ascii="Cambria Math" w:hAnsi="Cambria Math" w:eastAsia="Cambria Math"/>
        </w:rPr>
      </w:pPr>
      <w:r>
        <w:rPr/>
        <w:t>Crystallinity</w:t>
      </w:r>
      <w:r>
        <w:rPr>
          <w:spacing w:val="-3"/>
        </w:rPr>
        <w:t> </w:t>
      </w:r>
      <w:r>
        <w:rPr/>
        <w:t>Index</w:t>
      </w:r>
      <w:r>
        <w:rPr>
          <w:spacing w:val="-1"/>
        </w:rPr>
        <w:t> </w:t>
      </w:r>
      <w:r>
        <w:rPr/>
        <w:t>(I</w:t>
      </w:r>
      <w:r>
        <w:rPr>
          <w:vertAlign w:val="subscript"/>
        </w:rPr>
        <w:t>c</w:t>
      </w:r>
      <w:r>
        <w:rPr>
          <w:vertAlign w:val="baseline"/>
        </w:rPr>
        <w:t>)</w:t>
        <w:tab/>
        <w:t>=</w:t>
      </w:r>
      <w:r>
        <w:rPr>
          <w:spacing w:val="86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superscript"/>
        </w:rPr>
        <w:t>𝐼(002)−𝐼(𝑎𝑚)</w:t>
      </w:r>
      <w:r>
        <w:rPr>
          <w:rFonts w:ascii="Cambria Math" w:hAnsi="Cambria Math" w:eastAsia="Cambria Math"/>
          <w:spacing w:val="-6"/>
          <w:u w:val="single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superscript"/>
        </w:rPr>
        <w:t>×100</w:t>
      </w:r>
    </w:p>
    <w:p>
      <w:pPr>
        <w:spacing w:line="183" w:lineRule="exact" w:before="0"/>
        <w:ind w:left="0" w:right="546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4"/>
          <w:sz w:val="17"/>
        </w:rPr>
        <w:t>𝐼</w:t>
      </w:r>
      <w:r>
        <w:rPr>
          <w:rFonts w:ascii="Cambria Math" w:eastAsia="Cambria Math"/>
          <w:w w:val="105"/>
          <w:sz w:val="14"/>
        </w:rPr>
        <w:t>(002)</w:t>
      </w:r>
    </w:p>
    <w:p>
      <w:pPr>
        <w:spacing w:before="61"/>
        <w:ind w:left="1182" w:right="1291" w:firstLine="0"/>
        <w:jc w:val="center"/>
        <w:rPr>
          <w:sz w:val="24"/>
        </w:rPr>
      </w:pPr>
      <w:r>
        <w:rPr/>
        <w:br w:type="column"/>
      </w:r>
      <w:r>
        <w:rPr>
          <w:sz w:val="24"/>
        </w:rPr>
        <w:t>2.9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580" w:bottom="1180" w:left="420" w:right="0"/>
          <w:cols w:num="2" w:equalWidth="0">
            <w:col w:w="5775" w:space="2866"/>
            <w:col w:w="2849"/>
          </w:cols>
        </w:sectPr>
      </w:pPr>
    </w:p>
    <w:p>
      <w:pPr>
        <w:pStyle w:val="BodyText"/>
        <w:spacing w:line="480" w:lineRule="auto" w:before="116"/>
        <w:ind w:left="1198"/>
      </w:pPr>
      <w:r>
        <w:rPr/>
        <w:t>Where</w:t>
      </w:r>
      <w:r>
        <w:rPr>
          <w:spacing w:val="24"/>
        </w:rPr>
        <w:t> </w:t>
      </w:r>
      <w:r>
        <w:rPr/>
        <w:t>I</w:t>
      </w:r>
      <w:r>
        <w:rPr>
          <w:vertAlign w:val="subscript"/>
        </w:rPr>
        <w:t>(002)</w:t>
      </w:r>
      <w:r>
        <w:rPr>
          <w:spacing w:val="26"/>
          <w:vertAlign w:val="baseline"/>
        </w:rPr>
        <w:t> </w:t>
      </w:r>
      <w:r>
        <w:rPr>
          <w:vertAlign w:val="baseline"/>
        </w:rPr>
        <w:t>is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counter</w:t>
      </w:r>
      <w:r>
        <w:rPr>
          <w:spacing w:val="25"/>
          <w:vertAlign w:val="baseline"/>
        </w:rPr>
        <w:t> </w:t>
      </w:r>
      <w:r>
        <w:rPr>
          <w:vertAlign w:val="baseline"/>
        </w:rPr>
        <w:t>reading</w:t>
      </w:r>
      <w:r>
        <w:rPr>
          <w:spacing w:val="23"/>
          <w:vertAlign w:val="baseline"/>
        </w:rPr>
        <w:t> </w:t>
      </w:r>
      <w:r>
        <w:rPr>
          <w:vertAlign w:val="baseline"/>
        </w:rPr>
        <w:t>at</w:t>
      </w:r>
      <w:r>
        <w:rPr>
          <w:spacing w:val="23"/>
          <w:vertAlign w:val="baseline"/>
        </w:rPr>
        <w:t> </w:t>
      </w:r>
      <w:r>
        <w:rPr>
          <w:vertAlign w:val="baseline"/>
        </w:rPr>
        <w:t>peak</w:t>
      </w:r>
      <w:r>
        <w:rPr>
          <w:spacing w:val="24"/>
          <w:vertAlign w:val="baseline"/>
        </w:rPr>
        <w:t> </w:t>
      </w:r>
      <w:r>
        <w:rPr>
          <w:vertAlign w:val="baseline"/>
        </w:rPr>
        <w:t>intensity</w:t>
      </w:r>
      <w:r>
        <w:rPr>
          <w:spacing w:val="24"/>
          <w:vertAlign w:val="baseline"/>
        </w:rPr>
        <w:t> </w:t>
      </w:r>
      <w:r>
        <w:rPr>
          <w:vertAlign w:val="baseline"/>
        </w:rPr>
        <w:t>at</w:t>
      </w:r>
      <w:r>
        <w:rPr>
          <w:spacing w:val="23"/>
          <w:vertAlign w:val="baseline"/>
        </w:rPr>
        <w:t> </w:t>
      </w:r>
      <w:r>
        <w:rPr>
          <w:vertAlign w:val="baseline"/>
        </w:rPr>
        <w:t>2</w:t>
      </w:r>
      <w:r>
        <w:rPr>
          <w:rFonts w:ascii="Symbol" w:hAnsi="Symbol"/>
          <w:vertAlign w:val="baseline"/>
        </w:rPr>
        <w:t></w:t>
      </w:r>
      <w:r>
        <w:rPr>
          <w:rFonts w:ascii="Times New Roman" w:hAnsi="Times New Roman"/>
          <w:spacing w:val="39"/>
          <w:vertAlign w:val="baseline"/>
        </w:rPr>
        <w:t> </w:t>
      </w:r>
      <w:r>
        <w:rPr>
          <w:vertAlign w:val="baseline"/>
        </w:rPr>
        <w:t>angle</w:t>
      </w:r>
      <w:r>
        <w:rPr>
          <w:spacing w:val="24"/>
          <w:vertAlign w:val="baseline"/>
        </w:rPr>
        <w:t> </w:t>
      </w:r>
      <w:r>
        <w:rPr>
          <w:vertAlign w:val="baseline"/>
        </w:rPr>
        <w:t>close</w:t>
      </w:r>
      <w:r>
        <w:rPr>
          <w:spacing w:val="25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22</w:t>
      </w:r>
      <w:r>
        <w:rPr>
          <w:vertAlign w:val="superscript"/>
        </w:rPr>
        <w:t>o</w:t>
      </w:r>
      <w:r>
        <w:rPr>
          <w:vertAlign w:val="baseline"/>
        </w:rPr>
        <w:t>,</w:t>
      </w:r>
      <w:r>
        <w:rPr>
          <w:spacing w:val="23"/>
          <w:vertAlign w:val="baseline"/>
        </w:rPr>
        <w:t> </w:t>
      </w:r>
      <w:r>
        <w:rPr>
          <w:vertAlign w:val="baseline"/>
        </w:rPr>
        <w:t>I</w:t>
      </w:r>
      <w:r>
        <w:rPr>
          <w:vertAlign w:val="subscript"/>
        </w:rPr>
        <w:t>(am)</w:t>
      </w:r>
      <w:r>
        <w:rPr>
          <w:spacing w:val="24"/>
          <w:vertAlign w:val="baseline"/>
        </w:rPr>
        <w:t> </w:t>
      </w:r>
      <w:r>
        <w:rPr>
          <w:vertAlign w:val="baseline"/>
        </w:rPr>
        <w:t>is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-72"/>
          <w:vertAlign w:val="baseline"/>
        </w:rPr>
        <w:t> </w:t>
      </w:r>
      <w:r>
        <w:rPr>
          <w:vertAlign w:val="baseline"/>
        </w:rPr>
        <w:t>amorphous counter</w:t>
      </w:r>
      <w:r>
        <w:rPr>
          <w:spacing w:val="-1"/>
          <w:vertAlign w:val="baseline"/>
        </w:rPr>
        <w:t> </w:t>
      </w:r>
      <w:r>
        <w:rPr>
          <w:vertAlign w:val="baseline"/>
        </w:rPr>
        <w:t>reading</w:t>
      </w:r>
      <w:r>
        <w:rPr>
          <w:spacing w:val="-2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2</w:t>
      </w:r>
      <w:r>
        <w:rPr>
          <w:rFonts w:ascii="Symbol" w:hAnsi="Symbol"/>
          <w:vertAlign w:val="baseline"/>
        </w:rPr>
        <w:t></w:t>
      </w:r>
      <w:r>
        <w:rPr>
          <w:rFonts w:ascii="Times New Roman" w:hAnsi="Times New Roman"/>
          <w:spacing w:val="16"/>
          <w:vertAlign w:val="baseline"/>
        </w:rPr>
        <w:t> </w:t>
      </w:r>
      <w:r>
        <w:rPr>
          <w:vertAlign w:val="baseline"/>
        </w:rPr>
        <w:t>angle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about</w:t>
      </w:r>
      <w:r>
        <w:rPr>
          <w:spacing w:val="-1"/>
          <w:vertAlign w:val="baseline"/>
        </w:rPr>
        <w:t> </w:t>
      </w:r>
      <w:r>
        <w:rPr>
          <w:vertAlign w:val="baseline"/>
        </w:rPr>
        <w:t>18</w:t>
      </w:r>
      <w:r>
        <w:rPr>
          <w:vertAlign w:val="superscript"/>
        </w:rPr>
        <w:t>o</w:t>
      </w:r>
      <w:r>
        <w:rPr>
          <w:vertAlign w:val="baseline"/>
        </w:rPr>
        <w:t>.</w:t>
      </w:r>
    </w:p>
    <w:p>
      <w:pPr>
        <w:pStyle w:val="Heading3"/>
        <w:numPr>
          <w:ilvl w:val="2"/>
          <w:numId w:val="7"/>
        </w:numPr>
        <w:tabs>
          <w:tab w:pos="2637" w:val="left" w:leader="none"/>
          <w:tab w:pos="2638" w:val="left" w:leader="none"/>
        </w:tabs>
        <w:spacing w:line="289" w:lineRule="exact" w:before="0" w:after="0"/>
        <w:ind w:left="2638" w:right="0" w:hanging="1440"/>
        <w:jc w:val="left"/>
      </w:pPr>
      <w:r>
        <w:rPr/>
        <w:t>Kinetics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Thermodynamic</w:t>
      </w:r>
      <w:r>
        <w:rPr>
          <w:spacing w:val="-5"/>
        </w:rPr>
        <w:t> </w:t>
      </w:r>
      <w:r>
        <w:rPr/>
        <w:t>considerations</w:t>
      </w:r>
    </w:p>
    <w:p>
      <w:pPr>
        <w:pStyle w:val="BodyText"/>
        <w:spacing w:before="1"/>
        <w:rPr>
          <w:b/>
        </w:rPr>
      </w:pPr>
    </w:p>
    <w:p>
      <w:pPr>
        <w:tabs>
          <w:tab w:pos="2637" w:val="left" w:leader="none"/>
        </w:tabs>
        <w:spacing w:before="0"/>
        <w:ind w:left="1198" w:right="0" w:firstLine="0"/>
        <w:jc w:val="left"/>
        <w:rPr>
          <w:b/>
          <w:sz w:val="24"/>
        </w:rPr>
      </w:pPr>
      <w:r>
        <w:rPr>
          <w:b/>
          <w:sz w:val="24"/>
        </w:rPr>
        <w:t>2.2.11.1</w:t>
        <w:tab/>
        <w:t>Kinetics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considerations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0" w:lineRule="auto" w:before="1"/>
        <w:ind w:left="1198" w:right="575" w:firstLine="719"/>
        <w:jc w:val="both"/>
      </w:pPr>
      <w:r>
        <w:rPr/>
        <w:t>The kinetics was studied by fitting obtained data in rate curves- derived pseudo</w:t>
      </w:r>
      <w:r>
        <w:rPr>
          <w:spacing w:val="1"/>
        </w:rPr>
        <w:t> </w:t>
      </w:r>
      <w:r>
        <w:rPr/>
        <w:t>first-order, lagergren pseudo first-order, Second order (Hill </w:t>
      </w:r>
      <w:r>
        <w:rPr>
          <w:sz w:val="25"/>
        </w:rPr>
        <w:t>et. al</w:t>
      </w:r>
      <w:r>
        <w:rPr/>
        <w:t>., 1998), pseudo second-</w:t>
      </w:r>
      <w:r>
        <w:rPr>
          <w:spacing w:val="1"/>
        </w:rPr>
        <w:t> </w:t>
      </w:r>
      <w:r>
        <w:rPr/>
        <w:t>order</w:t>
      </w:r>
      <w:r>
        <w:rPr>
          <w:spacing w:val="-2"/>
        </w:rPr>
        <w:t> </w:t>
      </w:r>
      <w:r>
        <w:rPr/>
        <w:t>(Ho,</w:t>
      </w:r>
      <w:r>
        <w:rPr>
          <w:spacing w:val="-2"/>
        </w:rPr>
        <w:t> </w:t>
      </w:r>
      <w:r>
        <w:rPr/>
        <w:t>1995)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intra-particle</w:t>
      </w:r>
      <w:r>
        <w:rPr>
          <w:spacing w:val="1"/>
        </w:rPr>
        <w:t> </w:t>
      </w:r>
      <w:r>
        <w:rPr/>
        <w:t>diffusion.</w:t>
      </w:r>
    </w:p>
    <w:p>
      <w:pPr>
        <w:pStyle w:val="BodyText"/>
        <w:spacing w:before="11"/>
        <w:ind w:left="1918"/>
        <w:jc w:val="both"/>
      </w:pPr>
      <w:r>
        <w:rPr/>
        <w:t>Pseudo-first</w:t>
      </w:r>
      <w:r>
        <w:rPr>
          <w:spacing w:val="-5"/>
        </w:rPr>
        <w:t> </w:t>
      </w:r>
      <w:r>
        <w:rPr/>
        <w:t>order</w:t>
      </w:r>
      <w:r>
        <w:rPr>
          <w:spacing w:val="-4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used</w:t>
      </w:r>
      <w:r>
        <w:rPr>
          <w:spacing w:val="-5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derived</w:t>
      </w:r>
      <w:r>
        <w:rPr>
          <w:spacing w:val="-5"/>
        </w:rPr>
        <w:t> </w:t>
      </w:r>
      <w:r>
        <w:rPr/>
        <w:t>thus:</w:t>
      </w: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987" w:top="1100" w:bottom="1260" w:left="420" w:right="0"/>
        </w:sectPr>
      </w:pPr>
    </w:p>
    <w:p>
      <w:pPr>
        <w:pStyle w:val="BodyText"/>
        <w:spacing w:before="264"/>
        <w:ind w:left="2638"/>
      </w:pPr>
      <w:r>
        <w:rPr/>
        <w:t>Rate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acetylation</w:t>
      </w:r>
      <w:r>
        <w:rPr>
          <w:spacing w:val="-4"/>
        </w:rPr>
        <w:t> </w:t>
      </w:r>
      <w:r>
        <w:rPr/>
        <w:t>(R</w:t>
      </w:r>
      <w:r>
        <w:rPr>
          <w:vertAlign w:val="subscript"/>
        </w:rPr>
        <w:t>1</w:t>
      </w:r>
      <w:r>
        <w:rPr>
          <w:vertAlign w:val="baseline"/>
        </w:rPr>
        <w:t>)</w:t>
      </w:r>
      <w:r>
        <w:rPr>
          <w:spacing w:val="-4"/>
          <w:vertAlign w:val="baseline"/>
        </w:rPr>
        <w:t> </w:t>
      </w:r>
      <w:r>
        <w:rPr>
          <w:vertAlign w:val="baseline"/>
        </w:rPr>
        <w:t>=</w:t>
      </w:r>
    </w:p>
    <w:p>
      <w:pPr>
        <w:spacing w:line="238" w:lineRule="exact" w:before="100"/>
        <w:ind w:left="94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Times New Roman" w:hAnsi="Times New Roman"/>
          <w:i/>
          <w:sz w:val="23"/>
          <w:u w:val="single"/>
        </w:rPr>
        <w:t>d</w:t>
      </w:r>
      <w:r>
        <w:rPr>
          <w:rFonts w:ascii="Symbol" w:hAnsi="Symbol"/>
          <w:sz w:val="25"/>
          <w:u w:val="single"/>
        </w:rPr>
        <w:t></w:t>
      </w:r>
    </w:p>
    <w:p>
      <w:pPr>
        <w:spacing w:line="168" w:lineRule="auto" w:before="0"/>
        <w:ind w:left="131" w:right="0" w:firstLine="0"/>
        <w:jc w:val="left"/>
        <w:rPr>
          <w:rFonts w:ascii="Times New Roman" w:hAnsi="Times New Roman"/>
          <w:sz w:val="14"/>
        </w:rPr>
      </w:pPr>
      <w:r>
        <w:rPr/>
        <w:pict>
          <v:shape style="position:absolute;margin-left:338.329865pt;margin-top:-1.64126pt;width:6.25pt;height:15.35pt;mso-position-horizontal-relative:page;mso-position-vertical-relative:paragraph;z-index:1574144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w w:val="95"/>
                      <w:sz w:val="25"/>
                    </w:rPr>
                    <w:t>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05"/>
          <w:position w:val="-18"/>
          <w:sz w:val="23"/>
        </w:rPr>
        <w:t>dt</w:t>
      </w:r>
      <w:r>
        <w:rPr>
          <w:rFonts w:ascii="Times New Roman" w:hAnsi="Times New Roman"/>
          <w:i/>
          <w:spacing w:val="3"/>
          <w:w w:val="105"/>
          <w:position w:val="-18"/>
          <w:sz w:val="23"/>
        </w:rPr>
        <w:t> </w:t>
      </w:r>
      <w:r>
        <w:rPr>
          <w:rFonts w:ascii="Symbol" w:hAnsi="Symbol"/>
          <w:w w:val="105"/>
          <w:sz w:val="23"/>
        </w:rPr>
        <w:t></w:t>
      </w:r>
      <w:r>
        <w:rPr>
          <w:rFonts w:ascii="Times New Roman" w:hAnsi="Times New Roman"/>
          <w:spacing w:val="-3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</w:t>
      </w:r>
      <w:r>
        <w:rPr>
          <w:rFonts w:ascii="Times New Roman" w:hAnsi="Times New Roman"/>
          <w:i/>
          <w:w w:val="105"/>
          <w:sz w:val="23"/>
        </w:rPr>
        <w:t>k</w:t>
      </w:r>
      <w:r>
        <w:rPr>
          <w:rFonts w:ascii="Times New Roman" w:hAnsi="Times New Roman"/>
          <w:w w:val="105"/>
          <w:position w:val="-5"/>
          <w:sz w:val="14"/>
        </w:rPr>
        <w:t>1</w:t>
      </w:r>
    </w:p>
    <w:p>
      <w:pPr>
        <w:pStyle w:val="BodyText"/>
        <w:spacing w:before="11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ind w:left="2637"/>
      </w:pPr>
      <w:r>
        <w:rPr/>
        <w:t>2.10</w:t>
      </w:r>
    </w:p>
    <w:p>
      <w:pPr>
        <w:spacing w:after="0"/>
        <w:sectPr>
          <w:type w:val="continuous"/>
          <w:pgSz w:w="11910" w:h="16840"/>
          <w:pgMar w:top="1580" w:bottom="1180" w:left="420" w:right="0"/>
          <w:cols w:num="3" w:equalWidth="0">
            <w:col w:w="5365" w:space="40"/>
            <w:col w:w="1107" w:space="689"/>
            <w:col w:w="4289"/>
          </w:cols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101"/>
        <w:ind w:left="1198"/>
      </w:pPr>
      <w:r>
        <w:rPr/>
        <w:t>Rearranging</w:t>
      </w:r>
      <w:r>
        <w:rPr>
          <w:spacing w:val="-3"/>
        </w:rPr>
        <w:t> </w:t>
      </w:r>
      <w:r>
        <w:rPr/>
        <w:t>equation 2.10</w:t>
      </w:r>
      <w:r>
        <w:rPr>
          <w:spacing w:val="-1"/>
        </w:rPr>
        <w:t> </w:t>
      </w:r>
      <w:r>
        <w:rPr/>
        <w:t>gives</w:t>
      </w:r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580" w:bottom="1180" w:left="420" w:right="0"/>
        </w:sectPr>
      </w:pPr>
    </w:p>
    <w:p>
      <w:pPr>
        <w:spacing w:line="170" w:lineRule="auto" w:before="130"/>
        <w:ind w:left="0" w:right="0" w:firstLine="0"/>
        <w:jc w:val="right"/>
        <w:rPr>
          <w:rFonts w:ascii="Symbol" w:hAnsi="Symbol"/>
          <w:sz w:val="25"/>
        </w:rPr>
      </w:pPr>
      <w:r>
        <w:rPr>
          <w:rFonts w:ascii="Symbol" w:hAnsi="Symbol"/>
          <w:w w:val="105"/>
          <w:position w:val="-14"/>
          <w:sz w:val="23"/>
        </w:rPr>
        <w:t></w:t>
      </w:r>
      <w:r>
        <w:rPr>
          <w:rFonts w:ascii="Times New Roman" w:hAnsi="Times New Roman"/>
          <w:spacing w:val="8"/>
          <w:w w:val="105"/>
          <w:position w:val="-14"/>
          <w:sz w:val="23"/>
        </w:rPr>
        <w:t> </w:t>
      </w:r>
      <w:r>
        <w:rPr>
          <w:rFonts w:ascii="Times New Roman" w:hAnsi="Times New Roman"/>
          <w:i/>
          <w:w w:val="105"/>
          <w:sz w:val="23"/>
          <w:u w:val="single"/>
        </w:rPr>
        <w:t>d</w:t>
      </w:r>
      <w:r>
        <w:rPr>
          <w:rFonts w:ascii="Symbol" w:hAnsi="Symbol"/>
          <w:w w:val="105"/>
          <w:sz w:val="25"/>
          <w:u w:val="single"/>
        </w:rPr>
        <w:t></w:t>
      </w:r>
    </w:p>
    <w:p>
      <w:pPr>
        <w:spacing w:line="248" w:lineRule="exact" w:before="0"/>
        <w:ind w:left="0" w:right="69" w:firstLine="0"/>
        <w:jc w:val="right"/>
        <w:rPr>
          <w:rFonts w:ascii="Symbol" w:hAnsi="Symbol"/>
          <w:sz w:val="25"/>
        </w:rPr>
      </w:pPr>
      <w:r>
        <w:rPr>
          <w:rFonts w:ascii="Symbol" w:hAnsi="Symbol"/>
          <w:w w:val="96"/>
          <w:sz w:val="25"/>
        </w:rPr>
        <w:t></w:t>
      </w:r>
    </w:p>
    <w:p>
      <w:pPr>
        <w:spacing w:before="271"/>
        <w:ind w:left="63" w:right="0" w:firstLine="0"/>
        <w:jc w:val="left"/>
        <w:rPr>
          <w:rFonts w:ascii="Times New Roman" w:hAnsi="Times New Roman"/>
          <w:i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</w:t>
      </w:r>
      <w:r>
        <w:rPr>
          <w:rFonts w:ascii="Times New Roman" w:hAnsi="Times New Roman"/>
          <w:spacing w:val="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k</w:t>
      </w:r>
      <w:r>
        <w:rPr>
          <w:rFonts w:ascii="Times New Roman" w:hAnsi="Times New Roman"/>
          <w:w w:val="105"/>
          <w:position w:val="-5"/>
          <w:sz w:val="14"/>
        </w:rPr>
        <w:t>1</w:t>
      </w:r>
      <w:r>
        <w:rPr>
          <w:rFonts w:ascii="Times New Roman" w:hAnsi="Times New Roman"/>
          <w:i/>
          <w:w w:val="105"/>
          <w:sz w:val="23"/>
        </w:rPr>
        <w:t>dt</w:t>
      </w:r>
    </w:p>
    <w:p>
      <w:pPr>
        <w:pStyle w:val="BodyText"/>
        <w:rPr>
          <w:rFonts w:ascii="Times New Roman"/>
          <w:i/>
          <w:sz w:val="23"/>
        </w:rPr>
      </w:pPr>
      <w:r>
        <w:rPr/>
        <w:br w:type="column"/>
      </w:r>
      <w:r>
        <w:rPr>
          <w:rFonts w:ascii="Times New Roman"/>
          <w:i/>
          <w:sz w:val="23"/>
        </w:rPr>
      </w:r>
    </w:p>
    <w:p>
      <w:pPr>
        <w:pStyle w:val="BodyText"/>
        <w:ind w:left="2675"/>
      </w:pPr>
      <w:r>
        <w:rPr/>
        <w:t>2.11</w:t>
      </w:r>
    </w:p>
    <w:p>
      <w:pPr>
        <w:spacing w:after="0"/>
        <w:sectPr>
          <w:type w:val="continuous"/>
          <w:pgSz w:w="11910" w:h="16840"/>
          <w:pgMar w:top="1580" w:bottom="1180" w:left="420" w:right="0"/>
          <w:cols w:num="3" w:equalWidth="0">
            <w:col w:w="3129" w:space="40"/>
            <w:col w:w="689" w:space="3306"/>
            <w:col w:w="4326"/>
          </w:cols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100"/>
        <w:ind w:left="1198"/>
      </w:pPr>
      <w:r>
        <w:rPr/>
        <w:t>Solution</w:t>
      </w:r>
      <w:r>
        <w:rPr>
          <w:spacing w:val="-4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obtained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integrating equation</w:t>
      </w:r>
      <w:r>
        <w:rPr>
          <w:spacing w:val="-2"/>
        </w:rPr>
        <w:t> </w:t>
      </w:r>
      <w:r>
        <w:rPr/>
        <w:t>2.11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</w:t>
      </w: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580" w:bottom="1180" w:left="420" w:right="0"/>
        </w:sectPr>
      </w:pPr>
    </w:p>
    <w:p>
      <w:pPr>
        <w:tabs>
          <w:tab w:pos="3045" w:val="left" w:leader="none"/>
        </w:tabs>
        <w:spacing w:line="268" w:lineRule="exact" w:before="105"/>
        <w:ind w:left="2672" w:right="0" w:firstLine="0"/>
        <w:jc w:val="left"/>
        <w:rPr>
          <w:rFonts w:ascii="Symbol" w:hAnsi="Symbol"/>
          <w:sz w:val="25"/>
        </w:rPr>
      </w:pPr>
      <w:r>
        <w:rPr/>
        <w:pict>
          <v:shape style="position:absolute;margin-left:155.821365pt;margin-top:13.256286pt;width:4.850pt;height:21.8pt;mso-position-horizontal-relative:page;mso-position-vertical-relative:paragraph;z-index:-24461824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Symbol" w:hAnsi="Symbol"/>
                      <w:sz w:val="35"/>
                    </w:rPr>
                  </w:pPr>
                  <w:r>
                    <w:rPr>
                      <w:rFonts w:ascii="Symbol" w:hAnsi="Symbol"/>
                      <w:w w:val="101"/>
                      <w:sz w:val="35"/>
                    </w:rPr>
                    <w:t>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4"/>
          <w:sz w:val="14"/>
        </w:rPr>
        <w:t></w:t>
      </w:r>
      <w:r>
        <w:rPr>
          <w:rFonts w:ascii="Times New Roman" w:hAnsi="Times New Roman"/>
          <w:i/>
          <w:position w:val="10"/>
          <w:sz w:val="10"/>
        </w:rPr>
        <w:t>t</w:t>
        <w:tab/>
      </w:r>
      <w:r>
        <w:rPr>
          <w:rFonts w:ascii="Times New Roman" w:hAnsi="Times New Roman"/>
          <w:i/>
          <w:spacing w:val="-5"/>
          <w:sz w:val="23"/>
        </w:rPr>
        <w:t>d</w:t>
      </w:r>
      <w:r>
        <w:rPr>
          <w:rFonts w:ascii="Symbol" w:hAnsi="Symbol"/>
          <w:spacing w:val="-5"/>
          <w:sz w:val="25"/>
        </w:rPr>
        <w:t></w:t>
      </w:r>
    </w:p>
    <w:p>
      <w:pPr>
        <w:spacing w:line="214" w:lineRule="exact" w:before="0"/>
        <w:ind w:left="2838" w:right="0" w:firstLine="0"/>
        <w:jc w:val="left"/>
        <w:rPr>
          <w:rFonts w:ascii="Symbol" w:hAnsi="Symbol"/>
          <w:sz w:val="23"/>
        </w:rPr>
      </w:pPr>
      <w:r>
        <w:rPr/>
        <w:pict>
          <v:line style="position:absolute;mso-position-horizontal-relative:page;mso-position-vertical-relative:paragraph;z-index:15740416" from="172.431824pt,5.201805pt" to="187.490322pt,5.201805pt" stroked="true" strokeweight=".511906pt" strokecolor="#000000">
            <v:stroke dashstyle="solid"/>
            <w10:wrap type="none"/>
          </v:line>
        </w:pict>
      </w:r>
      <w:r>
        <w:rPr/>
        <w:pict>
          <v:shape style="position:absolute;margin-left:175.681717pt;margin-top:4.951474pt;width:6.2pt;height:15.35pt;mso-position-horizontal-relative:page;mso-position-vertical-relative:paragraph;z-index:1574246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w w:val="94"/>
                      <w:sz w:val="25"/>
                    </w:rPr>
                    <w:t>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2"/>
          <w:sz w:val="23"/>
        </w:rPr>
        <w:t></w:t>
      </w:r>
    </w:p>
    <w:p>
      <w:pPr>
        <w:spacing w:before="67"/>
        <w:ind w:left="2663" w:right="0" w:firstLine="0"/>
        <w:jc w:val="left"/>
        <w:rPr>
          <w:rFonts w:ascii="Times New Roman" w:hAnsi="Times New Roman"/>
          <w:sz w:val="14"/>
        </w:rPr>
      </w:pPr>
      <w:r>
        <w:rPr>
          <w:rFonts w:ascii="Symbol" w:hAnsi="Symbol"/>
          <w:w w:val="105"/>
          <w:sz w:val="14"/>
        </w:rPr>
        <w:t></w:t>
      </w:r>
      <w:r>
        <w:rPr>
          <w:rFonts w:ascii="Times New Roman" w:hAnsi="Times New Roman"/>
          <w:w w:val="105"/>
          <w:sz w:val="14"/>
          <w:vertAlign w:val="subscript"/>
        </w:rPr>
        <w:t>0</w:t>
      </w:r>
    </w:p>
    <w:p>
      <w:pPr>
        <w:pStyle w:val="BodyText"/>
        <w:spacing w:before="7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line="151" w:lineRule="exact" w:before="1"/>
        <w:ind w:left="167" w:right="0" w:firstLine="0"/>
        <w:jc w:val="center"/>
        <w:rPr>
          <w:rFonts w:ascii="Times New Roman"/>
          <w:i/>
          <w:sz w:val="14"/>
        </w:rPr>
      </w:pPr>
      <w:r>
        <w:rPr>
          <w:rFonts w:ascii="Times New Roman"/>
          <w:i/>
          <w:w w:val="98"/>
          <w:sz w:val="14"/>
        </w:rPr>
        <w:t>t</w:t>
      </w:r>
    </w:p>
    <w:p>
      <w:pPr>
        <w:spacing w:line="399" w:lineRule="exact" w:before="0"/>
        <w:ind w:left="65" w:right="0" w:firstLine="0"/>
        <w:jc w:val="left"/>
        <w:rPr>
          <w:rFonts w:ascii="Times New Roman" w:hAnsi="Times New Roman"/>
          <w:i/>
          <w:sz w:val="23"/>
        </w:rPr>
      </w:pP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k</w:t>
      </w:r>
      <w:r>
        <w:rPr>
          <w:rFonts w:ascii="Times New Roman" w:hAnsi="Times New Roman"/>
          <w:position w:val="-5"/>
          <w:sz w:val="14"/>
        </w:rPr>
        <w:t>1</w:t>
      </w:r>
      <w:r>
        <w:rPr>
          <w:rFonts w:ascii="Times New Roman" w:hAnsi="Times New Roman"/>
          <w:spacing w:val="7"/>
          <w:position w:val="-5"/>
          <w:sz w:val="14"/>
        </w:rPr>
        <w:t> </w:t>
      </w:r>
      <w:r>
        <w:rPr>
          <w:rFonts w:ascii="Symbol" w:hAnsi="Symbol"/>
          <w:position w:val="-8"/>
          <w:sz w:val="35"/>
        </w:rPr>
        <w:t></w:t>
      </w:r>
      <w:r>
        <w:rPr>
          <w:rFonts w:ascii="Times New Roman" w:hAnsi="Times New Roman"/>
          <w:spacing w:val="-34"/>
          <w:position w:val="-8"/>
          <w:sz w:val="35"/>
        </w:rPr>
        <w:t> </w:t>
      </w:r>
      <w:r>
        <w:rPr>
          <w:rFonts w:ascii="Times New Roman" w:hAnsi="Times New Roman"/>
          <w:i/>
          <w:sz w:val="23"/>
        </w:rPr>
        <w:t>dt</w:t>
      </w:r>
    </w:p>
    <w:p>
      <w:pPr>
        <w:spacing w:line="141" w:lineRule="exact" w:before="0"/>
        <w:ind w:left="178" w:right="0" w:firstLine="0"/>
        <w:jc w:val="center"/>
        <w:rPr>
          <w:rFonts w:ascii="Times New Roman"/>
          <w:sz w:val="14"/>
        </w:rPr>
      </w:pPr>
      <w:r>
        <w:rPr>
          <w:rFonts w:ascii="Times New Roman"/>
          <w:w w:val="98"/>
          <w:sz w:val="14"/>
        </w:rPr>
        <w:t>0</w:t>
      </w:r>
    </w:p>
    <w:p>
      <w:pPr>
        <w:pStyle w:val="BodyTex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pStyle w:val="BodyText"/>
        <w:ind w:left="2663"/>
      </w:pPr>
      <w:r>
        <w:rPr/>
        <w:t>2.12</w:t>
      </w:r>
    </w:p>
    <w:p>
      <w:pPr>
        <w:spacing w:after="0"/>
        <w:sectPr>
          <w:type w:val="continuous"/>
          <w:pgSz w:w="11910" w:h="16840"/>
          <w:pgMar w:top="1580" w:bottom="1180" w:left="420" w:right="0"/>
          <w:cols w:num="3" w:equalWidth="0">
            <w:col w:w="3288" w:space="40"/>
            <w:col w:w="853" w:space="2995"/>
            <w:col w:w="4314"/>
          </w:cols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100"/>
        <w:ind w:left="1198"/>
      </w:pPr>
      <w:r>
        <w:rPr/>
        <w:t>Solution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2.12 is</w:t>
      </w: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580" w:bottom="1180" w:left="420" w:right="0"/>
        </w:sectPr>
      </w:pPr>
    </w:p>
    <w:p>
      <w:pPr>
        <w:spacing w:line="272" w:lineRule="exact" w:before="107"/>
        <w:ind w:left="0" w:right="22" w:firstLine="0"/>
        <w:jc w:val="right"/>
        <w:rPr>
          <w:rFonts w:ascii="Times New Roman" w:hAnsi="Times New Roman"/>
          <w:i/>
          <w:sz w:val="9"/>
        </w:rPr>
      </w:pPr>
      <w:r>
        <w:rPr/>
        <w:pict>
          <v:shape style="position:absolute;margin-left:189.378113pt;margin-top:13.383138pt;width:3.8pt;height:8.6pt;mso-position-horizontal-relative:page;mso-position-vertical-relative:paragraph;z-index:-2446284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14"/>
                    </w:rPr>
                  </w:pPr>
                  <w:r>
                    <w:rPr>
                      <w:rFonts w:ascii="Symbol" w:hAnsi="Symbol"/>
                      <w:w w:val="103"/>
                      <w:sz w:val="14"/>
                    </w:rPr>
                    <w:t>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12"/>
          <w:sz w:val="22"/>
        </w:rPr>
        <w:t></w:t>
      </w:r>
      <w:r>
        <w:rPr>
          <w:rFonts w:ascii="Times New Roman" w:hAnsi="Times New Roman"/>
          <w:spacing w:val="-22"/>
          <w:sz w:val="22"/>
        </w:rPr>
        <w:t> </w:t>
      </w:r>
      <w:r>
        <w:rPr>
          <w:rFonts w:ascii="Times New Roman" w:hAnsi="Times New Roman"/>
          <w:spacing w:val="-11"/>
          <w:w w:val="112"/>
          <w:sz w:val="22"/>
        </w:rPr>
        <w:t>[</w:t>
      </w:r>
      <w:r>
        <w:rPr>
          <w:rFonts w:ascii="Times New Roman" w:hAnsi="Times New Roman"/>
          <w:spacing w:val="2"/>
          <w:w w:val="112"/>
          <w:sz w:val="22"/>
        </w:rPr>
        <w:t>l</w:t>
      </w:r>
      <w:r>
        <w:rPr>
          <w:rFonts w:ascii="Times New Roman" w:hAnsi="Times New Roman"/>
          <w:spacing w:val="19"/>
          <w:w w:val="112"/>
          <w:sz w:val="22"/>
        </w:rPr>
        <w:t>n</w:t>
      </w:r>
      <w:r>
        <w:rPr>
          <w:rFonts w:ascii="Symbol" w:hAnsi="Symbol"/>
          <w:w w:val="103"/>
          <w:sz w:val="24"/>
        </w:rPr>
        <w:t></w:t>
      </w:r>
      <w:r>
        <w:rPr>
          <w:rFonts w:ascii="Times New Roman" w:hAnsi="Times New Roman"/>
          <w:spacing w:val="-33"/>
          <w:sz w:val="24"/>
        </w:rPr>
        <w:t> </w:t>
      </w:r>
      <w:r>
        <w:rPr>
          <w:rFonts w:ascii="Times New Roman" w:hAnsi="Times New Roman"/>
          <w:spacing w:val="-4"/>
          <w:w w:val="112"/>
          <w:sz w:val="22"/>
        </w:rPr>
        <w:t>]</w:t>
      </w:r>
      <w:r>
        <w:rPr>
          <w:rFonts w:ascii="Symbol" w:hAnsi="Symbol"/>
          <w:spacing w:val="6"/>
          <w:w w:val="103"/>
          <w:sz w:val="22"/>
          <w:vertAlign w:val="superscript"/>
        </w:rPr>
        <w:t></w:t>
      </w:r>
      <w:r>
        <w:rPr>
          <w:rFonts w:ascii="Times New Roman" w:hAnsi="Times New Roman"/>
          <w:i/>
          <w:w w:val="115"/>
          <w:position w:val="7"/>
          <w:sz w:val="9"/>
          <w:vertAlign w:val="baseline"/>
        </w:rPr>
        <w:t>t</w:t>
      </w:r>
    </w:p>
    <w:p>
      <w:pPr>
        <w:spacing w:line="82" w:lineRule="exact" w:before="0"/>
        <w:ind w:left="0" w:right="0" w:firstLine="0"/>
        <w:jc w:val="right"/>
        <w:rPr>
          <w:rFonts w:ascii="Times New Roman"/>
          <w:sz w:val="9"/>
        </w:rPr>
      </w:pPr>
      <w:r>
        <w:rPr>
          <w:rFonts w:ascii="Times New Roman"/>
          <w:w w:val="115"/>
          <w:sz w:val="9"/>
        </w:rPr>
        <w:t>0</w:t>
      </w:r>
    </w:p>
    <w:p>
      <w:pPr>
        <w:spacing w:before="127"/>
        <w:ind w:left="67" w:right="0" w:firstLine="0"/>
        <w:jc w:val="left"/>
        <w:rPr>
          <w:rFonts w:ascii="Times New Roman" w:hAnsi="Times New Roman"/>
          <w:i/>
          <w:sz w:val="22"/>
        </w:rPr>
      </w:pPr>
      <w:r>
        <w:rPr/>
        <w:br w:type="column"/>
      </w:r>
      <w:r>
        <w:rPr>
          <w:rFonts w:ascii="Symbol" w:hAnsi="Symbol"/>
          <w:w w:val="110"/>
          <w:sz w:val="22"/>
        </w:rPr>
        <w:t></w:t>
      </w:r>
      <w:r>
        <w:rPr>
          <w:rFonts w:ascii="Times New Roman" w:hAnsi="Times New Roman"/>
          <w:spacing w:val="2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k</w:t>
      </w:r>
      <w:r>
        <w:rPr>
          <w:rFonts w:ascii="Times New Roman" w:hAnsi="Times New Roman"/>
          <w:w w:val="110"/>
          <w:position w:val="-5"/>
          <w:sz w:val="13"/>
        </w:rPr>
        <w:t>1</w:t>
      </w:r>
      <w:r>
        <w:rPr>
          <w:rFonts w:ascii="Times New Roman" w:hAnsi="Times New Roman"/>
          <w:i/>
          <w:w w:val="110"/>
          <w:sz w:val="22"/>
        </w:rPr>
        <w:t>t</w:t>
      </w:r>
    </w:p>
    <w:p>
      <w:pPr>
        <w:pStyle w:val="BodyText"/>
        <w:spacing w:before="100"/>
        <w:ind w:left="2675"/>
      </w:pPr>
      <w:r>
        <w:rPr/>
        <w:br w:type="column"/>
      </w:r>
      <w:r>
        <w:rPr/>
        <w:t>2.13</w:t>
      </w:r>
    </w:p>
    <w:p>
      <w:pPr>
        <w:spacing w:after="0"/>
        <w:sectPr>
          <w:type w:val="continuous"/>
          <w:pgSz w:w="11910" w:h="16840"/>
          <w:pgMar w:top="1580" w:bottom="1180" w:left="420" w:right="0"/>
          <w:cols w:num="3" w:equalWidth="0">
            <w:col w:w="3503" w:space="40"/>
            <w:col w:w="551" w:space="3070"/>
            <w:col w:w="4326"/>
          </w:cols>
        </w:sect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spacing w:before="100"/>
        <w:ind w:left="1198"/>
      </w:pPr>
      <w:r>
        <w:rPr/>
        <w:t>Rearranging</w:t>
      </w:r>
      <w:r>
        <w:rPr>
          <w:spacing w:val="-5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2.13,</w:t>
      </w:r>
      <w:r>
        <w:rPr>
          <w:spacing w:val="-4"/>
        </w:rPr>
        <w:t> </w:t>
      </w:r>
      <w:r>
        <w:rPr/>
        <w:t>gives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pseudo-first</w:t>
      </w:r>
      <w:r>
        <w:rPr>
          <w:spacing w:val="-4"/>
        </w:rPr>
        <w:t> </w:t>
      </w:r>
      <w:r>
        <w:rPr/>
        <w:t>order</w:t>
      </w:r>
      <w:r>
        <w:rPr>
          <w:spacing w:val="-4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used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2671" w:right="0" w:firstLine="0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ln</w:t>
      </w:r>
      <w:r>
        <w:rPr>
          <w:rFonts w:ascii="Symbol" w:hAnsi="Symbol"/>
          <w:sz w:val="25"/>
        </w:rPr>
        <w:t></w:t>
      </w:r>
      <w:r>
        <w:rPr>
          <w:rFonts w:ascii="Times New Roman" w:hAnsi="Times New Roman"/>
          <w:i/>
          <w:sz w:val="25"/>
          <w:vertAlign w:val="subscript"/>
        </w:rPr>
        <w:t>t</w:t>
      </w:r>
      <w:r>
        <w:rPr>
          <w:rFonts w:ascii="Times New Roman" w:hAnsi="Times New Roman"/>
          <w:i/>
          <w:spacing w:val="57"/>
          <w:sz w:val="25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</w:t>
      </w:r>
      <w:r>
        <w:rPr>
          <w:rFonts w:ascii="Times New Roman" w:hAnsi="Times New Roman"/>
          <w:spacing w:val="-4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ln</w:t>
      </w:r>
      <w:r>
        <w:rPr>
          <w:rFonts w:ascii="Symbol" w:hAnsi="Symbol"/>
          <w:sz w:val="25"/>
          <w:vertAlign w:val="baseline"/>
        </w:rPr>
        <w:t></w:t>
      </w:r>
      <w:r>
        <w:rPr>
          <w:rFonts w:ascii="Times New Roman" w:hAnsi="Times New Roman"/>
          <w:sz w:val="25"/>
          <w:vertAlign w:val="subscript"/>
        </w:rPr>
        <w:t>0</w:t>
      </w:r>
      <w:r>
        <w:rPr>
          <w:rFonts w:ascii="Times New Roman" w:hAnsi="Times New Roman"/>
          <w:spacing w:val="45"/>
          <w:sz w:val="25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</w:t>
      </w:r>
      <w:r>
        <w:rPr>
          <w:rFonts w:ascii="Times New Roman" w:hAnsi="Times New Roman"/>
          <w:spacing w:val="1"/>
          <w:sz w:val="24"/>
          <w:vertAlign w:val="baseline"/>
        </w:rPr>
        <w:t> </w:t>
      </w:r>
      <w:r>
        <w:rPr>
          <w:rFonts w:ascii="Times New Roman" w:hAnsi="Times New Roman"/>
          <w:i/>
          <w:sz w:val="24"/>
          <w:vertAlign w:val="baseline"/>
        </w:rPr>
        <w:t>k</w:t>
      </w:r>
      <w:r>
        <w:rPr>
          <w:rFonts w:ascii="Times New Roman" w:hAnsi="Times New Roman"/>
          <w:position w:val="-5"/>
          <w:sz w:val="14"/>
          <w:vertAlign w:val="baseline"/>
        </w:rPr>
        <w:t>1</w:t>
      </w:r>
      <w:r>
        <w:rPr>
          <w:rFonts w:ascii="Times New Roman" w:hAnsi="Times New Roman"/>
          <w:i/>
          <w:sz w:val="24"/>
          <w:vertAlign w:val="baseline"/>
        </w:rPr>
        <w:t>t</w:t>
      </w:r>
    </w:p>
    <w:p>
      <w:pPr>
        <w:pStyle w:val="BodyText"/>
        <w:rPr>
          <w:rFonts w:ascii="Times New Roman"/>
          <w:i/>
          <w:sz w:val="28"/>
        </w:rPr>
      </w:pPr>
      <w:r>
        <w:rPr/>
        <w:br w:type="column"/>
      </w:r>
      <w:r>
        <w:rPr>
          <w:rFonts w:ascii="Times New Roman"/>
          <w:i/>
          <w:sz w:val="28"/>
        </w:rPr>
      </w:r>
    </w:p>
    <w:p>
      <w:pPr>
        <w:pStyle w:val="BodyText"/>
        <w:spacing w:before="6"/>
        <w:rPr>
          <w:rFonts w:ascii="Times New Roman"/>
          <w:i/>
          <w:sz w:val="31"/>
        </w:rPr>
      </w:pPr>
    </w:p>
    <w:p>
      <w:pPr>
        <w:pStyle w:val="BodyText"/>
        <w:ind w:left="186"/>
      </w:pPr>
      <w:r>
        <w:rPr/>
        <w:t>2.14</w:t>
      </w:r>
    </w:p>
    <w:p>
      <w:pPr>
        <w:spacing w:after="0"/>
        <w:sectPr>
          <w:type w:val="continuous"/>
          <w:pgSz w:w="11910" w:h="16840"/>
          <w:pgMar w:top="1580" w:bottom="1180" w:left="420" w:right="0"/>
          <w:cols w:num="2" w:equalWidth="0">
            <w:col w:w="9613" w:space="40"/>
            <w:col w:w="1837"/>
          </w:cols>
        </w:sect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480" w:lineRule="auto" w:before="100"/>
        <w:ind w:left="1198" w:right="581"/>
        <w:jc w:val="both"/>
      </w:pPr>
      <w:r>
        <w:rPr/>
        <w:t>Oils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transported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subsequently they can diffuse into the interior of the particles if they are porous. When the</w:t>
      </w:r>
      <w:r>
        <w:rPr>
          <w:spacing w:val="-72"/>
        </w:rPr>
        <w:t> </w:t>
      </w:r>
      <w:r>
        <w:rPr/>
        <w:t>transport of the adsorbate from the liquid phase up to the solid phase plays a significant</w:t>
      </w:r>
      <w:r>
        <w:rPr>
          <w:spacing w:val="1"/>
        </w:rPr>
        <w:t> </w:t>
      </w:r>
      <w:r>
        <w:rPr/>
        <w:t>role in the sorption, liquid film diffusion may be applied. Equation representing liquid film</w:t>
      </w:r>
      <w:r>
        <w:rPr>
          <w:spacing w:val="1"/>
        </w:rPr>
        <w:t> </w:t>
      </w:r>
      <w:r>
        <w:rPr/>
        <w:t>diffusion</w:t>
      </w:r>
      <w:r>
        <w:rPr>
          <w:spacing w:val="-2"/>
        </w:rPr>
        <w:t> </w:t>
      </w:r>
      <w:r>
        <w:rPr/>
        <w:t>kinetics is (Taffarel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Rubio,</w:t>
      </w:r>
      <w:r>
        <w:rPr>
          <w:spacing w:val="1"/>
        </w:rPr>
        <w:t> </w:t>
      </w:r>
      <w:r>
        <w:rPr/>
        <w:t>2009);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tabs>
          <w:tab w:pos="10306" w:val="right" w:leader="none"/>
        </w:tabs>
        <w:spacing w:before="75"/>
        <w:ind w:left="2638"/>
      </w:pPr>
      <w:r>
        <w:rPr/>
        <w:t>Ln(1-F)</w:t>
      </w:r>
      <w:r>
        <w:rPr>
          <w:spacing w:val="-2"/>
        </w:rPr>
        <w:t> </w:t>
      </w:r>
      <w:r>
        <w:rPr/>
        <w:t>= -k</w:t>
      </w:r>
      <w:r>
        <w:rPr>
          <w:vertAlign w:val="subscript"/>
        </w:rPr>
        <w:t>fd</w:t>
      </w:r>
      <w:r>
        <w:rPr>
          <w:vertAlign w:val="baseline"/>
        </w:rPr>
        <w:t>. t</w:t>
        <w:tab/>
        <w:t>2.23</w:t>
      </w:r>
    </w:p>
    <w:p>
      <w:pPr>
        <w:pStyle w:val="BodyText"/>
        <w:spacing w:before="291"/>
        <w:ind w:left="1198"/>
      </w:pPr>
      <w:r>
        <w:rPr/>
        <w:t>Where</w:t>
      </w:r>
      <w:r>
        <w:rPr>
          <w:spacing w:val="-2"/>
        </w:rPr>
        <w:t> </w:t>
      </w:r>
      <w:r>
        <w:rPr/>
        <w:t>F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fractional</w:t>
      </w:r>
      <w:r>
        <w:rPr>
          <w:spacing w:val="-1"/>
        </w:rPr>
        <w:t> </w:t>
      </w:r>
      <w:r>
        <w:rPr/>
        <w:t>attainment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equilibrium</w:t>
      </w:r>
      <w:r>
        <w:rPr>
          <w:spacing w:val="-2"/>
        </w:rPr>
        <w:t> </w:t>
      </w:r>
      <w:r>
        <w:rPr/>
        <w:t>(F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qt/qe)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k</w:t>
      </w:r>
      <w:r>
        <w:rPr>
          <w:vertAlign w:val="subscript"/>
        </w:rPr>
        <w:t>fd</w:t>
      </w:r>
      <w:r>
        <w:rPr>
          <w:spacing w:val="-3"/>
          <w:vertAlign w:val="baseline"/>
        </w:rPr>
        <w:t> </w:t>
      </w:r>
      <w:r>
        <w:rPr>
          <w:vertAlign w:val="baseline"/>
        </w:rPr>
        <w:t>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rate</w:t>
      </w:r>
      <w:r>
        <w:rPr>
          <w:spacing w:val="-1"/>
          <w:vertAlign w:val="baseline"/>
        </w:rPr>
        <w:t> </w:t>
      </w:r>
      <w:r>
        <w:rPr>
          <w:vertAlign w:val="baseline"/>
        </w:rPr>
        <w:t>constant.</w:t>
      </w:r>
    </w:p>
    <w:p>
      <w:pPr>
        <w:pStyle w:val="BodyText"/>
        <w:tabs>
          <w:tab w:pos="2637" w:val="left" w:leader="none"/>
        </w:tabs>
        <w:spacing w:before="870"/>
        <w:ind w:left="1198"/>
      </w:pPr>
      <w:r>
        <w:rPr/>
        <w:t>Table</w:t>
      </w:r>
      <w:r>
        <w:rPr>
          <w:spacing w:val="-2"/>
        </w:rPr>
        <w:t> </w:t>
      </w:r>
      <w:r>
        <w:rPr/>
        <w:t>2.1</w:t>
        <w:tab/>
        <w:t>linear</w:t>
      </w:r>
      <w:r>
        <w:rPr>
          <w:spacing w:val="-3"/>
        </w:rPr>
        <w:t> </w:t>
      </w:r>
      <w:r>
        <w:rPr/>
        <w:t>forms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kinetic</w:t>
      </w:r>
      <w:r>
        <w:rPr>
          <w:spacing w:val="-4"/>
        </w:rPr>
        <w:t> </w:t>
      </w:r>
      <w:r>
        <w:rPr/>
        <w:t>models</w:t>
      </w:r>
      <w:r>
        <w:rPr>
          <w:spacing w:val="-1"/>
        </w:rPr>
        <w:t> </w:t>
      </w:r>
      <w:r>
        <w:rPr/>
        <w:t>used</w:t>
      </w:r>
    </w:p>
    <w:p>
      <w:pPr>
        <w:spacing w:after="0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1775" w:val="left" w:leader="none"/>
          <w:tab w:pos="2733" w:val="left" w:leader="none"/>
        </w:tabs>
        <w:spacing w:line="482" w:lineRule="auto" w:before="0"/>
        <w:ind w:left="1198" w:right="1" w:firstLine="0"/>
        <w:jc w:val="left"/>
        <w:rPr>
          <w:sz w:val="22"/>
        </w:rPr>
      </w:pPr>
      <w:r>
        <w:rPr/>
        <w:pict>
          <v:shape style="position:absolute;margin-left:75.503998pt;margin-top:-106.984619pt;width:482.5pt;height:94.25pt;mso-position-horizontal-relative:page;mso-position-vertical-relative:paragraph;z-index:1574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69"/>
                    <w:gridCol w:w="2694"/>
                    <w:gridCol w:w="2164"/>
                    <w:gridCol w:w="2522"/>
                  </w:tblGrid>
                  <w:tr>
                    <w:trPr>
                      <w:trHeight w:val="529" w:hRule="atLeast"/>
                    </w:trPr>
                    <w:tc>
                      <w:tcPr>
                        <w:tcW w:w="226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Type</w:t>
                        </w:r>
                      </w:p>
                    </w:tc>
                    <w:tc>
                      <w:tcPr>
                        <w:tcW w:w="26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Linear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form</w:t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29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Plot</w:t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45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Parameters</w:t>
                        </w:r>
                      </w:p>
                    </w:tc>
                  </w:tr>
                  <w:tr>
                    <w:trPr>
                      <w:trHeight w:val="1339" w:hRule="atLeast"/>
                    </w:trPr>
                    <w:tc>
                      <w:tcPr>
                        <w:tcW w:w="226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192" w:val="left" w:leader="none"/>
                          </w:tabs>
                          <w:spacing w:line="480" w:lineRule="auto"/>
                          <w:ind w:left="107" w:right="1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Derived</w:t>
                          <w:tab/>
                        </w:r>
                        <w:r>
                          <w:rPr>
                            <w:spacing w:val="-1"/>
                            <w:sz w:val="22"/>
                          </w:rPr>
                          <w:t>first-order</w:t>
                        </w:r>
                        <w:r>
                          <w:rPr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kinetics</w:t>
                        </w:r>
                      </w:p>
                      <w:p>
                        <w:pPr>
                          <w:pStyle w:val="TableParagraph"/>
                          <w:tabs>
                            <w:tab w:pos="1461" w:val="left" w:leader="none"/>
                          </w:tabs>
                          <w:spacing w:line="255" w:lineRule="exact" w:before="2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Lagergren</w:t>
                          <w:tab/>
                          <w:t>pseudo</w:t>
                        </w:r>
                      </w:p>
                    </w:tc>
                    <w:tc>
                      <w:tcPr>
                        <w:tcW w:w="269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10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ln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ϴ</w:t>
                        </w:r>
                        <w:r>
                          <w:rPr>
                            <w:sz w:val="22"/>
                            <w:szCs w:val="22"/>
                            <w:vertAlign w:val="subscript"/>
                          </w:rPr>
                          <w:t>t</w:t>
                        </w:r>
                        <w:r>
                          <w:rPr>
                            <w:spacing w:val="-3"/>
                            <w:sz w:val="22"/>
                            <w:szCs w:val="22"/>
                            <w:vertAlign w:val="baseline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=</w:t>
                        </w:r>
                        <w:r>
                          <w:rPr>
                            <w:spacing w:val="-2"/>
                            <w:sz w:val="22"/>
                            <w:szCs w:val="22"/>
                            <w:vertAlign w:val="baseline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ln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vertAlign w:val="baseline"/>
                          </w:rPr>
                          <w:t>ϴ</w:t>
                        </w:r>
                        <w:r>
                          <w:rPr>
                            <w:sz w:val="22"/>
                            <w:szCs w:val="22"/>
                            <w:vertAlign w:val="subscript"/>
                          </w:rPr>
                          <w:t>o</w:t>
                        </w:r>
                        <w:r>
                          <w:rPr>
                            <w:spacing w:val="1"/>
                            <w:sz w:val="22"/>
                            <w:szCs w:val="22"/>
                            <w:vertAlign w:val="baseline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–</w:t>
                        </w:r>
                        <w:r>
                          <w:rPr>
                            <w:spacing w:val="-2"/>
                            <w:sz w:val="22"/>
                            <w:szCs w:val="22"/>
                            <w:vertAlign w:val="baseline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K</w:t>
                        </w:r>
                        <w:r>
                          <w:rPr>
                            <w:sz w:val="22"/>
                            <w:szCs w:val="22"/>
                            <w:vertAlign w:val="subscript"/>
                          </w:rPr>
                          <w:t>1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t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left="0"/>
                          <w:rPr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spacing w:line="260" w:lineRule="exact"/>
                          <w:ind w:left="10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ln(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ϴ</w:t>
                        </w:r>
                        <w:r>
                          <w:rPr>
                            <w:sz w:val="22"/>
                            <w:szCs w:val="22"/>
                            <w:vertAlign w:val="subscript"/>
                          </w:rPr>
                          <w:t>o</w:t>
                        </w:r>
                        <w:r>
                          <w:rPr>
                            <w:spacing w:val="1"/>
                            <w:sz w:val="22"/>
                            <w:szCs w:val="22"/>
                            <w:vertAlign w:val="baseline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-</w:t>
                        </w:r>
                        <w:r>
                          <w:rPr>
                            <w:spacing w:val="-2"/>
                            <w:sz w:val="22"/>
                            <w:szCs w:val="2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vertAlign w:val="baseline"/>
                          </w:rPr>
                          <w:t>ϴ</w:t>
                        </w:r>
                        <w:r>
                          <w:rPr>
                            <w:sz w:val="22"/>
                            <w:szCs w:val="22"/>
                            <w:vertAlign w:val="subscript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)</w:t>
                        </w:r>
                        <w:r>
                          <w:rPr>
                            <w:spacing w:val="-1"/>
                            <w:sz w:val="22"/>
                            <w:szCs w:val="22"/>
                            <w:vertAlign w:val="baseline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=</w:t>
                        </w:r>
                        <w:r>
                          <w:rPr>
                            <w:spacing w:val="68"/>
                            <w:sz w:val="22"/>
                            <w:szCs w:val="22"/>
                            <w:vertAlign w:val="baseline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ln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vertAlign w:val="baseline"/>
                          </w:rPr>
                          <w:t>ϴ</w:t>
                        </w:r>
                        <w:r>
                          <w:rPr>
                            <w:sz w:val="22"/>
                            <w:szCs w:val="22"/>
                            <w:vertAlign w:val="subscript"/>
                          </w:rPr>
                          <w:t>0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 –</w:t>
                        </w:r>
                        <w:r>
                          <w:rPr>
                            <w:spacing w:val="-4"/>
                            <w:sz w:val="22"/>
                            <w:szCs w:val="22"/>
                            <w:vertAlign w:val="baseline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k</w:t>
                        </w:r>
                        <w:r>
                          <w:rPr>
                            <w:sz w:val="22"/>
                            <w:szCs w:val="22"/>
                            <w:vertAlign w:val="superscript"/>
                          </w:rPr>
                          <w:t>1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t</w:t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29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ln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ϴ</w:t>
                        </w:r>
                        <w:r>
                          <w:rPr>
                            <w:sz w:val="22"/>
                            <w:szCs w:val="22"/>
                            <w:vertAlign w:val="subscript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vs</w:t>
                        </w:r>
                        <w:r>
                          <w:rPr>
                            <w:spacing w:val="-2"/>
                            <w:sz w:val="22"/>
                            <w:szCs w:val="22"/>
                            <w:vertAlign w:val="baseline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t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left="0"/>
                          <w:rPr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spacing w:line="260" w:lineRule="exact"/>
                          <w:ind w:left="29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ln(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ϴ</w:t>
                        </w:r>
                        <w:r>
                          <w:rPr>
                            <w:sz w:val="22"/>
                            <w:szCs w:val="22"/>
                            <w:vertAlign w:val="subscript"/>
                          </w:rPr>
                          <w:t>o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 -</w:t>
                        </w:r>
                        <w:r>
                          <w:rPr>
                            <w:spacing w:val="-2"/>
                            <w:sz w:val="22"/>
                            <w:szCs w:val="2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vertAlign w:val="baseline"/>
                          </w:rPr>
                          <w:t>ϴ</w:t>
                        </w:r>
                        <w:r>
                          <w:rPr>
                            <w:sz w:val="22"/>
                            <w:szCs w:val="22"/>
                            <w:vertAlign w:val="subscript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)</w:t>
                        </w:r>
                        <w:r>
                          <w:rPr>
                            <w:spacing w:val="-1"/>
                            <w:sz w:val="22"/>
                            <w:szCs w:val="22"/>
                            <w:vertAlign w:val="baseline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vs t</w:t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45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</w:t>
                        </w:r>
                        <w:r>
                          <w:rPr>
                            <w:sz w:val="22"/>
                            <w:vertAlign w:val="subscript"/>
                          </w:rPr>
                          <w:t>1</w:t>
                        </w:r>
                        <w:r>
                          <w:rPr>
                            <w:sz w:val="22"/>
                            <w:vertAlign w:val="baseline"/>
                          </w:rPr>
                          <w:t> =</w:t>
                        </w:r>
                        <w:r>
                          <w:rPr>
                            <w:spacing w:val="-1"/>
                            <w:sz w:val="22"/>
                            <w:vertAlign w:val="baseline"/>
                          </w:rPr>
                          <w:t> </w:t>
                        </w:r>
                        <w:r>
                          <w:rPr>
                            <w:sz w:val="22"/>
                            <w:vertAlign w:val="baseline"/>
                          </w:rPr>
                          <w:t>slope,</w:t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5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ϴ</w:t>
                        </w:r>
                        <w:r>
                          <w:rPr>
                            <w:sz w:val="22"/>
                            <w:szCs w:val="22"/>
                            <w:vertAlign w:val="subscript"/>
                          </w:rPr>
                          <w:t>o</w:t>
                        </w:r>
                        <w:r>
                          <w:rPr>
                            <w:spacing w:val="-1"/>
                            <w:sz w:val="22"/>
                            <w:szCs w:val="22"/>
                            <w:vertAlign w:val="baseline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=</w:t>
                        </w:r>
                        <w:r>
                          <w:rPr>
                            <w:spacing w:val="-2"/>
                            <w:sz w:val="22"/>
                            <w:szCs w:val="22"/>
                            <w:vertAlign w:val="baseline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ln</w:t>
                        </w:r>
                        <w:r>
                          <w:rPr>
                            <w:sz w:val="22"/>
                            <w:szCs w:val="22"/>
                            <w:vertAlign w:val="superscript"/>
                          </w:rPr>
                          <w:t>-1</w:t>
                        </w:r>
                        <w:r>
                          <w:rPr>
                            <w:spacing w:val="-1"/>
                            <w:sz w:val="22"/>
                            <w:szCs w:val="22"/>
                            <w:vertAlign w:val="baseline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  <w:vertAlign w:val="baseline"/>
                          </w:rPr>
                          <w:t>Intercept</w:t>
                        </w:r>
                      </w:p>
                      <w:p>
                        <w:pPr>
                          <w:pStyle w:val="TableParagraph"/>
                          <w:spacing w:line="260" w:lineRule="exact" w:before="265"/>
                          <w:ind w:left="45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ϴ</w:t>
                        </w:r>
                        <w:r>
                          <w:rPr>
                            <w:spacing w:val="-1"/>
                            <w:sz w:val="22"/>
                            <w:szCs w:val="22"/>
                            <w:vertAlign w:val="subscript"/>
                          </w:rPr>
                          <w:t>o</w:t>
                        </w:r>
                        <w:r>
                          <w:rPr>
                            <w:spacing w:val="-25"/>
                            <w:sz w:val="22"/>
                            <w:szCs w:val="22"/>
                            <w:vertAlign w:val="baseline"/>
                          </w:rPr>
                          <w:t> </w:t>
                        </w:r>
                        <w:r>
                          <w:rPr>
                            <w:spacing w:val="-1"/>
                            <w:sz w:val="22"/>
                            <w:szCs w:val="22"/>
                            <w:vertAlign w:val="subscript"/>
                          </w:rPr>
                          <w:t>=</w:t>
                        </w:r>
                        <w:r>
                          <w:rPr>
                            <w:spacing w:val="-26"/>
                            <w:sz w:val="22"/>
                            <w:szCs w:val="22"/>
                            <w:vertAlign w:val="baseline"/>
                          </w:rPr>
                          <w:t> </w:t>
                        </w:r>
                        <w:r>
                          <w:rPr>
                            <w:spacing w:val="-1"/>
                            <w:sz w:val="22"/>
                            <w:szCs w:val="22"/>
                            <w:vertAlign w:val="baseline"/>
                          </w:rPr>
                          <w:t>ln</w:t>
                        </w:r>
                        <w:r>
                          <w:rPr>
                            <w:spacing w:val="-1"/>
                            <w:sz w:val="22"/>
                            <w:szCs w:val="22"/>
                            <w:vertAlign w:val="superscript"/>
                          </w:rPr>
                          <w:t>-1</w:t>
                        </w:r>
                        <w:r>
                          <w:rPr>
                            <w:spacing w:val="1"/>
                            <w:sz w:val="22"/>
                            <w:szCs w:val="22"/>
                            <w:vertAlign w:val="baseline"/>
                          </w:rPr>
                          <w:t> </w:t>
                        </w:r>
                        <w:r>
                          <w:rPr>
                            <w:spacing w:val="-1"/>
                            <w:sz w:val="22"/>
                            <w:szCs w:val="22"/>
                            <w:vertAlign w:val="baseline"/>
                          </w:rPr>
                          <w:t>slope,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first-order kinetics</w:t>
      </w:r>
      <w:r>
        <w:rPr>
          <w:spacing w:val="1"/>
          <w:sz w:val="22"/>
        </w:rPr>
        <w:t> </w:t>
      </w:r>
      <w:r>
        <w:rPr>
          <w:sz w:val="22"/>
        </w:rPr>
        <w:t>Hill</w:t>
        <w:tab/>
        <w:t>second</w:t>
        <w:tab/>
      </w:r>
      <w:r>
        <w:rPr>
          <w:spacing w:val="-1"/>
          <w:sz w:val="22"/>
        </w:rPr>
        <w:t>order</w:t>
      </w:r>
      <w:r>
        <w:rPr>
          <w:spacing w:val="-66"/>
          <w:sz w:val="22"/>
        </w:rPr>
        <w:t> </w:t>
      </w:r>
      <w:r>
        <w:rPr>
          <w:sz w:val="22"/>
        </w:rPr>
        <w:t>kinetics</w:t>
      </w:r>
    </w:p>
    <w:p>
      <w:pPr>
        <w:spacing w:line="480" w:lineRule="auto" w:before="0"/>
        <w:ind w:left="1198" w:right="0" w:firstLine="0"/>
        <w:jc w:val="left"/>
        <w:rPr>
          <w:sz w:val="22"/>
        </w:rPr>
      </w:pPr>
      <w:r>
        <w:rPr>
          <w:sz w:val="22"/>
        </w:rPr>
        <w:t>Ho</w:t>
      </w:r>
      <w:r>
        <w:rPr>
          <w:spacing w:val="17"/>
          <w:sz w:val="22"/>
        </w:rPr>
        <w:t> </w:t>
      </w:r>
      <w:r>
        <w:rPr>
          <w:sz w:val="22"/>
        </w:rPr>
        <w:t>pseudo</w:t>
      </w:r>
      <w:r>
        <w:rPr>
          <w:spacing w:val="18"/>
          <w:sz w:val="22"/>
        </w:rPr>
        <w:t> </w:t>
      </w:r>
      <w:r>
        <w:rPr>
          <w:sz w:val="22"/>
        </w:rPr>
        <w:t>second-</w:t>
      </w:r>
      <w:r>
        <w:rPr>
          <w:spacing w:val="-66"/>
          <w:sz w:val="22"/>
        </w:rPr>
        <w:t> </w:t>
      </w:r>
      <w:r>
        <w:rPr>
          <w:sz w:val="22"/>
        </w:rPr>
        <w:t>order</w:t>
      </w:r>
      <w:r>
        <w:rPr>
          <w:spacing w:val="-1"/>
          <w:sz w:val="22"/>
        </w:rPr>
        <w:t> </w:t>
      </w:r>
      <w:r>
        <w:rPr>
          <w:sz w:val="22"/>
        </w:rPr>
        <w:t>kinetics</w:t>
      </w:r>
    </w:p>
    <w:p>
      <w:pPr>
        <w:spacing w:line="480" w:lineRule="auto" w:before="1"/>
        <w:ind w:left="1198" w:right="789" w:firstLine="0"/>
        <w:jc w:val="left"/>
        <w:rPr>
          <w:sz w:val="22"/>
        </w:rPr>
      </w:pPr>
      <w:r>
        <w:rPr>
          <w:spacing w:val="-1"/>
          <w:sz w:val="22"/>
        </w:rPr>
        <w:t>Intra-particle</w:t>
      </w:r>
      <w:r>
        <w:rPr>
          <w:spacing w:val="-66"/>
          <w:sz w:val="22"/>
        </w:rPr>
        <w:t> </w:t>
      </w:r>
      <w:r>
        <w:rPr>
          <w:sz w:val="22"/>
        </w:rPr>
        <w:t>diffusion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34"/>
        </w:rPr>
      </w:pPr>
    </w:p>
    <w:p>
      <w:pPr>
        <w:spacing w:before="0"/>
        <w:ind w:left="5374" w:right="0" w:firstLine="0"/>
        <w:jc w:val="left"/>
        <w:rPr>
          <w:sz w:val="22"/>
        </w:rPr>
      </w:pPr>
      <w:r>
        <w:rPr>
          <w:sz w:val="22"/>
        </w:rPr>
        <w:t>K</w:t>
      </w:r>
      <w:r>
        <w:rPr>
          <w:sz w:val="22"/>
          <w:vertAlign w:val="superscript"/>
        </w:rPr>
        <w:t>1</w:t>
      </w:r>
      <w:r>
        <w:rPr>
          <w:sz w:val="22"/>
          <w:vertAlign w:val="baseline"/>
        </w:rPr>
        <w:t> =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slope</w:t>
      </w:r>
    </w:p>
    <w:p>
      <w:pPr>
        <w:pStyle w:val="BodyText"/>
        <w:spacing w:before="9"/>
        <w:rPr>
          <w:sz w:val="21"/>
        </w:rPr>
      </w:pPr>
    </w:p>
    <w:p>
      <w:pPr>
        <w:tabs>
          <w:tab w:pos="3053" w:val="left" w:leader="none"/>
          <w:tab w:pos="5374" w:val="left" w:leader="none"/>
        </w:tabs>
        <w:spacing w:before="0"/>
        <w:ind w:left="173" w:right="0" w:firstLine="0"/>
        <w:jc w:val="left"/>
        <w:rPr>
          <w:sz w:val="22"/>
          <w:szCs w:val="22"/>
        </w:rPr>
      </w:pPr>
      <w:r>
        <w:rPr>
          <w:spacing w:val="-1"/>
          <w:sz w:val="22"/>
          <w:szCs w:val="22"/>
        </w:rPr>
        <w:t>i/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ϴ</w:t>
      </w:r>
      <w:r>
        <w:rPr>
          <w:spacing w:val="-1"/>
          <w:sz w:val="22"/>
          <w:szCs w:val="22"/>
          <w:vertAlign w:val="subscript"/>
        </w:rPr>
        <w:t>t</w:t>
      </w:r>
      <w:r>
        <w:rPr>
          <w:spacing w:val="-1"/>
          <w:sz w:val="22"/>
          <w:szCs w:val="22"/>
          <w:vertAlign w:val="baseline"/>
        </w:rPr>
        <w:t>=</w:t>
      </w:r>
      <w:r>
        <w:rPr>
          <w:sz w:val="22"/>
          <w:szCs w:val="22"/>
          <w:vertAlign w:val="baseline"/>
        </w:rPr>
        <w:t> </w:t>
      </w:r>
      <w:r>
        <w:rPr>
          <w:spacing w:val="-1"/>
          <w:sz w:val="22"/>
          <w:szCs w:val="22"/>
          <w:vertAlign w:val="baseline"/>
        </w:rPr>
        <w:t>i/</w:t>
      </w:r>
      <w:r>
        <w:rPr>
          <w:rFonts w:ascii="Times New Roman" w:hAnsi="Times New Roman" w:cs="Times New Roman" w:eastAsia="Times New Roman"/>
          <w:spacing w:val="-1"/>
          <w:sz w:val="22"/>
          <w:szCs w:val="22"/>
          <w:vertAlign w:val="baseline"/>
        </w:rPr>
        <w:t>ϴ</w:t>
      </w:r>
      <w:r>
        <w:rPr>
          <w:spacing w:val="-1"/>
          <w:sz w:val="22"/>
          <w:szCs w:val="22"/>
          <w:vertAlign w:val="subscript"/>
        </w:rPr>
        <w:t>o</w:t>
      </w:r>
      <w:r>
        <w:rPr>
          <w:spacing w:val="-25"/>
          <w:sz w:val="22"/>
          <w:szCs w:val="22"/>
          <w:vertAlign w:val="baseline"/>
        </w:rPr>
        <w:t> </w:t>
      </w:r>
      <w:r>
        <w:rPr>
          <w:sz w:val="22"/>
          <w:szCs w:val="22"/>
          <w:vertAlign w:val="subscript"/>
        </w:rPr>
        <w:t>–</w:t>
      </w:r>
      <w:r>
        <w:rPr>
          <w:spacing w:val="-25"/>
          <w:sz w:val="22"/>
          <w:szCs w:val="22"/>
          <w:vertAlign w:val="baseline"/>
        </w:rPr>
        <w:t> </w:t>
      </w:r>
      <w:r>
        <w:rPr>
          <w:sz w:val="22"/>
          <w:szCs w:val="22"/>
          <w:vertAlign w:val="baseline"/>
        </w:rPr>
        <w:t>k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  <w:vertAlign w:val="baseline"/>
        </w:rPr>
        <w:t>t</w:t>
        <w:tab/>
        <w:t>i/</w:t>
      </w:r>
      <w:r>
        <w:rPr>
          <w:rFonts w:ascii="Times New Roman" w:hAnsi="Times New Roman" w:cs="Times New Roman" w:eastAsia="Times New Roman"/>
          <w:sz w:val="22"/>
          <w:szCs w:val="22"/>
          <w:vertAlign w:val="baseline"/>
        </w:rPr>
        <w:t>ϴ</w:t>
      </w:r>
      <w:r>
        <w:rPr>
          <w:sz w:val="22"/>
          <w:szCs w:val="22"/>
          <w:vertAlign w:val="subscript"/>
        </w:rPr>
        <w:t>t</w:t>
      </w:r>
      <w:r>
        <w:rPr>
          <w:sz w:val="22"/>
          <w:szCs w:val="22"/>
          <w:vertAlign w:val="baseline"/>
        </w:rPr>
        <w:t>vs t</w:t>
        <w:tab/>
      </w:r>
      <w:r>
        <w:rPr>
          <w:rFonts w:ascii="Times New Roman" w:hAnsi="Times New Roman" w:cs="Times New Roman" w:eastAsia="Times New Roman"/>
          <w:spacing w:val="-1"/>
          <w:sz w:val="22"/>
          <w:szCs w:val="22"/>
          <w:vertAlign w:val="baseline"/>
        </w:rPr>
        <w:t>ϴ</w:t>
      </w:r>
      <w:r>
        <w:rPr>
          <w:spacing w:val="-1"/>
          <w:sz w:val="22"/>
          <w:szCs w:val="22"/>
          <w:vertAlign w:val="subscript"/>
        </w:rPr>
        <w:t>o</w:t>
      </w:r>
      <w:r>
        <w:rPr>
          <w:spacing w:val="-23"/>
          <w:sz w:val="22"/>
          <w:szCs w:val="22"/>
          <w:vertAlign w:val="baseline"/>
        </w:rPr>
        <w:t> </w:t>
      </w:r>
      <w:r>
        <w:rPr>
          <w:spacing w:val="-1"/>
          <w:sz w:val="22"/>
          <w:szCs w:val="22"/>
          <w:vertAlign w:val="baseline"/>
        </w:rPr>
        <w:t>=</w:t>
      </w:r>
      <w:r>
        <w:rPr>
          <w:spacing w:val="3"/>
          <w:sz w:val="22"/>
          <w:szCs w:val="22"/>
          <w:vertAlign w:val="baseline"/>
        </w:rPr>
        <w:t> </w:t>
      </w:r>
      <w:r>
        <w:rPr>
          <w:spacing w:val="-1"/>
          <w:sz w:val="22"/>
          <w:szCs w:val="22"/>
          <w:vertAlign w:val="baseline"/>
        </w:rPr>
        <w:t>1/intercept,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5374" w:right="0" w:firstLine="0"/>
        <w:jc w:val="left"/>
        <w:rPr>
          <w:sz w:val="22"/>
        </w:rPr>
      </w:pPr>
      <w:r>
        <w:rPr>
          <w:sz w:val="22"/>
        </w:rPr>
        <w:t>K</w:t>
      </w:r>
      <w:r>
        <w:rPr>
          <w:sz w:val="22"/>
          <w:vertAlign w:val="subscript"/>
        </w:rPr>
        <w:t>2</w:t>
      </w:r>
      <w:r>
        <w:rPr>
          <w:sz w:val="22"/>
          <w:vertAlign w:val="baseline"/>
        </w:rPr>
        <w:t>=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slope</w:t>
      </w:r>
    </w:p>
    <w:p>
      <w:pPr>
        <w:pStyle w:val="BodyText"/>
        <w:spacing w:before="6"/>
        <w:rPr>
          <w:sz w:val="21"/>
        </w:rPr>
      </w:pPr>
    </w:p>
    <w:p>
      <w:pPr>
        <w:tabs>
          <w:tab w:pos="3053" w:val="left" w:leader="none"/>
          <w:tab w:pos="5430" w:val="left" w:leader="none"/>
        </w:tabs>
        <w:spacing w:before="1"/>
        <w:ind w:left="173" w:right="0" w:firstLine="0"/>
        <w:jc w:val="left"/>
        <w:rPr>
          <w:sz w:val="22"/>
          <w:szCs w:val="22"/>
        </w:rPr>
      </w:pPr>
      <w:r>
        <w:rPr>
          <w:spacing w:val="-1"/>
          <w:sz w:val="22"/>
          <w:szCs w:val="22"/>
        </w:rPr>
        <w:t>t/</w:t>
      </w:r>
      <w:r>
        <w:rPr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ϴ</w:t>
      </w:r>
      <w:r>
        <w:rPr>
          <w:spacing w:val="-1"/>
          <w:sz w:val="22"/>
          <w:szCs w:val="22"/>
          <w:vertAlign w:val="subscript"/>
        </w:rPr>
        <w:t>t</w:t>
      </w:r>
      <w:r>
        <w:rPr>
          <w:spacing w:val="-27"/>
          <w:sz w:val="22"/>
          <w:szCs w:val="22"/>
          <w:vertAlign w:val="baseline"/>
        </w:rPr>
        <w:t> </w:t>
      </w:r>
      <w:r>
        <w:rPr>
          <w:spacing w:val="-1"/>
          <w:sz w:val="22"/>
          <w:szCs w:val="22"/>
          <w:vertAlign w:val="subscript"/>
        </w:rPr>
        <w:t>=</w:t>
      </w:r>
      <w:r>
        <w:rPr>
          <w:spacing w:val="-1"/>
          <w:sz w:val="22"/>
          <w:szCs w:val="22"/>
          <w:vertAlign w:val="baseline"/>
        </w:rPr>
        <w:t> 1/k</w:t>
      </w:r>
      <w:r>
        <w:rPr>
          <w:spacing w:val="-1"/>
          <w:sz w:val="22"/>
          <w:szCs w:val="22"/>
          <w:vertAlign w:val="superscript"/>
        </w:rPr>
        <w:t>2</w:t>
      </w:r>
      <w:r>
        <w:rPr>
          <w:spacing w:val="-13"/>
          <w:sz w:val="22"/>
          <w:szCs w:val="22"/>
          <w:vertAlign w:val="baseline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vertAlign w:val="baseline"/>
        </w:rPr>
        <w:t>ϴ</w:t>
      </w:r>
      <w:r>
        <w:rPr>
          <w:sz w:val="22"/>
          <w:szCs w:val="22"/>
          <w:vertAlign w:val="subscript"/>
        </w:rPr>
        <w:t>o</w:t>
      </w:r>
      <w:r>
        <w:rPr>
          <w:sz w:val="22"/>
          <w:szCs w:val="22"/>
          <w:vertAlign w:val="superscript"/>
        </w:rPr>
        <w:t>2</w:t>
      </w:r>
      <w:r>
        <w:rPr>
          <w:spacing w:val="1"/>
          <w:sz w:val="22"/>
          <w:szCs w:val="22"/>
          <w:vertAlign w:val="baseline"/>
        </w:rPr>
        <w:t> </w:t>
      </w:r>
      <w:r>
        <w:rPr>
          <w:sz w:val="22"/>
          <w:szCs w:val="22"/>
          <w:vertAlign w:val="baseline"/>
        </w:rPr>
        <w:t>+ 1/</w:t>
      </w:r>
      <w:r>
        <w:rPr>
          <w:spacing w:val="-15"/>
          <w:sz w:val="22"/>
          <w:szCs w:val="22"/>
          <w:vertAlign w:val="baseline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vertAlign w:val="baseline"/>
        </w:rPr>
        <w:t>ϴ</w:t>
      </w:r>
      <w:r>
        <w:rPr>
          <w:sz w:val="22"/>
          <w:szCs w:val="22"/>
          <w:vertAlign w:val="subscript"/>
        </w:rPr>
        <w:t>o</w:t>
      </w:r>
      <w:r>
        <w:rPr>
          <w:sz w:val="22"/>
          <w:szCs w:val="22"/>
          <w:vertAlign w:val="baseline"/>
        </w:rPr>
        <w:t>t</w:t>
        <w:tab/>
      </w:r>
      <w:r>
        <w:rPr>
          <w:spacing w:val="-1"/>
          <w:sz w:val="22"/>
          <w:szCs w:val="22"/>
          <w:vertAlign w:val="baseline"/>
        </w:rPr>
        <w:t>t/</w:t>
      </w:r>
      <w:r>
        <w:rPr>
          <w:spacing w:val="-14"/>
          <w:sz w:val="22"/>
          <w:szCs w:val="22"/>
          <w:vertAlign w:val="baseline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vertAlign w:val="baseline"/>
        </w:rPr>
        <w:t>ϴ</w:t>
      </w:r>
      <w:r>
        <w:rPr>
          <w:sz w:val="22"/>
          <w:szCs w:val="22"/>
          <w:vertAlign w:val="subscript"/>
        </w:rPr>
        <w:t>t</w:t>
      </w:r>
      <w:r>
        <w:rPr>
          <w:spacing w:val="-27"/>
          <w:sz w:val="22"/>
          <w:szCs w:val="22"/>
          <w:vertAlign w:val="baseline"/>
        </w:rPr>
        <w:t> </w:t>
      </w:r>
      <w:r>
        <w:rPr>
          <w:sz w:val="22"/>
          <w:szCs w:val="22"/>
          <w:vertAlign w:val="baseline"/>
        </w:rPr>
        <w:t>vs</w:t>
      </w:r>
      <w:r>
        <w:rPr>
          <w:spacing w:val="2"/>
          <w:sz w:val="22"/>
          <w:szCs w:val="22"/>
          <w:vertAlign w:val="baseline"/>
        </w:rPr>
        <w:t> </w:t>
      </w:r>
      <w:r>
        <w:rPr>
          <w:sz w:val="22"/>
          <w:szCs w:val="22"/>
          <w:vertAlign w:val="baseline"/>
        </w:rPr>
        <w:t>t</w:t>
        <w:tab/>
      </w:r>
      <w:r>
        <w:rPr>
          <w:rFonts w:ascii="Times New Roman" w:hAnsi="Times New Roman" w:cs="Times New Roman" w:eastAsia="Times New Roman"/>
          <w:spacing w:val="-1"/>
          <w:sz w:val="22"/>
          <w:szCs w:val="22"/>
          <w:vertAlign w:val="baseline"/>
        </w:rPr>
        <w:t>ϴ</w:t>
      </w:r>
      <w:r>
        <w:rPr>
          <w:spacing w:val="-1"/>
          <w:sz w:val="22"/>
          <w:szCs w:val="22"/>
          <w:vertAlign w:val="subscript"/>
        </w:rPr>
        <w:t>o</w:t>
      </w:r>
      <w:r>
        <w:rPr>
          <w:spacing w:val="-25"/>
          <w:sz w:val="22"/>
          <w:szCs w:val="22"/>
          <w:vertAlign w:val="baseline"/>
        </w:rPr>
        <w:t> </w:t>
      </w:r>
      <w:r>
        <w:rPr>
          <w:sz w:val="22"/>
          <w:szCs w:val="22"/>
          <w:vertAlign w:val="baseline"/>
        </w:rPr>
        <w:t>= 1/slope,</w:t>
      </w:r>
    </w:p>
    <w:p>
      <w:pPr>
        <w:spacing w:before="270"/>
        <w:ind w:left="5374" w:right="0" w:firstLine="0"/>
        <w:jc w:val="left"/>
        <w:rPr>
          <w:sz w:val="22"/>
        </w:rPr>
      </w:pPr>
      <w:r>
        <w:rPr>
          <w:sz w:val="22"/>
        </w:rPr>
        <w:t>K</w:t>
      </w:r>
      <w:r>
        <w:rPr>
          <w:sz w:val="22"/>
          <w:vertAlign w:val="superscript"/>
        </w:rPr>
        <w:t>2</w:t>
      </w:r>
      <w:r>
        <w:rPr>
          <w:sz w:val="22"/>
          <w:vertAlign w:val="subscript"/>
        </w:rPr>
        <w:t>=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slope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/intercept</w:t>
      </w:r>
    </w:p>
    <w:p>
      <w:pPr>
        <w:tabs>
          <w:tab w:pos="3053" w:val="left" w:leader="none"/>
          <w:tab w:pos="5374" w:val="left" w:leader="none"/>
        </w:tabs>
        <w:spacing w:before="262"/>
        <w:ind w:left="173" w:right="0" w:firstLine="0"/>
        <w:jc w:val="left"/>
        <w:rPr>
          <w:sz w:val="22"/>
          <w:szCs w:val="22"/>
        </w:rPr>
      </w:pPr>
      <w:r>
        <w:rPr>
          <w:rFonts w:ascii="Times New Roman" w:hAnsi="Times New Roman" w:cs="Times New Roman" w:eastAsia="Times New Roman"/>
          <w:position w:val="2"/>
          <w:sz w:val="22"/>
          <w:szCs w:val="22"/>
        </w:rPr>
        <w:t>ϴ</w:t>
      </w:r>
      <w:r>
        <w:rPr>
          <w:rFonts w:ascii="Times New Roman" w:hAnsi="Times New Roman" w:cs="Times New Roman" w:eastAsia="Times New Roman"/>
          <w:spacing w:val="-2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position w:val="2"/>
          <w:sz w:val="22"/>
          <w:szCs w:val="22"/>
        </w:rPr>
        <w:t>= k</w:t>
      </w:r>
      <w:r>
        <w:rPr>
          <w:rFonts w:ascii="Times New Roman" w:hAnsi="Times New Roman" w:cs="Times New Roman" w:eastAsia="Times New Roman"/>
          <w:position w:val="2"/>
          <w:sz w:val="22"/>
          <w:szCs w:val="22"/>
          <w:vertAlign w:val="subscript"/>
        </w:rPr>
        <w:t>d</w:t>
      </w:r>
      <w:r>
        <w:rPr>
          <w:rFonts w:ascii="Times New Roman" w:hAnsi="Times New Roman" w:cs="Times New Roman" w:eastAsia="Times New Roman"/>
          <w:position w:val="2"/>
          <w:sz w:val="22"/>
          <w:szCs w:val="22"/>
          <w:vertAlign w:val="baseline"/>
        </w:rPr>
        <w:t>t</w:t>
      </w:r>
      <w:r>
        <w:rPr>
          <w:rFonts w:ascii="Times New Roman" w:hAnsi="Times New Roman" w:cs="Times New Roman" w:eastAsia="Times New Roman"/>
          <w:position w:val="2"/>
          <w:sz w:val="22"/>
          <w:szCs w:val="22"/>
          <w:vertAlign w:val="superscript"/>
        </w:rPr>
        <w:t>1/2</w:t>
      </w:r>
      <w:r>
        <w:rPr>
          <w:rFonts w:ascii="Times New Roman" w:hAnsi="Times New Roman" w:cs="Times New Roman" w:eastAsia="Times New Roman"/>
          <w:spacing w:val="-1"/>
          <w:position w:val="2"/>
          <w:sz w:val="22"/>
          <w:szCs w:val="22"/>
          <w:vertAlign w:val="baseline"/>
        </w:rPr>
        <w:t> </w:t>
      </w:r>
      <w:r>
        <w:rPr>
          <w:rFonts w:ascii="Times New Roman" w:hAnsi="Times New Roman" w:cs="Times New Roman" w:eastAsia="Times New Roman"/>
          <w:position w:val="2"/>
          <w:sz w:val="22"/>
          <w:szCs w:val="22"/>
          <w:vertAlign w:val="baseline"/>
        </w:rPr>
        <w:t>+</w:t>
      </w:r>
      <w:r>
        <w:rPr>
          <w:rFonts w:ascii="Times New Roman" w:hAnsi="Times New Roman" w:cs="Times New Roman" w:eastAsia="Times New Roman"/>
          <w:spacing w:val="-1"/>
          <w:position w:val="2"/>
          <w:sz w:val="22"/>
          <w:szCs w:val="22"/>
          <w:vertAlign w:val="baseline"/>
        </w:rPr>
        <w:t> </w:t>
      </w:r>
      <w:r>
        <w:rPr>
          <w:rFonts w:ascii="Times New Roman" w:hAnsi="Times New Roman" w:cs="Times New Roman" w:eastAsia="Times New Roman"/>
          <w:position w:val="2"/>
          <w:sz w:val="22"/>
          <w:szCs w:val="22"/>
          <w:vertAlign w:val="baseline"/>
        </w:rPr>
        <w:t>C</w:t>
        <w:tab/>
        <w:t>ϴ</w:t>
      </w:r>
      <w:r>
        <w:rPr>
          <w:rFonts w:ascii="Times New Roman" w:hAnsi="Times New Roman" w:cs="Times New Roman" w:eastAsia="Times New Roman"/>
          <w:spacing w:val="-1"/>
          <w:position w:val="2"/>
          <w:sz w:val="22"/>
          <w:szCs w:val="22"/>
          <w:vertAlign w:val="baseline"/>
        </w:rPr>
        <w:t> </w:t>
      </w:r>
      <w:r>
        <w:rPr>
          <w:rFonts w:ascii="Times New Roman" w:hAnsi="Times New Roman" w:cs="Times New Roman" w:eastAsia="Times New Roman"/>
          <w:position w:val="2"/>
          <w:sz w:val="22"/>
          <w:szCs w:val="22"/>
          <w:vertAlign w:val="baseline"/>
        </w:rPr>
        <w:t>vs</w:t>
      </w:r>
      <w:r>
        <w:rPr>
          <w:rFonts w:ascii="Times New Roman" w:hAnsi="Times New Roman" w:cs="Times New Roman" w:eastAsia="Times New Roman"/>
          <w:spacing w:val="-1"/>
          <w:position w:val="2"/>
          <w:sz w:val="22"/>
          <w:szCs w:val="22"/>
          <w:vertAlign w:val="baseline"/>
        </w:rPr>
        <w:t> </w:t>
      </w:r>
      <w:r>
        <w:rPr>
          <w:rFonts w:ascii="Times New Roman" w:hAnsi="Times New Roman" w:cs="Times New Roman" w:eastAsia="Times New Roman"/>
          <w:position w:val="2"/>
          <w:sz w:val="22"/>
          <w:szCs w:val="22"/>
          <w:vertAlign w:val="baseline"/>
        </w:rPr>
        <w:t>t</w:t>
      </w:r>
      <w:r>
        <w:rPr>
          <w:rFonts w:ascii="Times New Roman" w:hAnsi="Times New Roman" w:cs="Times New Roman" w:eastAsia="Times New Roman"/>
          <w:position w:val="2"/>
          <w:sz w:val="22"/>
          <w:szCs w:val="22"/>
          <w:vertAlign w:val="superscript"/>
        </w:rPr>
        <w:t>1/2</w:t>
      </w:r>
      <w:r>
        <w:rPr>
          <w:rFonts w:ascii="Times New Roman" w:hAnsi="Times New Roman" w:cs="Times New Roman" w:eastAsia="Times New Roman"/>
          <w:position w:val="2"/>
          <w:sz w:val="22"/>
          <w:szCs w:val="22"/>
          <w:vertAlign w:val="baseline"/>
        </w:rPr>
        <w:tab/>
      </w:r>
      <w:r>
        <w:rPr>
          <w:sz w:val="22"/>
          <w:szCs w:val="22"/>
          <w:vertAlign w:val="baseline"/>
        </w:rPr>
        <w:t>k</w:t>
      </w:r>
      <w:r>
        <w:rPr>
          <w:sz w:val="22"/>
          <w:szCs w:val="22"/>
          <w:vertAlign w:val="subscript"/>
        </w:rPr>
        <w:t>d</w:t>
      </w:r>
      <w:r>
        <w:rPr>
          <w:spacing w:val="-1"/>
          <w:sz w:val="22"/>
          <w:szCs w:val="22"/>
          <w:vertAlign w:val="baseline"/>
        </w:rPr>
        <w:t> </w:t>
      </w:r>
      <w:r>
        <w:rPr>
          <w:sz w:val="22"/>
          <w:szCs w:val="22"/>
          <w:vertAlign w:val="baseline"/>
        </w:rPr>
        <w:t>=</w:t>
      </w:r>
      <w:r>
        <w:rPr>
          <w:spacing w:val="-1"/>
          <w:sz w:val="22"/>
          <w:szCs w:val="22"/>
          <w:vertAlign w:val="baseline"/>
        </w:rPr>
        <w:t> </w:t>
      </w:r>
      <w:r>
        <w:rPr>
          <w:sz w:val="22"/>
          <w:szCs w:val="22"/>
          <w:vertAlign w:val="baseline"/>
        </w:rPr>
        <w:t>slope,</w:t>
      </w:r>
    </w:p>
    <w:p>
      <w:pPr>
        <w:spacing w:before="263"/>
        <w:ind w:left="5374" w:right="0" w:firstLine="0"/>
        <w:jc w:val="left"/>
        <w:rPr>
          <w:sz w:val="22"/>
        </w:rPr>
      </w:pPr>
      <w:r>
        <w:rPr>
          <w:sz w:val="22"/>
        </w:rPr>
        <w:t>c</w:t>
      </w:r>
      <w:r>
        <w:rPr>
          <w:spacing w:val="-2"/>
          <w:sz w:val="22"/>
        </w:rPr>
        <w:t> </w:t>
      </w:r>
      <w:r>
        <w:rPr>
          <w:sz w:val="22"/>
        </w:rPr>
        <w:t>= intercept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1180" w:left="420" w:right="0"/>
          <w:cols w:num="2" w:equalWidth="0">
            <w:col w:w="3254" w:space="40"/>
            <w:col w:w="8196"/>
          </w:cols>
        </w:sectPr>
      </w:pPr>
    </w:p>
    <w:p>
      <w:pPr>
        <w:pStyle w:val="BodyText"/>
        <w:spacing w:line="20" w:lineRule="exact"/>
        <w:ind w:left="1075"/>
        <w:rPr>
          <w:sz w:val="2"/>
        </w:rPr>
      </w:pPr>
      <w:r>
        <w:rPr>
          <w:sz w:val="2"/>
        </w:rPr>
        <w:pict>
          <v:group style="width:483.25pt;height:.5pt;mso-position-horizontal-relative:char;mso-position-vertical-relative:line" coordorigin="0,0" coordsize="9665,10">
            <v:rect style="position:absolute;left:0;top:0;width:966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3"/>
        <w:tabs>
          <w:tab w:pos="2637" w:val="left" w:leader="none"/>
        </w:tabs>
        <w:spacing w:before="100"/>
      </w:pPr>
      <w:r>
        <w:rPr/>
        <w:t>2.1.11.2</w:t>
        <w:tab/>
        <w:t>Thermodynamics</w:t>
      </w:r>
      <w:r>
        <w:rPr>
          <w:spacing w:val="-7"/>
        </w:rPr>
        <w:t> </w:t>
      </w:r>
      <w:r>
        <w:rPr/>
        <w:t>consideration</w:t>
      </w:r>
    </w:p>
    <w:p>
      <w:pPr>
        <w:pStyle w:val="BodyText"/>
        <w:spacing w:before="10"/>
        <w:rPr>
          <w:b/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spacing w:before="100"/>
        <w:ind w:left="1198"/>
      </w:pPr>
      <w:r>
        <w:rPr/>
        <w:t>The</w:t>
      </w:r>
      <w:r>
        <w:rPr>
          <w:spacing w:val="-2"/>
        </w:rPr>
        <w:t> </w:t>
      </w:r>
      <w:r>
        <w:rPr/>
        <w:t>effect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acetylation</w:t>
      </w:r>
      <w:r>
        <w:rPr>
          <w:spacing w:val="-4"/>
        </w:rPr>
        <w:t> </w:t>
      </w:r>
      <w:r>
        <w:rPr/>
        <w:t>was</w:t>
      </w:r>
      <w:r>
        <w:rPr>
          <w:spacing w:val="-2"/>
        </w:rPr>
        <w:t> </w:t>
      </w:r>
      <w:r>
        <w:rPr/>
        <w:t>studied</w:t>
      </w:r>
      <w:r>
        <w:rPr>
          <w:spacing w:val="-3"/>
        </w:rPr>
        <w:t> </w:t>
      </w:r>
      <w:r>
        <w:rPr/>
        <w:t>using</w:t>
      </w:r>
    </w:p>
    <w:p>
      <w:pPr>
        <w:pStyle w:val="BodyText"/>
        <w:spacing w:before="11"/>
      </w:pPr>
    </w:p>
    <w:p>
      <w:pPr>
        <w:spacing w:line="379" w:lineRule="exact" w:before="0"/>
        <w:ind w:left="2671" w:right="0" w:firstLine="0"/>
        <w:jc w:val="left"/>
        <w:rPr>
          <w:rFonts w:ascii="Times New Roman" w:hAnsi="Times New Roman"/>
          <w:i/>
          <w:sz w:val="23"/>
        </w:rPr>
      </w:pPr>
      <w:r>
        <w:rPr/>
        <w:pict>
          <v:line style="position:absolute;mso-position-horizontal-relative:page;mso-position-vertical-relative:paragraph;z-index:-24460288" from="204.618759pt,15.248118pt" to="213.86258pt,15.248118pt" stroked="true" strokeweight=".508626pt" strokecolor="#000000">
            <v:stroke dashstyle="solid"/>
            <w10:wrap type="none"/>
          </v:line>
        </w:pict>
      </w:r>
      <w:r>
        <w:rPr>
          <w:rFonts w:ascii="Times New Roman" w:hAnsi="Times New Roman"/>
          <w:sz w:val="23"/>
        </w:rPr>
        <w:t>ln</w:t>
      </w:r>
      <w:r>
        <w:rPr>
          <w:rFonts w:ascii="Symbol" w:hAnsi="Symbol"/>
          <w:sz w:val="25"/>
        </w:rPr>
        <w:t></w:t>
      </w:r>
      <w:r>
        <w:rPr>
          <w:rFonts w:ascii="Times New Roman" w:hAnsi="Times New Roman"/>
          <w:spacing w:val="29"/>
          <w:sz w:val="25"/>
        </w:rPr>
        <w:t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Symbol" w:hAnsi="Symbol"/>
          <w:sz w:val="23"/>
        </w:rPr>
        <w:t>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i/>
          <w:position w:val="15"/>
          <w:sz w:val="23"/>
        </w:rPr>
        <w:t>B</w:t>
      </w:r>
    </w:p>
    <w:p>
      <w:pPr>
        <w:spacing w:line="223" w:lineRule="exact" w:before="0"/>
        <w:ind w:left="0" w:right="1469" w:firstLine="0"/>
        <w:jc w:val="center"/>
        <w:rPr>
          <w:rFonts w:ascii="Times New Roman"/>
          <w:i/>
          <w:sz w:val="23"/>
        </w:rPr>
      </w:pPr>
      <w:r>
        <w:rPr>
          <w:rFonts w:ascii="Times New Roman"/>
          <w:i/>
          <w:w w:val="102"/>
          <w:sz w:val="23"/>
        </w:rPr>
        <w:t>T</w:t>
      </w:r>
    </w:p>
    <w:p>
      <w:pPr>
        <w:pStyle w:val="BodyText"/>
        <w:rPr>
          <w:rFonts w:ascii="Times New Roman"/>
          <w:i/>
          <w:sz w:val="28"/>
        </w:rPr>
      </w:pPr>
      <w:r>
        <w:rPr/>
        <w:br w:type="column"/>
      </w:r>
      <w:r>
        <w:rPr>
          <w:rFonts w:ascii="Times New Roman"/>
          <w:i/>
          <w:sz w:val="28"/>
        </w:rPr>
      </w: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spacing w:before="174"/>
        <w:ind w:left="824" w:right="1160"/>
        <w:jc w:val="center"/>
      </w:pPr>
      <w:r>
        <w:rPr/>
        <w:t>2.15</w:t>
      </w:r>
    </w:p>
    <w:p>
      <w:pPr>
        <w:spacing w:after="0"/>
        <w:jc w:val="center"/>
        <w:sectPr>
          <w:type w:val="continuous"/>
          <w:pgSz w:w="11910" w:h="16840"/>
          <w:pgMar w:top="1580" w:bottom="1180" w:left="420" w:right="0"/>
          <w:cols w:num="2" w:equalWidth="0">
            <w:col w:w="8960" w:space="40"/>
            <w:col w:w="2490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100"/>
        <w:ind w:left="1198" w:right="577"/>
        <w:jc w:val="both"/>
      </w:pPr>
      <w:r>
        <w:rPr/>
        <w:t>Considering that the anhydride reagent displaces surface –OH sites and these displacement</w:t>
      </w:r>
      <w:r>
        <w:rPr>
          <w:spacing w:val="-72"/>
        </w:rPr>
        <w:t> </w:t>
      </w:r>
      <w:r>
        <w:rPr/>
        <w:t>reaction occurs when the pores of the substrate are covered appropriately, coverage is</w:t>
      </w:r>
      <w:r>
        <w:rPr>
          <w:spacing w:val="1"/>
        </w:rPr>
        <w:t> </w:t>
      </w:r>
      <w:r>
        <w:rPr/>
        <w:t>dependent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concentration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–OH</w:t>
      </w:r>
      <w:r>
        <w:rPr>
          <w:spacing w:val="12"/>
        </w:rPr>
        <w:t> </w:t>
      </w:r>
      <w:r>
        <w:rPr/>
        <w:t>groups</w:t>
      </w:r>
      <w:r>
        <w:rPr>
          <w:spacing w:val="12"/>
        </w:rPr>
        <w:t> </w:t>
      </w:r>
      <w:r>
        <w:rPr/>
        <w:t>(Hill</w:t>
      </w:r>
      <w:r>
        <w:rPr>
          <w:spacing w:val="12"/>
        </w:rPr>
        <w:t> </w:t>
      </w:r>
      <w:r>
        <w:rPr/>
        <w:t>et</w:t>
      </w:r>
      <w:r>
        <w:rPr>
          <w:spacing w:val="10"/>
        </w:rPr>
        <w:t> </w:t>
      </w:r>
      <w:r>
        <w:rPr/>
        <w:t>al.,</w:t>
      </w:r>
      <w:r>
        <w:rPr>
          <w:spacing w:val="11"/>
        </w:rPr>
        <w:t> </w:t>
      </w:r>
      <w:r>
        <w:rPr/>
        <w:t>1998),</w:t>
      </w:r>
      <w:r>
        <w:rPr>
          <w:spacing w:val="10"/>
        </w:rPr>
        <w:t> </w:t>
      </w:r>
      <w:r>
        <w:rPr/>
        <w:t>which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proportional</w:t>
      </w:r>
      <w:r>
        <w:rPr>
          <w:spacing w:val="13"/>
        </w:rPr>
        <w:t> </w:t>
      </w:r>
      <w:r>
        <w:rPr/>
        <w:t>to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spacing w:line="482" w:lineRule="auto" w:before="75"/>
        <w:ind w:left="1198" w:right="575"/>
        <w:jc w:val="both"/>
      </w:pP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acetylation.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θ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coverage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acetylation.</w:t>
      </w:r>
    </w:p>
    <w:p>
      <w:pPr>
        <w:pStyle w:val="BodyText"/>
        <w:spacing w:line="480" w:lineRule="auto"/>
        <w:ind w:left="1198" w:right="576"/>
        <w:jc w:val="both"/>
      </w:pPr>
      <w:r>
        <w:rPr/>
        <w:t>There are two unknowns in equation 2.15 and these make it difficult to be used directly.</w:t>
      </w:r>
      <w:r>
        <w:rPr>
          <w:spacing w:val="1"/>
        </w:rPr>
        <w:t> </w:t>
      </w:r>
      <w:r>
        <w:rPr/>
        <w:t>However, careful observation enables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to observe</w:t>
      </w:r>
      <w:r>
        <w:rPr>
          <w:spacing w:val="1"/>
        </w:rPr>
        <w:t> </w:t>
      </w:r>
      <w:r>
        <w:rPr/>
        <w:t>that equation 2.15</w:t>
      </w:r>
      <w:r>
        <w:rPr>
          <w:spacing w:val="75"/>
        </w:rPr>
        <w:t> </w:t>
      </w:r>
      <w:r>
        <w:rPr/>
        <w:t>is equivalent to</w:t>
      </w:r>
      <w:r>
        <w:rPr>
          <w:spacing w:val="-72"/>
        </w:rPr>
        <w:t> </w:t>
      </w:r>
      <w:r>
        <w:rPr/>
        <w:t>the Clausius-Clapeyron</w:t>
      </w:r>
      <w:r>
        <w:rPr>
          <w:spacing w:val="-1"/>
        </w:rPr>
        <w:t> </w:t>
      </w:r>
      <w:r>
        <w:rPr/>
        <w:t>equation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spacing w:line="387" w:lineRule="exact" w:before="0"/>
        <w:ind w:left="0" w:right="38" w:firstLine="0"/>
        <w:jc w:val="right"/>
        <w:rPr>
          <w:rFonts w:ascii="Times New Roman" w:hAnsi="Times New Roman"/>
          <w:i/>
          <w:sz w:val="23"/>
        </w:rPr>
      </w:pPr>
      <w:r>
        <w:rPr/>
        <w:pict>
          <v:line style="position:absolute;mso-position-horizontal-relative:page;mso-position-vertical-relative:paragraph;z-index:-24456192" from="193.516556pt,15.645275pt" to="212.363526pt,15.645275pt" stroked="true" strokeweight=".508626pt" strokecolor="#000000">
            <v:stroke dashstyle="solid"/>
            <w10:wrap type="none"/>
          </v:line>
        </w:pict>
      </w:r>
      <w:r>
        <w:rPr>
          <w:rFonts w:ascii="Times New Roman" w:hAnsi="Times New Roman"/>
          <w:w w:val="105"/>
          <w:sz w:val="23"/>
        </w:rPr>
        <w:t>ln</w:t>
      </w:r>
      <w:r>
        <w:rPr>
          <w:rFonts w:ascii="Symbol" w:hAnsi="Symbol"/>
          <w:w w:val="105"/>
          <w:sz w:val="25"/>
        </w:rPr>
        <w:t></w:t>
      </w:r>
      <w:r>
        <w:rPr>
          <w:rFonts w:ascii="Times New Roman" w:hAnsi="Times New Roman"/>
          <w:spacing w:val="17"/>
          <w:w w:val="105"/>
          <w:sz w:val="25"/>
        </w:rPr>
        <w:t> </w:t>
      </w:r>
      <w:r>
        <w:rPr>
          <w:rFonts w:ascii="Symbol" w:hAnsi="Symbol"/>
          <w:w w:val="105"/>
          <w:sz w:val="23"/>
        </w:rPr>
        <w:t></w:t>
      </w:r>
      <w:r>
        <w:rPr>
          <w:rFonts w:ascii="Times New Roman" w:hAnsi="Times New Roman"/>
          <w:spacing w:val="-4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</w:t>
      </w:r>
      <w:r>
        <w:rPr>
          <w:rFonts w:ascii="Times New Roman" w:hAnsi="Times New Roman"/>
          <w:spacing w:val="-3"/>
          <w:w w:val="105"/>
          <w:sz w:val="23"/>
        </w:rPr>
        <w:t> </w:t>
      </w:r>
      <w:r>
        <w:rPr>
          <w:rFonts w:ascii="Symbol" w:hAnsi="Symbol"/>
          <w:w w:val="105"/>
          <w:position w:val="15"/>
          <w:sz w:val="23"/>
        </w:rPr>
        <w:t></w:t>
      </w:r>
      <w:r>
        <w:rPr>
          <w:rFonts w:ascii="Times New Roman" w:hAnsi="Times New Roman"/>
          <w:i/>
          <w:w w:val="105"/>
          <w:position w:val="15"/>
          <w:sz w:val="23"/>
        </w:rPr>
        <w:t>H</w:t>
      </w:r>
    </w:p>
    <w:p>
      <w:pPr>
        <w:spacing w:line="223" w:lineRule="exact" w:before="0"/>
        <w:ind w:left="0" w:right="59" w:firstLine="0"/>
        <w:jc w:val="right"/>
        <w:rPr>
          <w:rFonts w:ascii="Times New Roman"/>
          <w:i/>
          <w:sz w:val="23"/>
        </w:rPr>
      </w:pPr>
      <w:r>
        <w:rPr>
          <w:rFonts w:ascii="Times New Roman"/>
          <w:i/>
          <w:w w:val="105"/>
          <w:sz w:val="23"/>
        </w:rPr>
        <w:t>RT</w:t>
      </w:r>
    </w:p>
    <w:p>
      <w:pPr>
        <w:pStyle w:val="BodyText"/>
        <w:spacing w:before="134"/>
        <w:ind w:left="2671"/>
      </w:pPr>
      <w:r>
        <w:rPr/>
        <w:br w:type="column"/>
      </w:r>
      <w:r>
        <w:rPr/>
        <w:t>2.16</w:t>
      </w:r>
    </w:p>
    <w:p>
      <w:pPr>
        <w:spacing w:after="0"/>
        <w:sectPr>
          <w:type w:val="continuous"/>
          <w:pgSz w:w="11910" w:h="16840"/>
          <w:pgMar w:top="1580" w:bottom="1180" w:left="420" w:right="0"/>
          <w:cols w:num="2" w:equalWidth="0">
            <w:col w:w="3825" w:space="3343"/>
            <w:col w:w="4322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580" w:bottom="1180" w:left="420" w:right="0"/>
        </w:sectPr>
      </w:pPr>
    </w:p>
    <w:p>
      <w:pPr>
        <w:spacing w:line="392" w:lineRule="exact" w:before="111"/>
        <w:ind w:left="1198" w:right="0" w:firstLine="0"/>
        <w:jc w:val="left"/>
        <w:rPr>
          <w:rFonts w:ascii="Times New Roman" w:hAnsi="Times New Roman"/>
          <w:i/>
          <w:sz w:val="23"/>
        </w:rPr>
      </w:pPr>
      <w:r>
        <w:rPr/>
        <w:pict>
          <v:line style="position:absolute;mso-position-horizontal-relative:page;mso-position-vertical-relative:paragraph;z-index:-24455680" from="135.461304pt,21.52467pt" to="154.295248pt,21.52467pt" stroked="true" strokeweight=".507811pt" strokecolor="#000000">
            <v:stroke dashstyle="solid"/>
            <w10:wrap type="none"/>
          </v:line>
        </w:pict>
      </w:r>
      <w:r>
        <w:rPr>
          <w:sz w:val="24"/>
        </w:rPr>
        <w:t>where</w:t>
      </w:r>
      <w:r>
        <w:rPr>
          <w:spacing w:val="-32"/>
          <w:sz w:val="24"/>
        </w:rPr>
        <w:t> </w:t>
      </w:r>
      <w:r>
        <w:rPr>
          <w:rFonts w:ascii="Times New Roman" w:hAnsi="Times New Roman"/>
          <w:i/>
          <w:sz w:val="23"/>
        </w:rPr>
        <w:t>B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18"/>
          <w:sz w:val="23"/>
        </w:rPr>
        <w:t> </w:t>
      </w:r>
      <w:r>
        <w:rPr>
          <w:rFonts w:ascii="Symbol" w:hAnsi="Symbol"/>
          <w:position w:val="15"/>
          <w:sz w:val="23"/>
        </w:rPr>
        <w:t></w:t>
      </w:r>
      <w:r>
        <w:rPr>
          <w:rFonts w:ascii="Times New Roman" w:hAnsi="Times New Roman"/>
          <w:i/>
          <w:position w:val="15"/>
          <w:sz w:val="23"/>
        </w:rPr>
        <w:t>H</w:t>
      </w:r>
    </w:p>
    <w:p>
      <w:pPr>
        <w:spacing w:line="224" w:lineRule="exact" w:before="0"/>
        <w:ind w:left="0" w:right="67" w:firstLine="0"/>
        <w:jc w:val="right"/>
        <w:rPr>
          <w:rFonts w:ascii="Times New Roman"/>
          <w:i/>
          <w:sz w:val="23"/>
        </w:rPr>
      </w:pPr>
      <w:r>
        <w:rPr>
          <w:rFonts w:ascii="Times New Roman"/>
          <w:i/>
          <w:w w:val="104"/>
          <w:sz w:val="23"/>
        </w:rPr>
        <w:t>R</w:t>
      </w:r>
    </w:p>
    <w:p>
      <w:pPr>
        <w:pStyle w:val="BodyText"/>
        <w:spacing w:before="252"/>
        <w:ind w:left="120"/>
      </w:pPr>
      <w:r>
        <w:rPr/>
        <w:br w:type="column"/>
      </w:r>
      <w:r>
        <w:rPr/>
        <w:t>and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intercept.</w:t>
      </w:r>
      <w:r>
        <w:rPr>
          <w:spacing w:val="-3"/>
        </w:rPr>
        <w:t> </w:t>
      </w:r>
      <w:r>
        <w:rPr/>
        <w:t>Infact,</w:t>
      </w:r>
      <w:r>
        <w:rPr>
          <w:spacing w:val="-4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2.16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Gibbs-Helmholtz</w:t>
      </w:r>
      <w:r>
        <w:rPr>
          <w:spacing w:val="-3"/>
        </w:rPr>
        <w:t> </w:t>
      </w:r>
      <w:r>
        <w:rPr/>
        <w:t>equation</w:t>
      </w:r>
    </w:p>
    <w:p>
      <w:pPr>
        <w:spacing w:after="0"/>
        <w:sectPr>
          <w:type w:val="continuous"/>
          <w:pgSz w:w="11910" w:h="16840"/>
          <w:pgMar w:top="1580" w:bottom="1180" w:left="420" w:right="0"/>
          <w:cols w:num="2" w:equalWidth="0">
            <w:col w:w="2624" w:space="40"/>
            <w:col w:w="8826"/>
          </w:cols>
        </w:sectPr>
      </w:pP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580" w:bottom="1180" w:left="420" w:right="0"/>
        </w:sectPr>
      </w:pPr>
    </w:p>
    <w:p>
      <w:pPr>
        <w:spacing w:before="101"/>
        <w:ind w:left="2695" w:right="0" w:firstLine="0"/>
        <w:jc w:val="left"/>
        <w:rPr>
          <w:rFonts w:ascii="Symbol" w:hAnsi="Symbol"/>
          <w:sz w:val="25"/>
        </w:rPr>
      </w:pPr>
      <w:r>
        <w:rPr/>
        <w:pict>
          <v:line style="position:absolute;mso-position-horizontal-relative:page;mso-position-vertical-relative:paragraph;z-index:-24455168" from="195.974075pt,22.15266pt" to="219.533018pt,22.15266pt" stroked="true" strokeweight=".507811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sz w:val="23"/>
          <w:u w:val="single"/>
        </w:rPr>
        <w:t>d</w:t>
      </w:r>
      <w:r>
        <w:rPr>
          <w:rFonts w:ascii="Times New Roman" w:hAnsi="Times New Roman"/>
          <w:i/>
          <w:spacing w:val="7"/>
          <w:sz w:val="23"/>
          <w:u w:val="single"/>
        </w:rPr>
        <w:t> </w:t>
      </w:r>
      <w:r>
        <w:rPr>
          <w:rFonts w:ascii="Times New Roman" w:hAnsi="Times New Roman"/>
          <w:sz w:val="23"/>
          <w:u w:val="single"/>
        </w:rPr>
        <w:t>ln</w:t>
      </w:r>
      <w:r>
        <w:rPr>
          <w:rFonts w:ascii="Symbol" w:hAnsi="Symbol"/>
          <w:sz w:val="25"/>
          <w:u w:val="single"/>
        </w:rPr>
        <w:t></w:t>
      </w:r>
    </w:p>
    <w:p>
      <w:pPr>
        <w:spacing w:before="68"/>
        <w:ind w:left="2824" w:right="0" w:firstLine="0"/>
        <w:jc w:val="left"/>
        <w:rPr>
          <w:rFonts w:ascii="Times New Roman"/>
          <w:i/>
          <w:sz w:val="23"/>
        </w:rPr>
      </w:pPr>
      <w:r>
        <w:rPr>
          <w:rFonts w:ascii="Times New Roman"/>
          <w:i/>
          <w:w w:val="105"/>
          <w:sz w:val="23"/>
        </w:rPr>
        <w:t>dT</w:t>
      </w:r>
    </w:p>
    <w:p>
      <w:pPr>
        <w:spacing w:line="199" w:lineRule="auto" w:before="135"/>
        <w:ind w:left="279" w:right="34" w:hanging="214"/>
        <w:jc w:val="left"/>
        <w:rPr>
          <w:rFonts w:ascii="Times New Roman" w:hAnsi="Times New Roman"/>
          <w:sz w:val="23"/>
        </w:rPr>
      </w:pPr>
      <w:r>
        <w:rPr/>
        <w:br w:type="column"/>
      </w:r>
      <w:r>
        <w:rPr>
          <w:rFonts w:ascii="Symbol" w:hAnsi="Symbol"/>
          <w:position w:val="-14"/>
          <w:sz w:val="23"/>
        </w:rPr>
        <w:t></w:t>
      </w:r>
      <w:r>
        <w:rPr>
          <w:rFonts w:ascii="Times New Roman" w:hAnsi="Times New Roman"/>
          <w:spacing w:val="1"/>
          <w:position w:val="-14"/>
          <w:sz w:val="23"/>
        </w:rPr>
        <w:t> </w:t>
      </w:r>
      <w:r>
        <w:rPr>
          <w:rFonts w:ascii="Symbol" w:hAnsi="Symbol"/>
          <w:sz w:val="23"/>
        </w:rPr>
        <w:t></w:t>
      </w:r>
      <w:r>
        <w:rPr>
          <w:rFonts w:ascii="Times New Roman" w:hAnsi="Times New Roman"/>
          <w:i/>
          <w:sz w:val="23"/>
        </w:rPr>
        <w:t>H</w:t>
      </w:r>
      <w:r>
        <w:rPr>
          <w:rFonts w:ascii="Times New Roman" w:hAnsi="Times New Roman"/>
          <w:i/>
          <w:spacing w:val="-55"/>
          <w:sz w:val="23"/>
        </w:rPr>
        <w:t> </w:t>
      </w:r>
      <w:r>
        <w:rPr>
          <w:rFonts w:ascii="Times New Roman" w:hAnsi="Times New Roman"/>
          <w:i/>
          <w:sz w:val="23"/>
        </w:rPr>
        <w:t>RT</w:t>
      </w:r>
      <w:r>
        <w:rPr>
          <w:rFonts w:ascii="Times New Roman" w:hAnsi="Times New Roman"/>
          <w:i/>
          <w:spacing w:val="-15"/>
          <w:sz w:val="23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</w:p>
    <w:p>
      <w:pPr>
        <w:pStyle w:val="BodyText"/>
        <w:spacing w:before="11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ind w:left="2695"/>
      </w:pPr>
      <w:r>
        <w:rPr/>
        <w:t>2.17</w:t>
      </w:r>
    </w:p>
    <w:p>
      <w:pPr>
        <w:spacing w:after="0"/>
        <w:sectPr>
          <w:type w:val="continuous"/>
          <w:pgSz w:w="11910" w:h="16840"/>
          <w:pgMar w:top="1580" w:bottom="1180" w:left="420" w:right="0"/>
          <w:cols w:num="3" w:equalWidth="0">
            <w:col w:w="3204" w:space="40"/>
            <w:col w:w="719" w:space="3181"/>
            <w:col w:w="4346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100"/>
        <w:ind w:left="1198"/>
      </w:pPr>
      <w:r>
        <w:rPr/>
        <w:t>Integrating</w:t>
      </w:r>
      <w:r>
        <w:rPr>
          <w:spacing w:val="-2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2.17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shown</w:t>
      </w:r>
    </w:p>
    <w:p>
      <w:pPr>
        <w:pStyle w:val="BodyText"/>
        <w:spacing w:before="2"/>
        <w:rPr>
          <w:sz w:val="16"/>
        </w:rPr>
      </w:pPr>
    </w:p>
    <w:p>
      <w:pPr>
        <w:tabs>
          <w:tab w:pos="3451" w:val="left" w:leader="none"/>
        </w:tabs>
        <w:spacing w:line="160" w:lineRule="exact" w:before="104"/>
        <w:ind w:left="2664" w:right="0" w:firstLine="0"/>
        <w:jc w:val="left"/>
        <w:rPr>
          <w:rFonts w:ascii="Times New Roman" w:hAnsi="Times New Roman"/>
          <w:sz w:val="23"/>
        </w:rPr>
      </w:pPr>
      <w:r>
        <w:rPr/>
        <w:pict>
          <v:line style="position:absolute;mso-position-horizontal-relative:page;mso-position-vertical-relative:paragraph;z-index:15749120" from="192.757095pt,23.809721pt" to="211.625276pt,23.809721pt" stroked="true" strokeweight=".4875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454144" from="222.236572pt,23.809721pt" to="237.454164pt,23.809721pt" stroked="true" strokeweight=".487525pt" strokecolor="#000000">
            <v:stroke dashstyle="solid"/>
            <w10:wrap type="none"/>
          </v:line>
        </w:pict>
      </w:r>
      <w:r>
        <w:rPr>
          <w:rFonts w:ascii="Symbol" w:hAnsi="Symbol"/>
          <w:position w:val="14"/>
          <w:sz w:val="14"/>
        </w:rPr>
        <w:t></w:t>
      </w:r>
      <w:r>
        <w:rPr>
          <w:rFonts w:ascii="Times New Roman" w:hAnsi="Times New Roman"/>
          <w:i/>
          <w:position w:val="10"/>
          <w:sz w:val="10"/>
        </w:rPr>
        <w:t>T</w:t>
        <w:tab/>
      </w:r>
      <w:r>
        <w:rPr>
          <w:rFonts w:ascii="Symbol" w:hAnsi="Symbol"/>
          <w:sz w:val="23"/>
        </w:rPr>
        <w:t></w:t>
      </w:r>
      <w:r>
        <w:rPr>
          <w:rFonts w:ascii="Times New Roman" w:hAnsi="Times New Roman"/>
          <w:i/>
          <w:sz w:val="23"/>
        </w:rPr>
        <w:t>H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  <w:vertAlign w:val="superscript"/>
        </w:rPr>
        <w:t>T</w:t>
      </w:r>
      <w:r>
        <w:rPr>
          <w:rFonts w:ascii="Times New Roman" w:hAnsi="Times New Roman"/>
          <w:i/>
          <w:spacing w:val="112"/>
          <w:sz w:val="23"/>
          <w:vertAlign w:val="baseline"/>
        </w:rPr>
        <w:t> </w:t>
      </w:r>
      <w:r>
        <w:rPr>
          <w:rFonts w:ascii="Times New Roman" w:hAnsi="Times New Roman"/>
          <w:sz w:val="23"/>
          <w:vertAlign w:val="baseline"/>
        </w:rPr>
        <w:t>1</w:t>
      </w:r>
    </w:p>
    <w:p>
      <w:pPr>
        <w:spacing w:after="0" w:line="160" w:lineRule="exact"/>
        <w:jc w:val="left"/>
        <w:rPr>
          <w:rFonts w:ascii="Times New Roman" w:hAnsi="Times New Roman"/>
          <w:sz w:val="23"/>
        </w:rPr>
        <w:sectPr>
          <w:type w:val="continuous"/>
          <w:pgSz w:w="11910" w:h="16840"/>
          <w:pgMar w:top="1580" w:bottom="1180" w:left="420" w:right="0"/>
        </w:sectPr>
      </w:pPr>
    </w:p>
    <w:p>
      <w:pPr>
        <w:spacing w:line="404" w:lineRule="exact" w:before="10"/>
        <w:ind w:left="2703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position w:val="-8"/>
          <w:sz w:val="35"/>
        </w:rPr>
        <w:t></w:t>
      </w:r>
      <w:r>
        <w:rPr>
          <w:rFonts w:ascii="Times New Roman" w:hAnsi="Times New Roman"/>
          <w:spacing w:val="-44"/>
          <w:position w:val="-8"/>
          <w:sz w:val="35"/>
        </w:rPr>
        <w:t> </w:t>
      </w:r>
      <w:r>
        <w:rPr>
          <w:rFonts w:ascii="Times New Roman" w:hAnsi="Times New Roman"/>
          <w:sz w:val="23"/>
        </w:rPr>
        <w:t>ln</w:t>
      </w:r>
      <w:r>
        <w:rPr>
          <w:rFonts w:ascii="Symbol" w:hAnsi="Symbol"/>
          <w:sz w:val="25"/>
        </w:rPr>
        <w:t></w:t>
      </w:r>
      <w:r>
        <w:rPr>
          <w:rFonts w:ascii="Times New Roman" w:hAnsi="Times New Roman"/>
          <w:spacing w:val="30"/>
          <w:sz w:val="25"/>
        </w:rPr>
        <w:t> </w:t>
      </w:r>
      <w:r>
        <w:rPr>
          <w:rFonts w:ascii="Symbol" w:hAnsi="Symbol"/>
          <w:sz w:val="23"/>
        </w:rPr>
        <w:t></w:t>
      </w:r>
    </w:p>
    <w:p>
      <w:pPr>
        <w:spacing w:line="147" w:lineRule="exact" w:before="0"/>
        <w:ind w:left="2670" w:right="0" w:firstLine="0"/>
        <w:jc w:val="left"/>
        <w:rPr>
          <w:rFonts w:ascii="Times New Roman" w:hAnsi="Times New Roman"/>
          <w:i/>
          <w:sz w:val="14"/>
        </w:rPr>
      </w:pPr>
      <w:r>
        <w:rPr>
          <w:rFonts w:ascii="Symbol" w:hAnsi="Symbol"/>
          <w:w w:val="105"/>
          <w:sz w:val="14"/>
        </w:rPr>
        <w:t></w:t>
      </w:r>
      <w:r>
        <w:rPr>
          <w:rFonts w:ascii="Times New Roman" w:hAnsi="Times New Roman"/>
          <w:i/>
          <w:w w:val="105"/>
          <w:sz w:val="14"/>
          <w:vertAlign w:val="subscript"/>
        </w:rPr>
        <w:t>o</w:t>
      </w:r>
    </w:p>
    <w:p>
      <w:pPr>
        <w:tabs>
          <w:tab w:pos="780" w:val="left" w:leader="none"/>
        </w:tabs>
        <w:spacing w:line="409" w:lineRule="exact" w:before="10"/>
        <w:ind w:left="446" w:right="0" w:firstLine="0"/>
        <w:jc w:val="left"/>
        <w:rPr>
          <w:rFonts w:ascii="Times New Roman" w:hAnsi="Times New Roman"/>
          <w:i/>
          <w:sz w:val="23"/>
        </w:rPr>
      </w:pPr>
      <w:r>
        <w:rPr/>
        <w:br w:type="column"/>
      </w:r>
      <w:r>
        <w:rPr>
          <w:rFonts w:ascii="Symbol" w:hAnsi="Symbol"/>
          <w:position w:val="-8"/>
          <w:sz w:val="35"/>
        </w:rPr>
        <w:t></w:t>
      </w:r>
      <w:r>
        <w:rPr>
          <w:rFonts w:ascii="Times New Roman" w:hAnsi="Times New Roman"/>
          <w:position w:val="-8"/>
          <w:sz w:val="35"/>
        </w:rPr>
        <w:tab/>
      </w:r>
      <w:r>
        <w:rPr>
          <w:rFonts w:ascii="Times New Roman" w:hAnsi="Times New Roman"/>
          <w:position w:val="-8"/>
          <w:sz w:val="14"/>
        </w:rPr>
        <w:t>2</w:t>
      </w:r>
      <w:r>
        <w:rPr>
          <w:rFonts w:ascii="Times New Roman" w:hAnsi="Times New Roman"/>
          <w:spacing w:val="34"/>
          <w:position w:val="-8"/>
          <w:sz w:val="14"/>
        </w:rPr>
        <w:t> </w:t>
      </w:r>
      <w:r>
        <w:rPr>
          <w:rFonts w:ascii="Times New Roman" w:hAnsi="Times New Roman"/>
          <w:i/>
          <w:sz w:val="23"/>
        </w:rPr>
        <w:t>dT</w:t>
      </w:r>
    </w:p>
    <w:p>
      <w:pPr>
        <w:spacing w:line="162" w:lineRule="exact" w:before="0"/>
        <w:ind w:left="420" w:right="0" w:firstLine="0"/>
        <w:jc w:val="left"/>
        <w:rPr>
          <w:rFonts w:ascii="Times New Roman"/>
          <w:sz w:val="10"/>
        </w:rPr>
      </w:pPr>
      <w:r>
        <w:rPr/>
        <w:pict>
          <v:shape style="position:absolute;margin-left:222.310242pt;margin-top:-8.170835pt;width:6.65pt;height:13.15pt;mso-position-horizontal-relative:page;mso-position-vertical-relative:paragraph;z-index:-24452608" type="#_x0000_t202" filled="false" stroked="false">
            <v:textbox inset="0,0,0,0">
              <w:txbxContent>
                <w:p>
                  <w:pPr>
                    <w:spacing w:line="261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3"/>
                    </w:rPr>
                  </w:pPr>
                  <w:r>
                    <w:rPr>
                      <w:rFonts w:ascii="Times New Roman"/>
                      <w:i/>
                      <w:w w:val="103"/>
                      <w:sz w:val="23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711334pt;margin-top:-8.586555pt;width:7.3pt;height:13.15pt;mso-position-horizontal-relative:page;mso-position-vertical-relative:paragraph;z-index:15752704" type="#_x0000_t202" filled="false" stroked="false">
            <v:textbox inset="0,0,0,0">
              <w:txbxContent>
                <w:p>
                  <w:pPr>
                    <w:spacing w:line="261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3"/>
                    </w:rPr>
                  </w:pPr>
                  <w:r>
                    <w:rPr>
                      <w:rFonts w:ascii="Times New Roman"/>
                      <w:i/>
                      <w:w w:val="103"/>
                      <w:sz w:val="23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z w:val="14"/>
        </w:rPr>
        <w:t>T</w:t>
      </w:r>
      <w:r>
        <w:rPr>
          <w:rFonts w:ascii="Times New Roman"/>
          <w:position w:val="-2"/>
          <w:sz w:val="10"/>
        </w:rPr>
        <w:t>0</w:t>
      </w:r>
    </w:p>
    <w:p>
      <w:pPr>
        <w:pStyle w:val="BodyText"/>
        <w:spacing w:before="34"/>
        <w:ind w:left="2670"/>
      </w:pPr>
      <w:r>
        <w:rPr/>
        <w:br w:type="column"/>
      </w:r>
      <w:r>
        <w:rPr/>
        <w:t>2.18</w:t>
      </w:r>
    </w:p>
    <w:p>
      <w:pPr>
        <w:spacing w:after="0"/>
        <w:sectPr>
          <w:type w:val="continuous"/>
          <w:pgSz w:w="11910" w:h="16840"/>
          <w:pgMar w:top="1580" w:bottom="1180" w:left="420" w:right="0"/>
          <w:cols w:num="3" w:equalWidth="0">
            <w:col w:w="3393" w:space="40"/>
            <w:col w:w="1205" w:space="2531"/>
            <w:col w:w="4321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spacing w:before="100"/>
        <w:ind w:left="1198"/>
      </w:pPr>
      <w:r>
        <w:rPr/>
        <w:t>Equation</w:t>
      </w:r>
      <w:r>
        <w:rPr>
          <w:spacing w:val="-4"/>
        </w:rPr>
        <w:t> </w:t>
      </w:r>
      <w:r>
        <w:rPr/>
        <w:t>2.18</w:t>
      </w:r>
      <w:r>
        <w:rPr>
          <w:spacing w:val="-3"/>
        </w:rPr>
        <w:t> </w:t>
      </w:r>
      <w:r>
        <w:rPr/>
        <w:t>gives</w:t>
      </w:r>
    </w:p>
    <w:p>
      <w:pPr>
        <w:pStyle w:val="BodyText"/>
        <w:spacing w:before="4"/>
        <w:rPr>
          <w:sz w:val="34"/>
        </w:rPr>
      </w:pPr>
    </w:p>
    <w:p>
      <w:pPr>
        <w:spacing w:line="168" w:lineRule="exact" w:before="1"/>
        <w:ind w:left="0" w:right="0" w:firstLine="0"/>
        <w:jc w:val="right"/>
        <w:rPr>
          <w:rFonts w:ascii="Times New Roman" w:hAnsi="Times New Roman"/>
          <w:i/>
          <w:sz w:val="10"/>
        </w:rPr>
      </w:pPr>
      <w:r>
        <w:rPr>
          <w:rFonts w:ascii="Times New Roman" w:hAnsi="Times New Roman"/>
          <w:spacing w:val="-10"/>
          <w:w w:val="104"/>
          <w:sz w:val="23"/>
        </w:rPr>
        <w:t>[</w:t>
      </w:r>
      <w:r>
        <w:rPr>
          <w:rFonts w:ascii="Times New Roman" w:hAnsi="Times New Roman"/>
          <w:spacing w:val="4"/>
          <w:w w:val="104"/>
          <w:sz w:val="23"/>
        </w:rPr>
        <w:t>l</w:t>
      </w:r>
      <w:r>
        <w:rPr>
          <w:rFonts w:ascii="Times New Roman" w:hAnsi="Times New Roman"/>
          <w:w w:val="104"/>
          <w:sz w:val="23"/>
        </w:rPr>
        <w:t>n</w:t>
      </w:r>
      <w:r>
        <w:rPr>
          <w:rFonts w:ascii="Times New Roman" w:hAnsi="Times New Roman"/>
          <w:spacing w:val="-35"/>
          <w:sz w:val="23"/>
        </w:rPr>
        <w:t> </w:t>
      </w:r>
      <w:r>
        <w:rPr>
          <w:rFonts w:ascii="Symbol" w:hAnsi="Symbol"/>
          <w:w w:val="96"/>
          <w:sz w:val="25"/>
        </w:rPr>
        <w:t></w:t>
      </w:r>
      <w:r>
        <w:rPr>
          <w:rFonts w:ascii="Times New Roman" w:hAnsi="Times New Roman"/>
          <w:spacing w:val="-32"/>
          <w:sz w:val="25"/>
        </w:rPr>
        <w:t> </w:t>
      </w:r>
      <w:r>
        <w:rPr>
          <w:rFonts w:ascii="Times New Roman" w:hAnsi="Times New Roman"/>
          <w:spacing w:val="-2"/>
          <w:w w:val="104"/>
          <w:sz w:val="23"/>
        </w:rPr>
        <w:t>]</w:t>
      </w:r>
      <w:r>
        <w:rPr>
          <w:rFonts w:ascii="Symbol" w:hAnsi="Symbol"/>
          <w:spacing w:val="5"/>
          <w:w w:val="97"/>
          <w:sz w:val="23"/>
          <w:vertAlign w:val="superscript"/>
        </w:rPr>
        <w:t></w:t>
      </w:r>
      <w:r>
        <w:rPr>
          <w:rFonts w:ascii="Times New Roman" w:hAnsi="Times New Roman"/>
          <w:i/>
          <w:w w:val="100"/>
          <w:position w:val="8"/>
          <w:sz w:val="10"/>
          <w:vertAlign w:val="baseline"/>
        </w:rPr>
        <w:t>T</w:t>
      </w:r>
    </w:p>
    <w:p>
      <w:pPr>
        <w:pStyle w:val="BodyText"/>
        <w:spacing w:before="8"/>
        <w:rPr>
          <w:rFonts w:ascii="Times New Roman"/>
          <w:i/>
          <w:sz w:val="58"/>
        </w:rPr>
      </w:pPr>
      <w:r>
        <w:rPr/>
        <w:br w:type="column"/>
      </w:r>
      <w:r>
        <w:rPr>
          <w:rFonts w:ascii="Times New Roman"/>
          <w:i/>
          <w:sz w:val="58"/>
        </w:rPr>
      </w:r>
    </w:p>
    <w:p>
      <w:pPr>
        <w:spacing w:line="298" w:lineRule="exact" w:before="0"/>
        <w:ind w:left="82" w:right="0" w:firstLine="0"/>
        <w:jc w:val="left"/>
        <w:rPr>
          <w:rFonts w:ascii="Times New Roman" w:hAnsi="Times New Roman"/>
          <w:i/>
          <w:sz w:val="23"/>
        </w:rPr>
      </w:pP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Symbol" w:hAnsi="Symbol"/>
          <w:sz w:val="23"/>
        </w:rPr>
        <w:t>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Symbol" w:hAnsi="Symbol"/>
          <w:position w:val="15"/>
          <w:sz w:val="23"/>
        </w:rPr>
        <w:t></w:t>
      </w:r>
      <w:r>
        <w:rPr>
          <w:rFonts w:ascii="Times New Roman" w:hAnsi="Times New Roman"/>
          <w:i/>
          <w:position w:val="15"/>
          <w:sz w:val="23"/>
        </w:rPr>
        <w:t>H</w:t>
      </w:r>
      <w:r>
        <w:rPr>
          <w:rFonts w:ascii="Times New Roman" w:hAnsi="Times New Roman"/>
          <w:i/>
          <w:spacing w:val="13"/>
          <w:position w:val="15"/>
          <w:sz w:val="23"/>
        </w:rPr>
        <w:t> </w:t>
      </w:r>
      <w:r>
        <w:rPr>
          <w:rFonts w:ascii="Times New Roman" w:hAnsi="Times New Roman"/>
          <w:sz w:val="23"/>
        </w:rPr>
        <w:t>[</w:t>
      </w:r>
      <w:r>
        <w:rPr>
          <w:rFonts w:ascii="Times New Roman" w:hAnsi="Times New Roman"/>
          <w:i/>
          <w:sz w:val="23"/>
        </w:rPr>
        <w:t>T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Symbol" w:hAnsi="Symbol"/>
          <w:sz w:val="23"/>
          <w:vertAlign w:val="superscript"/>
        </w:rPr>
        <w:t></w:t>
      </w:r>
      <w:r>
        <w:rPr>
          <w:rFonts w:ascii="Times New Roman" w:hAnsi="Times New Roman"/>
          <w:sz w:val="23"/>
          <w:vertAlign w:val="superscript"/>
        </w:rPr>
        <w:t>1</w:t>
      </w:r>
      <w:r>
        <w:rPr>
          <w:rFonts w:ascii="Times New Roman" w:hAnsi="Times New Roman"/>
          <w:spacing w:val="-31"/>
          <w:sz w:val="23"/>
          <w:vertAlign w:val="baseline"/>
        </w:rPr>
        <w:t> </w:t>
      </w:r>
      <w:r>
        <w:rPr>
          <w:rFonts w:ascii="Times New Roman" w:hAnsi="Times New Roman"/>
          <w:sz w:val="23"/>
          <w:vertAlign w:val="baseline"/>
        </w:rPr>
        <w:t>]</w:t>
      </w:r>
      <w:r>
        <w:rPr>
          <w:rFonts w:ascii="Times New Roman" w:hAnsi="Times New Roman"/>
          <w:i/>
          <w:sz w:val="23"/>
          <w:vertAlign w:val="superscript"/>
        </w:rPr>
        <w:t>T</w:t>
      </w:r>
    </w:p>
    <w:p>
      <w:pPr>
        <w:pStyle w:val="BodyText"/>
        <w:spacing w:line="20" w:lineRule="exact"/>
        <w:ind w:left="436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8.850pt;height:.5pt;mso-position-horizontal-relative:char;mso-position-vertical-relative:line" coordorigin="0,0" coordsize="377,10">
            <v:line style="position:absolute" from="0,5" to="376,5" stroked="true" strokeweight=".484413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i/>
          <w:sz w:val="28"/>
        </w:rPr>
      </w:pPr>
      <w:r>
        <w:rPr/>
        <w:br w:type="column"/>
      </w:r>
      <w:r>
        <w:rPr>
          <w:rFonts w:ascii="Times New Roman"/>
          <w:i/>
          <w:sz w:val="28"/>
        </w:rPr>
      </w: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spacing w:line="155" w:lineRule="exact" w:before="174"/>
        <w:ind w:left="1181" w:right="1034"/>
        <w:jc w:val="center"/>
      </w:pPr>
      <w:r>
        <w:rPr/>
        <w:t>2.19a</w:t>
      </w:r>
    </w:p>
    <w:p>
      <w:pPr>
        <w:spacing w:after="0" w:line="155" w:lineRule="exact"/>
        <w:jc w:val="center"/>
        <w:sectPr>
          <w:type w:val="continuous"/>
          <w:pgSz w:w="11910" w:h="16840"/>
          <w:pgMar w:top="1580" w:bottom="1180" w:left="420" w:right="0"/>
          <w:cols w:num="3" w:equalWidth="0">
            <w:col w:w="3313" w:space="40"/>
            <w:col w:w="1472" w:space="3816"/>
            <w:col w:w="2849"/>
          </w:cols>
        </w:sectPr>
      </w:pPr>
    </w:p>
    <w:p>
      <w:pPr>
        <w:spacing w:line="158" w:lineRule="exact" w:before="0"/>
        <w:ind w:left="0" w:right="73" w:firstLine="0"/>
        <w:jc w:val="right"/>
        <w:rPr>
          <w:rFonts w:ascii="Times New Roman" w:hAnsi="Times New Roman"/>
          <w:sz w:val="14"/>
        </w:rPr>
      </w:pPr>
      <w:r>
        <w:rPr>
          <w:rFonts w:ascii="Symbol" w:hAnsi="Symbol"/>
          <w:w w:val="105"/>
          <w:sz w:val="14"/>
        </w:rPr>
        <w:t></w:t>
      </w:r>
      <w:r>
        <w:rPr>
          <w:rFonts w:ascii="Times New Roman" w:hAnsi="Times New Roman"/>
          <w:w w:val="105"/>
          <w:sz w:val="14"/>
          <w:vertAlign w:val="subscript"/>
        </w:rPr>
        <w:t>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spacing w:line="158" w:lineRule="exact" w:before="0"/>
        <w:ind w:left="0" w:right="0" w:firstLine="0"/>
        <w:jc w:val="right"/>
        <w:rPr>
          <w:rFonts w:ascii="Symbol" w:hAnsi="Symbol"/>
          <w:sz w:val="23"/>
        </w:rPr>
      </w:pPr>
      <w:r>
        <w:rPr>
          <w:rFonts w:ascii="Symbol" w:hAnsi="Symbol"/>
          <w:w w:val="95"/>
          <w:position w:val="1"/>
          <w:sz w:val="23"/>
        </w:rPr>
        <w:t></w:t>
      </w:r>
      <w:r>
        <w:rPr>
          <w:rFonts w:ascii="Times New Roman" w:hAnsi="Times New Roman"/>
          <w:spacing w:val="-28"/>
          <w:w w:val="95"/>
          <w:position w:val="1"/>
          <w:sz w:val="23"/>
        </w:rPr>
        <w:t> </w:t>
      </w:r>
      <w:r>
        <w:rPr>
          <w:rFonts w:ascii="Symbol" w:hAnsi="Symbol"/>
          <w:w w:val="95"/>
          <w:sz w:val="25"/>
        </w:rPr>
        <w:t></w:t>
      </w:r>
      <w:r>
        <w:rPr>
          <w:rFonts w:ascii="Times New Roman" w:hAnsi="Times New Roman"/>
          <w:i/>
          <w:w w:val="95"/>
          <w:sz w:val="25"/>
          <w:vertAlign w:val="subscript"/>
        </w:rPr>
        <w:t>T</w:t>
      </w:r>
      <w:r>
        <w:rPr>
          <w:rFonts w:ascii="Times New Roman" w:hAnsi="Times New Roman"/>
          <w:i/>
          <w:spacing w:val="48"/>
          <w:w w:val="95"/>
          <w:sz w:val="25"/>
          <w:vertAlign w:val="baseline"/>
        </w:rPr>
        <w:t> </w:t>
      </w:r>
      <w:r>
        <w:rPr>
          <w:rFonts w:ascii="Symbol" w:hAnsi="Symbol"/>
          <w:w w:val="95"/>
          <w:position w:val="1"/>
          <w:sz w:val="23"/>
          <w:vertAlign w:val="baseline"/>
        </w:rPr>
        <w:t></w:t>
      </w:r>
    </w:p>
    <w:p>
      <w:pPr>
        <w:pStyle w:val="BodyText"/>
        <w:spacing w:before="3" w:after="40"/>
        <w:rPr>
          <w:rFonts w:ascii="Symbol" w:hAnsi="Symbol"/>
          <w:sz w:val="12"/>
        </w:rPr>
      </w:pPr>
    </w:p>
    <w:p>
      <w:pPr>
        <w:pStyle w:val="BodyText"/>
        <w:spacing w:line="20" w:lineRule="exact"/>
        <w:ind w:left="2981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13.9pt;height:.5pt;mso-position-horizontal-relative:char;mso-position-vertical-relative:line" coordorigin="0,0" coordsize="278,10">
            <v:line style="position:absolute" from="0,5" to="277,5" stroked="true" strokeweight=".480009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tabs>
          <w:tab w:pos="1280" w:val="left" w:leader="none"/>
        </w:tabs>
        <w:spacing w:line="136" w:lineRule="auto" w:before="29"/>
        <w:ind w:left="486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i/>
          <w:position w:val="-12"/>
          <w:sz w:val="23"/>
        </w:rPr>
        <w:t>R</w:t>
        <w:tab/>
      </w:r>
      <w:r>
        <w:rPr>
          <w:rFonts w:ascii="Times New Roman"/>
          <w:i/>
          <w:sz w:val="14"/>
        </w:rPr>
        <w:t>T</w:t>
      </w:r>
      <w:r>
        <w:rPr>
          <w:rFonts w:ascii="Times New Roman"/>
          <w:position w:val="-2"/>
          <w:sz w:val="10"/>
        </w:rPr>
        <w:t>0</w:t>
      </w:r>
    </w:p>
    <w:p>
      <w:pPr>
        <w:pStyle w:val="BodyText"/>
        <w:spacing w:before="10"/>
        <w:rPr>
          <w:rFonts w:ascii="Times New Roman"/>
          <w:sz w:val="36"/>
        </w:rPr>
      </w:pPr>
    </w:p>
    <w:p>
      <w:pPr>
        <w:tabs>
          <w:tab w:pos="1045" w:val="left" w:leader="none"/>
        </w:tabs>
        <w:spacing w:line="128" w:lineRule="exact" w:before="0"/>
        <w:ind w:left="389" w:right="0" w:firstLine="0"/>
        <w:jc w:val="left"/>
        <w:rPr>
          <w:rFonts w:ascii="Times New Roman" w:hAnsi="Times New Roman"/>
          <w:i/>
          <w:sz w:val="23"/>
        </w:rPr>
      </w:pPr>
      <w:r>
        <w:rPr>
          <w:rFonts w:ascii="Symbol" w:hAnsi="Symbol"/>
          <w:w w:val="105"/>
          <w:sz w:val="23"/>
        </w:rPr>
        <w:t></w:t>
      </w:r>
      <w:r>
        <w:rPr>
          <w:rFonts w:ascii="Times New Roman" w:hAnsi="Times New Roman"/>
          <w:i/>
          <w:w w:val="105"/>
          <w:sz w:val="23"/>
        </w:rPr>
        <w:t>H</w:t>
        <w:tab/>
      </w:r>
      <w:r>
        <w:rPr>
          <w:rFonts w:ascii="Symbol" w:hAnsi="Symbol"/>
          <w:w w:val="105"/>
          <w:sz w:val="23"/>
        </w:rPr>
        <w:t></w:t>
      </w:r>
      <w:r>
        <w:rPr>
          <w:rFonts w:ascii="Times New Roman" w:hAnsi="Times New Roman"/>
          <w:i/>
          <w:w w:val="105"/>
          <w:sz w:val="23"/>
        </w:rPr>
        <w:t>H</w:t>
      </w:r>
    </w:p>
    <w:p>
      <w:pPr>
        <w:pStyle w:val="BodyText"/>
        <w:spacing w:before="1"/>
        <w:rPr>
          <w:rFonts w:ascii="Times New Roman"/>
          <w:i/>
          <w:sz w:val="13"/>
        </w:rPr>
      </w:pPr>
      <w:r>
        <w:rPr/>
        <w:pict>
          <v:shape style="position:absolute;margin-left:210.989548pt;margin-top:9.727998pt;width:18.8pt;height:.1pt;mso-position-horizontal-relative:page;mso-position-vertical-relative:paragraph;z-index:-15711744;mso-wrap-distance-left:0;mso-wrap-distance-right:0" coordorigin="4220,195" coordsize="376,0" path="m4220,195l4596,195e" filled="false" stroked="true" strokeweight=".48000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2.700775pt;margin-top:9.727998pt;width:20.95pt;height:.1pt;mso-position-horizontal-relative:page;mso-position-vertical-relative:paragraph;z-index:-15711232;mso-wrap-distance-left:0;mso-wrap-distance-right:0" coordorigin="4854,195" coordsize="419,0" path="m4854,195l5272,195e" filled="false" stroked="true" strokeweight=".480009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13"/>
        </w:rPr>
        <w:sectPr>
          <w:type w:val="continuous"/>
          <w:pgSz w:w="11910" w:h="16840"/>
          <w:pgMar w:top="1580" w:bottom="1180" w:left="420" w:right="0"/>
          <w:cols w:num="2" w:equalWidth="0">
            <w:col w:w="3387" w:space="40"/>
            <w:col w:w="8063"/>
          </w:cols>
        </w:sectPr>
      </w:pPr>
    </w:p>
    <w:p>
      <w:pPr>
        <w:spacing w:line="26" w:lineRule="auto" w:before="0"/>
        <w:ind w:left="0" w:right="0" w:firstLine="0"/>
        <w:jc w:val="right"/>
        <w:rPr>
          <w:rFonts w:ascii="Symbol" w:hAnsi="Symbol"/>
          <w:sz w:val="23"/>
        </w:rPr>
      </w:pPr>
      <w:r>
        <w:rPr>
          <w:rFonts w:ascii="Times New Roman" w:hAnsi="Times New Roman"/>
          <w:w w:val="105"/>
          <w:sz w:val="23"/>
        </w:rPr>
        <w:t>ln</w:t>
      </w:r>
      <w:r>
        <w:rPr>
          <w:rFonts w:ascii="Symbol" w:hAnsi="Symbol"/>
          <w:w w:val="105"/>
          <w:position w:val="2"/>
          <w:sz w:val="23"/>
        </w:rPr>
        <w:t></w:t>
      </w:r>
    </w:p>
    <w:p>
      <w:pPr>
        <w:spacing w:before="0"/>
        <w:ind w:left="0" w:right="0" w:firstLine="0"/>
        <w:jc w:val="right"/>
        <w:rPr>
          <w:rFonts w:ascii="Symbol" w:hAnsi="Symbol"/>
          <w:sz w:val="23"/>
        </w:rPr>
      </w:pPr>
      <w:r>
        <w:rPr/>
        <w:pict>
          <v:shape style="position:absolute;margin-left:280.583038pt;margin-top:45.267857pt;width:3.5pt;height:7.75pt;mso-position-horizontal-relative:page;mso-position-vertical-relative:paragraph;z-index:15753216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w w:val="99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23"/>
        </w:rPr>
        <w:t></w:t>
      </w:r>
    </w:p>
    <w:p>
      <w:pPr>
        <w:spacing w:line="26" w:lineRule="auto" w:before="0"/>
        <w:ind w:left="297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position w:val="2"/>
          <w:sz w:val="23"/>
        </w:rPr>
        <w:t></w:t>
      </w:r>
      <w:r>
        <w:rPr>
          <w:rFonts w:ascii="Times New Roman" w:hAnsi="Times New Roman"/>
          <w:spacing w:val="-8"/>
          <w:w w:val="105"/>
          <w:position w:val="2"/>
          <w:sz w:val="23"/>
        </w:rPr>
        <w:t> </w:t>
      </w:r>
      <w:r>
        <w:rPr>
          <w:rFonts w:ascii="Symbol" w:hAnsi="Symbol"/>
          <w:w w:val="105"/>
          <w:sz w:val="23"/>
        </w:rPr>
        <w:t></w:t>
      </w:r>
      <w:r>
        <w:rPr>
          <w:rFonts w:ascii="Times New Roman" w:hAnsi="Times New Roman"/>
          <w:spacing w:val="-6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</w:t>
      </w:r>
    </w:p>
    <w:p>
      <w:pPr>
        <w:tabs>
          <w:tab w:pos="843" w:val="left" w:leader="none"/>
        </w:tabs>
        <w:spacing w:line="292" w:lineRule="exact" w:before="0"/>
        <w:ind w:left="141" w:right="0" w:firstLine="0"/>
        <w:jc w:val="left"/>
        <w:rPr>
          <w:rFonts w:ascii="Times New Roman" w:hAnsi="Times New Roman"/>
          <w:i/>
          <w:sz w:val="23"/>
        </w:rPr>
      </w:pPr>
      <w:r>
        <w:rPr/>
        <w:pict>
          <v:shape style="position:absolute;margin-left:170.530441pt;margin-top:-3.528527pt;width:6.35pt;height:15.35pt;mso-position-horizontal-relative:page;mso-position-vertical-relative:paragraph;z-index:1575168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w w:val="96"/>
                      <w:sz w:val="25"/>
                    </w:rPr>
                    <w:t>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05"/>
          <w:sz w:val="23"/>
          <w:vertAlign w:val="subscript"/>
        </w:rPr>
        <w:t>0</w:t>
      </w:r>
      <w:r>
        <w:rPr>
          <w:rFonts w:ascii="Times New Roman" w:hAnsi="Times New Roman"/>
          <w:spacing w:val="21"/>
          <w:w w:val="105"/>
          <w:sz w:val="23"/>
          <w:vertAlign w:val="baseline"/>
        </w:rPr>
        <w:t> </w:t>
      </w:r>
      <w:r>
        <w:rPr>
          <w:rFonts w:ascii="Symbol" w:hAnsi="Symbol"/>
          <w:w w:val="105"/>
          <w:position w:val="-5"/>
          <w:sz w:val="23"/>
          <w:vertAlign w:val="baseline"/>
        </w:rPr>
        <w:t></w:t>
      </w:r>
      <w:r>
        <w:rPr>
          <w:rFonts w:ascii="Times New Roman" w:hAnsi="Times New Roman"/>
          <w:w w:val="105"/>
          <w:position w:val="-5"/>
          <w:sz w:val="23"/>
          <w:vertAlign w:val="baseline"/>
        </w:rPr>
        <w:tab/>
      </w:r>
      <w:r>
        <w:rPr>
          <w:rFonts w:ascii="Times New Roman" w:hAnsi="Times New Roman"/>
          <w:i/>
          <w:spacing w:val="-8"/>
          <w:w w:val="105"/>
          <w:sz w:val="23"/>
          <w:vertAlign w:val="baseline"/>
        </w:rPr>
        <w:t>RT</w:t>
      </w:r>
    </w:p>
    <w:p>
      <w:pPr>
        <w:spacing w:line="37" w:lineRule="exact" w:before="0"/>
        <w:ind w:left="87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</w:t>
      </w:r>
    </w:p>
    <w:p>
      <w:pPr>
        <w:spacing w:line="266" w:lineRule="exact" w:before="0"/>
        <w:ind w:left="306" w:right="0" w:firstLine="0"/>
        <w:jc w:val="left"/>
        <w:rPr>
          <w:rFonts w:ascii="Times New Roman"/>
          <w:sz w:val="14"/>
        </w:rPr>
      </w:pPr>
      <w:r>
        <w:rPr>
          <w:rFonts w:ascii="Times New Roman"/>
          <w:i/>
          <w:w w:val="105"/>
          <w:sz w:val="23"/>
        </w:rPr>
        <w:t>RT</w:t>
      </w:r>
      <w:r>
        <w:rPr>
          <w:rFonts w:ascii="Times New Roman"/>
          <w:w w:val="105"/>
          <w:position w:val="-5"/>
          <w:sz w:val="14"/>
        </w:rPr>
        <w:t>0</w:t>
      </w:r>
    </w:p>
    <w:p>
      <w:pPr>
        <w:pStyle w:val="BodyText"/>
        <w:spacing w:line="74" w:lineRule="exact"/>
        <w:ind w:left="2671"/>
      </w:pPr>
      <w:r>
        <w:rPr/>
        <w:br w:type="column"/>
      </w:r>
      <w:r>
        <w:rPr/>
        <w:t>2.19b</w:t>
      </w:r>
    </w:p>
    <w:p>
      <w:pPr>
        <w:spacing w:after="0" w:line="74" w:lineRule="exact"/>
        <w:sectPr>
          <w:type w:val="continuous"/>
          <w:pgSz w:w="11910" w:h="16840"/>
          <w:pgMar w:top="1580" w:bottom="1180" w:left="420" w:right="0"/>
          <w:cols w:num="4" w:equalWidth="0">
            <w:col w:w="2957" w:space="40"/>
            <w:col w:w="1116" w:space="39"/>
            <w:col w:w="695" w:space="2321"/>
            <w:col w:w="4322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580" w:bottom="1180" w:left="420" w:right="0"/>
        </w:sectPr>
      </w:pPr>
    </w:p>
    <w:p>
      <w:pPr>
        <w:spacing w:line="187" w:lineRule="exact" w:before="242"/>
        <w:ind w:left="0" w:right="0" w:firstLine="0"/>
        <w:jc w:val="right"/>
        <w:rPr>
          <w:rFonts w:ascii="Symbol" w:hAnsi="Symbol"/>
          <w:sz w:val="25"/>
        </w:rPr>
      </w:pPr>
      <w:r>
        <w:rPr>
          <w:rFonts w:ascii="Times New Roman" w:hAnsi="Times New Roman"/>
          <w:sz w:val="24"/>
        </w:rPr>
        <w:t>ln</w:t>
      </w:r>
      <w:r>
        <w:rPr>
          <w:rFonts w:ascii="Symbol" w:hAnsi="Symbol"/>
          <w:sz w:val="25"/>
        </w:rPr>
        <w:t></w:t>
      </w:r>
    </w:p>
    <w:p>
      <w:pPr>
        <w:spacing w:line="103" w:lineRule="auto" w:before="152"/>
        <w:ind w:left="169" w:right="0" w:firstLine="0"/>
        <w:jc w:val="left"/>
        <w:rPr>
          <w:rFonts w:ascii="Times New Roman" w:hAnsi="Times New Roman"/>
          <w:i/>
          <w:sz w:val="24"/>
        </w:rPr>
      </w:pPr>
      <w:r>
        <w:rPr/>
        <w:br w:type="column"/>
      </w:r>
      <w:r>
        <w:rPr>
          <w:rFonts w:ascii="Symbol" w:hAnsi="Symbol"/>
          <w:position w:val="-14"/>
          <w:sz w:val="24"/>
        </w:rPr>
        <w:t></w:t>
      </w:r>
      <w:r>
        <w:rPr>
          <w:rFonts w:ascii="Times New Roman" w:hAnsi="Times New Roman"/>
          <w:spacing w:val="-7"/>
          <w:position w:val="-14"/>
          <w:sz w:val="24"/>
        </w:rPr>
        <w:t> </w:t>
      </w:r>
      <w:r>
        <w:rPr>
          <w:rFonts w:ascii="Symbol" w:hAnsi="Symbol"/>
          <w:position w:val="-14"/>
          <w:sz w:val="24"/>
        </w:rPr>
        <w:t></w:t>
      </w:r>
      <w:r>
        <w:rPr>
          <w:rFonts w:ascii="Times New Roman" w:hAnsi="Times New Roman"/>
          <w:spacing w:val="-3"/>
          <w:position w:val="-14"/>
          <w:sz w:val="24"/>
        </w:rPr>
        <w:t> </w:t>
      </w:r>
      <w:r>
        <w:rPr>
          <w:rFonts w:ascii="Symbol" w:hAnsi="Symbol"/>
          <w:sz w:val="24"/>
        </w:rPr>
        <w:t></w:t>
      </w:r>
      <w:r>
        <w:rPr>
          <w:rFonts w:ascii="Times New Roman" w:hAnsi="Times New Roman"/>
          <w:i/>
          <w:sz w:val="24"/>
        </w:rPr>
        <w:t>H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Symbol" w:hAnsi="Symbol"/>
          <w:position w:val="-14"/>
          <w:sz w:val="24"/>
        </w:rPr>
        <w:t></w:t>
      </w:r>
      <w:r>
        <w:rPr>
          <w:rFonts w:ascii="Times New Roman" w:hAnsi="Times New Roman"/>
          <w:spacing w:val="20"/>
          <w:position w:val="-14"/>
          <w:sz w:val="24"/>
        </w:rPr>
        <w:t> </w:t>
      </w:r>
      <w:r>
        <w:rPr>
          <w:rFonts w:ascii="Symbol" w:hAnsi="Symbol"/>
          <w:sz w:val="24"/>
        </w:rPr>
        <w:t></w:t>
      </w:r>
      <w:r>
        <w:rPr>
          <w:rFonts w:ascii="Times New Roman" w:hAnsi="Times New Roman"/>
          <w:i/>
          <w:sz w:val="24"/>
        </w:rPr>
        <w:t>H</w:t>
      </w:r>
    </w:p>
    <w:p>
      <w:pPr>
        <w:pStyle w:val="BodyText"/>
        <w:spacing w:line="20" w:lineRule="exact"/>
        <w:ind w:left="53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8.9pt;height:.5pt;mso-position-horizontal-relative:char;mso-position-vertical-relative:line" coordorigin="0,0" coordsize="378,10">
            <v:line style="position:absolute" from="0,5" to="378,5" stroked="true" strokeweight=".491297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ListParagraph"/>
        <w:numPr>
          <w:ilvl w:val="0"/>
          <w:numId w:val="8"/>
        </w:numPr>
        <w:tabs>
          <w:tab w:pos="247" w:val="left" w:leader="none"/>
        </w:tabs>
        <w:spacing w:line="187" w:lineRule="exact" w:before="242" w:after="0"/>
        <w:ind w:left="246" w:right="0" w:hanging="174"/>
        <w:jc w:val="left"/>
        <w:rPr>
          <w:rFonts w:ascii="Symbol" w:hAnsi="Symbol"/>
          <w:sz w:val="25"/>
        </w:rPr>
      </w:pPr>
      <w:r>
        <w:rPr>
          <w:rFonts w:ascii="Times New Roman" w:hAnsi="Times New Roman"/>
          <w:spacing w:val="4"/>
          <w:w w:val="99"/>
          <w:sz w:val="24"/>
        </w:rPr>
        <w:br w:type="column"/>
      </w:r>
      <w:r>
        <w:rPr>
          <w:rFonts w:ascii="Times New Roman" w:hAnsi="Times New Roman"/>
          <w:sz w:val="24"/>
        </w:rPr>
        <w:t>ln</w:t>
      </w:r>
      <w:r>
        <w:rPr>
          <w:rFonts w:ascii="Symbol" w:hAnsi="Symbol"/>
          <w:sz w:val="25"/>
        </w:rPr>
        <w:t></w:t>
      </w:r>
    </w:p>
    <w:p>
      <w:pPr>
        <w:pStyle w:val="BodyText"/>
        <w:spacing w:before="2"/>
        <w:rPr>
          <w:rFonts w:ascii="Symbol" w:hAnsi="Symbol"/>
          <w:sz w:val="21"/>
        </w:rPr>
      </w:pPr>
      <w:r>
        <w:rPr/>
        <w:br w:type="column"/>
      </w:r>
      <w:r>
        <w:rPr>
          <w:rFonts w:ascii="Symbol" w:hAnsi="Symbol"/>
          <w:sz w:val="21"/>
        </w:rPr>
      </w:r>
    </w:p>
    <w:p>
      <w:pPr>
        <w:pStyle w:val="BodyText"/>
        <w:spacing w:line="169" w:lineRule="exact" w:before="1"/>
        <w:ind w:left="2671"/>
      </w:pPr>
      <w:r>
        <w:rPr/>
        <w:t>2.19c</w:t>
      </w:r>
    </w:p>
    <w:p>
      <w:pPr>
        <w:spacing w:after="0" w:line="169" w:lineRule="exact"/>
        <w:sectPr>
          <w:type w:val="continuous"/>
          <w:pgSz w:w="11910" w:h="16840"/>
          <w:pgMar w:top="1580" w:bottom="1180" w:left="420" w:right="0"/>
          <w:cols w:num="4" w:equalWidth="0">
            <w:col w:w="3007" w:space="40"/>
            <w:col w:w="1500" w:space="39"/>
            <w:col w:w="621" w:space="1960"/>
            <w:col w:w="4323"/>
          </w:cols>
        </w:sectPr>
      </w:pPr>
    </w:p>
    <w:p>
      <w:pPr>
        <w:pStyle w:val="BodyText"/>
        <w:spacing w:line="20" w:lineRule="exact"/>
        <w:ind w:left="4183"/>
        <w:rPr>
          <w:sz w:val="2"/>
        </w:rPr>
      </w:pPr>
      <w:r>
        <w:rPr>
          <w:sz w:val="2"/>
        </w:rPr>
        <w:pict>
          <v:group style="width:21.1pt;height:.5pt;mso-position-horizontal-relative:char;mso-position-vertical-relative:line" coordorigin="0,0" coordsize="422,10">
            <v:line style="position:absolute" from="0,5" to="422,5" stroked="true" strokeweight=".491297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622" w:val="left" w:leader="none"/>
          <w:tab w:pos="4212" w:val="left" w:leader="none"/>
        </w:tabs>
        <w:spacing w:line="204" w:lineRule="exact" w:before="0"/>
        <w:ind w:left="3024" w:right="0" w:firstLine="0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sz w:val="24"/>
          <w:vertAlign w:val="superscript"/>
        </w:rPr>
        <w:t>T</w:t>
      </w:r>
      <w:r>
        <w:rPr>
          <w:rFonts w:ascii="Times New Roman"/>
          <w:i/>
          <w:sz w:val="24"/>
          <w:vertAlign w:val="baseline"/>
        </w:rPr>
        <w:tab/>
        <w:t>RT</w:t>
        <w:tab/>
        <w:t>RT</w:t>
      </w:r>
    </w:p>
    <w:p>
      <w:pPr>
        <w:spacing w:line="100" w:lineRule="exact" w:before="0"/>
        <w:ind w:left="0" w:right="2426" w:firstLine="0"/>
        <w:jc w:val="center"/>
        <w:rPr>
          <w:rFonts w:ascii="Times New Roman"/>
          <w:sz w:val="14"/>
        </w:rPr>
      </w:pPr>
      <w:r>
        <w:rPr>
          <w:rFonts w:ascii="Times New Roman"/>
          <w:w w:val="99"/>
          <w:sz w:val="14"/>
        </w:rPr>
        <w:t>0</w:t>
      </w: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pStyle w:val="BodyText"/>
        <w:ind w:left="1198"/>
      </w:pPr>
      <w:r>
        <w:rPr/>
        <w:t>Equation</w:t>
      </w:r>
      <w:r>
        <w:rPr>
          <w:spacing w:val="26"/>
        </w:rPr>
        <w:t> </w:t>
      </w:r>
      <w:r>
        <w:rPr/>
        <w:t>2.19c</w:t>
      </w:r>
      <w:r>
        <w:rPr>
          <w:spacing w:val="25"/>
        </w:rPr>
        <w:t> </w:t>
      </w:r>
      <w:r>
        <w:rPr/>
        <w:t>allows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plot</w:t>
      </w:r>
      <w:r>
        <w:rPr>
          <w:spacing w:val="24"/>
        </w:rPr>
        <w:t> </w:t>
      </w:r>
      <w:r>
        <w:rPr/>
        <w:t>of</w:t>
      </w:r>
    </w:p>
    <w:p>
      <w:pPr>
        <w:spacing w:before="245"/>
        <w:ind w:left="92" w:right="0" w:firstLine="0"/>
        <w:jc w:val="left"/>
        <w:rPr>
          <w:rFonts w:ascii="Times New Roman" w:hAnsi="Times New Roman"/>
          <w:i/>
          <w:sz w:val="25"/>
        </w:rPr>
      </w:pPr>
      <w:r>
        <w:rPr/>
        <w:br w:type="column"/>
      </w:r>
      <w:r>
        <w:rPr>
          <w:rFonts w:ascii="Times New Roman" w:hAnsi="Times New Roman"/>
          <w:w w:val="95"/>
          <w:sz w:val="24"/>
        </w:rPr>
        <w:t>ln</w:t>
      </w:r>
      <w:r>
        <w:rPr>
          <w:rFonts w:ascii="Symbol" w:hAnsi="Symbol"/>
          <w:w w:val="95"/>
          <w:sz w:val="25"/>
        </w:rPr>
        <w:t></w:t>
      </w:r>
      <w:r>
        <w:rPr>
          <w:rFonts w:ascii="Times New Roman" w:hAnsi="Times New Roman"/>
          <w:i/>
          <w:w w:val="95"/>
          <w:sz w:val="25"/>
          <w:vertAlign w:val="subscript"/>
        </w:rPr>
        <w:t>T</w:t>
      </w:r>
    </w:p>
    <w:p>
      <w:pPr>
        <w:pStyle w:val="BodyText"/>
        <w:spacing w:before="252"/>
        <w:ind w:left="122"/>
      </w:pPr>
      <w:r>
        <w:rPr/>
        <w:br w:type="column"/>
      </w:r>
      <w:r>
        <w:rPr/>
        <w:t>versus</w:t>
      </w:r>
      <w:r>
        <w:rPr>
          <w:spacing w:val="20"/>
        </w:rPr>
        <w:t> </w:t>
      </w:r>
      <w:r>
        <w:rPr/>
        <w:t>T</w:t>
      </w:r>
      <w:r>
        <w:rPr>
          <w:vertAlign w:val="superscript"/>
        </w:rPr>
        <w:t>-1</w:t>
      </w:r>
      <w:r>
        <w:rPr>
          <w:spacing w:val="-4"/>
          <w:vertAlign w:val="baseline"/>
        </w:rPr>
        <w:t> </w:t>
      </w:r>
      <w:r>
        <w:rPr>
          <w:vertAlign w:val="baseline"/>
        </w:rPr>
        <w:t>such</w:t>
      </w:r>
      <w:r>
        <w:rPr>
          <w:spacing w:val="19"/>
          <w:vertAlign w:val="baseline"/>
        </w:rPr>
        <w:t> </w:t>
      </w:r>
      <w:r>
        <w:rPr>
          <w:vertAlign w:val="baseline"/>
        </w:rPr>
        <w:t>that</w:t>
      </w:r>
    </w:p>
    <w:p>
      <w:pPr>
        <w:spacing w:line="192" w:lineRule="auto" w:before="123"/>
        <w:ind w:left="97" w:right="0" w:firstLine="0"/>
        <w:jc w:val="left"/>
        <w:rPr>
          <w:rFonts w:ascii="Times New Roman" w:hAnsi="Times New Roman"/>
          <w:i/>
          <w:sz w:val="23"/>
        </w:rPr>
      </w:pPr>
      <w:r>
        <w:rPr/>
        <w:br w:type="column"/>
      </w:r>
      <w:r>
        <w:rPr>
          <w:rFonts w:ascii="Symbol" w:hAnsi="Symbol"/>
          <w:spacing w:val="-1"/>
          <w:w w:val="105"/>
          <w:position w:val="-14"/>
          <w:sz w:val="23"/>
        </w:rPr>
        <w:t></w:t>
      </w:r>
      <w:r>
        <w:rPr>
          <w:rFonts w:ascii="Times New Roman" w:hAnsi="Times New Roman"/>
          <w:spacing w:val="-12"/>
          <w:w w:val="105"/>
          <w:position w:val="-14"/>
          <w:sz w:val="23"/>
        </w:rPr>
        <w:t> </w:t>
      </w:r>
      <w:r>
        <w:rPr>
          <w:rFonts w:ascii="Symbol" w:hAnsi="Symbol"/>
          <w:w w:val="105"/>
          <w:sz w:val="23"/>
        </w:rPr>
        <w:t></w:t>
      </w:r>
      <w:r>
        <w:rPr>
          <w:rFonts w:ascii="Times New Roman" w:hAnsi="Times New Roman"/>
          <w:i/>
          <w:w w:val="105"/>
          <w:sz w:val="23"/>
        </w:rPr>
        <w:t>H</w:t>
      </w:r>
    </w:p>
    <w:p>
      <w:pPr>
        <w:spacing w:line="225" w:lineRule="exact" w:before="0"/>
        <w:ind w:left="404" w:right="0" w:firstLine="0"/>
        <w:jc w:val="left"/>
        <w:rPr>
          <w:rFonts w:ascii="Times New Roman"/>
          <w:i/>
          <w:sz w:val="23"/>
        </w:rPr>
      </w:pPr>
      <w:r>
        <w:rPr/>
        <w:pict>
          <v:line style="position:absolute;mso-position-horizontal-relative:page;mso-position-vertical-relative:paragraph;z-index:-24453632" from="421.231934pt,-3.578923pt" to="439.93871pt,-3.578923pt" stroked="true" strokeweight=".508626pt" strokecolor="#000000">
            <v:stroke dashstyle="solid"/>
            <w10:wrap type="none"/>
          </v:line>
        </w:pict>
      </w:r>
      <w:r>
        <w:rPr>
          <w:rFonts w:ascii="Times New Roman"/>
          <w:i/>
          <w:w w:val="103"/>
          <w:sz w:val="23"/>
        </w:rPr>
        <w:t>R</w:t>
      </w:r>
    </w:p>
    <w:p>
      <w:pPr>
        <w:pStyle w:val="BodyText"/>
        <w:spacing w:before="11"/>
        <w:rPr>
          <w:rFonts w:ascii="Times New Roman"/>
          <w:i/>
          <w:sz w:val="21"/>
        </w:rPr>
      </w:pPr>
      <w:r>
        <w:rPr/>
        <w:br w:type="column"/>
      </w:r>
      <w:r>
        <w:rPr>
          <w:rFonts w:ascii="Times New Roman"/>
          <w:i/>
          <w:sz w:val="21"/>
        </w:rPr>
      </w:r>
    </w:p>
    <w:p>
      <w:pPr>
        <w:pStyle w:val="BodyText"/>
        <w:ind w:left="164"/>
      </w:pPr>
      <w:r>
        <w:rPr/>
        <w:t>is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slope,</w:t>
      </w:r>
      <w:r>
        <w:rPr>
          <w:spacing w:val="25"/>
        </w:rPr>
        <w:t> </w:t>
      </w:r>
      <w:r>
        <w:rPr/>
        <w:t>intercept</w:t>
      </w:r>
    </w:p>
    <w:p>
      <w:pPr>
        <w:spacing w:after="0"/>
        <w:sectPr>
          <w:type w:val="continuous"/>
          <w:pgSz w:w="11910" w:h="16840"/>
          <w:pgMar w:top="1580" w:bottom="1180" w:left="420" w:right="0"/>
          <w:cols w:num="5" w:equalWidth="0">
            <w:col w:w="4811" w:space="40"/>
            <w:col w:w="514" w:space="39"/>
            <w:col w:w="2274" w:space="39"/>
            <w:col w:w="620" w:space="40"/>
            <w:col w:w="3113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spacing w:before="248"/>
        <w:ind w:left="1198"/>
      </w:pPr>
      <w:r>
        <w:rPr/>
        <w:pict>
          <v:shape style="position:absolute;margin-left:232.078308pt;margin-top:21.604578pt;width:3.5pt;height:7.75pt;mso-position-horizontal-relative:page;mso-position-vertical-relative:paragraph;z-index:-24451584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w w:val="99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t>at/on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axis</w:t>
      </w:r>
      <w:r>
        <w:rPr>
          <w:spacing w:val="6"/>
        </w:rPr>
        <w:t> </w:t>
      </w:r>
      <w:r>
        <w:rPr/>
        <w:t>(ln</w:t>
      </w:r>
      <w:r>
        <w:rPr>
          <w:rFonts w:ascii="Symbol" w:hAnsi="Symbol"/>
          <w:position w:val="1"/>
        </w:rPr>
        <w:t></w:t>
      </w:r>
      <w:r>
        <w:rPr>
          <w:rFonts w:ascii="Times New Roman" w:hAnsi="Times New Roman"/>
          <w:spacing w:val="8"/>
          <w:position w:val="1"/>
        </w:rPr>
        <w:t> </w:t>
      </w:r>
      <w:r>
        <w:rPr/>
        <w:t>)</w:t>
      </w:r>
      <w:r>
        <w:rPr>
          <w:spacing w:val="5"/>
        </w:rPr>
        <w:t> </w:t>
      </w:r>
      <w:r>
        <w:rPr/>
        <w:t>gives</w:t>
      </w:r>
    </w:p>
    <w:p>
      <w:pPr>
        <w:pStyle w:val="BodyText"/>
        <w:tabs>
          <w:tab w:pos="614" w:val="left" w:leader="none"/>
        </w:tabs>
        <w:spacing w:before="248"/>
        <w:ind w:left="79"/>
      </w:pPr>
      <w:r>
        <w:rPr/>
        <w:br w:type="column"/>
      </w:r>
      <w:r>
        <w:rPr>
          <w:rFonts w:ascii="Times New Roman" w:hAnsi="Times New Roman"/>
        </w:rPr>
        <w:t>ln</w:t>
      </w:r>
      <w:r>
        <w:rPr>
          <w:rFonts w:ascii="Symbol" w:hAnsi="Symbol"/>
          <w:sz w:val="25"/>
        </w:rPr>
        <w:t></w:t>
      </w:r>
      <w:r>
        <w:rPr>
          <w:rFonts w:ascii="Times New Roman" w:hAnsi="Times New Roman"/>
          <w:sz w:val="25"/>
        </w:rPr>
        <w:tab/>
      </w:r>
      <w:r>
        <w:rPr/>
        <w:t>and</w:t>
      </w:r>
      <w:r>
        <w:rPr>
          <w:spacing w:val="6"/>
        </w:rPr>
        <w:t> </w:t>
      </w:r>
      <w:r>
        <w:rPr/>
        <w:t>intercept</w:t>
      </w:r>
      <w:r>
        <w:rPr>
          <w:spacing w:val="6"/>
        </w:rPr>
        <w:t> </w:t>
      </w:r>
      <w:r>
        <w:rPr/>
        <w:t>at/on</w:t>
      </w:r>
      <w:r>
        <w:rPr>
          <w:spacing w:val="7"/>
        </w:rPr>
        <w:t> </w:t>
      </w:r>
      <w:r>
        <w:rPr/>
        <w:t>x</w:t>
      </w:r>
      <w:r>
        <w:rPr>
          <w:spacing w:val="11"/>
        </w:rPr>
        <w:t> </w:t>
      </w:r>
      <w:r>
        <w:rPr/>
        <w:t>axis</w:t>
      </w:r>
      <w:r>
        <w:rPr>
          <w:spacing w:val="7"/>
        </w:rPr>
        <w:t> </w:t>
      </w:r>
      <w:r>
        <w:rPr/>
        <w:t>(T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7"/>
          <w:vertAlign w:val="baseline"/>
        </w:rPr>
        <w:t> </w:t>
      </w:r>
      <w:r>
        <w:rPr>
          <w:vertAlign w:val="baseline"/>
        </w:rPr>
        <w:t>gives</w:t>
      </w:r>
    </w:p>
    <w:p>
      <w:pPr>
        <w:spacing w:line="184" w:lineRule="auto" w:before="119"/>
        <w:ind w:left="109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</w:t>
      </w:r>
      <w:r>
        <w:rPr>
          <w:rFonts w:ascii="Times New Roman" w:hAnsi="Times New Roman"/>
          <w:i/>
          <w:sz w:val="24"/>
        </w:rPr>
        <w:t>H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position w:val="-15"/>
          <w:sz w:val="24"/>
        </w:rPr>
        <w:t>.</w:t>
      </w:r>
    </w:p>
    <w:p>
      <w:pPr>
        <w:spacing w:line="267" w:lineRule="exact" w:before="0"/>
        <w:ind w:left="107" w:right="0" w:firstLine="0"/>
        <w:jc w:val="left"/>
        <w:rPr>
          <w:rFonts w:ascii="Times New Roman"/>
          <w:sz w:val="14"/>
        </w:rPr>
      </w:pPr>
      <w:r>
        <w:rPr/>
        <w:pict>
          <v:line style="position:absolute;mso-position-horizontal-relative:page;mso-position-vertical-relative:paragraph;z-index:-24453120" from="444.064697pt,-3.510852pt" to="464.348791pt,-3.510852pt" stroked="true" strokeweight=".515866pt" strokecolor="#000000">
            <v:stroke dashstyle="solid"/>
            <w10:wrap type="none"/>
          </v:line>
        </w:pict>
      </w:r>
      <w:r>
        <w:rPr>
          <w:rFonts w:ascii="Times New Roman"/>
          <w:i/>
          <w:sz w:val="24"/>
        </w:rPr>
        <w:t>RT</w:t>
      </w:r>
      <w:r>
        <w:rPr>
          <w:rFonts w:ascii="Times New Roman"/>
          <w:position w:val="-5"/>
          <w:sz w:val="14"/>
        </w:rPr>
        <w:t>0</w:t>
      </w:r>
    </w:p>
    <w:p>
      <w:pPr>
        <w:pStyle w:val="BodyText"/>
        <w:spacing w:before="258"/>
        <w:ind w:left="80"/>
      </w:pPr>
      <w:r>
        <w:rPr/>
        <w:br w:type="column"/>
      </w:r>
      <w:r>
        <w:rPr>
          <w:rFonts w:ascii="Symbol" w:hAnsi="Symbol"/>
        </w:rPr>
        <w:t>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  <w:i/>
          <w:spacing w:val="2"/>
        </w:rPr>
        <w:t> </w:t>
      </w:r>
      <w:r>
        <w:rPr/>
        <w:t>is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heat</w:t>
      </w:r>
      <w:r>
        <w:rPr>
          <w:spacing w:val="6"/>
        </w:rPr>
        <w:t> </w:t>
      </w:r>
      <w:r>
        <w:rPr/>
        <w:t>of</w:t>
      </w:r>
    </w:p>
    <w:p>
      <w:pPr>
        <w:spacing w:after="0"/>
        <w:sectPr>
          <w:type w:val="continuous"/>
          <w:pgSz w:w="11910" w:h="16840"/>
          <w:pgMar w:top="1580" w:bottom="1180" w:left="420" w:right="0"/>
          <w:cols w:num="4" w:equalWidth="0">
            <w:col w:w="3756" w:space="40"/>
            <w:col w:w="4543" w:space="39"/>
            <w:col w:w="601" w:space="39"/>
            <w:col w:w="2472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00"/>
        <w:ind w:left="1198"/>
      </w:pPr>
      <w:r>
        <w:rPr/>
        <w:t>corn</w:t>
      </w:r>
      <w:r>
        <w:rPr>
          <w:spacing w:val="14"/>
        </w:rPr>
        <w:t> </w:t>
      </w:r>
      <w:r>
        <w:rPr/>
        <w:t>cob</w:t>
      </w:r>
      <w:r>
        <w:rPr>
          <w:spacing w:val="14"/>
        </w:rPr>
        <w:t> </w:t>
      </w:r>
      <w:r>
        <w:rPr/>
        <w:t>acetylation,</w:t>
      </w:r>
      <w:r>
        <w:rPr>
          <w:spacing w:val="16"/>
        </w:rPr>
        <w:t> </w:t>
      </w:r>
      <w:r>
        <w:rPr/>
        <w:t>T</w:t>
      </w:r>
      <w:r>
        <w:rPr>
          <w:vertAlign w:val="subscript"/>
        </w:rPr>
        <w:t>0</w:t>
      </w:r>
      <w:r>
        <w:rPr>
          <w:spacing w:val="15"/>
          <w:vertAlign w:val="baseline"/>
        </w:rPr>
        <w:t> </w:t>
      </w:r>
      <w:r>
        <w:rPr>
          <w:vertAlign w:val="baseline"/>
        </w:rPr>
        <w:t>is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critical</w:t>
      </w:r>
      <w:r>
        <w:rPr>
          <w:spacing w:val="15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acetylation</w:t>
      </w:r>
      <w:r>
        <w:rPr>
          <w:spacing w:val="14"/>
          <w:vertAlign w:val="baseline"/>
        </w:rPr>
        <w:t> </w:t>
      </w:r>
      <w:r>
        <w:rPr>
          <w:vertAlign w:val="baseline"/>
        </w:rPr>
        <w:t>(below</w:t>
      </w:r>
      <w:r>
        <w:rPr>
          <w:spacing w:val="14"/>
          <w:vertAlign w:val="baseline"/>
        </w:rPr>
        <w:t> </w:t>
      </w:r>
      <w:r>
        <w:rPr>
          <w:vertAlign w:val="baseline"/>
        </w:rPr>
        <w:t>which</w:t>
      </w:r>
      <w:r>
        <w:rPr>
          <w:spacing w:val="16"/>
          <w:vertAlign w:val="baseline"/>
        </w:rPr>
        <w:t> </w:t>
      </w:r>
      <w:r>
        <w:rPr>
          <w:vertAlign w:val="baseline"/>
        </w:rPr>
        <w:t>acetylation</w:t>
      </w:r>
    </w:p>
    <w:p>
      <w:pPr>
        <w:pStyle w:val="BodyText"/>
        <w:spacing w:before="9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spacing w:before="105"/>
        <w:ind w:left="1198"/>
        <w:rPr>
          <w:rFonts w:ascii="Times New Roman" w:hAnsi="Times New Roman"/>
          <w:sz w:val="25"/>
        </w:rPr>
      </w:pPr>
      <w:r>
        <w:rPr>
          <w:w w:val="95"/>
        </w:rPr>
        <w:t>is</w:t>
      </w:r>
      <w:r>
        <w:rPr>
          <w:spacing w:val="17"/>
          <w:w w:val="95"/>
        </w:rPr>
        <w:t> </w:t>
      </w:r>
      <w:r>
        <w:rPr>
          <w:w w:val="95"/>
        </w:rPr>
        <w:t>not</w:t>
      </w:r>
      <w:r>
        <w:rPr>
          <w:spacing w:val="16"/>
          <w:w w:val="95"/>
        </w:rPr>
        <w:t> </w:t>
      </w:r>
      <w:r>
        <w:rPr>
          <w:w w:val="95"/>
        </w:rPr>
        <w:t>feasible),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36"/>
          <w:w w:val="95"/>
        </w:rPr>
        <w:t> </w:t>
      </w:r>
      <w:r>
        <w:rPr>
          <w:rFonts w:ascii="Symbol" w:hAnsi="Symbol"/>
          <w:w w:val="95"/>
          <w:sz w:val="25"/>
        </w:rPr>
        <w:t></w:t>
      </w:r>
      <w:r>
        <w:rPr>
          <w:rFonts w:ascii="Times New Roman" w:hAnsi="Times New Roman"/>
          <w:spacing w:val="-23"/>
          <w:w w:val="95"/>
          <w:sz w:val="25"/>
        </w:rPr>
        <w:t> </w:t>
      </w:r>
      <w:r>
        <w:rPr>
          <w:rFonts w:ascii="Times New Roman" w:hAnsi="Times New Roman"/>
          <w:w w:val="95"/>
          <w:sz w:val="25"/>
          <w:vertAlign w:val="subscript"/>
        </w:rPr>
        <w:t>0</w:t>
      </w:r>
    </w:p>
    <w:p>
      <w:pPr>
        <w:pStyle w:val="BodyText"/>
        <w:spacing w:before="116"/>
        <w:ind w:left="82"/>
      </w:pPr>
      <w:r>
        <w:rPr/>
        <w:br w:type="column"/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critical</w:t>
      </w:r>
      <w:r>
        <w:rPr>
          <w:spacing w:val="-2"/>
        </w:rPr>
        <w:t> </w:t>
      </w:r>
      <w:r>
        <w:rPr/>
        <w:t>degree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acetylation.</w:t>
      </w:r>
    </w:p>
    <w:p>
      <w:pPr>
        <w:spacing w:after="0"/>
        <w:sectPr>
          <w:type w:val="continuous"/>
          <w:pgSz w:w="11910" w:h="16840"/>
          <w:pgMar w:top="1580" w:bottom="1180" w:left="420" w:right="0"/>
          <w:cols w:num="2" w:equalWidth="0">
            <w:col w:w="3601" w:space="40"/>
            <w:col w:w="7849"/>
          </w:cols>
        </w:sectPr>
      </w:pPr>
    </w:p>
    <w:p>
      <w:pPr>
        <w:pStyle w:val="BodyText"/>
        <w:spacing w:before="77"/>
        <w:ind w:left="1918"/>
        <w:rPr>
          <w:rFonts w:ascii="Times New Roman"/>
          <w:i/>
          <w:sz w:val="13"/>
        </w:rPr>
      </w:pPr>
      <w:r>
        <w:rPr/>
        <w:t>The</w:t>
      </w:r>
      <w:r>
        <w:rPr>
          <w:spacing w:val="53"/>
        </w:rPr>
        <w:t> </w:t>
      </w:r>
      <w:r>
        <w:rPr/>
        <w:t>heat</w:t>
      </w:r>
      <w:r>
        <w:rPr>
          <w:spacing w:val="51"/>
        </w:rPr>
        <w:t> </w:t>
      </w:r>
      <w:r>
        <w:rPr/>
        <w:t>capacity</w:t>
      </w:r>
      <w:r>
        <w:rPr>
          <w:spacing w:val="53"/>
        </w:rPr>
        <w:t> </w:t>
      </w:r>
      <w:r>
        <w:rPr/>
        <w:t>(</w:t>
      </w:r>
      <w:r>
        <w:rPr>
          <w:spacing w:val="-44"/>
        </w:rPr>
        <w:t> </w:t>
      </w:r>
      <w:r>
        <w:rPr>
          <w:rFonts w:ascii="Times New Roman"/>
          <w:i/>
          <w:sz w:val="23"/>
        </w:rPr>
        <w:t>C</w:t>
      </w:r>
      <w:r>
        <w:rPr>
          <w:rFonts w:ascii="Times New Roman"/>
          <w:i/>
          <w:position w:val="-5"/>
          <w:sz w:val="13"/>
        </w:rPr>
        <w:t>p</w:t>
      </w:r>
    </w:p>
    <w:p>
      <w:pPr>
        <w:pStyle w:val="BodyText"/>
        <w:spacing w:before="77"/>
        <w:ind w:left="130"/>
      </w:pPr>
      <w:r>
        <w:rPr/>
        <w:br w:type="column"/>
      </w:r>
      <w:r>
        <w:rPr/>
        <w:t>)</w:t>
      </w:r>
      <w:r>
        <w:rPr>
          <w:spacing w:val="45"/>
        </w:rPr>
        <w:t> </w:t>
      </w:r>
      <w:r>
        <w:rPr/>
        <w:t>of</w:t>
      </w:r>
      <w:r>
        <w:rPr>
          <w:spacing w:val="47"/>
        </w:rPr>
        <w:t> </w:t>
      </w:r>
      <w:r>
        <w:rPr/>
        <w:t>acetylation</w:t>
      </w:r>
      <w:r>
        <w:rPr>
          <w:spacing w:val="47"/>
        </w:rPr>
        <w:t> </w:t>
      </w:r>
      <w:r>
        <w:rPr/>
        <w:t>at</w:t>
      </w:r>
      <w:r>
        <w:rPr>
          <w:spacing w:val="46"/>
        </w:rPr>
        <w:t> </w:t>
      </w:r>
      <w:r>
        <w:rPr/>
        <w:t>constant</w:t>
      </w:r>
      <w:r>
        <w:rPr>
          <w:spacing w:val="46"/>
        </w:rPr>
        <w:t> </w:t>
      </w:r>
      <w:r>
        <w:rPr/>
        <w:t>pressure</w:t>
      </w:r>
      <w:r>
        <w:rPr>
          <w:spacing w:val="48"/>
        </w:rPr>
        <w:t> </w:t>
      </w:r>
      <w:r>
        <w:rPr/>
        <w:t>was</w:t>
      </w:r>
      <w:r>
        <w:rPr>
          <w:spacing w:val="48"/>
        </w:rPr>
        <w:t> </w:t>
      </w:r>
      <w:r>
        <w:rPr/>
        <w:t>obtained</w:t>
      </w:r>
      <w:r>
        <w:rPr>
          <w:spacing w:val="46"/>
        </w:rPr>
        <w:t> </w:t>
      </w:r>
      <w:r>
        <w:rPr/>
        <w:t>using</w:t>
      </w:r>
    </w:p>
    <w:p>
      <w:pPr>
        <w:spacing w:after="0"/>
        <w:sectPr>
          <w:pgSz w:w="11910" w:h="16840"/>
          <w:pgMar w:header="0" w:footer="987" w:top="1140" w:bottom="1260" w:left="420" w:right="0"/>
          <w:cols w:num="2" w:equalWidth="0">
            <w:col w:w="4391" w:space="40"/>
            <w:col w:w="70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ind w:left="1198"/>
      </w:pPr>
      <w:r>
        <w:rPr/>
        <w:t>(Ibemesi,</w:t>
      </w:r>
      <w:r>
        <w:rPr>
          <w:spacing w:val="-2"/>
        </w:rPr>
        <w:t> </w:t>
      </w:r>
      <w:r>
        <w:rPr/>
        <w:t>2004)</w:t>
      </w: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580" w:bottom="1180" w:left="420" w:right="0"/>
        </w:sectPr>
      </w:pPr>
    </w:p>
    <w:p>
      <w:pPr>
        <w:spacing w:line="175" w:lineRule="exact" w:before="95"/>
        <w:ind w:left="4006" w:right="0" w:firstLine="0"/>
        <w:jc w:val="left"/>
        <w:rPr>
          <w:rFonts w:ascii="Times New Roman"/>
          <w:sz w:val="10"/>
        </w:rPr>
      </w:pPr>
      <w:r>
        <w:rPr>
          <w:rFonts w:ascii="Times New Roman"/>
          <w:i/>
          <w:sz w:val="14"/>
        </w:rPr>
        <w:t>T</w:t>
      </w:r>
      <w:r>
        <w:rPr>
          <w:rFonts w:ascii="Times New Roman"/>
          <w:position w:val="-3"/>
          <w:sz w:val="10"/>
        </w:rPr>
        <w:t>2</w:t>
      </w:r>
    </w:p>
    <w:p>
      <w:pPr>
        <w:spacing w:line="405" w:lineRule="exact" w:before="0"/>
        <w:ind w:left="3395" w:right="0" w:firstLine="0"/>
        <w:jc w:val="left"/>
        <w:rPr>
          <w:rFonts w:ascii="Times New Roman" w:hAnsi="Times New Roman"/>
          <w:sz w:val="24"/>
        </w:rPr>
      </w:pPr>
      <w:r>
        <w:rPr>
          <w:rFonts w:ascii="Symbol" w:hAnsi="Symbol"/>
          <w:spacing w:val="-3"/>
          <w:w w:val="101"/>
          <w:sz w:val="24"/>
        </w:rPr>
        <w:t></w:t>
      </w:r>
      <w:r>
        <w:rPr>
          <w:rFonts w:ascii="Times New Roman" w:hAnsi="Times New Roman"/>
          <w:i/>
          <w:w w:val="101"/>
          <w:sz w:val="24"/>
        </w:rPr>
        <w:t>H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25"/>
          <w:sz w:val="24"/>
        </w:rPr>
        <w:t> </w:t>
      </w:r>
      <w:r>
        <w:rPr>
          <w:rFonts w:ascii="Symbol" w:hAnsi="Symbol"/>
          <w:w w:val="101"/>
          <w:sz w:val="24"/>
        </w:rPr>
        <w:t>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Symbol" w:hAnsi="Symbol"/>
          <w:spacing w:val="24"/>
          <w:w w:val="101"/>
          <w:position w:val="-8"/>
          <w:sz w:val="36"/>
        </w:rPr>
        <w:t></w:t>
      </w:r>
      <w:r>
        <w:rPr>
          <w:rFonts w:ascii="Times New Roman" w:hAnsi="Times New Roman"/>
          <w:i/>
          <w:spacing w:val="16"/>
          <w:w w:val="101"/>
          <w:sz w:val="24"/>
        </w:rPr>
        <w:t>C</w:t>
      </w:r>
      <w:r>
        <w:rPr>
          <w:rFonts w:ascii="Times New Roman" w:hAnsi="Times New Roman"/>
          <w:i/>
          <w:spacing w:val="12"/>
          <w:w w:val="101"/>
          <w:position w:val="-5"/>
          <w:sz w:val="14"/>
        </w:rPr>
        <w:t>p</w:t>
      </w:r>
      <w:r>
        <w:rPr>
          <w:rFonts w:ascii="Times New Roman" w:hAnsi="Times New Roman"/>
          <w:i/>
          <w:spacing w:val="7"/>
          <w:w w:val="101"/>
          <w:sz w:val="24"/>
        </w:rPr>
        <w:t>d</w:t>
      </w:r>
      <w:r>
        <w:rPr>
          <w:rFonts w:ascii="Times New Roman" w:hAnsi="Times New Roman"/>
          <w:i/>
          <w:w w:val="101"/>
          <w:sz w:val="24"/>
        </w:rPr>
        <w:t>T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Symbol" w:hAnsi="Symbol"/>
          <w:w w:val="101"/>
          <w:sz w:val="24"/>
        </w:rPr>
        <w:t>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i/>
          <w:spacing w:val="16"/>
          <w:w w:val="101"/>
          <w:sz w:val="24"/>
        </w:rPr>
        <w:t>C</w:t>
      </w:r>
      <w:r>
        <w:rPr>
          <w:rFonts w:ascii="Times New Roman" w:hAnsi="Times New Roman"/>
          <w:i/>
          <w:w w:val="101"/>
          <w:position w:val="-5"/>
          <w:sz w:val="14"/>
        </w:rPr>
        <w:t>p</w:t>
      </w:r>
      <w:r>
        <w:rPr>
          <w:rFonts w:ascii="Times New Roman" w:hAnsi="Times New Roman"/>
          <w:i/>
          <w:spacing w:val="-8"/>
          <w:position w:val="-5"/>
          <w:sz w:val="14"/>
        </w:rPr>
        <w:t> </w:t>
      </w:r>
      <w:r>
        <w:rPr>
          <w:rFonts w:ascii="Times New Roman" w:hAnsi="Times New Roman"/>
          <w:spacing w:val="-11"/>
          <w:w w:val="101"/>
          <w:sz w:val="24"/>
        </w:rPr>
        <w:t>(</w:t>
      </w:r>
      <w:r>
        <w:rPr>
          <w:rFonts w:ascii="Times New Roman" w:hAnsi="Times New Roman"/>
          <w:i/>
          <w:spacing w:val="-15"/>
          <w:w w:val="101"/>
          <w:sz w:val="24"/>
        </w:rPr>
        <w:t>T</w:t>
      </w:r>
      <w:r>
        <w:rPr>
          <w:rFonts w:ascii="Times New Roman" w:hAnsi="Times New Roman"/>
          <w:w w:val="101"/>
          <w:position w:val="-5"/>
          <w:sz w:val="14"/>
        </w:rPr>
        <w:t>2</w:t>
      </w:r>
      <w:r>
        <w:rPr>
          <w:rFonts w:ascii="Times New Roman" w:hAnsi="Times New Roman"/>
          <w:position w:val="-5"/>
          <w:sz w:val="14"/>
        </w:rPr>
        <w:t> </w:t>
      </w:r>
      <w:r>
        <w:rPr>
          <w:rFonts w:ascii="Times New Roman" w:hAnsi="Times New Roman"/>
          <w:spacing w:val="-2"/>
          <w:position w:val="-5"/>
          <w:sz w:val="14"/>
        </w:rPr>
        <w:t> </w:t>
      </w:r>
      <w:r>
        <w:rPr>
          <w:rFonts w:ascii="Symbol" w:hAnsi="Symbol"/>
          <w:w w:val="101"/>
          <w:sz w:val="24"/>
        </w:rPr>
        <w:t></w:t>
      </w:r>
      <w:r>
        <w:rPr>
          <w:rFonts w:ascii="Times New Roman" w:hAnsi="Times New Roman"/>
          <w:spacing w:val="-29"/>
          <w:sz w:val="24"/>
        </w:rPr>
        <w:t> </w:t>
      </w:r>
      <w:r>
        <w:rPr>
          <w:rFonts w:ascii="Times New Roman" w:hAnsi="Times New Roman"/>
          <w:i/>
          <w:spacing w:val="-31"/>
          <w:w w:val="101"/>
          <w:sz w:val="24"/>
        </w:rPr>
        <w:t>T</w:t>
      </w:r>
      <w:r>
        <w:rPr>
          <w:rFonts w:ascii="Times New Roman" w:hAnsi="Times New Roman"/>
          <w:w w:val="101"/>
          <w:position w:val="-5"/>
          <w:sz w:val="14"/>
        </w:rPr>
        <w:t>1</w:t>
      </w:r>
      <w:r>
        <w:rPr>
          <w:rFonts w:ascii="Times New Roman" w:hAnsi="Times New Roman"/>
          <w:spacing w:val="-23"/>
          <w:position w:val="-5"/>
          <w:sz w:val="14"/>
        </w:rPr>
        <w:t> </w:t>
      </w:r>
      <w:r>
        <w:rPr>
          <w:rFonts w:ascii="Times New Roman" w:hAnsi="Times New Roman"/>
          <w:w w:val="101"/>
          <w:sz w:val="24"/>
        </w:rPr>
        <w:t>)</w:t>
      </w:r>
    </w:p>
    <w:p>
      <w:pPr>
        <w:spacing w:line="204" w:lineRule="auto" w:before="0"/>
        <w:ind w:left="4016" w:right="0" w:firstLine="0"/>
        <w:jc w:val="left"/>
        <w:rPr>
          <w:rFonts w:ascii="Times New Roman"/>
          <w:sz w:val="10"/>
        </w:rPr>
      </w:pPr>
      <w:r>
        <w:rPr>
          <w:rFonts w:ascii="Times New Roman"/>
          <w:i/>
          <w:sz w:val="14"/>
        </w:rPr>
        <w:t>T</w:t>
      </w:r>
      <w:r>
        <w:rPr>
          <w:rFonts w:ascii="Times New Roman"/>
          <w:position w:val="-3"/>
          <w:sz w:val="10"/>
        </w:rPr>
        <w:t>1</w:t>
      </w:r>
    </w:p>
    <w:p>
      <w:pPr>
        <w:pStyle w:val="BodyText"/>
        <w:spacing w:before="8"/>
        <w:rPr>
          <w:rFonts w:ascii="Times New Roman"/>
        </w:rPr>
      </w:pPr>
      <w:r>
        <w:rPr/>
        <w:br w:type="column"/>
      </w:r>
      <w:r>
        <w:rPr>
          <w:rFonts w:ascii="Times New Roman"/>
        </w:rPr>
      </w:r>
    </w:p>
    <w:p>
      <w:pPr>
        <w:pStyle w:val="BodyText"/>
        <w:ind w:right="1175"/>
        <w:jc w:val="right"/>
      </w:pPr>
      <w:r>
        <w:rPr/>
        <w:t>2.20</w:t>
      </w:r>
    </w:p>
    <w:p>
      <w:pPr>
        <w:spacing w:after="0"/>
        <w:jc w:val="right"/>
        <w:sectPr>
          <w:type w:val="continuous"/>
          <w:pgSz w:w="11910" w:h="16840"/>
          <w:pgMar w:top="1580" w:bottom="1180" w:left="420" w:right="0"/>
          <w:cols w:num="2" w:equalWidth="0">
            <w:col w:w="6054" w:space="390"/>
            <w:col w:w="5046"/>
          </w:cols>
        </w:sect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520" w:lineRule="auto" w:before="101"/>
        <w:ind w:left="1198" w:right="575" w:firstLine="29"/>
      </w:pPr>
      <w:r>
        <w:rPr>
          <w:rFonts w:ascii="Times New Roman"/>
          <w:i/>
          <w:spacing w:val="11"/>
          <w:sz w:val="23"/>
        </w:rPr>
        <w:t>C</w:t>
      </w:r>
      <w:r>
        <w:rPr>
          <w:rFonts w:ascii="Times New Roman"/>
          <w:i/>
          <w:spacing w:val="11"/>
          <w:position w:val="-5"/>
          <w:sz w:val="13"/>
        </w:rPr>
        <w:t>p </w:t>
      </w:r>
      <w:r>
        <w:rPr/>
        <w:t>represents the</w:t>
      </w:r>
      <w:r>
        <w:rPr>
          <w:spacing w:val="-1"/>
        </w:rPr>
        <w:t> </w:t>
      </w:r>
      <w:r>
        <w:rPr/>
        <w:t>quantity of heat</w:t>
      </w:r>
      <w:r>
        <w:rPr>
          <w:spacing w:val="-2"/>
        </w:rPr>
        <w:t> </w:t>
      </w:r>
      <w:r>
        <w:rPr/>
        <w:t>needed to</w:t>
      </w:r>
      <w:r>
        <w:rPr>
          <w:spacing w:val="1"/>
        </w:rPr>
        <w:t> </w:t>
      </w:r>
      <w:r>
        <w:rPr/>
        <w:t>acetylate the</w:t>
      </w:r>
      <w:r>
        <w:rPr>
          <w:spacing w:val="1"/>
        </w:rPr>
        <w:t> </w:t>
      </w:r>
      <w:r>
        <w:rPr/>
        <w:t>material</w:t>
      </w:r>
      <w:r>
        <w:rPr>
          <w:spacing w:val="2"/>
        </w:rPr>
        <w:t> </w:t>
      </w:r>
      <w:r>
        <w:rPr/>
        <w:t>whenever a</w:t>
      </w:r>
      <w:r>
        <w:rPr>
          <w:spacing w:val="-2"/>
        </w:rPr>
        <w:t> </w:t>
      </w:r>
      <w:r>
        <w:rPr/>
        <w:t>degree</w:t>
      </w:r>
      <w:r>
        <w:rPr>
          <w:spacing w:val="1"/>
        </w:rPr>
        <w:t> </w:t>
      </w:r>
      <w:r>
        <w:rPr/>
        <w:t>rise</w:t>
      </w:r>
      <w:r>
        <w:rPr>
          <w:spacing w:val="-72"/>
        </w:rPr>
        <w:t> </w:t>
      </w:r>
      <w:r>
        <w:rPr/>
        <w:t>in</w:t>
      </w:r>
      <w:r>
        <w:rPr>
          <w:spacing w:val="-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occurs.</w:t>
      </w:r>
    </w:p>
    <w:p>
      <w:pPr>
        <w:pStyle w:val="BodyText"/>
        <w:spacing w:line="248" w:lineRule="exact"/>
        <w:ind w:left="1198"/>
      </w:pPr>
      <w:r>
        <w:rPr>
          <w:spacing w:val="-1"/>
          <w:position w:val="1"/>
        </w:rPr>
        <w:t>The</w:t>
      </w:r>
      <w:r>
        <w:rPr>
          <w:spacing w:val="55"/>
          <w:position w:val="1"/>
        </w:rPr>
        <w:t> </w:t>
      </w:r>
      <w:r>
        <w:rPr>
          <w:spacing w:val="-1"/>
          <w:position w:val="1"/>
        </w:rPr>
        <w:t>change</w:t>
      </w:r>
      <w:r>
        <w:rPr>
          <w:spacing w:val="55"/>
          <w:position w:val="1"/>
        </w:rPr>
        <w:t> </w:t>
      </w:r>
      <w:r>
        <w:rPr>
          <w:spacing w:val="-1"/>
          <w:position w:val="1"/>
        </w:rPr>
        <w:t>in</w:t>
      </w:r>
      <w:r>
        <w:rPr>
          <w:spacing w:val="55"/>
          <w:position w:val="1"/>
        </w:rPr>
        <w:t> </w:t>
      </w:r>
      <w:r>
        <w:rPr>
          <w:spacing w:val="-1"/>
          <w:position w:val="1"/>
        </w:rPr>
        <w:t>entropy</w:t>
      </w:r>
      <w:r>
        <w:rPr>
          <w:spacing w:val="54"/>
          <w:position w:val="1"/>
        </w:rPr>
        <w:t> </w:t>
      </w:r>
      <w:r>
        <w:rPr>
          <w:spacing w:val="-1"/>
          <w:position w:val="1"/>
        </w:rPr>
        <w:t>of</w:t>
      </w:r>
      <w:r>
        <w:rPr>
          <w:spacing w:val="54"/>
          <w:position w:val="1"/>
        </w:rPr>
        <w:t> </w:t>
      </w:r>
      <w:r>
        <w:rPr>
          <w:position w:val="1"/>
        </w:rPr>
        <w:t>acetylation</w:t>
      </w:r>
      <w:r>
        <w:rPr>
          <w:spacing w:val="54"/>
          <w:position w:val="1"/>
        </w:rPr>
        <w:t> </w:t>
      </w:r>
      <w:r>
        <w:rPr>
          <w:position w:val="1"/>
        </w:rPr>
        <w:t>(</w:t>
      </w:r>
      <w:r>
        <w:rPr>
          <w:spacing w:val="-36"/>
          <w:position w:val="1"/>
        </w:rPr>
        <w:t> </w:t>
      </w:r>
      <w:r>
        <w:rPr>
          <w:rFonts w:ascii="Symbol" w:hAnsi="Symbol"/>
        </w:rPr>
        <w:t></w:t>
      </w:r>
      <w:r>
        <w:rPr>
          <w:rFonts w:ascii="Times New Roman" w:hAnsi="Times New Roman"/>
          <w:i/>
        </w:rPr>
        <w:t>S</w:t>
      </w:r>
      <w:r>
        <w:rPr>
          <w:rFonts w:ascii="Times New Roman" w:hAnsi="Times New Roman"/>
          <w:i/>
          <w:spacing w:val="-9"/>
        </w:rPr>
        <w:t> </w:t>
      </w:r>
      <w:r>
        <w:rPr>
          <w:position w:val="1"/>
        </w:rPr>
        <w:t>)</w:t>
      </w:r>
      <w:r>
        <w:rPr>
          <w:spacing w:val="53"/>
          <w:position w:val="1"/>
        </w:rPr>
        <w:t> </w:t>
      </w:r>
      <w:r>
        <w:rPr>
          <w:position w:val="1"/>
        </w:rPr>
        <w:t>was</w:t>
      </w:r>
      <w:r>
        <w:rPr>
          <w:spacing w:val="55"/>
          <w:position w:val="1"/>
        </w:rPr>
        <w:t> </w:t>
      </w:r>
      <w:r>
        <w:rPr>
          <w:position w:val="1"/>
        </w:rPr>
        <w:t>obtained</w:t>
      </w:r>
      <w:r>
        <w:rPr>
          <w:spacing w:val="53"/>
          <w:position w:val="1"/>
        </w:rPr>
        <w:t> </w:t>
      </w:r>
      <w:r>
        <w:rPr>
          <w:position w:val="1"/>
        </w:rPr>
        <w:t>from</w:t>
      </w:r>
      <w:r>
        <w:rPr>
          <w:spacing w:val="58"/>
          <w:position w:val="1"/>
        </w:rPr>
        <w:t> </w:t>
      </w:r>
      <w:r>
        <w:rPr>
          <w:position w:val="1"/>
        </w:rPr>
        <w:t>the</w:t>
      </w:r>
      <w:r>
        <w:rPr>
          <w:spacing w:val="55"/>
          <w:position w:val="1"/>
        </w:rPr>
        <w:t> </w:t>
      </w:r>
      <w:r>
        <w:rPr>
          <w:position w:val="1"/>
        </w:rPr>
        <w:t>equation</w:t>
      </w:r>
      <w:r>
        <w:rPr>
          <w:spacing w:val="54"/>
          <w:position w:val="1"/>
        </w:rPr>
        <w:t> </w:t>
      </w:r>
      <w:r>
        <w:rPr>
          <w:position w:val="1"/>
        </w:rPr>
        <w:t>(Ibemesi,</w:t>
      </w: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spacing w:before="100"/>
        <w:ind w:left="1198"/>
      </w:pPr>
      <w:r>
        <w:rPr/>
        <w:t>2004):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11"/>
        <w:rPr>
          <w:sz w:val="25"/>
        </w:rPr>
      </w:pPr>
    </w:p>
    <w:p>
      <w:pPr>
        <w:spacing w:line="150" w:lineRule="exact" w:before="0"/>
        <w:ind w:left="1198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spacing w:val="-1"/>
          <w:w w:val="105"/>
          <w:position w:val="1"/>
          <w:sz w:val="23"/>
        </w:rPr>
        <w:t></w:t>
      </w:r>
      <w:r>
        <w:rPr>
          <w:rFonts w:ascii="Times New Roman" w:hAnsi="Times New Roman"/>
          <w:spacing w:val="-24"/>
          <w:w w:val="105"/>
          <w:position w:val="1"/>
          <w:sz w:val="23"/>
        </w:rPr>
        <w:t> </w:t>
      </w:r>
      <w:r>
        <w:rPr>
          <w:rFonts w:ascii="Times New Roman" w:hAnsi="Times New Roman"/>
          <w:i/>
          <w:spacing w:val="-1"/>
          <w:w w:val="105"/>
          <w:sz w:val="23"/>
        </w:rPr>
        <w:t>T</w:t>
      </w:r>
      <w:r>
        <w:rPr>
          <w:rFonts w:ascii="Times New Roman" w:hAnsi="Times New Roman"/>
          <w:spacing w:val="-1"/>
          <w:w w:val="105"/>
          <w:position w:val="-5"/>
          <w:sz w:val="14"/>
        </w:rPr>
        <w:t>2</w:t>
      </w:r>
      <w:r>
        <w:rPr>
          <w:rFonts w:ascii="Times New Roman" w:hAnsi="Times New Roman"/>
          <w:spacing w:val="32"/>
          <w:w w:val="105"/>
          <w:position w:val="-5"/>
          <w:sz w:val="14"/>
        </w:rPr>
        <w:t> </w:t>
      </w:r>
      <w:r>
        <w:rPr>
          <w:rFonts w:ascii="Symbol" w:hAnsi="Symbol"/>
          <w:spacing w:val="-1"/>
          <w:w w:val="105"/>
          <w:position w:val="1"/>
          <w:sz w:val="23"/>
        </w:rPr>
        <w:t></w:t>
      </w:r>
    </w:p>
    <w:p>
      <w:pPr>
        <w:pStyle w:val="BodyText"/>
        <w:spacing w:before="6"/>
        <w:rPr>
          <w:rFonts w:ascii="Symbol" w:hAnsi="Symbol"/>
          <w:sz w:val="11"/>
        </w:rPr>
      </w:pPr>
      <w:r>
        <w:rPr/>
        <w:pict>
          <v:shape style="position:absolute;margin-left:213.132813pt;margin-top:9.238037pt;width:12.5pt;height:.1pt;mso-position-horizontal-relative:page;mso-position-vertical-relative:paragraph;z-index:-15703552;mso-wrap-distance-left:0;mso-wrap-distance-right:0" coordorigin="4263,185" coordsize="250,0" path="m4263,185l4513,185e" filled="false" stroked="true" strokeweight=".480009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Symbol" w:hAnsi="Symbol"/>
          <w:sz w:val="11"/>
        </w:rPr>
        <w:sectPr>
          <w:type w:val="continuous"/>
          <w:pgSz w:w="11910" w:h="16840"/>
          <w:pgMar w:top="1580" w:bottom="1180" w:left="420" w:right="0"/>
          <w:cols w:num="2" w:equalWidth="0">
            <w:col w:w="1940" w:space="580"/>
            <w:col w:w="8970"/>
          </w:cols>
        </w:sectPr>
      </w:pPr>
    </w:p>
    <w:p>
      <w:pPr>
        <w:spacing w:line="7" w:lineRule="auto" w:before="0"/>
        <w:ind w:left="2677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</w:t>
      </w:r>
      <w:r>
        <w:rPr>
          <w:rFonts w:ascii="Times New Roman" w:hAnsi="Times New Roman"/>
          <w:i/>
          <w:w w:val="105"/>
          <w:sz w:val="23"/>
        </w:rPr>
        <w:t>S</w:t>
      </w:r>
      <w:r>
        <w:rPr>
          <w:rFonts w:ascii="Times New Roman" w:hAnsi="Times New Roman"/>
          <w:i/>
          <w:spacing w:val="15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</w:t>
      </w:r>
      <w:r>
        <w:rPr>
          <w:rFonts w:ascii="Times New Roman" w:hAnsi="Times New Roman"/>
          <w:spacing w:val="-10"/>
          <w:w w:val="105"/>
          <w:sz w:val="23"/>
        </w:rPr>
        <w:t> </w:t>
      </w:r>
      <w:r>
        <w:rPr>
          <w:rFonts w:ascii="Times New Roman" w:hAnsi="Times New Roman"/>
          <w:i/>
          <w:spacing w:val="13"/>
          <w:w w:val="105"/>
          <w:sz w:val="23"/>
        </w:rPr>
        <w:t>C</w:t>
      </w:r>
      <w:r>
        <w:rPr>
          <w:rFonts w:ascii="Times New Roman" w:hAnsi="Times New Roman"/>
          <w:i/>
          <w:spacing w:val="13"/>
          <w:w w:val="105"/>
          <w:position w:val="-5"/>
          <w:sz w:val="14"/>
        </w:rPr>
        <w:t>p</w:t>
      </w:r>
      <w:r>
        <w:rPr>
          <w:rFonts w:ascii="Times New Roman" w:hAnsi="Times New Roman"/>
          <w:i/>
          <w:spacing w:val="23"/>
          <w:w w:val="105"/>
          <w:position w:val="-5"/>
          <w:sz w:val="14"/>
        </w:rPr>
        <w:t> </w:t>
      </w:r>
      <w:r>
        <w:rPr>
          <w:rFonts w:ascii="Times New Roman" w:hAnsi="Times New Roman"/>
          <w:w w:val="105"/>
          <w:sz w:val="23"/>
        </w:rPr>
        <w:t>ln</w:t>
      </w:r>
      <w:r>
        <w:rPr>
          <w:rFonts w:ascii="Symbol" w:hAnsi="Symbol"/>
          <w:w w:val="105"/>
          <w:position w:val="1"/>
          <w:sz w:val="23"/>
        </w:rPr>
        <w:t></w:t>
      </w:r>
      <w:r>
        <w:rPr>
          <w:rFonts w:ascii="Times New Roman" w:hAnsi="Times New Roman"/>
          <w:spacing w:val="-11"/>
          <w:w w:val="105"/>
          <w:position w:val="1"/>
          <w:sz w:val="23"/>
        </w:rPr>
        <w:t> </w:t>
      </w:r>
      <w:r>
        <w:rPr>
          <w:rFonts w:ascii="Times New Roman" w:hAnsi="Times New Roman"/>
          <w:i/>
          <w:w w:val="105"/>
          <w:position w:val="-18"/>
          <w:sz w:val="23"/>
        </w:rPr>
        <w:t>T </w:t>
      </w:r>
      <w:r>
        <w:rPr>
          <w:rFonts w:ascii="Times New Roman" w:hAnsi="Times New Roman"/>
          <w:i/>
          <w:spacing w:val="6"/>
          <w:w w:val="105"/>
          <w:position w:val="-18"/>
          <w:sz w:val="23"/>
        </w:rPr>
        <w:t> </w:t>
      </w:r>
      <w:r>
        <w:rPr>
          <w:rFonts w:ascii="Symbol" w:hAnsi="Symbol"/>
          <w:w w:val="105"/>
          <w:position w:val="1"/>
          <w:sz w:val="23"/>
        </w:rPr>
        <w:t></w:t>
      </w:r>
    </w:p>
    <w:p>
      <w:pPr>
        <w:pStyle w:val="BodyText"/>
        <w:spacing w:line="34" w:lineRule="exact"/>
        <w:ind w:left="2677"/>
      </w:pPr>
      <w:r>
        <w:rPr/>
        <w:br w:type="column"/>
      </w:r>
      <w:r>
        <w:rPr/>
        <w:t>2.21</w:t>
      </w:r>
    </w:p>
    <w:p>
      <w:pPr>
        <w:spacing w:after="0" w:line="34" w:lineRule="exact"/>
        <w:sectPr>
          <w:type w:val="continuous"/>
          <w:pgSz w:w="11910" w:h="16840"/>
          <w:pgMar w:top="1580" w:bottom="1180" w:left="420" w:right="0"/>
          <w:cols w:num="2" w:equalWidth="0">
            <w:col w:w="4254" w:space="2908"/>
            <w:col w:w="4328"/>
          </w:cols>
        </w:sectPr>
      </w:pPr>
    </w:p>
    <w:p>
      <w:pPr>
        <w:spacing w:line="115" w:lineRule="exact" w:before="0"/>
        <w:ind w:left="3717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</w:t>
      </w:r>
      <w:r>
        <w:rPr>
          <w:rFonts w:ascii="Times New Roman" w:hAnsi="Times New Roman"/>
          <w:spacing w:val="47"/>
          <w:w w:val="105"/>
          <w:sz w:val="23"/>
        </w:rPr>
        <w:t> </w:t>
      </w:r>
      <w:r>
        <w:rPr>
          <w:rFonts w:ascii="Times New Roman" w:hAnsi="Times New Roman"/>
          <w:w w:val="105"/>
          <w:sz w:val="14"/>
        </w:rPr>
        <w:t>1</w:t>
      </w:r>
      <w:r>
        <w:rPr>
          <w:rFonts w:ascii="Times New Roman" w:hAnsi="Times New Roman"/>
          <w:spacing w:val="32"/>
          <w:w w:val="105"/>
          <w:sz w:val="14"/>
        </w:rPr>
        <w:t> </w:t>
      </w:r>
      <w:r>
        <w:rPr>
          <w:rFonts w:ascii="Symbol" w:hAnsi="Symbol"/>
          <w:w w:val="105"/>
          <w:sz w:val="23"/>
        </w:rPr>
        <w:t></w:t>
      </w:r>
    </w:p>
    <w:p>
      <w:pPr>
        <w:pStyle w:val="BodyText"/>
        <w:spacing w:before="7"/>
        <w:rPr>
          <w:rFonts w:ascii="Symbol" w:hAnsi="Symbol"/>
          <w:sz w:val="16"/>
        </w:rPr>
      </w:pPr>
    </w:p>
    <w:p>
      <w:pPr>
        <w:pStyle w:val="BodyText"/>
        <w:spacing w:before="99"/>
        <w:ind w:left="1918"/>
      </w:pPr>
      <w:r>
        <w:rPr>
          <w:spacing w:val="-1"/>
          <w:position w:val="1"/>
        </w:rPr>
        <w:t>An</w:t>
      </w:r>
      <w:r>
        <w:rPr>
          <w:spacing w:val="35"/>
          <w:position w:val="1"/>
        </w:rPr>
        <w:t> </w:t>
      </w:r>
      <w:r>
        <w:rPr>
          <w:spacing w:val="-1"/>
          <w:position w:val="1"/>
        </w:rPr>
        <w:t>important</w:t>
      </w:r>
      <w:r>
        <w:rPr>
          <w:spacing w:val="37"/>
          <w:position w:val="1"/>
        </w:rPr>
        <w:t> </w:t>
      </w:r>
      <w:r>
        <w:rPr>
          <w:spacing w:val="-1"/>
          <w:position w:val="1"/>
        </w:rPr>
        <w:t>thermodynamic</w:t>
      </w:r>
      <w:r>
        <w:rPr>
          <w:spacing w:val="36"/>
          <w:position w:val="1"/>
        </w:rPr>
        <w:t> </w:t>
      </w:r>
      <w:r>
        <w:rPr>
          <w:spacing w:val="-1"/>
          <w:position w:val="1"/>
        </w:rPr>
        <w:t>parameter,</w:t>
      </w:r>
      <w:r>
        <w:rPr>
          <w:spacing w:val="36"/>
          <w:position w:val="1"/>
        </w:rPr>
        <w:t> </w:t>
      </w:r>
      <w:r>
        <w:rPr>
          <w:spacing w:val="-1"/>
          <w:position w:val="1"/>
        </w:rPr>
        <w:t>change</w:t>
      </w:r>
      <w:r>
        <w:rPr>
          <w:spacing w:val="36"/>
          <w:position w:val="1"/>
        </w:rPr>
        <w:t> </w:t>
      </w:r>
      <w:r>
        <w:rPr>
          <w:spacing w:val="-1"/>
          <w:position w:val="1"/>
        </w:rPr>
        <w:t>in</w:t>
      </w:r>
      <w:r>
        <w:rPr>
          <w:spacing w:val="37"/>
          <w:position w:val="1"/>
        </w:rPr>
        <w:t> </w:t>
      </w:r>
      <w:r>
        <w:rPr>
          <w:spacing w:val="-1"/>
          <w:position w:val="1"/>
        </w:rPr>
        <w:t>Gibb’s</w:t>
      </w:r>
      <w:r>
        <w:rPr>
          <w:spacing w:val="35"/>
          <w:position w:val="1"/>
        </w:rPr>
        <w:t> </w:t>
      </w:r>
      <w:r>
        <w:rPr>
          <w:spacing w:val="-1"/>
          <w:position w:val="1"/>
        </w:rPr>
        <w:t>free</w:t>
      </w:r>
      <w:r>
        <w:rPr>
          <w:spacing w:val="34"/>
          <w:position w:val="1"/>
        </w:rPr>
        <w:t> </w:t>
      </w:r>
      <w:r>
        <w:rPr>
          <w:spacing w:val="-1"/>
          <w:position w:val="1"/>
        </w:rPr>
        <w:t>energy</w:t>
      </w:r>
      <w:r>
        <w:rPr>
          <w:spacing w:val="34"/>
          <w:position w:val="1"/>
        </w:rPr>
        <w:t> </w:t>
      </w:r>
      <w:r>
        <w:rPr>
          <w:position w:val="1"/>
        </w:rPr>
        <w:t>(</w:t>
      </w:r>
      <w:r>
        <w:rPr>
          <w:spacing w:val="-40"/>
          <w:position w:val="1"/>
        </w:rPr>
        <w:t> </w:t>
      </w:r>
      <w:r>
        <w:rPr>
          <w:rFonts w:ascii="Symbol" w:hAnsi="Symbol"/>
          <w:sz w:val="25"/>
        </w:rPr>
        <w:t></w:t>
      </w:r>
      <w:r>
        <w:rPr>
          <w:rFonts w:ascii="Times New Roman" w:hAnsi="Times New Roman"/>
          <w:i/>
          <w:sz w:val="25"/>
        </w:rPr>
        <w:t>G</w:t>
      </w:r>
      <w:r>
        <w:rPr>
          <w:rFonts w:ascii="Times New Roman" w:hAnsi="Times New Roman"/>
          <w:i/>
          <w:spacing w:val="-31"/>
          <w:sz w:val="25"/>
        </w:rPr>
        <w:t> </w:t>
      </w:r>
      <w:r>
        <w:rPr>
          <w:position w:val="1"/>
        </w:rPr>
        <w:t>),</w:t>
      </w:r>
      <w:r>
        <w:rPr>
          <w:spacing w:val="34"/>
          <w:position w:val="1"/>
        </w:rPr>
        <w:t> </w:t>
      </w:r>
      <w:r>
        <w:rPr>
          <w:position w:val="1"/>
        </w:rPr>
        <w:t>was</w:t>
      </w: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spacing w:before="100"/>
        <w:ind w:left="1198"/>
      </w:pPr>
      <w:r>
        <w:rPr/>
        <w:t>calculated</w:t>
      </w:r>
      <w:r>
        <w:rPr>
          <w:spacing w:val="-4"/>
        </w:rPr>
        <w:t> </w:t>
      </w:r>
      <w:r>
        <w:rPr/>
        <w:t>thus:</w:t>
      </w:r>
      <w:r>
        <w:rPr>
          <w:spacing w:val="-5"/>
        </w:rPr>
        <w:t> </w:t>
      </w:r>
      <w:r>
        <w:rPr/>
        <w:t>(Ibemesi,</w:t>
      </w:r>
      <w:r>
        <w:rPr>
          <w:spacing w:val="-5"/>
        </w:rPr>
        <w:t> </w:t>
      </w:r>
      <w:r>
        <w:rPr/>
        <w:t>2004)</w:t>
      </w:r>
    </w:p>
    <w:p>
      <w:pPr>
        <w:pStyle w:val="BodyText"/>
        <w:spacing w:before="5"/>
      </w:pPr>
    </w:p>
    <w:p>
      <w:pPr>
        <w:spacing w:before="0"/>
        <w:ind w:left="2675" w:right="0" w:firstLine="0"/>
        <w:jc w:val="left"/>
        <w:rPr>
          <w:rFonts w:ascii="Times New Roman" w:hAnsi="Times New Roman"/>
          <w:i/>
          <w:sz w:val="24"/>
        </w:rPr>
      </w:pPr>
      <w:r>
        <w:rPr>
          <w:rFonts w:ascii="Symbol" w:hAnsi="Symbol"/>
          <w:w w:val="105"/>
          <w:sz w:val="24"/>
        </w:rPr>
        <w:t></w:t>
      </w:r>
      <w:r>
        <w:rPr>
          <w:rFonts w:ascii="Times New Roman" w:hAnsi="Times New Roman"/>
          <w:i/>
          <w:w w:val="105"/>
          <w:sz w:val="24"/>
        </w:rPr>
        <w:t>G</w:t>
      </w:r>
      <w:r>
        <w:rPr>
          <w:rFonts w:ascii="Times New Roman" w:hAnsi="Times New Roman"/>
          <w:i/>
          <w:spacing w:val="-2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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</w:t>
      </w:r>
      <w:r>
        <w:rPr>
          <w:rFonts w:ascii="Times New Roman" w:hAnsi="Times New Roman"/>
          <w:i/>
          <w:w w:val="105"/>
          <w:sz w:val="24"/>
        </w:rPr>
        <w:t>H</w:t>
      </w:r>
      <w:r>
        <w:rPr>
          <w:rFonts w:ascii="Times New Roman" w:hAnsi="Times New Roman"/>
          <w:i/>
          <w:spacing w:val="1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</w:t>
      </w:r>
      <w:r>
        <w:rPr>
          <w:rFonts w:ascii="Times New Roman" w:hAnsi="Times New Roman"/>
          <w:i/>
          <w:w w:val="105"/>
          <w:sz w:val="24"/>
        </w:rPr>
        <w:t>T</w:t>
      </w:r>
      <w:r>
        <w:rPr>
          <w:rFonts w:ascii="Symbol" w:hAnsi="Symbol"/>
          <w:w w:val="105"/>
          <w:sz w:val="24"/>
        </w:rPr>
        <w:t></w:t>
      </w:r>
      <w:r>
        <w:rPr>
          <w:rFonts w:ascii="Times New Roman" w:hAnsi="Times New Roman"/>
          <w:i/>
          <w:w w:val="105"/>
          <w:sz w:val="24"/>
        </w:rPr>
        <w:t>S</w:t>
      </w:r>
    </w:p>
    <w:p>
      <w:pPr>
        <w:pStyle w:val="BodyText"/>
        <w:rPr>
          <w:rFonts w:ascii="Times New Roman"/>
          <w:i/>
          <w:sz w:val="28"/>
        </w:rPr>
      </w:pPr>
      <w:r>
        <w:rPr/>
        <w:br w:type="column"/>
      </w:r>
      <w:r>
        <w:rPr>
          <w:rFonts w:ascii="Times New Roman"/>
          <w:i/>
          <w:sz w:val="28"/>
        </w:rPr>
      </w:r>
    </w:p>
    <w:p>
      <w:pPr>
        <w:pStyle w:val="BodyText"/>
        <w:spacing w:before="2"/>
        <w:rPr>
          <w:rFonts w:ascii="Times New Roman"/>
          <w:i/>
          <w:sz w:val="31"/>
        </w:rPr>
      </w:pPr>
    </w:p>
    <w:p>
      <w:pPr>
        <w:pStyle w:val="BodyText"/>
        <w:spacing w:before="1"/>
        <w:ind w:left="1055" w:right="1035"/>
        <w:jc w:val="center"/>
      </w:pPr>
      <w:r>
        <w:rPr/>
        <w:t>2.22</w:t>
      </w:r>
    </w:p>
    <w:p>
      <w:pPr>
        <w:spacing w:after="0"/>
        <w:jc w:val="center"/>
        <w:sectPr>
          <w:type w:val="continuous"/>
          <w:pgSz w:w="11910" w:h="16840"/>
          <w:pgMar w:top="1580" w:bottom="1180" w:left="420" w:right="0"/>
          <w:cols w:num="2" w:equalWidth="0">
            <w:col w:w="4678" w:space="3963"/>
            <w:col w:w="2849"/>
          </w:cols>
        </w:sectPr>
      </w:pPr>
    </w:p>
    <w:p>
      <w:pPr>
        <w:pStyle w:val="Heading3"/>
        <w:spacing w:line="482" w:lineRule="auto" w:before="75"/>
        <w:ind w:left="3358" w:right="5364" w:firstLine="720"/>
      </w:pPr>
      <w:r>
        <w:rPr/>
        <w:t>Chapter Three</w:t>
      </w:r>
      <w:r>
        <w:rPr>
          <w:spacing w:val="1"/>
        </w:rPr>
        <w:t> </w:t>
      </w:r>
      <w:r>
        <w:rPr/>
        <w:t>Results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Discussion</w:t>
      </w:r>
    </w:p>
    <w:p>
      <w:pPr>
        <w:pStyle w:val="ListParagraph"/>
        <w:numPr>
          <w:ilvl w:val="1"/>
          <w:numId w:val="9"/>
        </w:numPr>
        <w:tabs>
          <w:tab w:pos="1918" w:val="left" w:leader="none"/>
        </w:tabs>
        <w:spacing w:line="285" w:lineRule="exact" w:before="0" w:after="0"/>
        <w:ind w:left="1918" w:right="0" w:hanging="720"/>
        <w:jc w:val="both"/>
        <w:rPr>
          <w:b/>
          <w:sz w:val="24"/>
        </w:rPr>
      </w:pPr>
      <w:r>
        <w:rPr>
          <w:b/>
          <w:sz w:val="24"/>
        </w:rPr>
        <w:t>Result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Sample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Characterization</w:t>
      </w:r>
    </w:p>
    <w:p>
      <w:pPr>
        <w:pStyle w:val="BodyText"/>
        <w:spacing w:before="1"/>
        <w:rPr>
          <w:b/>
        </w:rPr>
      </w:pPr>
    </w:p>
    <w:p>
      <w:pPr>
        <w:pStyle w:val="Heading3"/>
        <w:numPr>
          <w:ilvl w:val="2"/>
          <w:numId w:val="9"/>
        </w:numPr>
        <w:tabs>
          <w:tab w:pos="1918" w:val="left" w:leader="none"/>
        </w:tabs>
        <w:spacing w:line="240" w:lineRule="auto" w:before="0" w:after="0"/>
        <w:ind w:left="1918" w:right="0" w:hanging="720"/>
        <w:jc w:val="both"/>
      </w:pPr>
      <w:r>
        <w:rPr/>
        <w:t>Result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physical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mineral</w:t>
      </w:r>
      <w:r>
        <w:rPr>
          <w:spacing w:val="-4"/>
        </w:rPr>
        <w:t> </w:t>
      </w:r>
      <w:r>
        <w:rPr/>
        <w:t>characterization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Samples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98" w:right="577"/>
        <w:jc w:val="both"/>
      </w:pPr>
      <w:r>
        <w:rPr/>
        <w:t>The results of the physical properties of the raw sorbents are presented in Table 3.1. The</w:t>
      </w:r>
      <w:r>
        <w:rPr>
          <w:spacing w:val="1"/>
        </w:rPr>
        <w:t> </w:t>
      </w:r>
      <w:r>
        <w:rPr/>
        <w:t>moisture content reported in this study is within acceptable limit of 5%. Moisture content</w:t>
      </w:r>
      <w:r>
        <w:rPr>
          <w:spacing w:val="1"/>
        </w:rPr>
        <w:t> </w:t>
      </w:r>
      <w:r>
        <w:rPr/>
        <w:t>(less</w:t>
      </w:r>
      <w:r>
        <w:rPr>
          <w:spacing w:val="42"/>
        </w:rPr>
        <w:t> </w:t>
      </w:r>
      <w:r>
        <w:rPr/>
        <w:t>than</w:t>
      </w:r>
      <w:r>
        <w:rPr>
          <w:spacing w:val="42"/>
        </w:rPr>
        <w:t> </w:t>
      </w:r>
      <w:r>
        <w:rPr/>
        <w:t>5%)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needed</w:t>
      </w:r>
      <w:r>
        <w:rPr>
          <w:spacing w:val="42"/>
        </w:rPr>
        <w:t> </w:t>
      </w:r>
      <w:r>
        <w:rPr/>
        <w:t>for</w:t>
      </w:r>
      <w:r>
        <w:rPr>
          <w:spacing w:val="41"/>
        </w:rPr>
        <w:t> </w:t>
      </w:r>
      <w:r>
        <w:rPr/>
        <w:t>the</w:t>
      </w:r>
      <w:r>
        <w:rPr>
          <w:spacing w:val="44"/>
        </w:rPr>
        <w:t> </w:t>
      </w:r>
      <w:r>
        <w:rPr/>
        <w:t>best</w:t>
      </w:r>
      <w:r>
        <w:rPr>
          <w:spacing w:val="43"/>
        </w:rPr>
        <w:t> </w:t>
      </w:r>
      <w:r>
        <w:rPr/>
        <w:t>acetylation</w:t>
      </w:r>
      <w:r>
        <w:rPr>
          <w:spacing w:val="42"/>
        </w:rPr>
        <w:t> </w:t>
      </w:r>
      <w:r>
        <w:rPr/>
        <w:t>reaction.</w:t>
      </w:r>
      <w:r>
        <w:rPr>
          <w:spacing w:val="42"/>
        </w:rPr>
        <w:t> </w:t>
      </w:r>
      <w:r>
        <w:rPr/>
        <w:t>Values</w:t>
      </w:r>
      <w:r>
        <w:rPr>
          <w:spacing w:val="42"/>
        </w:rPr>
        <w:t> </w:t>
      </w:r>
      <w:r>
        <w:rPr/>
        <w:t>above</w:t>
      </w:r>
      <w:r>
        <w:rPr>
          <w:spacing w:val="43"/>
        </w:rPr>
        <w:t> </w:t>
      </w:r>
      <w:r>
        <w:rPr/>
        <w:t>this</w:t>
      </w:r>
      <w:r>
        <w:rPr>
          <w:spacing w:val="43"/>
        </w:rPr>
        <w:t> </w:t>
      </w:r>
      <w:r>
        <w:rPr/>
        <w:t>level</w:t>
      </w:r>
      <w:r>
        <w:rPr>
          <w:spacing w:val="42"/>
        </w:rPr>
        <w:t> </w:t>
      </w:r>
      <w:r>
        <w:rPr/>
        <w:t>will</w:t>
      </w:r>
      <w:r>
        <w:rPr>
          <w:spacing w:val="-72"/>
        </w:rPr>
        <w:t> </w:t>
      </w:r>
      <w:r>
        <w:rPr/>
        <w:t>cause hydrolysis of anhydrides to corresponding carboxylic acid. This accounts for a 5.7%</w:t>
      </w:r>
      <w:r>
        <w:rPr>
          <w:spacing w:val="1"/>
        </w:rPr>
        <w:t> </w:t>
      </w:r>
      <w:r>
        <w:rPr/>
        <w:t>loss of anhydride for each 1% of water in the wood (Bodirlau and Teaca, 2009). The bulk</w:t>
      </w:r>
      <w:r>
        <w:rPr>
          <w:spacing w:val="1"/>
        </w:rPr>
        <w:t> </w:t>
      </w:r>
      <w:r>
        <w:rPr/>
        <w:t>and tapped densities measures the flowability of a material. A higher density indicates a</w:t>
      </w:r>
      <w:r>
        <w:rPr>
          <w:spacing w:val="1"/>
        </w:rPr>
        <w:t> </w:t>
      </w:r>
      <w:r>
        <w:rPr/>
        <w:t>better potential for a material to flow and re-arrange itself under compression. The results</w:t>
      </w:r>
      <w:r>
        <w:rPr>
          <w:spacing w:val="1"/>
        </w:rPr>
        <w:t> </w:t>
      </w:r>
      <w:r>
        <w:rPr/>
        <w:t>derived from this study are moderate and are consistent with findings elsewhere (Azubuike</w:t>
      </w:r>
      <w:r>
        <w:rPr>
          <w:spacing w:val="-72"/>
        </w:rPr>
        <w:t> </w:t>
      </w:r>
      <w:r>
        <w:rPr/>
        <w:t>and Okhamafe, 2012). Hausner indices were estimated as the ratio of the difference</w:t>
      </w:r>
      <w:r>
        <w:rPr>
          <w:spacing w:val="1"/>
        </w:rPr>
        <w:t> </w:t>
      </w:r>
      <w:r>
        <w:rPr/>
        <w:t>between tapped and bulk densities. Hausner indices measures/estimates cohesion between</w:t>
      </w:r>
      <w:r>
        <w:rPr>
          <w:spacing w:val="-72"/>
        </w:rPr>
        <w:t> </w:t>
      </w:r>
      <w:r>
        <w:rPr/>
        <w:t>particles (Carr, 1965; Wells, 1988). A value less than 1.20 indicates good flowability,</w:t>
      </w:r>
      <w:r>
        <w:rPr>
          <w:spacing w:val="1"/>
        </w:rPr>
        <w:t> </w:t>
      </w:r>
      <w:r>
        <w:rPr/>
        <w:t>whereas a value of 1.50 or higher suggests that the material will have poor flow properties</w:t>
      </w:r>
      <w:r>
        <w:rPr>
          <w:spacing w:val="1"/>
        </w:rPr>
        <w:t> </w:t>
      </w:r>
      <w:r>
        <w:rPr/>
        <w:t>(Azubuike and Okhamafe, 2012). In our findings, the hausner ratio for all the samples fell</w:t>
      </w:r>
      <w:r>
        <w:rPr>
          <w:spacing w:val="1"/>
        </w:rPr>
        <w:t> </w:t>
      </w:r>
      <w:r>
        <w:rPr/>
        <w:t>below</w:t>
      </w:r>
      <w:r>
        <w:rPr>
          <w:spacing w:val="-3"/>
        </w:rPr>
        <w:t> </w:t>
      </w:r>
      <w:r>
        <w:rPr/>
        <w:t>1.20,</w:t>
      </w:r>
      <w:r>
        <w:rPr>
          <w:spacing w:val="-1"/>
        </w:rPr>
        <w:t> </w:t>
      </w:r>
      <w:r>
        <w:rPr/>
        <w:t>suggesting</w:t>
      </w:r>
      <w:r>
        <w:rPr>
          <w:spacing w:val="-2"/>
        </w:rPr>
        <w:t> </w:t>
      </w:r>
      <w:r>
        <w:rPr/>
        <w:t>good flowability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 material.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tabs>
          <w:tab w:pos="2637" w:val="left" w:leader="none"/>
        </w:tabs>
        <w:spacing w:before="75"/>
        <w:ind w:left="1346"/>
      </w:pPr>
      <w:r>
        <w:rPr/>
        <w:t>Table</w:t>
      </w:r>
      <w:r>
        <w:rPr>
          <w:spacing w:val="-1"/>
        </w:rPr>
        <w:t> </w:t>
      </w:r>
      <w:r>
        <w:rPr/>
        <w:t>3.1:</w:t>
        <w:tab/>
        <w:t>Physical</w:t>
      </w:r>
      <w:r>
        <w:rPr>
          <w:spacing w:val="-4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sorbents</w:t>
      </w:r>
    </w:p>
    <w:p>
      <w:pPr>
        <w:pStyle w:val="BodyText"/>
        <w:spacing w:before="9"/>
      </w:pPr>
    </w:p>
    <w:tbl>
      <w:tblPr>
        <w:tblW w:w="0" w:type="auto"/>
        <w:jc w:val="left"/>
        <w:tblInd w:w="1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2"/>
        <w:gridCol w:w="2176"/>
        <w:gridCol w:w="4210"/>
      </w:tblGrid>
      <w:tr>
        <w:trPr>
          <w:trHeight w:val="578" w:hRule="atLeast"/>
        </w:trPr>
        <w:tc>
          <w:tcPr>
            <w:tcW w:w="31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Property</w:t>
            </w:r>
          </w:p>
        </w:tc>
        <w:tc>
          <w:tcPr>
            <w:tcW w:w="21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Corn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cob</w:t>
            </w:r>
          </w:p>
        </w:tc>
        <w:tc>
          <w:tcPr>
            <w:tcW w:w="42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24"/>
              <w:rPr>
                <w:sz w:val="24"/>
              </w:rPr>
            </w:pPr>
            <w:r>
              <w:rPr>
                <w:sz w:val="24"/>
              </w:rPr>
              <w:t>Mango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kernel</w:t>
            </w:r>
          </w:p>
        </w:tc>
      </w:tr>
      <w:tr>
        <w:trPr>
          <w:trHeight w:val="433" w:hRule="atLeast"/>
        </w:trPr>
        <w:tc>
          <w:tcPr>
            <w:tcW w:w="31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9" w:lineRule="exact"/>
              <w:ind w:left="108"/>
              <w:rPr>
                <w:sz w:val="24"/>
              </w:rPr>
            </w:pPr>
            <w:r>
              <w:rPr>
                <w:sz w:val="24"/>
              </w:rPr>
              <w:t>5.680</w:t>
            </w:r>
          </w:p>
        </w:tc>
        <w:tc>
          <w:tcPr>
            <w:tcW w:w="42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9" w:lineRule="exact"/>
              <w:ind w:left="1124"/>
              <w:rPr>
                <w:sz w:val="24"/>
              </w:rPr>
            </w:pPr>
            <w:r>
              <w:rPr>
                <w:sz w:val="24"/>
              </w:rPr>
              <w:t>5.890</w:t>
            </w:r>
          </w:p>
        </w:tc>
      </w:tr>
      <w:tr>
        <w:trPr>
          <w:trHeight w:val="578" w:hRule="atLeast"/>
        </w:trPr>
        <w:tc>
          <w:tcPr>
            <w:tcW w:w="3192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76" w:type="dxa"/>
          </w:tcPr>
          <w:p>
            <w:pPr>
              <w:pStyle w:val="TableParagraph"/>
              <w:spacing w:line="240" w:lineRule="auto" w:before="144"/>
              <w:ind w:left="108"/>
              <w:rPr>
                <w:sz w:val="24"/>
              </w:rPr>
            </w:pPr>
            <w:r>
              <w:rPr>
                <w:sz w:val="24"/>
              </w:rPr>
              <w:t>4.230</w:t>
            </w:r>
          </w:p>
        </w:tc>
        <w:tc>
          <w:tcPr>
            <w:tcW w:w="4210" w:type="dxa"/>
          </w:tcPr>
          <w:p>
            <w:pPr>
              <w:pStyle w:val="TableParagraph"/>
              <w:spacing w:line="240" w:lineRule="auto" w:before="144"/>
              <w:ind w:left="1124"/>
              <w:rPr>
                <w:sz w:val="24"/>
              </w:rPr>
            </w:pPr>
            <w:r>
              <w:rPr>
                <w:sz w:val="24"/>
              </w:rPr>
              <w:t>3.880</w:t>
            </w:r>
          </w:p>
        </w:tc>
      </w:tr>
      <w:tr>
        <w:trPr>
          <w:trHeight w:val="1159" w:hRule="atLeast"/>
        </w:trPr>
        <w:tc>
          <w:tcPr>
            <w:tcW w:w="3192" w:type="dxa"/>
          </w:tcPr>
          <w:p>
            <w:pPr>
              <w:pStyle w:val="TableParagraph"/>
              <w:tabs>
                <w:tab w:pos="987" w:val="left" w:leader="none"/>
                <w:tab w:pos="2171" w:val="left" w:leader="none"/>
              </w:tabs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Bulk</w:t>
              <w:tab/>
              <w:t>density</w:t>
              <w:tab/>
              <w:t>(tapped)</w:t>
            </w:r>
          </w:p>
          <w:p>
            <w:pPr>
              <w:pStyle w:val="TableParagraph"/>
              <w:spacing w:line="240" w:lineRule="auto" w:before="1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(g/cm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176" w:type="dxa"/>
          </w:tcPr>
          <w:p>
            <w:pPr>
              <w:pStyle w:val="TableParagraph"/>
              <w:spacing w:line="240" w:lineRule="auto" w:before="144"/>
              <w:ind w:left="108"/>
              <w:rPr>
                <w:sz w:val="24"/>
              </w:rPr>
            </w:pPr>
            <w:r>
              <w:rPr>
                <w:sz w:val="24"/>
              </w:rPr>
              <w:t>0.327</w:t>
            </w:r>
          </w:p>
        </w:tc>
        <w:tc>
          <w:tcPr>
            <w:tcW w:w="4210" w:type="dxa"/>
          </w:tcPr>
          <w:p>
            <w:pPr>
              <w:pStyle w:val="TableParagraph"/>
              <w:spacing w:line="240" w:lineRule="auto" w:before="144"/>
              <w:ind w:left="1124"/>
              <w:rPr>
                <w:sz w:val="24"/>
              </w:rPr>
            </w:pPr>
            <w:r>
              <w:rPr>
                <w:sz w:val="24"/>
              </w:rPr>
              <w:t>0.554</w:t>
            </w:r>
          </w:p>
        </w:tc>
      </w:tr>
      <w:tr>
        <w:trPr>
          <w:trHeight w:val="564" w:hRule="atLeast"/>
        </w:trPr>
        <w:tc>
          <w:tcPr>
            <w:tcW w:w="3192" w:type="dxa"/>
          </w:tcPr>
          <w:p>
            <w:pPr>
              <w:pStyle w:val="TableParagraph"/>
              <w:tabs>
                <w:tab w:pos="853" w:val="left" w:leader="none"/>
                <w:tab w:pos="1902" w:val="left" w:leader="none"/>
              </w:tabs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Bulk</w:t>
              <w:tab/>
              <w:t>density</w:t>
              <w:tab/>
              <w:t>(untapped)</w:t>
            </w:r>
          </w:p>
        </w:tc>
        <w:tc>
          <w:tcPr>
            <w:tcW w:w="2176" w:type="dxa"/>
          </w:tcPr>
          <w:p>
            <w:pPr>
              <w:pStyle w:val="TableParagraph"/>
              <w:spacing w:line="240" w:lineRule="auto" w:before="144"/>
              <w:ind w:left="108"/>
              <w:rPr>
                <w:sz w:val="24"/>
              </w:rPr>
            </w:pPr>
            <w:r>
              <w:rPr>
                <w:sz w:val="24"/>
              </w:rPr>
              <w:t>0.293</w:t>
            </w:r>
          </w:p>
        </w:tc>
        <w:tc>
          <w:tcPr>
            <w:tcW w:w="4210" w:type="dxa"/>
          </w:tcPr>
          <w:p>
            <w:pPr>
              <w:pStyle w:val="TableParagraph"/>
              <w:spacing w:line="240" w:lineRule="auto" w:before="144"/>
              <w:ind w:left="1124"/>
              <w:rPr>
                <w:sz w:val="24"/>
              </w:rPr>
            </w:pPr>
            <w:r>
              <w:rPr>
                <w:sz w:val="24"/>
              </w:rPr>
              <w:t>0.514</w:t>
            </w:r>
          </w:p>
        </w:tc>
      </w:tr>
      <w:tr>
        <w:trPr>
          <w:trHeight w:val="1173" w:hRule="atLeast"/>
        </w:trPr>
        <w:tc>
          <w:tcPr>
            <w:tcW w:w="3192" w:type="dxa"/>
          </w:tcPr>
          <w:p>
            <w:pPr>
              <w:pStyle w:val="TableParagraph"/>
              <w:spacing w:line="240" w:lineRule="auto" w:before="161"/>
              <w:ind w:left="107"/>
              <w:rPr>
                <w:sz w:val="24"/>
              </w:rPr>
            </w:pPr>
            <w:r>
              <w:rPr>
                <w:sz w:val="24"/>
              </w:rPr>
              <w:t>(g/cm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line="240" w:lineRule="auto" w:before="11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(g/cm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176" w:type="dxa"/>
          </w:tcPr>
          <w:p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1.580</w:t>
            </w:r>
          </w:p>
        </w:tc>
        <w:tc>
          <w:tcPr>
            <w:tcW w:w="4210" w:type="dxa"/>
          </w:tcPr>
          <w:p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124"/>
              <w:rPr>
                <w:sz w:val="24"/>
              </w:rPr>
            </w:pPr>
            <w:r>
              <w:rPr>
                <w:sz w:val="24"/>
              </w:rPr>
              <w:t>1.720</w:t>
            </w:r>
          </w:p>
        </w:tc>
      </w:tr>
      <w:tr>
        <w:trPr>
          <w:trHeight w:val="579" w:hRule="atLeast"/>
        </w:trPr>
        <w:tc>
          <w:tcPr>
            <w:tcW w:w="3192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Hausner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2176" w:type="dxa"/>
          </w:tcPr>
          <w:p>
            <w:pPr>
              <w:pStyle w:val="TableParagraph"/>
              <w:spacing w:line="240" w:lineRule="auto" w:before="144"/>
              <w:ind w:left="108"/>
              <w:rPr>
                <w:sz w:val="24"/>
              </w:rPr>
            </w:pPr>
            <w:r>
              <w:rPr>
                <w:sz w:val="24"/>
              </w:rPr>
              <w:t>1.116</w:t>
            </w:r>
          </w:p>
        </w:tc>
        <w:tc>
          <w:tcPr>
            <w:tcW w:w="4210" w:type="dxa"/>
          </w:tcPr>
          <w:p>
            <w:pPr>
              <w:pStyle w:val="TableParagraph"/>
              <w:spacing w:line="240" w:lineRule="auto" w:before="144"/>
              <w:ind w:left="1124"/>
              <w:rPr>
                <w:sz w:val="24"/>
              </w:rPr>
            </w:pPr>
            <w:r>
              <w:rPr>
                <w:sz w:val="24"/>
              </w:rPr>
              <w:t>1.078</w:t>
            </w:r>
          </w:p>
        </w:tc>
      </w:tr>
      <w:tr>
        <w:trPr>
          <w:trHeight w:val="435" w:hRule="atLeast"/>
        </w:trPr>
        <w:tc>
          <w:tcPr>
            <w:tcW w:w="3192" w:type="dxa"/>
          </w:tcPr>
          <w:p>
            <w:pPr>
              <w:pStyle w:val="TableParagraph"/>
              <w:spacing w:line="270" w:lineRule="exact" w:before="145"/>
              <w:ind w:left="107"/>
              <w:rPr>
                <w:sz w:val="24"/>
              </w:rPr>
            </w:pPr>
            <w:r>
              <w:rPr>
                <w:sz w:val="24"/>
              </w:rPr>
              <w:t>Porosity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76" w:type="dxa"/>
          </w:tcPr>
          <w:p>
            <w:pPr>
              <w:pStyle w:val="TableParagraph"/>
              <w:spacing w:line="270" w:lineRule="exact" w:before="145"/>
              <w:ind w:left="108"/>
              <w:rPr>
                <w:sz w:val="24"/>
              </w:rPr>
            </w:pPr>
            <w:r>
              <w:rPr>
                <w:sz w:val="24"/>
              </w:rPr>
              <w:t>81.500</w:t>
            </w:r>
          </w:p>
        </w:tc>
        <w:tc>
          <w:tcPr>
            <w:tcW w:w="4210" w:type="dxa"/>
          </w:tcPr>
          <w:p>
            <w:pPr>
              <w:pStyle w:val="TableParagraph"/>
              <w:spacing w:line="270" w:lineRule="exact" w:before="145"/>
              <w:ind w:left="1124"/>
              <w:rPr>
                <w:sz w:val="24"/>
              </w:rPr>
            </w:pPr>
            <w:r>
              <w:rPr>
                <w:sz w:val="24"/>
              </w:rPr>
              <w:t>67.800</w:t>
            </w:r>
          </w:p>
        </w:tc>
      </w:tr>
    </w:tbl>
    <w:p>
      <w:pPr>
        <w:pStyle w:val="BodyText"/>
        <w:spacing w:before="10"/>
        <w:rPr>
          <w:sz w:val="20"/>
        </w:rPr>
      </w:pPr>
      <w:r>
        <w:rPr/>
        <w:pict>
          <v:rect style="position:absolute;margin-left:74.784004pt;margin-top:14.562463pt;width:479.586023pt;height:.479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1272"/>
      </w:pPr>
      <w:r>
        <w:rPr/>
        <w:t>Results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average</w:t>
      </w:r>
      <w:r>
        <w:rPr>
          <w:spacing w:val="-2"/>
        </w:rPr>
        <w:t> </w:t>
      </w:r>
      <w:r>
        <w:rPr/>
        <w:t>of 3</w:t>
      </w:r>
      <w:r>
        <w:rPr>
          <w:spacing w:val="-2"/>
        </w:rPr>
        <w:t> </w:t>
      </w:r>
      <w:r>
        <w:rPr/>
        <w:t>determinations.</w:t>
      </w:r>
    </w:p>
    <w:p>
      <w:pPr>
        <w:spacing w:after="0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77" w:lineRule="auto" w:before="75"/>
        <w:ind w:left="1198" w:right="577"/>
        <w:jc w:val="both"/>
      </w:pPr>
      <w:r>
        <w:rPr/>
        <w:t>The results of the Mineral analysis of the raw samples are presented in Table 3.2. Mineral</w:t>
      </w:r>
      <w:r>
        <w:rPr>
          <w:spacing w:val="1"/>
        </w:rPr>
        <w:t> </w:t>
      </w:r>
      <w:r>
        <w:rPr/>
        <w:t>analysis by x-ray fluorescence showed that corn cob and mango kernel contained essential</w:t>
      </w:r>
      <w:r>
        <w:rPr>
          <w:spacing w:val="1"/>
        </w:rPr>
        <w:t> </w:t>
      </w:r>
      <w:r>
        <w:rPr/>
        <w:t>minerals like potassium, magnesium, phosphorus, calcium and sodium in high proportion.</w:t>
      </w:r>
      <w:r>
        <w:rPr>
          <w:spacing w:val="1"/>
        </w:rPr>
        <w:t> </w:t>
      </w:r>
      <w:r>
        <w:rPr/>
        <w:t>Phosphorus is an essential nutrient and has an important role in the synthesis of amino</w:t>
      </w:r>
      <w:r>
        <w:rPr>
          <w:spacing w:val="1"/>
        </w:rPr>
        <w:t> </w:t>
      </w:r>
      <w:r>
        <w:rPr/>
        <w:t>acids and proteins (Zeun et al., 2005). Calcium and magnesium plays a significant role in</w:t>
      </w:r>
      <w:r>
        <w:rPr>
          <w:spacing w:val="1"/>
        </w:rPr>
        <w:t> </w:t>
      </w:r>
      <w:r>
        <w:rPr/>
        <w:t>photosynthesis, carbohydrate metabolism, nucleic acids and binding agents of cell wall</w:t>
      </w:r>
      <w:r>
        <w:rPr>
          <w:spacing w:val="1"/>
        </w:rPr>
        <w:t> </w:t>
      </w:r>
      <w:r>
        <w:rPr/>
        <w:t>(Scalbwet, 1998). Calcium assists in</w:t>
      </w:r>
      <w:r>
        <w:rPr>
          <w:spacing w:val="1"/>
        </w:rPr>
        <w:t> </w:t>
      </w:r>
      <w:r>
        <w:rPr/>
        <w:t>teeth development (Brody,</w:t>
      </w:r>
      <w:r>
        <w:rPr>
          <w:spacing w:val="1"/>
        </w:rPr>
        <w:t> </w:t>
      </w:r>
      <w:r>
        <w:rPr/>
        <w:t>1994). Magnesium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 mineral for enzyme activity like calcium chloride and plays a role in regulating the</w:t>
      </w:r>
      <w:r>
        <w:rPr>
          <w:spacing w:val="1"/>
        </w:rPr>
        <w:t> </w:t>
      </w:r>
      <w:r>
        <w:rPr/>
        <w:t>acid-alkaline balance in the body. Phosphorus is needed for bone growth, kidney 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body’s</w:t>
      </w:r>
      <w:r>
        <w:rPr>
          <w:spacing w:val="1"/>
        </w:rPr>
        <w:t> </w:t>
      </w:r>
      <w:r>
        <w:rPr/>
        <w:t>acid-alkaline</w:t>
      </w:r>
      <w:r>
        <w:rPr>
          <w:spacing w:val="1"/>
        </w:rPr>
        <w:t> </w:t>
      </w:r>
      <w:r>
        <w:rPr/>
        <w:t>balance</w:t>
      </w:r>
      <w:r>
        <w:rPr>
          <w:spacing w:val="-72"/>
        </w:rPr>
        <w:t> </w:t>
      </w:r>
      <w:r>
        <w:rPr/>
        <w:t>(Fowomolo, 2010). The mineral contents of mango kernel and corn cob are in agreement</w:t>
      </w:r>
      <w:r>
        <w:rPr>
          <w:spacing w:val="1"/>
        </w:rPr>
        <w:t> </w:t>
      </w:r>
      <w:r>
        <w:rPr/>
        <w:t>with other lignocellulosic biomass (Ribeiro </w:t>
      </w:r>
      <w:r>
        <w:rPr>
          <w:sz w:val="25"/>
        </w:rPr>
        <w:t>et al.</w:t>
      </w:r>
      <w:r>
        <w:rPr/>
        <w:t>, 2000; Fowomolo, 2010; Nzikou </w:t>
      </w:r>
      <w:r>
        <w:rPr>
          <w:sz w:val="25"/>
        </w:rPr>
        <w:t>et al.</w:t>
      </w:r>
      <w:r>
        <w:rPr/>
        <w:t>,</w:t>
      </w:r>
      <w:r>
        <w:rPr>
          <w:spacing w:val="1"/>
        </w:rPr>
        <w:t> </w:t>
      </w:r>
      <w:r>
        <w:rPr/>
        <w:t>2010;</w:t>
      </w:r>
      <w:r>
        <w:rPr>
          <w:spacing w:val="-2"/>
        </w:rPr>
        <w:t> </w:t>
      </w:r>
      <w:r>
        <w:rPr/>
        <w:t>Banerjee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1"/>
        </w:rPr>
        <w:t> </w:t>
      </w:r>
      <w:r>
        <w:rPr/>
        <w:t>2006).</w:t>
      </w:r>
    </w:p>
    <w:p>
      <w:pPr>
        <w:spacing w:after="0" w:line="477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tabs>
          <w:tab w:pos="2637" w:val="left" w:leader="none"/>
        </w:tabs>
        <w:spacing w:before="75"/>
        <w:ind w:left="1198"/>
      </w:pPr>
      <w:r>
        <w:rPr/>
        <w:t>Table</w:t>
      </w:r>
      <w:r>
        <w:rPr>
          <w:spacing w:val="-2"/>
        </w:rPr>
        <w:t> </w:t>
      </w:r>
      <w:r>
        <w:rPr/>
        <w:t>3.2:</w:t>
        <w:tab/>
        <w:t>Mineral</w:t>
      </w:r>
      <w:r>
        <w:rPr>
          <w:spacing w:val="-3"/>
        </w:rPr>
        <w:t> </w:t>
      </w:r>
      <w:r>
        <w:rPr/>
        <w:t>composition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corn</w:t>
      </w:r>
      <w:r>
        <w:rPr>
          <w:spacing w:val="-4"/>
        </w:rPr>
        <w:t> </w:t>
      </w:r>
      <w:r>
        <w:rPr/>
        <w:t>cob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mango</w:t>
      </w:r>
      <w:r>
        <w:rPr>
          <w:spacing w:val="-2"/>
        </w:rPr>
        <w:t> </w:t>
      </w:r>
      <w:r>
        <w:rPr/>
        <w:t>kernel</w:t>
      </w:r>
    </w:p>
    <w:p>
      <w:pPr>
        <w:pStyle w:val="BodyText"/>
        <w:spacing w:before="9"/>
      </w:pPr>
    </w:p>
    <w:tbl>
      <w:tblPr>
        <w:tblW w:w="0" w:type="auto"/>
        <w:jc w:val="left"/>
        <w:tblInd w:w="1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3655"/>
        <w:gridCol w:w="3835"/>
      </w:tblGrid>
      <w:tr>
        <w:trPr>
          <w:trHeight w:val="578" w:hRule="atLeast"/>
        </w:trPr>
        <w:tc>
          <w:tcPr>
            <w:tcW w:w="20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Mineral</w:t>
            </w:r>
          </w:p>
        </w:tc>
        <w:tc>
          <w:tcPr>
            <w:tcW w:w="36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12"/>
              <w:rPr>
                <w:sz w:val="24"/>
              </w:rPr>
            </w:pPr>
            <w:r>
              <w:rPr>
                <w:sz w:val="24"/>
              </w:rPr>
              <w:t>Corn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(wt%)</w:t>
            </w:r>
          </w:p>
        </w:tc>
        <w:tc>
          <w:tcPr>
            <w:tcW w:w="38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749"/>
              <w:rPr>
                <w:sz w:val="24"/>
              </w:rPr>
            </w:pPr>
            <w:r>
              <w:rPr>
                <w:sz w:val="24"/>
              </w:rPr>
              <w:t>Mango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kernel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(wt%)</w:t>
            </w:r>
          </w:p>
        </w:tc>
      </w:tr>
      <w:tr>
        <w:trPr>
          <w:trHeight w:val="441" w:hRule="atLeast"/>
        </w:trPr>
        <w:tc>
          <w:tcPr>
            <w:tcW w:w="20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3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9" w:lineRule="exact"/>
              <w:ind w:left="1212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38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9" w:lineRule="exact"/>
              <w:ind w:left="74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70" w:hRule="atLeast"/>
        </w:trPr>
        <w:tc>
          <w:tcPr>
            <w:tcW w:w="2088" w:type="dxa"/>
          </w:tcPr>
          <w:p>
            <w:pPr>
              <w:pStyle w:val="TableParagraph"/>
              <w:spacing w:line="240" w:lineRule="auto" w:before="137"/>
              <w:ind w:left="107"/>
              <w:rPr>
                <w:sz w:val="24"/>
              </w:rPr>
            </w:pPr>
            <w:r>
              <w:rPr>
                <w:sz w:val="24"/>
              </w:rPr>
              <w:t>MgO</w:t>
            </w:r>
          </w:p>
        </w:tc>
        <w:tc>
          <w:tcPr>
            <w:tcW w:w="3655" w:type="dxa"/>
          </w:tcPr>
          <w:p>
            <w:pPr>
              <w:pStyle w:val="TableParagraph"/>
              <w:spacing w:line="240" w:lineRule="auto" w:before="137"/>
              <w:ind w:left="1212"/>
              <w:rPr>
                <w:sz w:val="24"/>
              </w:rPr>
            </w:pPr>
            <w:r>
              <w:rPr>
                <w:sz w:val="24"/>
              </w:rPr>
              <w:t>0.456</w:t>
            </w:r>
          </w:p>
        </w:tc>
        <w:tc>
          <w:tcPr>
            <w:tcW w:w="3835" w:type="dxa"/>
          </w:tcPr>
          <w:p>
            <w:pPr>
              <w:pStyle w:val="TableParagraph"/>
              <w:spacing w:line="240" w:lineRule="auto" w:before="137"/>
              <w:ind w:left="749"/>
              <w:rPr>
                <w:sz w:val="24"/>
              </w:rPr>
            </w:pPr>
            <w:r>
              <w:rPr>
                <w:sz w:val="24"/>
              </w:rPr>
              <w:t>1.495</w:t>
            </w:r>
          </w:p>
        </w:tc>
      </w:tr>
      <w:tr>
        <w:trPr>
          <w:trHeight w:val="587" w:hRule="atLeast"/>
        </w:trPr>
        <w:tc>
          <w:tcPr>
            <w:tcW w:w="2088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3655" w:type="dxa"/>
          </w:tcPr>
          <w:p>
            <w:pPr>
              <w:pStyle w:val="TableParagraph"/>
              <w:spacing w:line="240" w:lineRule="auto" w:before="144"/>
              <w:ind w:left="1212"/>
              <w:rPr>
                <w:sz w:val="24"/>
              </w:rPr>
            </w:pPr>
            <w:r>
              <w:rPr>
                <w:sz w:val="24"/>
              </w:rPr>
              <w:t>4.378</w:t>
            </w:r>
          </w:p>
        </w:tc>
        <w:tc>
          <w:tcPr>
            <w:tcW w:w="3835" w:type="dxa"/>
          </w:tcPr>
          <w:p>
            <w:pPr>
              <w:pStyle w:val="TableParagraph"/>
              <w:spacing w:line="240" w:lineRule="auto" w:before="144"/>
              <w:ind w:left="749"/>
              <w:rPr>
                <w:sz w:val="24"/>
              </w:rPr>
            </w:pPr>
            <w:r>
              <w:rPr>
                <w:sz w:val="24"/>
              </w:rPr>
              <w:t>3.321</w:t>
            </w:r>
          </w:p>
        </w:tc>
      </w:tr>
      <w:tr>
        <w:trPr>
          <w:trHeight w:val="579" w:hRule="atLeast"/>
        </w:trPr>
        <w:tc>
          <w:tcPr>
            <w:tcW w:w="2088" w:type="dxa"/>
          </w:tcPr>
          <w:p>
            <w:pPr>
              <w:pStyle w:val="TableParagraph"/>
              <w:spacing w:line="240" w:lineRule="auto" w:before="138"/>
              <w:ind w:left="107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3655" w:type="dxa"/>
          </w:tcPr>
          <w:p>
            <w:pPr>
              <w:pStyle w:val="TableParagraph"/>
              <w:spacing w:line="240" w:lineRule="auto" w:before="138"/>
              <w:ind w:left="1212"/>
              <w:rPr>
                <w:sz w:val="24"/>
              </w:rPr>
            </w:pPr>
            <w:r>
              <w:rPr>
                <w:sz w:val="24"/>
              </w:rPr>
              <w:t>58.205</w:t>
            </w:r>
          </w:p>
        </w:tc>
        <w:tc>
          <w:tcPr>
            <w:tcW w:w="3835" w:type="dxa"/>
          </w:tcPr>
          <w:p>
            <w:pPr>
              <w:pStyle w:val="TableParagraph"/>
              <w:spacing w:line="240" w:lineRule="auto" w:before="138"/>
              <w:ind w:left="749"/>
              <w:rPr>
                <w:sz w:val="24"/>
              </w:rPr>
            </w:pPr>
            <w:r>
              <w:rPr>
                <w:sz w:val="24"/>
              </w:rPr>
              <w:t>35.429</w:t>
            </w:r>
          </w:p>
        </w:tc>
      </w:tr>
      <w:tr>
        <w:trPr>
          <w:trHeight w:val="580" w:hRule="atLeast"/>
        </w:trPr>
        <w:tc>
          <w:tcPr>
            <w:tcW w:w="2088" w:type="dxa"/>
          </w:tcPr>
          <w:p>
            <w:pPr>
              <w:pStyle w:val="TableParagraph"/>
              <w:spacing w:line="240" w:lineRule="auto" w:before="137"/>
              <w:ind w:left="107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3655" w:type="dxa"/>
          </w:tcPr>
          <w:p>
            <w:pPr>
              <w:pStyle w:val="TableParagraph"/>
              <w:spacing w:line="240" w:lineRule="auto" w:before="137"/>
              <w:ind w:left="1212"/>
              <w:rPr>
                <w:sz w:val="24"/>
              </w:rPr>
            </w:pPr>
            <w:r>
              <w:rPr>
                <w:sz w:val="24"/>
              </w:rPr>
              <w:t>4.677</w:t>
            </w:r>
          </w:p>
        </w:tc>
        <w:tc>
          <w:tcPr>
            <w:tcW w:w="3835" w:type="dxa"/>
          </w:tcPr>
          <w:p>
            <w:pPr>
              <w:pStyle w:val="TableParagraph"/>
              <w:spacing w:line="240" w:lineRule="auto" w:before="137"/>
              <w:ind w:left="749"/>
              <w:rPr>
                <w:sz w:val="24"/>
              </w:rPr>
            </w:pPr>
            <w:r>
              <w:rPr>
                <w:sz w:val="24"/>
              </w:rPr>
              <w:t>9.389</w:t>
            </w:r>
          </w:p>
        </w:tc>
      </w:tr>
      <w:tr>
        <w:trPr>
          <w:trHeight w:val="579" w:hRule="atLeast"/>
        </w:trPr>
        <w:tc>
          <w:tcPr>
            <w:tcW w:w="2088" w:type="dxa"/>
          </w:tcPr>
          <w:p>
            <w:pPr>
              <w:pStyle w:val="TableParagraph"/>
              <w:spacing w:line="240" w:lineRule="auto" w:before="138"/>
              <w:ind w:left="107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3655" w:type="dxa"/>
          </w:tcPr>
          <w:p>
            <w:pPr>
              <w:pStyle w:val="TableParagraph"/>
              <w:spacing w:line="240" w:lineRule="auto" w:before="138"/>
              <w:ind w:left="1212"/>
              <w:rPr>
                <w:sz w:val="24"/>
              </w:rPr>
            </w:pPr>
            <w:r>
              <w:rPr>
                <w:sz w:val="24"/>
              </w:rPr>
              <w:t>3.863</w:t>
            </w:r>
          </w:p>
        </w:tc>
        <w:tc>
          <w:tcPr>
            <w:tcW w:w="3835" w:type="dxa"/>
          </w:tcPr>
          <w:p>
            <w:pPr>
              <w:pStyle w:val="TableParagraph"/>
              <w:spacing w:line="240" w:lineRule="auto" w:before="138"/>
              <w:ind w:left="749"/>
              <w:rPr>
                <w:sz w:val="24"/>
              </w:rPr>
            </w:pPr>
            <w:r>
              <w:rPr>
                <w:sz w:val="24"/>
              </w:rPr>
              <w:t>7.386</w:t>
            </w:r>
          </w:p>
        </w:tc>
      </w:tr>
      <w:tr>
        <w:trPr>
          <w:trHeight w:val="570" w:hRule="atLeast"/>
        </w:trPr>
        <w:tc>
          <w:tcPr>
            <w:tcW w:w="2088" w:type="dxa"/>
          </w:tcPr>
          <w:p>
            <w:pPr>
              <w:pStyle w:val="TableParagraph"/>
              <w:spacing w:line="240" w:lineRule="auto" w:before="137"/>
              <w:ind w:left="107"/>
              <w:rPr>
                <w:sz w:val="24"/>
              </w:rPr>
            </w:pPr>
            <w:r>
              <w:rPr>
                <w:sz w:val="24"/>
              </w:rPr>
              <w:t>Cl</w:t>
            </w:r>
          </w:p>
        </w:tc>
        <w:tc>
          <w:tcPr>
            <w:tcW w:w="3655" w:type="dxa"/>
          </w:tcPr>
          <w:p>
            <w:pPr>
              <w:pStyle w:val="TableParagraph"/>
              <w:spacing w:line="240" w:lineRule="auto" w:before="137"/>
              <w:ind w:left="1212"/>
              <w:rPr>
                <w:sz w:val="24"/>
              </w:rPr>
            </w:pPr>
            <w:r>
              <w:rPr>
                <w:sz w:val="24"/>
              </w:rPr>
              <w:t>3.789</w:t>
            </w:r>
          </w:p>
        </w:tc>
        <w:tc>
          <w:tcPr>
            <w:tcW w:w="3835" w:type="dxa"/>
          </w:tcPr>
          <w:p>
            <w:pPr>
              <w:pStyle w:val="TableParagraph"/>
              <w:spacing w:line="240" w:lineRule="auto" w:before="137"/>
              <w:ind w:left="749"/>
              <w:rPr>
                <w:sz w:val="24"/>
              </w:rPr>
            </w:pPr>
            <w:r>
              <w:rPr>
                <w:sz w:val="24"/>
              </w:rPr>
              <w:t>1.984</w:t>
            </w:r>
          </w:p>
        </w:tc>
      </w:tr>
      <w:tr>
        <w:trPr>
          <w:trHeight w:val="587" w:hRule="atLeast"/>
        </w:trPr>
        <w:tc>
          <w:tcPr>
            <w:tcW w:w="2088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3655" w:type="dxa"/>
          </w:tcPr>
          <w:p>
            <w:pPr>
              <w:pStyle w:val="TableParagraph"/>
              <w:spacing w:line="240" w:lineRule="auto" w:before="144"/>
              <w:ind w:left="1212"/>
              <w:rPr>
                <w:sz w:val="24"/>
              </w:rPr>
            </w:pPr>
            <w:r>
              <w:rPr>
                <w:sz w:val="24"/>
              </w:rPr>
              <w:t>17.801</w:t>
            </w:r>
          </w:p>
        </w:tc>
        <w:tc>
          <w:tcPr>
            <w:tcW w:w="3835" w:type="dxa"/>
          </w:tcPr>
          <w:p>
            <w:pPr>
              <w:pStyle w:val="TableParagraph"/>
              <w:spacing w:line="240" w:lineRule="auto" w:before="144"/>
              <w:ind w:left="749"/>
              <w:rPr>
                <w:sz w:val="24"/>
              </w:rPr>
            </w:pPr>
            <w:r>
              <w:rPr>
                <w:sz w:val="24"/>
              </w:rPr>
              <w:t>27.763</w:t>
            </w:r>
          </w:p>
        </w:tc>
      </w:tr>
      <w:tr>
        <w:trPr>
          <w:trHeight w:val="572" w:hRule="atLeast"/>
        </w:trPr>
        <w:tc>
          <w:tcPr>
            <w:tcW w:w="2088" w:type="dxa"/>
          </w:tcPr>
          <w:p>
            <w:pPr>
              <w:pStyle w:val="TableParagraph"/>
              <w:spacing w:line="240" w:lineRule="auto" w:before="138"/>
              <w:ind w:left="107"/>
              <w:rPr>
                <w:sz w:val="24"/>
              </w:rPr>
            </w:pPr>
            <w:r>
              <w:rPr>
                <w:sz w:val="24"/>
              </w:rPr>
              <w:t>CaO</w:t>
            </w:r>
          </w:p>
        </w:tc>
        <w:tc>
          <w:tcPr>
            <w:tcW w:w="3655" w:type="dxa"/>
          </w:tcPr>
          <w:p>
            <w:pPr>
              <w:pStyle w:val="TableParagraph"/>
              <w:spacing w:line="240" w:lineRule="auto" w:before="138"/>
              <w:ind w:left="1212"/>
              <w:rPr>
                <w:sz w:val="24"/>
              </w:rPr>
            </w:pPr>
            <w:r>
              <w:rPr>
                <w:sz w:val="24"/>
              </w:rPr>
              <w:t>2.467</w:t>
            </w:r>
          </w:p>
        </w:tc>
        <w:tc>
          <w:tcPr>
            <w:tcW w:w="3835" w:type="dxa"/>
          </w:tcPr>
          <w:p>
            <w:pPr>
              <w:pStyle w:val="TableParagraph"/>
              <w:spacing w:line="240" w:lineRule="auto" w:before="138"/>
              <w:ind w:left="749"/>
              <w:rPr>
                <w:sz w:val="24"/>
              </w:rPr>
            </w:pPr>
            <w:r>
              <w:rPr>
                <w:sz w:val="24"/>
              </w:rPr>
              <w:t>7.462</w:t>
            </w:r>
          </w:p>
        </w:tc>
      </w:tr>
      <w:tr>
        <w:trPr>
          <w:trHeight w:val="587" w:hRule="atLeast"/>
        </w:trPr>
        <w:tc>
          <w:tcPr>
            <w:tcW w:w="2088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TiO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3655" w:type="dxa"/>
          </w:tcPr>
          <w:p>
            <w:pPr>
              <w:pStyle w:val="TableParagraph"/>
              <w:spacing w:line="240" w:lineRule="auto" w:before="144"/>
              <w:ind w:left="1212"/>
              <w:rPr>
                <w:sz w:val="24"/>
              </w:rPr>
            </w:pPr>
            <w:r>
              <w:rPr>
                <w:sz w:val="24"/>
              </w:rPr>
              <w:t>0.358</w:t>
            </w:r>
          </w:p>
        </w:tc>
        <w:tc>
          <w:tcPr>
            <w:tcW w:w="3835" w:type="dxa"/>
          </w:tcPr>
          <w:p>
            <w:pPr>
              <w:pStyle w:val="TableParagraph"/>
              <w:spacing w:line="240" w:lineRule="auto" w:before="144"/>
              <w:ind w:left="749"/>
              <w:rPr>
                <w:sz w:val="24"/>
              </w:rPr>
            </w:pPr>
            <w:r>
              <w:rPr>
                <w:sz w:val="24"/>
              </w:rPr>
              <w:t>0.263</w:t>
            </w:r>
          </w:p>
        </w:tc>
      </w:tr>
      <w:tr>
        <w:trPr>
          <w:trHeight w:val="579" w:hRule="atLeast"/>
        </w:trPr>
        <w:tc>
          <w:tcPr>
            <w:tcW w:w="2088" w:type="dxa"/>
          </w:tcPr>
          <w:p>
            <w:pPr>
              <w:pStyle w:val="TableParagraph"/>
              <w:spacing w:line="240" w:lineRule="auto" w:before="138"/>
              <w:ind w:left="107"/>
              <w:rPr>
                <w:sz w:val="24"/>
              </w:rPr>
            </w:pPr>
            <w:r>
              <w:rPr>
                <w:sz w:val="24"/>
              </w:rPr>
              <w:t>Cr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3655" w:type="dxa"/>
          </w:tcPr>
          <w:p>
            <w:pPr>
              <w:pStyle w:val="TableParagraph"/>
              <w:spacing w:line="240" w:lineRule="auto" w:before="138"/>
              <w:ind w:left="1212"/>
              <w:rPr>
                <w:sz w:val="24"/>
              </w:rPr>
            </w:pPr>
            <w:r>
              <w:rPr>
                <w:sz w:val="24"/>
              </w:rPr>
              <w:t>0.346</w:t>
            </w:r>
          </w:p>
        </w:tc>
        <w:tc>
          <w:tcPr>
            <w:tcW w:w="3835" w:type="dxa"/>
          </w:tcPr>
          <w:p>
            <w:pPr>
              <w:pStyle w:val="TableParagraph"/>
              <w:spacing w:line="240" w:lineRule="auto" w:before="138"/>
              <w:ind w:left="749"/>
              <w:rPr>
                <w:sz w:val="24"/>
              </w:rPr>
            </w:pPr>
            <w:r>
              <w:rPr>
                <w:sz w:val="24"/>
              </w:rPr>
              <w:t>0.227</w:t>
            </w:r>
          </w:p>
        </w:tc>
      </w:tr>
      <w:tr>
        <w:trPr>
          <w:trHeight w:val="578" w:hRule="atLeast"/>
        </w:trPr>
        <w:tc>
          <w:tcPr>
            <w:tcW w:w="2088" w:type="dxa"/>
          </w:tcPr>
          <w:p>
            <w:pPr>
              <w:pStyle w:val="TableParagraph"/>
              <w:spacing w:line="240" w:lineRule="auto" w:before="137"/>
              <w:ind w:left="107"/>
              <w:rPr>
                <w:sz w:val="24"/>
              </w:rPr>
            </w:pPr>
            <w:r>
              <w:rPr>
                <w:sz w:val="24"/>
              </w:rPr>
              <w:t>Mn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3655" w:type="dxa"/>
          </w:tcPr>
          <w:p>
            <w:pPr>
              <w:pStyle w:val="TableParagraph"/>
              <w:spacing w:line="240" w:lineRule="auto" w:before="137"/>
              <w:ind w:left="1212"/>
              <w:rPr>
                <w:sz w:val="24"/>
              </w:rPr>
            </w:pPr>
            <w:r>
              <w:rPr>
                <w:sz w:val="24"/>
              </w:rPr>
              <w:t>0.123</w:t>
            </w:r>
          </w:p>
        </w:tc>
        <w:tc>
          <w:tcPr>
            <w:tcW w:w="3835" w:type="dxa"/>
          </w:tcPr>
          <w:p>
            <w:pPr>
              <w:pStyle w:val="TableParagraph"/>
              <w:spacing w:line="240" w:lineRule="auto" w:before="137"/>
              <w:ind w:left="749"/>
              <w:rPr>
                <w:sz w:val="24"/>
              </w:rPr>
            </w:pPr>
            <w:r>
              <w:rPr>
                <w:sz w:val="24"/>
              </w:rPr>
              <w:t>0.786</w:t>
            </w:r>
          </w:p>
        </w:tc>
      </w:tr>
      <w:tr>
        <w:trPr>
          <w:trHeight w:val="579" w:hRule="atLeast"/>
        </w:trPr>
        <w:tc>
          <w:tcPr>
            <w:tcW w:w="2088" w:type="dxa"/>
          </w:tcPr>
          <w:p>
            <w:pPr>
              <w:pStyle w:val="TableParagraph"/>
              <w:spacing w:line="240" w:lineRule="auto" w:before="137"/>
              <w:ind w:left="107"/>
              <w:rPr>
                <w:sz w:val="24"/>
              </w:rPr>
            </w:pPr>
            <w:r>
              <w:rPr>
                <w:sz w:val="24"/>
              </w:rPr>
              <w:t>Fe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3655" w:type="dxa"/>
          </w:tcPr>
          <w:p>
            <w:pPr>
              <w:pStyle w:val="TableParagraph"/>
              <w:spacing w:line="240" w:lineRule="auto" w:before="137"/>
              <w:ind w:left="1212"/>
              <w:rPr>
                <w:sz w:val="24"/>
              </w:rPr>
            </w:pPr>
            <w:r>
              <w:rPr>
                <w:sz w:val="24"/>
              </w:rPr>
              <w:t>3.317</w:t>
            </w:r>
          </w:p>
        </w:tc>
        <w:tc>
          <w:tcPr>
            <w:tcW w:w="3835" w:type="dxa"/>
          </w:tcPr>
          <w:p>
            <w:pPr>
              <w:pStyle w:val="TableParagraph"/>
              <w:spacing w:line="240" w:lineRule="auto" w:before="137"/>
              <w:ind w:left="749"/>
              <w:rPr>
                <w:sz w:val="24"/>
              </w:rPr>
            </w:pPr>
            <w:r>
              <w:rPr>
                <w:sz w:val="24"/>
              </w:rPr>
              <w:t>4.494</w:t>
            </w:r>
          </w:p>
        </w:tc>
      </w:tr>
      <w:tr>
        <w:trPr>
          <w:trHeight w:val="572" w:hRule="atLeast"/>
        </w:trPr>
        <w:tc>
          <w:tcPr>
            <w:tcW w:w="2088" w:type="dxa"/>
          </w:tcPr>
          <w:p>
            <w:pPr>
              <w:pStyle w:val="TableParagraph"/>
              <w:spacing w:line="240" w:lineRule="auto" w:before="138"/>
              <w:ind w:left="107"/>
              <w:rPr>
                <w:sz w:val="24"/>
              </w:rPr>
            </w:pPr>
            <w:r>
              <w:rPr>
                <w:sz w:val="24"/>
              </w:rPr>
              <w:t>ZnO</w:t>
            </w:r>
          </w:p>
        </w:tc>
        <w:tc>
          <w:tcPr>
            <w:tcW w:w="3655" w:type="dxa"/>
          </w:tcPr>
          <w:p>
            <w:pPr>
              <w:pStyle w:val="TableParagraph"/>
              <w:spacing w:line="240" w:lineRule="auto" w:before="138"/>
              <w:ind w:left="1212"/>
              <w:rPr>
                <w:sz w:val="24"/>
              </w:rPr>
            </w:pPr>
            <w:r>
              <w:rPr>
                <w:sz w:val="24"/>
              </w:rPr>
              <w:t>0.200</w:t>
            </w:r>
          </w:p>
        </w:tc>
        <w:tc>
          <w:tcPr>
            <w:tcW w:w="3835" w:type="dxa"/>
          </w:tcPr>
          <w:p>
            <w:pPr>
              <w:pStyle w:val="TableParagraph"/>
              <w:spacing w:line="240" w:lineRule="auto" w:before="138"/>
              <w:ind w:left="74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434" w:hRule="atLeast"/>
        </w:trPr>
        <w:tc>
          <w:tcPr>
            <w:tcW w:w="2088" w:type="dxa"/>
          </w:tcPr>
          <w:p>
            <w:pPr>
              <w:pStyle w:val="TableParagraph"/>
              <w:spacing w:line="270" w:lineRule="exact" w:before="144"/>
              <w:ind w:left="107"/>
              <w:rPr>
                <w:sz w:val="24"/>
              </w:rPr>
            </w:pPr>
            <w:r>
              <w:rPr>
                <w:sz w:val="24"/>
              </w:rPr>
              <w:t>SrO</w:t>
            </w:r>
          </w:p>
        </w:tc>
        <w:tc>
          <w:tcPr>
            <w:tcW w:w="3655" w:type="dxa"/>
          </w:tcPr>
          <w:p>
            <w:pPr>
              <w:pStyle w:val="TableParagraph"/>
              <w:spacing w:line="270" w:lineRule="exact" w:before="144"/>
              <w:ind w:left="1212"/>
              <w:rPr>
                <w:sz w:val="24"/>
              </w:rPr>
            </w:pPr>
            <w:r>
              <w:rPr>
                <w:sz w:val="24"/>
              </w:rPr>
              <w:t>0.023</w:t>
            </w:r>
          </w:p>
        </w:tc>
        <w:tc>
          <w:tcPr>
            <w:tcW w:w="3835" w:type="dxa"/>
          </w:tcPr>
          <w:p>
            <w:pPr>
              <w:pStyle w:val="TableParagraph"/>
              <w:spacing w:line="270" w:lineRule="exact" w:before="144"/>
              <w:ind w:left="74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>
      <w:pPr>
        <w:pStyle w:val="BodyText"/>
        <w:spacing w:before="1"/>
        <w:rPr>
          <w:sz w:val="21"/>
        </w:rPr>
      </w:pPr>
      <w:r>
        <w:rPr/>
        <w:pict>
          <v:rect style="position:absolute;margin-left:74.784004pt;margin-top:14.68247pt;width:479.586023pt;height:.479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numPr>
          <w:ilvl w:val="2"/>
          <w:numId w:val="9"/>
        </w:numPr>
        <w:tabs>
          <w:tab w:pos="1918" w:val="left" w:leader="none"/>
        </w:tabs>
        <w:spacing w:line="240" w:lineRule="auto" w:before="77" w:after="0"/>
        <w:ind w:left="1918" w:right="0" w:hanging="720"/>
        <w:jc w:val="left"/>
      </w:pPr>
      <w:r>
        <w:rPr/>
        <w:t>Result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Characterization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crude</w:t>
      </w:r>
      <w:r>
        <w:rPr>
          <w:spacing w:val="-4"/>
        </w:rPr>
        <w:t> </w:t>
      </w:r>
      <w:r>
        <w:rPr/>
        <w:t>oil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BodyText"/>
        <w:spacing w:line="480" w:lineRule="auto" w:before="1"/>
        <w:ind w:left="1198"/>
      </w:pPr>
      <w:r>
        <w:rPr/>
        <w:t>The</w:t>
      </w:r>
      <w:r>
        <w:rPr>
          <w:spacing w:val="70"/>
        </w:rPr>
        <w:t> </w:t>
      </w:r>
      <w:r>
        <w:rPr/>
        <w:t>characterizing</w:t>
      </w:r>
      <w:r>
        <w:rPr>
          <w:spacing w:val="68"/>
        </w:rPr>
        <w:t> </w:t>
      </w:r>
      <w:r>
        <w:rPr/>
        <w:t>properties</w:t>
      </w:r>
      <w:r>
        <w:rPr>
          <w:spacing w:val="70"/>
        </w:rPr>
        <w:t> </w:t>
      </w:r>
      <w:r>
        <w:rPr/>
        <w:t>of</w:t>
      </w:r>
      <w:r>
        <w:rPr>
          <w:spacing w:val="69"/>
        </w:rPr>
        <w:t> </w:t>
      </w:r>
      <w:r>
        <w:rPr/>
        <w:t>crude</w:t>
      </w:r>
      <w:r>
        <w:rPr>
          <w:spacing w:val="69"/>
        </w:rPr>
        <w:t> </w:t>
      </w:r>
      <w:r>
        <w:rPr/>
        <w:t>oil</w:t>
      </w:r>
      <w:r>
        <w:rPr>
          <w:spacing w:val="66"/>
        </w:rPr>
        <w:t> </w:t>
      </w:r>
      <w:r>
        <w:rPr/>
        <w:t>carried</w:t>
      </w:r>
      <w:r>
        <w:rPr>
          <w:spacing w:val="68"/>
        </w:rPr>
        <w:t> </w:t>
      </w:r>
      <w:r>
        <w:rPr/>
        <w:t>out</w:t>
      </w:r>
      <w:r>
        <w:rPr>
          <w:spacing w:val="68"/>
        </w:rPr>
        <w:t> </w:t>
      </w:r>
      <w:r>
        <w:rPr/>
        <w:t>were</w:t>
      </w:r>
      <w:r>
        <w:rPr>
          <w:spacing w:val="70"/>
        </w:rPr>
        <w:t> </w:t>
      </w:r>
      <w:r>
        <w:rPr/>
        <w:t>viscosity,</w:t>
      </w:r>
      <w:r>
        <w:rPr>
          <w:spacing w:val="68"/>
        </w:rPr>
        <w:t> </w:t>
      </w:r>
      <w:r>
        <w:rPr/>
        <w:t>specific</w:t>
      </w:r>
      <w:r>
        <w:rPr>
          <w:spacing w:val="69"/>
        </w:rPr>
        <w:t> </w:t>
      </w:r>
      <w:r>
        <w:rPr/>
        <w:t>gravity,</w:t>
      </w:r>
      <w:r>
        <w:rPr>
          <w:spacing w:val="-72"/>
        </w:rPr>
        <w:t> </w:t>
      </w:r>
      <w:r>
        <w:rPr/>
        <w:t>density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API</w:t>
      </w:r>
      <w:r>
        <w:rPr>
          <w:spacing w:val="-1"/>
        </w:rPr>
        <w:t> </w:t>
      </w:r>
      <w:r>
        <w:rPr/>
        <w:t>gravity.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shown in Table 3.3</w:t>
      </w:r>
    </w:p>
    <w:p>
      <w:pPr>
        <w:pStyle w:val="BodyText"/>
        <w:rPr>
          <w:sz w:val="28"/>
        </w:rPr>
      </w:pPr>
    </w:p>
    <w:p>
      <w:pPr>
        <w:pStyle w:val="BodyText"/>
        <w:spacing w:before="241"/>
        <w:ind w:left="1198"/>
      </w:pPr>
      <w:r>
        <w:rPr/>
        <w:t>Table</w:t>
      </w:r>
      <w:r>
        <w:rPr>
          <w:spacing w:val="-3"/>
        </w:rPr>
        <w:t> </w:t>
      </w:r>
      <w:r>
        <w:rPr/>
        <w:t>3.3;</w:t>
      </w:r>
      <w:r>
        <w:rPr>
          <w:spacing w:val="-5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characterization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crude</w:t>
      </w:r>
      <w:r>
        <w:rPr>
          <w:spacing w:val="-1"/>
        </w:rPr>
        <w:t> </w:t>
      </w:r>
      <w:r>
        <w:rPr/>
        <w:t>oil</w:t>
      </w:r>
    </w:p>
    <w:p>
      <w:pPr>
        <w:pStyle w:val="BodyText"/>
        <w:spacing w:before="8"/>
      </w:pPr>
    </w:p>
    <w:tbl>
      <w:tblPr>
        <w:tblW w:w="0" w:type="auto"/>
        <w:jc w:val="left"/>
        <w:tblInd w:w="1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6"/>
        <w:gridCol w:w="5742"/>
      </w:tblGrid>
      <w:tr>
        <w:trPr>
          <w:trHeight w:val="552" w:hRule="atLeast"/>
        </w:trPr>
        <w:tc>
          <w:tcPr>
            <w:tcW w:w="38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Property</w:t>
            </w: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60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</w:tr>
      <w:tr>
        <w:trPr>
          <w:trHeight w:val="444" w:hRule="atLeast"/>
        </w:trPr>
        <w:tc>
          <w:tcPr>
            <w:tcW w:w="3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Viscosity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(MPa.S)</w:t>
            </w:r>
          </w:p>
        </w:tc>
        <w:tc>
          <w:tcPr>
            <w:tcW w:w="57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060"/>
              <w:rPr>
                <w:sz w:val="24"/>
              </w:rPr>
            </w:pPr>
            <w:r>
              <w:rPr>
                <w:sz w:val="24"/>
              </w:rPr>
              <w:t>67.5000</w:t>
            </w:r>
          </w:p>
        </w:tc>
      </w:tr>
      <w:tr>
        <w:trPr>
          <w:trHeight w:val="578" w:hRule="atLeast"/>
        </w:trPr>
        <w:tc>
          <w:tcPr>
            <w:tcW w:w="3836" w:type="dxa"/>
          </w:tcPr>
          <w:p>
            <w:pPr>
              <w:pStyle w:val="TableParagraph"/>
              <w:spacing w:line="240" w:lineRule="auto" w:before="160"/>
              <w:ind w:left="107"/>
              <w:rPr>
                <w:sz w:val="24"/>
              </w:rPr>
            </w:pP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gravity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</w:t>
            </w:r>
          </w:p>
        </w:tc>
        <w:tc>
          <w:tcPr>
            <w:tcW w:w="5742" w:type="dxa"/>
          </w:tcPr>
          <w:p>
            <w:pPr>
              <w:pStyle w:val="TableParagraph"/>
              <w:spacing w:line="240" w:lineRule="auto" w:before="160"/>
              <w:ind w:left="1060"/>
              <w:rPr>
                <w:sz w:val="24"/>
              </w:rPr>
            </w:pPr>
            <w:r>
              <w:rPr>
                <w:sz w:val="24"/>
              </w:rPr>
              <w:t>0.8825</w:t>
            </w:r>
          </w:p>
        </w:tc>
      </w:tr>
      <w:tr>
        <w:trPr>
          <w:trHeight w:val="595" w:hRule="atLeast"/>
        </w:trPr>
        <w:tc>
          <w:tcPr>
            <w:tcW w:w="3836" w:type="dxa"/>
          </w:tcPr>
          <w:p>
            <w:pPr>
              <w:pStyle w:val="TableParagraph"/>
              <w:spacing w:line="240" w:lineRule="auto" w:before="160"/>
              <w:ind w:left="107"/>
              <w:rPr>
                <w:sz w:val="24"/>
              </w:rPr>
            </w:pPr>
            <w:r>
              <w:rPr>
                <w:sz w:val="24"/>
              </w:rPr>
              <w:t>Density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(g/cm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))</w:t>
            </w:r>
          </w:p>
        </w:tc>
        <w:tc>
          <w:tcPr>
            <w:tcW w:w="5742" w:type="dxa"/>
          </w:tcPr>
          <w:p>
            <w:pPr>
              <w:pStyle w:val="TableParagraph"/>
              <w:spacing w:line="240" w:lineRule="auto" w:before="160"/>
              <w:ind w:left="1060"/>
              <w:rPr>
                <w:sz w:val="24"/>
              </w:rPr>
            </w:pPr>
            <w:r>
              <w:rPr>
                <w:sz w:val="24"/>
              </w:rPr>
              <w:t>0.8956</w:t>
            </w:r>
          </w:p>
        </w:tc>
      </w:tr>
      <w:tr>
        <w:trPr>
          <w:trHeight w:val="435" w:hRule="atLeast"/>
        </w:trPr>
        <w:tc>
          <w:tcPr>
            <w:tcW w:w="3836" w:type="dxa"/>
          </w:tcPr>
          <w:p>
            <w:pPr>
              <w:pStyle w:val="TableParagraph"/>
              <w:spacing w:line="270" w:lineRule="exact" w:before="145"/>
              <w:ind w:left="107"/>
              <w:rPr>
                <w:sz w:val="24"/>
              </w:rPr>
            </w:pPr>
            <w:r>
              <w:rPr>
                <w:sz w:val="24"/>
              </w:rPr>
              <w:t>API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gravity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(o)</w:t>
            </w:r>
          </w:p>
        </w:tc>
        <w:tc>
          <w:tcPr>
            <w:tcW w:w="5742" w:type="dxa"/>
          </w:tcPr>
          <w:p>
            <w:pPr>
              <w:pStyle w:val="TableParagraph"/>
              <w:spacing w:line="270" w:lineRule="exact" w:before="145"/>
              <w:ind w:left="1060"/>
              <w:rPr>
                <w:sz w:val="24"/>
              </w:rPr>
            </w:pPr>
            <w:r>
              <w:rPr>
                <w:sz w:val="24"/>
              </w:rPr>
              <w:t>28.8400</w:t>
            </w:r>
          </w:p>
        </w:tc>
      </w:tr>
    </w:tbl>
    <w:p>
      <w:pPr>
        <w:pStyle w:val="BodyText"/>
        <w:spacing w:before="10"/>
        <w:rPr>
          <w:sz w:val="20"/>
        </w:rPr>
      </w:pPr>
      <w:r>
        <w:rPr/>
        <w:pict>
          <v:shape style="position:absolute;margin-left:74.784004pt;margin-top:14.5203pt;width:479.6pt;height:.5pt;mso-position-horizontal-relative:page;mso-position-vertical-relative:paragraph;z-index:-15702016;mso-wrap-distance-left:0;mso-wrap-distance-right:0" coordorigin="1496,290" coordsize="9592,10" path="m11087,290l6299,290,6294,290,6285,290,1496,290,1496,300,6285,300,6294,300,6299,300,11087,300,11087,29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numPr>
          <w:ilvl w:val="1"/>
          <w:numId w:val="9"/>
        </w:numPr>
        <w:tabs>
          <w:tab w:pos="3358" w:val="left" w:leader="none"/>
          <w:tab w:pos="3359" w:val="left" w:leader="none"/>
        </w:tabs>
        <w:spacing w:line="240" w:lineRule="auto" w:before="75" w:after="0"/>
        <w:ind w:left="3358" w:right="0" w:hanging="2161"/>
        <w:jc w:val="left"/>
      </w:pPr>
      <w:r>
        <w:rPr/>
        <w:t>Acetylation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corn</w:t>
      </w:r>
      <w:r>
        <w:rPr>
          <w:spacing w:val="-3"/>
        </w:rPr>
        <w:t> </w:t>
      </w:r>
      <w:r>
        <w:rPr/>
        <w:t>cob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mango</w:t>
      </w:r>
      <w:r>
        <w:rPr>
          <w:spacing w:val="-2"/>
        </w:rPr>
        <w:t> </w:t>
      </w:r>
      <w:r>
        <w:rPr/>
        <w:t>kernel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9"/>
        </w:numPr>
        <w:tabs>
          <w:tab w:pos="3358" w:val="left" w:leader="none"/>
          <w:tab w:pos="3359" w:val="left" w:leader="none"/>
        </w:tabs>
        <w:spacing w:line="240" w:lineRule="auto" w:before="1" w:after="0"/>
        <w:ind w:left="3358" w:right="0" w:hanging="2161"/>
        <w:jc w:val="left"/>
        <w:rPr>
          <w:b/>
          <w:sz w:val="24"/>
        </w:rPr>
      </w:pPr>
      <w:r>
        <w:rPr>
          <w:b/>
          <w:sz w:val="24"/>
        </w:rPr>
        <w:t>Structural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corn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cob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1198"/>
        <w:jc w:val="both"/>
      </w:pPr>
      <w:r>
        <w:rPr/>
        <w:t>The</w:t>
      </w:r>
      <w:r>
        <w:rPr>
          <w:spacing w:val="26"/>
        </w:rPr>
        <w:t> </w:t>
      </w:r>
      <w:r>
        <w:rPr/>
        <w:t>x-ray</w:t>
      </w:r>
      <w:r>
        <w:rPr>
          <w:spacing w:val="26"/>
        </w:rPr>
        <w:t> </w:t>
      </w:r>
      <w:r>
        <w:rPr/>
        <w:t>diffraction</w:t>
      </w:r>
      <w:r>
        <w:rPr>
          <w:spacing w:val="26"/>
        </w:rPr>
        <w:t> </w:t>
      </w:r>
      <w:r>
        <w:rPr/>
        <w:t>spectra</w:t>
      </w:r>
      <w:r>
        <w:rPr>
          <w:spacing w:val="23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raw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acetylated</w:t>
      </w:r>
      <w:r>
        <w:rPr>
          <w:spacing w:val="27"/>
        </w:rPr>
        <w:t> </w:t>
      </w:r>
      <w:r>
        <w:rPr/>
        <w:t>corn</w:t>
      </w:r>
      <w:r>
        <w:rPr>
          <w:spacing w:val="25"/>
        </w:rPr>
        <w:t> </w:t>
      </w:r>
      <w:r>
        <w:rPr/>
        <w:t>cob</w:t>
      </w:r>
      <w:r>
        <w:rPr>
          <w:spacing w:val="29"/>
        </w:rPr>
        <w:t> </w:t>
      </w:r>
      <w:r>
        <w:rPr/>
        <w:t>are</w:t>
      </w:r>
      <w:r>
        <w:rPr>
          <w:spacing w:val="26"/>
        </w:rPr>
        <w:t> </w:t>
      </w:r>
      <w:r>
        <w:rPr/>
        <w:t>presented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Figure</w:t>
      </w:r>
    </w:p>
    <w:p>
      <w:pPr>
        <w:pStyle w:val="BodyText"/>
        <w:spacing w:before="1"/>
      </w:pPr>
    </w:p>
    <w:p>
      <w:pPr>
        <w:pStyle w:val="BodyText"/>
        <w:spacing w:line="472" w:lineRule="auto"/>
        <w:ind w:left="1198" w:right="575"/>
        <w:jc w:val="both"/>
      </w:pPr>
      <w:r>
        <w:rPr/>
        <w:t>3.1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3.2</w:t>
      </w:r>
      <w:r>
        <w:rPr>
          <w:spacing w:val="18"/>
        </w:rPr>
        <w:t> </w:t>
      </w:r>
      <w:r>
        <w:rPr/>
        <w:t>respectively.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three</w:t>
      </w:r>
      <w:r>
        <w:rPr>
          <w:spacing w:val="18"/>
        </w:rPr>
        <w:t> </w:t>
      </w:r>
      <w:r>
        <w:rPr/>
        <w:t>broad</w:t>
      </w:r>
      <w:r>
        <w:rPr>
          <w:spacing w:val="15"/>
        </w:rPr>
        <w:t> </w:t>
      </w:r>
      <w:r>
        <w:rPr/>
        <w:t>peaks</w:t>
      </w:r>
      <w:r>
        <w:rPr>
          <w:spacing w:val="18"/>
        </w:rPr>
        <w:t> </w:t>
      </w:r>
      <w:r>
        <w:rPr/>
        <w:t>12.36</w:t>
      </w:r>
      <w:r>
        <w:rPr>
          <w:vertAlign w:val="superscript"/>
        </w:rPr>
        <w:t>o</w:t>
      </w:r>
      <w:r>
        <w:rPr>
          <w:vertAlign w:val="baseline"/>
        </w:rPr>
        <w:t>,</w:t>
      </w:r>
      <w:r>
        <w:rPr>
          <w:spacing w:val="16"/>
          <w:vertAlign w:val="baseline"/>
        </w:rPr>
        <w:t> </w:t>
      </w:r>
      <w:r>
        <w:rPr>
          <w:vertAlign w:val="baseline"/>
        </w:rPr>
        <w:t>17.76</w:t>
      </w:r>
      <w:r>
        <w:rPr>
          <w:vertAlign w:val="superscript"/>
        </w:rPr>
        <w:t>o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19.37</w:t>
      </w:r>
      <w:r>
        <w:rPr>
          <w:vertAlign w:val="superscript"/>
        </w:rPr>
        <w:t>o</w:t>
      </w:r>
      <w:r>
        <w:rPr>
          <w:spacing w:val="16"/>
          <w:vertAlign w:val="baseline"/>
        </w:rPr>
        <w:t> </w:t>
      </w:r>
      <w:r>
        <w:rPr>
          <w:vertAlign w:val="baseline"/>
        </w:rPr>
        <w:t>that</w:t>
      </w:r>
      <w:r>
        <w:rPr>
          <w:spacing w:val="18"/>
          <w:vertAlign w:val="baseline"/>
        </w:rPr>
        <w:t> </w:t>
      </w:r>
      <w:r>
        <w:rPr>
          <w:vertAlign w:val="baseline"/>
        </w:rPr>
        <w:t>appeared</w:t>
      </w:r>
      <w:r>
        <w:rPr>
          <w:spacing w:val="-73"/>
          <w:vertAlign w:val="baseline"/>
        </w:rPr>
        <w:t> </w:t>
      </w:r>
      <w:r>
        <w:rPr>
          <w:vertAlign w:val="baseline"/>
        </w:rPr>
        <w:t>in the crystalline pattern of raw corn cob are typical pattern of α-cellulose (Yu </w:t>
      </w:r>
      <w:r>
        <w:rPr>
          <w:sz w:val="25"/>
          <w:vertAlign w:val="baseline"/>
        </w:rPr>
        <w:t>et al</w:t>
      </w:r>
      <w:r>
        <w:rPr>
          <w:vertAlign w:val="baseline"/>
        </w:rPr>
        <w:t>., 2009).</w:t>
      </w:r>
      <w:r>
        <w:rPr>
          <w:spacing w:val="-72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reduced</w:t>
      </w:r>
      <w:r>
        <w:rPr>
          <w:spacing w:val="1"/>
          <w:vertAlign w:val="baseline"/>
        </w:rPr>
        <w:t> </w:t>
      </w:r>
      <w:r>
        <w:rPr>
          <w:vertAlign w:val="baseline"/>
        </w:rPr>
        <w:t>intensity</w:t>
      </w:r>
      <w:r>
        <w:rPr>
          <w:spacing w:val="1"/>
          <w:vertAlign w:val="baseline"/>
        </w:rPr>
        <w:t> </w:t>
      </w:r>
      <w:r>
        <w:rPr>
          <w:vertAlign w:val="baseline"/>
        </w:rPr>
        <w:t>peaks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crystalline</w:t>
      </w:r>
      <w:r>
        <w:rPr>
          <w:spacing w:val="1"/>
          <w:vertAlign w:val="baseline"/>
        </w:rPr>
        <w:t> </w:t>
      </w:r>
      <w:r>
        <w:rPr>
          <w:vertAlign w:val="baseline"/>
        </w:rPr>
        <w:t>pattern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acetylated corn cob. The crystallinity index recorded in this study was (83.39) for raw cob</w:t>
      </w:r>
      <w:r>
        <w:rPr>
          <w:spacing w:val="1"/>
          <w:vertAlign w:val="baseline"/>
        </w:rPr>
        <w:t> </w:t>
      </w:r>
      <w:r>
        <w:rPr>
          <w:vertAlign w:val="baseline"/>
        </w:rPr>
        <w:t>and (71.53) for acetylated cob, showing a slight reduction in crystallinity. High crystallinity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indicates an ordered compact molecular structure, whereas lower crystallinity implies a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disordered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structure,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resulting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amorphous</w:t>
      </w:r>
      <w:r>
        <w:rPr>
          <w:spacing w:val="1"/>
          <w:vertAlign w:val="baseline"/>
        </w:rPr>
        <w:t> </w:t>
      </w:r>
      <w:r>
        <w:rPr>
          <w:vertAlign w:val="baseline"/>
        </w:rPr>
        <w:t>powder</w:t>
      </w:r>
      <w:r>
        <w:rPr>
          <w:spacing w:val="1"/>
          <w:vertAlign w:val="baseline"/>
        </w:rPr>
        <w:t> </w:t>
      </w:r>
      <w:r>
        <w:rPr>
          <w:vertAlign w:val="baseline"/>
        </w:rPr>
        <w:t>(Azubuike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75"/>
          <w:vertAlign w:val="baseline"/>
        </w:rPr>
        <w:t> </w:t>
      </w:r>
      <w:r>
        <w:rPr>
          <w:vertAlign w:val="baseline"/>
        </w:rPr>
        <w:t>Okhamafe,</w:t>
      </w:r>
      <w:r>
        <w:rPr>
          <w:spacing w:val="-72"/>
          <w:vertAlign w:val="baseline"/>
        </w:rPr>
        <w:t> </w:t>
      </w:r>
      <w:r>
        <w:rPr>
          <w:vertAlign w:val="baseline"/>
        </w:rPr>
        <w:t>2012).</w:t>
      </w:r>
      <w:r>
        <w:rPr>
          <w:spacing w:val="1"/>
          <w:vertAlign w:val="baseline"/>
        </w:rPr>
        <w:t> </w:t>
      </w:r>
      <w:r>
        <w:rPr>
          <w:vertAlign w:val="baseline"/>
        </w:rPr>
        <w:t>Acetylation of cellulose material often cause decrease in crystallinity (Kosaka </w:t>
      </w:r>
      <w:r>
        <w:rPr>
          <w:sz w:val="25"/>
          <w:vertAlign w:val="baseline"/>
        </w:rPr>
        <w:t>et al.</w:t>
      </w:r>
      <w:r>
        <w:rPr>
          <w:vertAlign w:val="baseline"/>
        </w:rPr>
        <w:t>,</w:t>
      </w:r>
      <w:r>
        <w:rPr>
          <w:spacing w:val="-72"/>
          <w:vertAlign w:val="baseline"/>
        </w:rPr>
        <w:t> </w:t>
      </w:r>
      <w:r>
        <w:rPr>
          <w:vertAlign w:val="baseline"/>
        </w:rPr>
        <w:t>2005;</w:t>
      </w:r>
      <w:r>
        <w:rPr>
          <w:spacing w:val="-5"/>
          <w:vertAlign w:val="baseline"/>
        </w:rPr>
        <w:t> </w:t>
      </w:r>
      <w:r>
        <w:rPr>
          <w:vertAlign w:val="baseline"/>
        </w:rPr>
        <w:t>Tserki</w:t>
      </w:r>
      <w:r>
        <w:rPr>
          <w:spacing w:val="-3"/>
          <w:vertAlign w:val="baseline"/>
        </w:rPr>
        <w:t> </w:t>
      </w:r>
      <w:r>
        <w:rPr>
          <w:sz w:val="25"/>
          <w:vertAlign w:val="baseline"/>
        </w:rPr>
        <w:t>et</w:t>
      </w:r>
      <w:r>
        <w:rPr>
          <w:spacing w:val="-9"/>
          <w:sz w:val="25"/>
          <w:vertAlign w:val="baseline"/>
        </w:rPr>
        <w:t> </w:t>
      </w:r>
      <w:r>
        <w:rPr>
          <w:sz w:val="25"/>
          <w:vertAlign w:val="baseline"/>
        </w:rPr>
        <w:t>al.</w:t>
      </w:r>
      <w:r>
        <w:rPr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vertAlign w:val="baseline"/>
        </w:rPr>
        <w:t>2005;</w:t>
      </w:r>
      <w:r>
        <w:rPr>
          <w:spacing w:val="-5"/>
          <w:vertAlign w:val="baseline"/>
        </w:rPr>
        <w:t> </w:t>
      </w:r>
      <w:r>
        <w:rPr>
          <w:vertAlign w:val="baseline"/>
        </w:rPr>
        <w:t>Yang</w:t>
      </w:r>
      <w:r>
        <w:rPr>
          <w:spacing w:val="-4"/>
          <w:vertAlign w:val="baseline"/>
        </w:rPr>
        <w:t> </w:t>
      </w:r>
      <w:r>
        <w:rPr>
          <w:sz w:val="25"/>
          <w:vertAlign w:val="baseline"/>
        </w:rPr>
        <w:t>et</w:t>
      </w:r>
      <w:r>
        <w:rPr>
          <w:spacing w:val="-8"/>
          <w:sz w:val="25"/>
          <w:vertAlign w:val="baseline"/>
        </w:rPr>
        <w:t> </w:t>
      </w:r>
      <w:r>
        <w:rPr>
          <w:sz w:val="25"/>
          <w:vertAlign w:val="baseline"/>
        </w:rPr>
        <w:t>al.</w:t>
      </w:r>
      <w:r>
        <w:rPr>
          <w:vertAlign w:val="baseline"/>
        </w:rPr>
        <w:t>,</w:t>
      </w:r>
      <w:r>
        <w:rPr>
          <w:spacing w:val="-5"/>
          <w:vertAlign w:val="baseline"/>
        </w:rPr>
        <w:t> </w:t>
      </w:r>
      <w:r>
        <w:rPr>
          <w:vertAlign w:val="baseline"/>
        </w:rPr>
        <w:t>2008).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major</w:t>
      </w:r>
      <w:r>
        <w:rPr>
          <w:spacing w:val="-2"/>
          <w:vertAlign w:val="baseline"/>
        </w:rPr>
        <w:t> </w:t>
      </w:r>
      <w:r>
        <w:rPr>
          <w:vertAlign w:val="baseline"/>
        </w:rPr>
        <w:t>part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cellulose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in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crystalline</w:t>
      </w:r>
      <w:r>
        <w:rPr>
          <w:spacing w:val="-73"/>
          <w:vertAlign w:val="baseline"/>
        </w:rPr>
        <w:t> </w:t>
      </w:r>
      <w:r>
        <w:rPr>
          <w:vertAlign w:val="baseline"/>
        </w:rPr>
        <w:t>form (about two third) due to intra and intermolecular hydrogen bonding of hydroxyl group</w:t>
      </w:r>
      <w:r>
        <w:rPr>
          <w:spacing w:val="-72"/>
          <w:vertAlign w:val="baseline"/>
        </w:rPr>
        <w:t> </w:t>
      </w:r>
      <w:r>
        <w:rPr>
          <w:vertAlign w:val="baseline"/>
        </w:rPr>
        <w:t>(Chum </w:t>
      </w:r>
      <w:r>
        <w:rPr>
          <w:sz w:val="25"/>
          <w:vertAlign w:val="baseline"/>
        </w:rPr>
        <w:t>et al.</w:t>
      </w:r>
      <w:r>
        <w:rPr>
          <w:vertAlign w:val="baseline"/>
        </w:rPr>
        <w:t>, 1985). These crystallites mainly have a hydrogen bonding with the hydroxyl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 and are attacked by acetic anhydride to form acetylated cellulose in the amorphous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structure. The substitution of an acetyl group for a hydroxyl group reduces the density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hydrogen bonding because an acetyl group offers a more bulky branch (lower ability to</w:t>
      </w:r>
      <w:r>
        <w:rPr>
          <w:spacing w:val="1"/>
          <w:vertAlign w:val="baseline"/>
        </w:rPr>
        <w:t> </w:t>
      </w:r>
      <w:r>
        <w:rPr>
          <w:vertAlign w:val="baseline"/>
        </w:rPr>
        <w:t>form</w:t>
      </w:r>
      <w:r>
        <w:rPr>
          <w:spacing w:val="-3"/>
          <w:vertAlign w:val="baseline"/>
        </w:rPr>
        <w:t> </w:t>
      </w:r>
      <w:r>
        <w:rPr>
          <w:vertAlign w:val="baseline"/>
        </w:rPr>
        <w:t>hydrogen</w:t>
      </w:r>
      <w:r>
        <w:rPr>
          <w:spacing w:val="-1"/>
          <w:vertAlign w:val="baseline"/>
        </w:rPr>
        <w:t> </w:t>
      </w:r>
      <w:r>
        <w:rPr>
          <w:vertAlign w:val="baseline"/>
        </w:rPr>
        <w:t>bonding)</w:t>
      </w:r>
      <w:r>
        <w:rPr>
          <w:spacing w:val="-2"/>
          <w:vertAlign w:val="baseline"/>
        </w:rPr>
        <w:t> </w:t>
      </w:r>
      <w:r>
        <w:rPr>
          <w:vertAlign w:val="baseline"/>
        </w:rPr>
        <w:t>than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3"/>
          <w:vertAlign w:val="baseline"/>
        </w:rPr>
        <w:t> </w:t>
      </w:r>
      <w:r>
        <w:rPr>
          <w:vertAlign w:val="baseline"/>
        </w:rPr>
        <w:t>hydroxyl group</w:t>
      </w:r>
      <w:r>
        <w:rPr>
          <w:spacing w:val="-2"/>
          <w:vertAlign w:val="baseline"/>
        </w:rPr>
        <w:t> </w:t>
      </w:r>
      <w:r>
        <w:rPr>
          <w:vertAlign w:val="baseline"/>
        </w:rPr>
        <w:t>(Yu</w:t>
      </w:r>
      <w:r>
        <w:rPr>
          <w:spacing w:val="2"/>
          <w:vertAlign w:val="baseline"/>
        </w:rPr>
        <w:t> </w:t>
      </w:r>
      <w:r>
        <w:rPr>
          <w:sz w:val="25"/>
          <w:vertAlign w:val="baseline"/>
        </w:rPr>
        <w:t>et</w:t>
      </w:r>
      <w:r>
        <w:rPr>
          <w:spacing w:val="-6"/>
          <w:sz w:val="25"/>
          <w:vertAlign w:val="baseline"/>
        </w:rPr>
        <w:t> </w:t>
      </w:r>
      <w:r>
        <w:rPr>
          <w:sz w:val="25"/>
          <w:vertAlign w:val="baseline"/>
        </w:rPr>
        <w:t>al.</w:t>
      </w:r>
      <w:r>
        <w:rPr>
          <w:vertAlign w:val="baseline"/>
        </w:rPr>
        <w:t>, 2007).</w:t>
      </w:r>
    </w:p>
    <w:p>
      <w:pPr>
        <w:pStyle w:val="BodyText"/>
        <w:spacing w:line="480" w:lineRule="auto" w:before="253"/>
        <w:ind w:left="1198" w:right="576"/>
        <w:jc w:val="both"/>
      </w:pPr>
      <w:r>
        <w:rPr/>
        <w:t>FT-IR spectroscopy has the ability to predict structural differences not seen by other</w:t>
      </w:r>
      <w:r>
        <w:rPr>
          <w:spacing w:val="1"/>
        </w:rPr>
        <w:t> </w:t>
      </w:r>
      <w:r>
        <w:rPr/>
        <w:t>physicochemical analysis. Structural units that undergo various changes are functional</w:t>
      </w:r>
      <w:r>
        <w:rPr>
          <w:spacing w:val="1"/>
        </w:rPr>
        <w:t> </w:t>
      </w:r>
      <w:r>
        <w:rPr/>
        <w:t>groups located on the glucose monomer of the cellulose, observable in the FTIR spectra</w:t>
      </w:r>
      <w:r>
        <w:rPr>
          <w:spacing w:val="1"/>
        </w:rPr>
        <w:t> </w:t>
      </w:r>
      <w:r>
        <w:rPr/>
        <w:t>(Bordilau and Teaca, 2009). As illustrated in Figs 3.3 and 3.4, the FTIR spectrum of the</w:t>
      </w:r>
      <w:r>
        <w:rPr>
          <w:spacing w:val="1"/>
        </w:rPr>
        <w:t> </w:t>
      </w:r>
      <w:r>
        <w:rPr/>
        <w:t>treated corn cob showed evidence of acetylation (Table 3.4). The presence of the band at</w:t>
      </w:r>
      <w:r>
        <w:rPr>
          <w:spacing w:val="1"/>
        </w:rPr>
        <w:t> </w:t>
      </w:r>
      <w:r>
        <w:rPr/>
        <w:t>1750-1675cm</w:t>
      </w:r>
      <w:r>
        <w:rPr>
          <w:vertAlign w:val="superscript"/>
        </w:rPr>
        <w:t>-I</w:t>
      </w:r>
      <w:r>
        <w:rPr>
          <w:spacing w:val="19"/>
          <w:vertAlign w:val="baseline"/>
        </w:rPr>
        <w:t> </w:t>
      </w:r>
      <w:r>
        <w:rPr>
          <w:vertAlign w:val="baseline"/>
        </w:rPr>
        <w:t>is</w:t>
      </w:r>
      <w:r>
        <w:rPr>
          <w:spacing w:val="21"/>
          <w:vertAlign w:val="baseline"/>
        </w:rPr>
        <w:t> </w:t>
      </w:r>
      <w:r>
        <w:rPr>
          <w:vertAlign w:val="baseline"/>
        </w:rPr>
        <w:t>characteristic</w:t>
      </w:r>
      <w:r>
        <w:rPr>
          <w:spacing w:val="20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carbonyl</w:t>
      </w:r>
      <w:r>
        <w:rPr>
          <w:spacing w:val="20"/>
          <w:vertAlign w:val="baseline"/>
        </w:rPr>
        <w:t> </w:t>
      </w:r>
      <w:r>
        <w:rPr>
          <w:vertAlign w:val="baseline"/>
        </w:rPr>
        <w:t>(C=O</w:t>
      </w:r>
      <w:r>
        <w:rPr>
          <w:spacing w:val="21"/>
          <w:vertAlign w:val="baseline"/>
        </w:rPr>
        <w:t> </w:t>
      </w:r>
      <w:r>
        <w:rPr>
          <w:vertAlign w:val="baseline"/>
        </w:rPr>
        <w:t>ester)</w:t>
      </w:r>
      <w:r>
        <w:rPr>
          <w:spacing w:val="19"/>
          <w:vertAlign w:val="baseline"/>
        </w:rPr>
        <w:t> </w:t>
      </w:r>
      <w:r>
        <w:rPr>
          <w:vertAlign w:val="baseline"/>
        </w:rPr>
        <w:t>stretching</w:t>
      </w:r>
      <w:r>
        <w:rPr>
          <w:spacing w:val="19"/>
          <w:vertAlign w:val="baseline"/>
        </w:rPr>
        <w:t> </w:t>
      </w:r>
      <w:r>
        <w:rPr>
          <w:vertAlign w:val="baseline"/>
        </w:rPr>
        <w:t>vibration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72" w:lineRule="auto" w:before="75"/>
        <w:ind w:left="1198" w:right="575"/>
        <w:jc w:val="both"/>
      </w:pPr>
      <w:r>
        <w:rPr/>
        <w:t>acetate group in cellulose and uronic ester in hemicellulose. This band showed evidence of</w:t>
      </w:r>
      <w:r>
        <w:rPr>
          <w:spacing w:val="1"/>
        </w:rPr>
        <w:t> </w:t>
      </w:r>
      <w:r>
        <w:rPr/>
        <w:t>acetylation (Mohebby, 2008; Nasar </w:t>
      </w:r>
      <w:r>
        <w:rPr>
          <w:sz w:val="25"/>
        </w:rPr>
        <w:t>et al</w:t>
      </w:r>
      <w:r>
        <w:rPr/>
        <w:t>., 2010; Indrayam </w:t>
      </w:r>
      <w:r>
        <w:rPr>
          <w:sz w:val="25"/>
        </w:rPr>
        <w:t>et al</w:t>
      </w:r>
      <w:r>
        <w:rPr/>
        <w:t>., 2000; Adebajo and Frost,</w:t>
      </w:r>
      <w:r>
        <w:rPr>
          <w:spacing w:val="-72"/>
        </w:rPr>
        <w:t> </w:t>
      </w:r>
      <w:r>
        <w:rPr/>
        <w:t>2004b). The peak absorption increased in the acetylated samples, indicating high level of</w:t>
      </w:r>
      <w:r>
        <w:rPr>
          <w:spacing w:val="1"/>
        </w:rPr>
        <w:t> </w:t>
      </w:r>
      <w:r>
        <w:rPr/>
        <w:t>acetyl gain (Yakubu </w:t>
      </w:r>
      <w:r>
        <w:rPr>
          <w:sz w:val="25"/>
        </w:rPr>
        <w:t>et al</w:t>
      </w:r>
      <w:r>
        <w:rPr/>
        <w:t>., 2013). The band at 1360-1320cm-</w:t>
      </w:r>
      <w:r>
        <w:rPr>
          <w:vertAlign w:val="superscript"/>
        </w:rPr>
        <w:t>I</w:t>
      </w:r>
      <w:r>
        <w:rPr>
          <w:vertAlign w:val="baseline"/>
        </w:rPr>
        <w:t> is attributed to aliphatic C-H</w:t>
      </w:r>
      <w:r>
        <w:rPr>
          <w:spacing w:val="1"/>
          <w:vertAlign w:val="baseline"/>
        </w:rPr>
        <w:t> </w:t>
      </w:r>
      <w:r>
        <w:rPr>
          <w:vertAlign w:val="baseline"/>
        </w:rPr>
        <w:t>deformation/bending</w:t>
      </w:r>
      <w:r>
        <w:rPr>
          <w:spacing w:val="1"/>
          <w:vertAlign w:val="baseline"/>
        </w:rPr>
        <w:t> </w:t>
      </w:r>
      <w:r>
        <w:rPr>
          <w:vertAlign w:val="baseline"/>
        </w:rPr>
        <w:t>vibrations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CH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acetyl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evidence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7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formation of ester band due to acetylation in cellulose and hemicellulose ( Yakubu </w:t>
      </w:r>
      <w:r>
        <w:rPr>
          <w:sz w:val="25"/>
          <w:vertAlign w:val="baseline"/>
        </w:rPr>
        <w:t>et 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2012; Mohebby, 2008; Bordilau and Teaca, 2009; Indrayam </w:t>
      </w:r>
      <w:r>
        <w:rPr>
          <w:sz w:val="25"/>
          <w:vertAlign w:val="baseline"/>
        </w:rPr>
        <w:t>et al.</w:t>
      </w:r>
      <w:r>
        <w:rPr>
          <w:vertAlign w:val="baseline"/>
        </w:rPr>
        <w:t>, 2000; Adebajo and</w:t>
      </w:r>
      <w:r>
        <w:rPr>
          <w:spacing w:val="1"/>
          <w:vertAlign w:val="baseline"/>
        </w:rPr>
        <w:t> </w:t>
      </w:r>
      <w:r>
        <w:rPr>
          <w:vertAlign w:val="baseline"/>
        </w:rPr>
        <w:t>Frost, 2004b). The band at 1264- 1256cm-</w:t>
      </w:r>
      <w:r>
        <w:rPr>
          <w:vertAlign w:val="superscript"/>
        </w:rPr>
        <w:t>I</w:t>
      </w:r>
      <w:r>
        <w:rPr>
          <w:vertAlign w:val="baseline"/>
        </w:rPr>
        <w:t> is assigned to the stretching of C-O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deformation of C=O in the acetate bond formed during acetylation in xylan and lignin</w:t>
      </w:r>
      <w:r>
        <w:rPr>
          <w:spacing w:val="1"/>
          <w:vertAlign w:val="baseline"/>
        </w:rPr>
        <w:t> </w:t>
      </w:r>
      <w:r>
        <w:rPr>
          <w:vertAlign w:val="baseline"/>
        </w:rPr>
        <w:t>(Tuong and Li, 2010; Mohebby, 2008; Indrayam </w:t>
      </w:r>
      <w:r>
        <w:rPr>
          <w:sz w:val="25"/>
          <w:vertAlign w:val="baseline"/>
        </w:rPr>
        <w:t>et al.</w:t>
      </w:r>
      <w:r>
        <w:rPr>
          <w:vertAlign w:val="baseline"/>
        </w:rPr>
        <w:t>, 2000; Adebajo and Frost, 2004b).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bands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1075-1036cm</w:t>
      </w:r>
      <w:r>
        <w:rPr>
          <w:vertAlign w:val="superscript"/>
        </w:rPr>
        <w:t>-I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assigned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C-O</w:t>
      </w:r>
      <w:r>
        <w:rPr>
          <w:spacing w:val="1"/>
          <w:vertAlign w:val="baseline"/>
        </w:rPr>
        <w:t> </w:t>
      </w:r>
      <w:r>
        <w:rPr>
          <w:vertAlign w:val="baseline"/>
        </w:rPr>
        <w:t>stretching</w:t>
      </w:r>
      <w:r>
        <w:rPr>
          <w:spacing w:val="1"/>
          <w:vertAlign w:val="baseline"/>
        </w:rPr>
        <w:t> </w:t>
      </w:r>
      <w:r>
        <w:rPr>
          <w:vertAlign w:val="baseline"/>
        </w:rPr>
        <w:t>vibrations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cellulose,</w:t>
      </w:r>
      <w:r>
        <w:rPr>
          <w:spacing w:val="1"/>
          <w:vertAlign w:val="baseline"/>
        </w:rPr>
        <w:t> </w:t>
      </w:r>
      <w:r>
        <w:rPr>
          <w:vertAlign w:val="baseline"/>
        </w:rPr>
        <w:t>hemicelluloses and that of primary alcohol (Yakubu </w:t>
      </w:r>
      <w:r>
        <w:rPr>
          <w:sz w:val="25"/>
          <w:vertAlign w:val="baseline"/>
        </w:rPr>
        <w:t>et al.</w:t>
      </w:r>
      <w:r>
        <w:rPr>
          <w:vertAlign w:val="baseline"/>
        </w:rPr>
        <w:t>, 2012; Mohebby, 2008; Bordilau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Teaca,</w:t>
      </w:r>
      <w:r>
        <w:rPr>
          <w:spacing w:val="21"/>
          <w:vertAlign w:val="baseline"/>
        </w:rPr>
        <w:t> </w:t>
      </w:r>
      <w:r>
        <w:rPr>
          <w:vertAlign w:val="baseline"/>
        </w:rPr>
        <w:t>2009;</w:t>
      </w:r>
      <w:r>
        <w:rPr>
          <w:spacing w:val="21"/>
          <w:vertAlign w:val="baseline"/>
        </w:rPr>
        <w:t> </w:t>
      </w:r>
      <w:r>
        <w:rPr>
          <w:vertAlign w:val="baseline"/>
        </w:rPr>
        <w:t>Nasar</w:t>
      </w:r>
      <w:r>
        <w:rPr>
          <w:spacing w:val="25"/>
          <w:vertAlign w:val="baseline"/>
        </w:rPr>
        <w:t> </w:t>
      </w:r>
      <w:r>
        <w:rPr>
          <w:sz w:val="25"/>
          <w:vertAlign w:val="baseline"/>
        </w:rPr>
        <w:t>et</w:t>
      </w:r>
      <w:r>
        <w:rPr>
          <w:spacing w:val="19"/>
          <w:sz w:val="25"/>
          <w:vertAlign w:val="baseline"/>
        </w:rPr>
        <w:t> </w:t>
      </w:r>
      <w:r>
        <w:rPr>
          <w:sz w:val="25"/>
          <w:vertAlign w:val="baseline"/>
        </w:rPr>
        <w:t>al.</w:t>
      </w:r>
      <w:r>
        <w:rPr>
          <w:vertAlign w:val="baseline"/>
        </w:rPr>
        <w:t>,</w:t>
      </w:r>
      <w:r>
        <w:rPr>
          <w:spacing w:val="21"/>
          <w:vertAlign w:val="baseline"/>
        </w:rPr>
        <w:t> </w:t>
      </w:r>
      <w:r>
        <w:rPr>
          <w:vertAlign w:val="baseline"/>
        </w:rPr>
        <w:t>2010)</w:t>
      </w:r>
      <w:r>
        <w:rPr>
          <w:spacing w:val="21"/>
          <w:vertAlign w:val="baseline"/>
        </w:rPr>
        <w:t> </w:t>
      </w:r>
      <w:r>
        <w:rPr>
          <w:vertAlign w:val="baseline"/>
        </w:rPr>
        <w:t>is</w:t>
      </w:r>
      <w:r>
        <w:rPr>
          <w:spacing w:val="23"/>
          <w:vertAlign w:val="baseline"/>
        </w:rPr>
        <w:t> </w:t>
      </w:r>
      <w:r>
        <w:rPr>
          <w:vertAlign w:val="baseline"/>
        </w:rPr>
        <w:t>an</w:t>
      </w:r>
      <w:r>
        <w:rPr>
          <w:spacing w:val="24"/>
          <w:vertAlign w:val="baseline"/>
        </w:rPr>
        <w:t> </w:t>
      </w:r>
      <w:r>
        <w:rPr>
          <w:vertAlign w:val="baseline"/>
        </w:rPr>
        <w:t>evidence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acetylation.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band</w:t>
      </w:r>
      <w:r>
        <w:rPr>
          <w:spacing w:val="25"/>
          <w:vertAlign w:val="baseline"/>
        </w:rPr>
        <w:t> </w:t>
      </w:r>
      <w:r>
        <w:rPr>
          <w:vertAlign w:val="baseline"/>
        </w:rPr>
        <w:t>at</w:t>
      </w:r>
      <w:r>
        <w:rPr>
          <w:spacing w:val="21"/>
          <w:vertAlign w:val="baseline"/>
        </w:rPr>
        <w:t> </w:t>
      </w:r>
      <w:r>
        <w:rPr>
          <w:vertAlign w:val="baseline"/>
        </w:rPr>
        <w:t>600cm</w:t>
      </w:r>
      <w:r>
        <w:rPr>
          <w:vertAlign w:val="superscript"/>
        </w:rPr>
        <w:t>-I</w:t>
      </w:r>
      <w:r>
        <w:rPr>
          <w:spacing w:val="-73"/>
          <w:vertAlign w:val="baseline"/>
        </w:rPr>
        <w:t> </w:t>
      </w:r>
      <w:r>
        <w:rPr>
          <w:vertAlign w:val="baseline"/>
        </w:rPr>
        <w:t>can be linked to –OH out-of-plane bending (Bordilau and Teaca, 2009; Nasar </w:t>
      </w:r>
      <w:r>
        <w:rPr>
          <w:sz w:val="25"/>
          <w:vertAlign w:val="baseline"/>
        </w:rPr>
        <w:t>et al.</w:t>
      </w:r>
      <w:r>
        <w:rPr>
          <w:vertAlign w:val="baseline"/>
        </w:rPr>
        <w:t>, 2010)</w:t>
      </w:r>
      <w:r>
        <w:rPr>
          <w:spacing w:val="1"/>
          <w:vertAlign w:val="baseline"/>
        </w:rPr>
        <w:t> </w:t>
      </w:r>
      <w:r>
        <w:rPr>
          <w:vertAlign w:val="baseline"/>
        </w:rPr>
        <w:t>and/or</w:t>
      </w:r>
      <w:r>
        <w:rPr>
          <w:spacing w:val="1"/>
          <w:vertAlign w:val="baseline"/>
        </w:rPr>
        <w:t> </w:t>
      </w:r>
      <w:r>
        <w:rPr>
          <w:vertAlign w:val="baseline"/>
        </w:rPr>
        <w:t>atmospheric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(deformation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vibration)</w:t>
      </w:r>
      <w:r>
        <w:rPr>
          <w:spacing w:val="1"/>
          <w:vertAlign w:val="baseline"/>
        </w:rPr>
        <w:t> </w:t>
      </w:r>
      <w:r>
        <w:rPr>
          <w:vertAlign w:val="baseline"/>
        </w:rPr>
        <w:t>contamination.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1"/>
          <w:vertAlign w:val="baseline"/>
        </w:rPr>
        <w:t> </w:t>
      </w:r>
      <w:r>
        <w:rPr>
          <w:vertAlign w:val="baseline"/>
        </w:rPr>
        <w:t>peak</w:t>
      </w:r>
      <w:r>
        <w:rPr>
          <w:spacing w:val="1"/>
          <w:vertAlign w:val="baseline"/>
        </w:rPr>
        <w:t> </w:t>
      </w:r>
      <w:r>
        <w:rPr>
          <w:vertAlign w:val="baseline"/>
        </w:rPr>
        <w:t>intensities 3887, 3431, 3770, 3781cm</w:t>
      </w:r>
      <w:r>
        <w:rPr>
          <w:vertAlign w:val="superscript"/>
        </w:rPr>
        <w:t>-I</w:t>
      </w:r>
      <w:r>
        <w:rPr>
          <w:vertAlign w:val="baseline"/>
        </w:rPr>
        <w:t> as reflected on the IR spectra of acetic anhydride</w:t>
      </w:r>
      <w:r>
        <w:rPr>
          <w:spacing w:val="1"/>
          <w:vertAlign w:val="baseline"/>
        </w:rPr>
        <w:t> </w:t>
      </w:r>
      <w:r>
        <w:rPr>
          <w:vertAlign w:val="baseline"/>
        </w:rPr>
        <w:t>treated samples are characteristics absorption of bonded</w:t>
      </w:r>
      <w:r>
        <w:rPr>
          <w:spacing w:val="75"/>
          <w:vertAlign w:val="baseline"/>
        </w:rPr>
        <w:t> </w:t>
      </w:r>
      <w:r>
        <w:rPr>
          <w:vertAlign w:val="baseline"/>
        </w:rPr>
        <w:t>–OH group stretching vibrations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 cellulose and hemicelluloses. The intensity of the –OH absorption bands in the treated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 decreased. The decrease in the intensity of the treated samples indicated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some hydroxyl group contents of the corn cob were reduced during the reaction, indicating</w:t>
      </w:r>
      <w:r>
        <w:rPr>
          <w:spacing w:val="-72"/>
          <w:vertAlign w:val="baseline"/>
        </w:rPr>
        <w:t> </w:t>
      </w:r>
      <w:r>
        <w:rPr>
          <w:vertAlign w:val="baseline"/>
        </w:rPr>
        <w:t>that some level of acetylation had taken place (Yakubu </w:t>
      </w:r>
      <w:r>
        <w:rPr>
          <w:sz w:val="25"/>
          <w:vertAlign w:val="baseline"/>
        </w:rPr>
        <w:t>et al</w:t>
      </w:r>
      <w:r>
        <w:rPr>
          <w:vertAlign w:val="baseline"/>
        </w:rPr>
        <w:t>., 2012; Mohebby, 2008;</w:t>
      </w:r>
      <w:r>
        <w:rPr>
          <w:spacing w:val="1"/>
          <w:vertAlign w:val="baseline"/>
        </w:rPr>
        <w:t> </w:t>
      </w:r>
      <w:r>
        <w:rPr>
          <w:vertAlign w:val="baseline"/>
        </w:rPr>
        <w:t>Bordilau</w:t>
      </w:r>
      <w:r>
        <w:rPr>
          <w:spacing w:val="75"/>
          <w:vertAlign w:val="baseline"/>
        </w:rPr>
        <w:t> </w:t>
      </w:r>
      <w:r>
        <w:rPr>
          <w:vertAlign w:val="baseline"/>
        </w:rPr>
        <w:t>and Teaca, 2009). However, at some points a slight increase in the</w:t>
      </w:r>
      <w:r>
        <w:rPr>
          <w:spacing w:val="75"/>
          <w:vertAlign w:val="baseline"/>
        </w:rPr>
        <w:t> </w:t>
      </w:r>
      <w:r>
        <w:rPr>
          <w:vertAlign w:val="baseline"/>
        </w:rPr>
        <w:t>intensity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OH stretching band indicating a gradual lowering of the extent of acetylation 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6"/>
          <w:vertAlign w:val="baseline"/>
        </w:rPr>
        <w:t> </w:t>
      </w:r>
      <w:r>
        <w:rPr>
          <w:vertAlign w:val="baseline"/>
        </w:rPr>
        <w:t>time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7"/>
          <w:vertAlign w:val="baseline"/>
        </w:rPr>
        <w:t> </w:t>
      </w:r>
      <w:r>
        <w:rPr>
          <w:vertAlign w:val="baseline"/>
        </w:rPr>
        <w:t>increased.</w:t>
      </w:r>
      <w:r>
        <w:rPr>
          <w:spacing w:val="4"/>
          <w:vertAlign w:val="baseline"/>
        </w:rPr>
        <w:t> </w:t>
      </w:r>
      <w:r>
        <w:rPr>
          <w:vertAlign w:val="baseline"/>
        </w:rPr>
        <w:t>Acetylation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cellulose</w:t>
      </w:r>
      <w:r>
        <w:rPr>
          <w:spacing w:val="4"/>
          <w:vertAlign w:val="baseline"/>
        </w:rPr>
        <w:t> </w:t>
      </w:r>
      <w:r>
        <w:rPr>
          <w:vertAlign w:val="baseline"/>
        </w:rPr>
        <w:t>is</w:t>
      </w:r>
      <w:r>
        <w:rPr>
          <w:spacing w:val="4"/>
          <w:vertAlign w:val="baseline"/>
        </w:rPr>
        <w:t> </w:t>
      </w:r>
      <w:r>
        <w:rPr>
          <w:vertAlign w:val="baseline"/>
        </w:rPr>
        <w:t>an</w:t>
      </w:r>
      <w:r>
        <w:rPr>
          <w:spacing w:val="6"/>
          <w:vertAlign w:val="baseline"/>
        </w:rPr>
        <w:t> </w:t>
      </w:r>
      <w:r>
        <w:rPr>
          <w:vertAlign w:val="baseline"/>
        </w:rPr>
        <w:t>equilibrium</w:t>
      </w:r>
      <w:r>
        <w:rPr>
          <w:spacing w:val="3"/>
          <w:vertAlign w:val="baseline"/>
        </w:rPr>
        <w:t> </w:t>
      </w:r>
      <w:r>
        <w:rPr>
          <w:vertAlign w:val="baseline"/>
        </w:rPr>
        <w:t>reaction</w:t>
      </w:r>
    </w:p>
    <w:p>
      <w:pPr>
        <w:spacing w:after="0" w:line="472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77" w:lineRule="auto" w:before="75"/>
        <w:ind w:left="1198" w:right="575"/>
        <w:jc w:val="both"/>
      </w:pPr>
      <w:r>
        <w:rPr/>
        <w:t>just like any other esterification reaction such that de-acetylation can take place under</w:t>
      </w:r>
      <w:r>
        <w:rPr>
          <w:spacing w:val="1"/>
        </w:rPr>
        <w:t> </w:t>
      </w:r>
      <w:r>
        <w:rPr/>
        <w:t>appropriate conditions (Adebajo and Frost, 2004). It is therefore possible for de-acetylation</w:t>
      </w:r>
      <w:r>
        <w:rPr>
          <w:spacing w:val="-72"/>
        </w:rPr>
        <w:t> </w:t>
      </w:r>
      <w:r>
        <w:rPr/>
        <w:t>to occur in the presence of acetic acid by-product for the longer time reaction thereby</w:t>
      </w:r>
      <w:r>
        <w:rPr>
          <w:spacing w:val="1"/>
        </w:rPr>
        <w:t> </w:t>
      </w:r>
      <w:r>
        <w:rPr/>
        <w:t>leading to re-formation of the free hydroxyl groups of the corn cob (Adebajo and Frost,</w:t>
      </w:r>
      <w:r>
        <w:rPr>
          <w:spacing w:val="1"/>
        </w:rPr>
        <w:t> </w:t>
      </w:r>
      <w:r>
        <w:rPr/>
        <w:t>2004b). The presence of absorption peaks at both 2150-2100 and 2980-2890cm</w:t>
      </w:r>
      <w:r>
        <w:rPr>
          <w:vertAlign w:val="superscript"/>
        </w:rPr>
        <w:t>-I</w:t>
      </w:r>
      <w:r>
        <w:rPr>
          <w:vertAlign w:val="baseline"/>
        </w:rPr>
        <w:t> assigned</w:t>
      </w:r>
      <w:r>
        <w:rPr>
          <w:spacing w:val="1"/>
          <w:vertAlign w:val="baseline"/>
        </w:rPr>
        <w:t> </w:t>
      </w:r>
      <w:r>
        <w:rPr>
          <w:vertAlign w:val="baseline"/>
        </w:rPr>
        <w:t>to the assymetric stretching vibrations of aliphatic –CH</w:t>
      </w:r>
      <w:r>
        <w:rPr>
          <w:vertAlign w:val="subscript"/>
        </w:rPr>
        <w:t>3</w:t>
      </w:r>
      <w:r>
        <w:rPr>
          <w:vertAlign w:val="baseline"/>
        </w:rPr>
        <w:t> group is an evidence of acetylation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(Yakubu </w:t>
      </w:r>
      <w:r>
        <w:rPr>
          <w:sz w:val="25"/>
          <w:vertAlign w:val="baseline"/>
        </w:rPr>
        <w:t>et al</w:t>
      </w:r>
      <w:r>
        <w:rPr>
          <w:vertAlign w:val="baseline"/>
        </w:rPr>
        <w:t>., 2012; Tuong and Li, 2010; Nasar</w:t>
      </w:r>
      <w:r>
        <w:rPr>
          <w:spacing w:val="75"/>
          <w:vertAlign w:val="baseline"/>
        </w:rPr>
        <w:t> </w:t>
      </w:r>
      <w:r>
        <w:rPr>
          <w:sz w:val="25"/>
          <w:vertAlign w:val="baseline"/>
        </w:rPr>
        <w:t>et al.</w:t>
      </w:r>
      <w:r>
        <w:rPr>
          <w:vertAlign w:val="baseline"/>
        </w:rPr>
        <w:t>, 2010; Cetin and Ozmen, 2010).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absence of the absorption band at 1840-1760cm</w:t>
      </w:r>
      <w:r>
        <w:rPr>
          <w:vertAlign w:val="superscript"/>
        </w:rPr>
        <w:t>-I</w:t>
      </w:r>
      <w:r>
        <w:rPr>
          <w:vertAlign w:val="baseline"/>
        </w:rPr>
        <w:t> in all the treated samples indicated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 acetylated products were free of unreacted acetic anhydride (Adebajo and Frost,</w:t>
      </w:r>
      <w:r>
        <w:rPr>
          <w:spacing w:val="1"/>
          <w:vertAlign w:val="baseline"/>
        </w:rPr>
        <w:t> </w:t>
      </w:r>
      <w:r>
        <w:rPr>
          <w:vertAlign w:val="baseline"/>
        </w:rPr>
        <w:t>2004b; Sun </w:t>
      </w:r>
      <w:r>
        <w:rPr>
          <w:sz w:val="25"/>
          <w:vertAlign w:val="baseline"/>
        </w:rPr>
        <w:t>et al</w:t>
      </w:r>
      <w:r>
        <w:rPr>
          <w:vertAlign w:val="baseline"/>
        </w:rPr>
        <w:t>., 2002, Yakubu </w:t>
      </w:r>
      <w:r>
        <w:rPr>
          <w:sz w:val="25"/>
          <w:vertAlign w:val="baseline"/>
        </w:rPr>
        <w:t>et al</w:t>
      </w:r>
      <w:r>
        <w:rPr>
          <w:vertAlign w:val="baseline"/>
        </w:rPr>
        <w:t>., 2013). The absence of the peak at 1700cm</w:t>
      </w:r>
      <w:r>
        <w:rPr>
          <w:vertAlign w:val="superscript"/>
        </w:rPr>
        <w:t>-I</w:t>
      </w:r>
      <w:r>
        <w:rPr>
          <w:vertAlign w:val="baseline"/>
        </w:rPr>
        <w:t> for a</w:t>
      </w:r>
      <w:r>
        <w:rPr>
          <w:spacing w:val="1"/>
          <w:vertAlign w:val="baseline"/>
        </w:rPr>
        <w:t> </w:t>
      </w:r>
      <w:r>
        <w:rPr>
          <w:vertAlign w:val="baseline"/>
        </w:rPr>
        <w:t>carboxylic group in all the spectra of acetylated samples also indicated that the acetylated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 are free of acetic acid by-product. This indicated that FTIR is quite sensitive and a</w:t>
      </w:r>
      <w:r>
        <w:rPr>
          <w:spacing w:val="-72"/>
          <w:vertAlign w:val="baseline"/>
        </w:rPr>
        <w:t> </w:t>
      </w:r>
      <w:r>
        <w:rPr>
          <w:vertAlign w:val="baseline"/>
        </w:rPr>
        <w:t>good technique for identifying contamination. Hence it is necessary to always ensure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by-products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thoroughly</w:t>
      </w:r>
      <w:r>
        <w:rPr>
          <w:spacing w:val="1"/>
          <w:vertAlign w:val="baseline"/>
        </w:rPr>
        <w:t> </w:t>
      </w:r>
      <w:r>
        <w:rPr>
          <w:vertAlign w:val="baseline"/>
        </w:rPr>
        <w:t>washed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ethanol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acetone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avoid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contamination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(Adebajo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Frost,</w:t>
      </w:r>
      <w:r>
        <w:rPr>
          <w:spacing w:val="-2"/>
          <w:vertAlign w:val="baseline"/>
        </w:rPr>
        <w:t> </w:t>
      </w:r>
      <w:r>
        <w:rPr>
          <w:vertAlign w:val="baseline"/>
        </w:rPr>
        <w:t>2004a).</w:t>
      </w:r>
    </w:p>
    <w:p>
      <w:pPr>
        <w:spacing w:after="0" w:line="477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ind w:left="1228"/>
        <w:rPr>
          <w:sz w:val="20"/>
        </w:rPr>
      </w:pPr>
      <w:r>
        <w:rPr>
          <w:sz w:val="20"/>
        </w:rPr>
        <w:drawing>
          <wp:inline distT="0" distB="0" distL="0" distR="0">
            <wp:extent cx="6111513" cy="502205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513" cy="502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2637" w:val="left" w:leader="none"/>
        </w:tabs>
        <w:spacing w:before="100"/>
        <w:ind w:left="1198"/>
      </w:pPr>
      <w:r>
        <w:rPr/>
        <w:t>Figure</w:t>
      </w:r>
      <w:r>
        <w:rPr>
          <w:spacing w:val="-1"/>
        </w:rPr>
        <w:t> </w:t>
      </w:r>
      <w:r>
        <w:rPr/>
        <w:t>3.1</w:t>
        <w:tab/>
        <w:t>XRD</w:t>
      </w:r>
      <w:r>
        <w:rPr>
          <w:spacing w:val="-2"/>
        </w:rPr>
        <w:t> </w:t>
      </w:r>
      <w:r>
        <w:rPr/>
        <w:t>pattern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raw</w:t>
      </w:r>
      <w:r>
        <w:rPr>
          <w:spacing w:val="-4"/>
        </w:rPr>
        <w:t> </w:t>
      </w:r>
      <w:r>
        <w:rPr/>
        <w:t>corn</w:t>
      </w:r>
      <w:r>
        <w:rPr>
          <w:spacing w:val="-2"/>
        </w:rPr>
        <w:t> </w:t>
      </w:r>
      <w:r>
        <w:rPr/>
        <w:t>cob</w:t>
      </w:r>
    </w:p>
    <w:p>
      <w:pPr>
        <w:spacing w:after="0"/>
        <w:sectPr>
          <w:pgSz w:w="11910" w:h="16840"/>
          <w:pgMar w:header="0" w:footer="987" w:top="1220" w:bottom="1260" w:left="420" w:right="0"/>
        </w:sectPr>
      </w:pPr>
    </w:p>
    <w:p>
      <w:pPr>
        <w:pStyle w:val="BodyText"/>
        <w:ind w:left="1228"/>
        <w:rPr>
          <w:sz w:val="20"/>
        </w:rPr>
      </w:pPr>
      <w:r>
        <w:rPr>
          <w:sz w:val="20"/>
        </w:rPr>
        <w:drawing>
          <wp:inline distT="0" distB="0" distL="0" distR="0">
            <wp:extent cx="6102678" cy="330022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678" cy="330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2637" w:val="left" w:leader="none"/>
        </w:tabs>
        <w:spacing w:before="100"/>
        <w:ind w:left="1198"/>
      </w:pPr>
      <w:r>
        <w:rPr/>
        <w:t>Figure</w:t>
      </w:r>
      <w:r>
        <w:rPr>
          <w:spacing w:val="-1"/>
        </w:rPr>
        <w:t> </w:t>
      </w:r>
      <w:r>
        <w:rPr/>
        <w:t>3.2</w:t>
        <w:tab/>
        <w:t>XRD</w:t>
      </w:r>
      <w:r>
        <w:rPr>
          <w:spacing w:val="-3"/>
        </w:rPr>
        <w:t> </w:t>
      </w:r>
      <w:r>
        <w:rPr/>
        <w:t>pattern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acetylated</w:t>
      </w:r>
      <w:r>
        <w:rPr>
          <w:spacing w:val="-4"/>
        </w:rPr>
        <w:t> </w:t>
      </w:r>
      <w:r>
        <w:rPr/>
        <w:t>corn</w:t>
      </w:r>
      <w:r>
        <w:rPr>
          <w:spacing w:val="-4"/>
        </w:rPr>
        <w:t> </w:t>
      </w:r>
      <w:r>
        <w:rPr/>
        <w:t>cob</w:t>
      </w:r>
    </w:p>
    <w:p>
      <w:pPr>
        <w:spacing w:after="0"/>
        <w:sectPr>
          <w:pgSz w:w="11910" w:h="16840"/>
          <w:pgMar w:header="0" w:footer="987" w:top="1220" w:bottom="1260" w:left="420" w:right="0"/>
        </w:sectPr>
      </w:pPr>
    </w:p>
    <w:p>
      <w:pPr>
        <w:pStyle w:val="BodyText"/>
        <w:ind w:left="1228"/>
        <w:rPr>
          <w:sz w:val="20"/>
        </w:rPr>
      </w:pPr>
      <w:r>
        <w:rPr>
          <w:sz w:val="20"/>
        </w:rPr>
        <w:drawing>
          <wp:inline distT="0" distB="0" distL="0" distR="0">
            <wp:extent cx="5460893" cy="2733675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893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tabs>
          <w:tab w:pos="2637" w:val="left" w:leader="none"/>
        </w:tabs>
        <w:spacing w:before="100"/>
        <w:ind w:left="1198"/>
      </w:pPr>
      <w:r>
        <w:rPr/>
        <w:t>Figure</w:t>
      </w:r>
      <w:r>
        <w:rPr>
          <w:spacing w:val="-1"/>
        </w:rPr>
        <w:t> </w:t>
      </w:r>
      <w:r>
        <w:rPr/>
        <w:t>3.3:</w:t>
        <w:tab/>
        <w:t>FTIR</w:t>
      </w:r>
      <w:r>
        <w:rPr>
          <w:spacing w:val="-4"/>
        </w:rPr>
        <w:t> </w:t>
      </w:r>
      <w:r>
        <w:rPr/>
        <w:t>spectra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raw</w:t>
      </w:r>
      <w:r>
        <w:rPr>
          <w:spacing w:val="-2"/>
        </w:rPr>
        <w:t> </w:t>
      </w:r>
      <w:r>
        <w:rPr/>
        <w:t>corn</w:t>
      </w:r>
      <w:r>
        <w:rPr>
          <w:spacing w:val="-4"/>
        </w:rPr>
        <w:t> </w:t>
      </w:r>
      <w:r>
        <w:rPr/>
        <w:t>cob</w:t>
      </w:r>
    </w:p>
    <w:p>
      <w:pPr>
        <w:spacing w:after="0"/>
        <w:sectPr>
          <w:pgSz w:w="11910" w:h="16840"/>
          <w:pgMar w:header="0" w:footer="987" w:top="1220" w:bottom="1260" w:left="420" w:right="0"/>
        </w:sectPr>
      </w:pPr>
    </w:p>
    <w:p>
      <w:pPr>
        <w:pStyle w:val="BodyText"/>
        <w:ind w:left="1228"/>
        <w:rPr>
          <w:sz w:val="20"/>
        </w:rPr>
      </w:pPr>
      <w:r>
        <w:rPr>
          <w:sz w:val="20"/>
        </w:rPr>
        <w:drawing>
          <wp:inline distT="0" distB="0" distL="0" distR="0">
            <wp:extent cx="5472236" cy="270510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236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</w:p>
    <w:p>
      <w:pPr>
        <w:pStyle w:val="BodyText"/>
        <w:tabs>
          <w:tab w:pos="2637" w:val="left" w:leader="none"/>
        </w:tabs>
        <w:spacing w:before="100"/>
        <w:ind w:left="1198"/>
      </w:pPr>
      <w:r>
        <w:rPr/>
        <w:t>Figure</w:t>
      </w:r>
      <w:r>
        <w:rPr>
          <w:spacing w:val="-1"/>
        </w:rPr>
        <w:t> </w:t>
      </w:r>
      <w:r>
        <w:rPr/>
        <w:t>3.4:</w:t>
        <w:tab/>
        <w:t>FTIR</w:t>
      </w:r>
      <w:r>
        <w:rPr>
          <w:spacing w:val="-3"/>
        </w:rPr>
        <w:t> </w:t>
      </w:r>
      <w:r>
        <w:rPr/>
        <w:t>spectra</w:t>
      </w:r>
      <w:r>
        <w:rPr>
          <w:spacing w:val="-5"/>
        </w:rPr>
        <w:t> </w:t>
      </w:r>
      <w:r>
        <w:rPr/>
        <w:t>of acetylated</w:t>
      </w:r>
      <w:r>
        <w:rPr>
          <w:spacing w:val="-4"/>
        </w:rPr>
        <w:t> </w:t>
      </w:r>
      <w:r>
        <w:rPr/>
        <w:t>corn</w:t>
      </w:r>
      <w:r>
        <w:rPr>
          <w:spacing w:val="-4"/>
        </w:rPr>
        <w:t> </w:t>
      </w:r>
      <w:r>
        <w:rPr/>
        <w:t>cob</w:t>
      </w:r>
      <w:r>
        <w:rPr>
          <w:spacing w:val="-4"/>
        </w:rPr>
        <w:t> </w:t>
      </w:r>
      <w:r>
        <w:rPr/>
        <w:t>(sample</w:t>
      </w:r>
      <w:r>
        <w:rPr>
          <w:spacing w:val="-3"/>
        </w:rPr>
        <w:t> </w:t>
      </w:r>
      <w:r>
        <w:rPr/>
        <w:t>11)</w:t>
      </w:r>
    </w:p>
    <w:p>
      <w:pPr>
        <w:spacing w:after="0"/>
        <w:sectPr>
          <w:pgSz w:w="11910" w:h="16840"/>
          <w:pgMar w:header="0" w:footer="987" w:top="1220" w:bottom="1260" w:left="420" w:right="0"/>
        </w:sectPr>
      </w:pPr>
    </w:p>
    <w:p>
      <w:pPr>
        <w:pStyle w:val="BodyText"/>
        <w:spacing w:line="482" w:lineRule="auto" w:before="75"/>
        <w:ind w:left="1198"/>
      </w:pPr>
      <w:r>
        <w:rPr/>
        <w:t>Table</w:t>
      </w:r>
      <w:r>
        <w:rPr>
          <w:spacing w:val="9"/>
        </w:rPr>
        <w:t> </w:t>
      </w:r>
      <w:r>
        <w:rPr/>
        <w:t>3.4:</w:t>
      </w:r>
      <w:r>
        <w:rPr>
          <w:spacing w:val="8"/>
        </w:rPr>
        <w:t> </w:t>
      </w:r>
      <w:r>
        <w:rPr/>
        <w:t>Assignment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IR</w:t>
      </w:r>
      <w:r>
        <w:rPr>
          <w:spacing w:val="8"/>
        </w:rPr>
        <w:t> </w:t>
      </w:r>
      <w:r>
        <w:rPr/>
        <w:t>spectra</w:t>
      </w:r>
      <w:r>
        <w:rPr>
          <w:spacing w:val="11"/>
        </w:rPr>
        <w:t> </w:t>
      </w:r>
      <w:r>
        <w:rPr/>
        <w:t>bands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functional</w:t>
      </w:r>
      <w:r>
        <w:rPr>
          <w:spacing w:val="11"/>
        </w:rPr>
        <w:t> </w:t>
      </w:r>
      <w:r>
        <w:rPr/>
        <w:t>groups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acetylated</w:t>
      </w:r>
      <w:r>
        <w:rPr>
          <w:spacing w:val="9"/>
        </w:rPr>
        <w:t> </w:t>
      </w:r>
      <w:r>
        <w:rPr/>
        <w:t>corn</w:t>
      </w:r>
      <w:r>
        <w:rPr>
          <w:spacing w:val="11"/>
        </w:rPr>
        <w:t> </w:t>
      </w:r>
      <w:r>
        <w:rPr/>
        <w:t>cob</w:t>
      </w:r>
      <w:r>
        <w:rPr>
          <w:spacing w:val="-72"/>
        </w:rPr>
        <w:t> </w:t>
      </w:r>
      <w:r>
        <w:rPr/>
        <w:t>treated</w:t>
      </w:r>
      <w:r>
        <w:rPr>
          <w:spacing w:val="-3"/>
        </w:rPr>
        <w:t> </w:t>
      </w:r>
      <w:r>
        <w:rPr/>
        <w:t>with acetic</w:t>
      </w:r>
      <w:r>
        <w:rPr>
          <w:spacing w:val="-1"/>
        </w:rPr>
        <w:t> </w:t>
      </w:r>
      <w:r>
        <w:rPr/>
        <w:t>anhydride</w:t>
      </w:r>
    </w:p>
    <w:p>
      <w:pPr>
        <w:pStyle w:val="BodyText"/>
        <w:spacing w:line="20" w:lineRule="exact"/>
        <w:ind w:left="1169"/>
        <w:rPr>
          <w:sz w:val="2"/>
        </w:rPr>
      </w:pPr>
      <w:r>
        <w:rPr>
          <w:sz w:val="2"/>
        </w:rPr>
        <w:pict>
          <v:group style="width:488.3pt;height:.5pt;mso-position-horizontal-relative:char;mso-position-vertical-relative:line" coordorigin="0,0" coordsize="9766,10">
            <v:rect style="position:absolute;left:0;top:0;width:976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6958" w:val="left" w:leader="none"/>
        </w:tabs>
        <w:spacing w:before="6"/>
        <w:ind w:left="1198"/>
      </w:pPr>
      <w:r>
        <w:rPr/>
        <w:t>Band</w:t>
      </w:r>
      <w:r>
        <w:rPr>
          <w:spacing w:val="-4"/>
        </w:rPr>
        <w:t> </w:t>
      </w:r>
      <w:r>
        <w:rPr/>
        <w:t>position</w:t>
        <w:tab/>
        <w:t>Functional</w:t>
      </w:r>
      <w:r>
        <w:rPr>
          <w:spacing w:val="-7"/>
        </w:rPr>
        <w:t> </w:t>
      </w:r>
      <w:r>
        <w:rPr/>
        <w:t>group</w:t>
      </w:r>
    </w:p>
    <w:p>
      <w:pPr>
        <w:pStyle w:val="BodyText"/>
        <w:spacing w:before="8"/>
        <w:rPr>
          <w:sz w:val="22"/>
        </w:rPr>
      </w:pPr>
      <w:r>
        <w:rPr/>
        <w:pict>
          <v:rect style="position:absolute;margin-left:79.463997pt;margin-top:15.627344pt;width:488.26pt;height:.48001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4798" w:val="left" w:leader="none"/>
        </w:tabs>
        <w:spacing w:line="259" w:lineRule="exact"/>
        <w:ind w:left="1198"/>
      </w:pPr>
      <w:r>
        <w:rPr/>
        <w:t>3978-3200</w:t>
        <w:tab/>
        <w:t>-OH</w:t>
      </w:r>
      <w:r>
        <w:rPr>
          <w:spacing w:val="-4"/>
        </w:rPr>
        <w:t> </w:t>
      </w:r>
      <w:r>
        <w:rPr/>
        <w:t>stretching,</w:t>
      </w:r>
      <w:r>
        <w:rPr>
          <w:spacing w:val="-6"/>
        </w:rPr>
        <w:t> </w:t>
      </w:r>
      <w:r>
        <w:rPr/>
        <w:t>hydroxyl</w:t>
      </w:r>
      <w:r>
        <w:rPr>
          <w:spacing w:val="-5"/>
        </w:rPr>
        <w:t> </w:t>
      </w:r>
      <w:r>
        <w:rPr/>
        <w:t>group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4798" w:val="left" w:leader="none"/>
        </w:tabs>
        <w:ind w:left="1198"/>
      </w:pPr>
      <w:r>
        <w:rPr/>
        <w:t>2950-2880</w:t>
        <w:tab/>
        <w:t>-CH</w:t>
      </w:r>
      <w:r>
        <w:rPr>
          <w:spacing w:val="-2"/>
        </w:rPr>
        <w:t> </w:t>
      </w:r>
      <w:r>
        <w:rPr/>
        <w:t>stretch,</w:t>
      </w:r>
      <w:r>
        <w:rPr>
          <w:spacing w:val="-4"/>
        </w:rPr>
        <w:t> </w:t>
      </w:r>
      <w:r>
        <w:rPr/>
        <w:t>CH</w:t>
      </w:r>
      <w:r>
        <w:rPr>
          <w:vertAlign w:val="subscript"/>
        </w:rPr>
        <w:t>3</w:t>
      </w:r>
      <w:r>
        <w:rPr>
          <w:vertAlign w:val="baseline"/>
        </w:rPr>
        <w:t>-O</w:t>
      </w:r>
      <w:r>
        <w:rPr>
          <w:spacing w:val="-1"/>
          <w:vertAlign w:val="baseline"/>
        </w:rPr>
        <w:t> </w:t>
      </w:r>
      <w:r>
        <w:rPr>
          <w:vertAlign w:val="baseline"/>
        </w:rPr>
        <w:t>group</w:t>
      </w:r>
      <w:r>
        <w:rPr>
          <w:spacing w:val="-3"/>
          <w:vertAlign w:val="baseline"/>
        </w:rPr>
        <w:t> </w:t>
      </w:r>
      <w:r>
        <w:rPr>
          <w:vertAlign w:val="baseline"/>
        </w:rPr>
        <w:t>cellulose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4798" w:val="left" w:leader="none"/>
        </w:tabs>
        <w:ind w:left="1198"/>
      </w:pPr>
      <w:r>
        <w:rPr/>
        <w:t>2356</w:t>
        <w:tab/>
        <w:t>CH</w:t>
      </w:r>
      <w:r>
        <w:rPr>
          <w:vertAlign w:val="subscript"/>
        </w:rPr>
        <w:t>3</w:t>
      </w:r>
      <w:r>
        <w:rPr>
          <w:spacing w:val="-3"/>
          <w:vertAlign w:val="baseline"/>
        </w:rPr>
        <w:t> </w:t>
      </w:r>
      <w:r>
        <w:rPr>
          <w:vertAlign w:val="baseline"/>
        </w:rPr>
        <w:t>group,</w:t>
      </w:r>
      <w:r>
        <w:rPr>
          <w:spacing w:val="-3"/>
          <w:vertAlign w:val="baseline"/>
        </w:rPr>
        <w:t> </w:t>
      </w:r>
      <w:r>
        <w:rPr>
          <w:vertAlign w:val="baseline"/>
        </w:rPr>
        <w:t>stretching</w:t>
      </w:r>
      <w:r>
        <w:rPr>
          <w:spacing w:val="-3"/>
          <w:vertAlign w:val="baseline"/>
        </w:rPr>
        <w:t> </w:t>
      </w:r>
      <w:r>
        <w:rPr>
          <w:vertAlign w:val="baseline"/>
        </w:rPr>
        <w:t>vibrations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aliphatic CH</w:t>
      </w:r>
      <w:r>
        <w:rPr>
          <w:vertAlign w:val="subscript"/>
        </w:rPr>
        <w:t>3</w:t>
      </w:r>
      <w:r>
        <w:rPr>
          <w:spacing w:val="-2"/>
          <w:vertAlign w:val="baseline"/>
        </w:rPr>
        <w:t> </w:t>
      </w:r>
      <w:r>
        <w:rPr>
          <w:vertAlign w:val="baseline"/>
        </w:rPr>
        <w:t>group</w:t>
      </w:r>
    </w:p>
    <w:p>
      <w:pPr>
        <w:pStyle w:val="BodyText"/>
        <w:spacing w:before="2"/>
      </w:pPr>
    </w:p>
    <w:p>
      <w:pPr>
        <w:pStyle w:val="BodyText"/>
        <w:tabs>
          <w:tab w:pos="4872" w:val="left" w:leader="none"/>
        </w:tabs>
        <w:ind w:left="1198"/>
      </w:pPr>
      <w:r>
        <w:rPr/>
        <w:t>1750-1675</w:t>
        <w:tab/>
        <w:t>C=O,</w:t>
      </w:r>
      <w:r>
        <w:rPr>
          <w:spacing w:val="-4"/>
        </w:rPr>
        <w:t> </w:t>
      </w:r>
      <w:r>
        <w:rPr/>
        <w:t>esters</w:t>
      </w:r>
      <w:r>
        <w:rPr>
          <w:spacing w:val="-3"/>
        </w:rPr>
        <w:t> </w:t>
      </w:r>
      <w:r>
        <w:rPr/>
        <w:t>(ascribed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hemicellulose)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4798" w:val="left" w:leader="none"/>
        </w:tabs>
        <w:ind w:left="1198"/>
      </w:pPr>
      <w:r>
        <w:rPr/>
        <w:t>1660-1630</w:t>
        <w:tab/>
        <w:t>C=C</w:t>
      </w:r>
      <w:r>
        <w:rPr>
          <w:spacing w:val="-3"/>
        </w:rPr>
        <w:t> </w:t>
      </w:r>
      <w:r>
        <w:rPr/>
        <w:t>alkanes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H-O-H</w:t>
      </w:r>
      <w:r>
        <w:rPr>
          <w:spacing w:val="-1"/>
        </w:rPr>
        <w:t> </w:t>
      </w:r>
      <w:r>
        <w:rPr/>
        <w:t>bands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absorbed</w:t>
      </w:r>
      <w:r>
        <w:rPr>
          <w:spacing w:val="-3"/>
        </w:rPr>
        <w:t> </w:t>
      </w:r>
      <w:r>
        <w:rPr/>
        <w:t>water</w:t>
      </w:r>
    </w:p>
    <w:p>
      <w:pPr>
        <w:pStyle w:val="BodyText"/>
        <w:spacing w:before="1"/>
      </w:pPr>
    </w:p>
    <w:p>
      <w:pPr>
        <w:pStyle w:val="BodyText"/>
        <w:tabs>
          <w:tab w:pos="4798" w:val="left" w:leader="none"/>
        </w:tabs>
        <w:ind w:left="1198"/>
      </w:pPr>
      <w:r>
        <w:rPr/>
        <w:t>1440-1359</w:t>
        <w:tab/>
        <w:t>CH</w:t>
      </w:r>
      <w:r>
        <w:rPr>
          <w:spacing w:val="-3"/>
        </w:rPr>
        <w:t> </w:t>
      </w:r>
      <w:r>
        <w:rPr/>
        <w:t>deformation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–O(C=O)-CH</w:t>
      </w:r>
      <w:r>
        <w:rPr>
          <w:vertAlign w:val="subscript"/>
        </w:rPr>
        <w:t>3</w:t>
      </w:r>
      <w:r>
        <w:rPr>
          <w:spacing w:val="-2"/>
          <w:vertAlign w:val="baseline"/>
        </w:rPr>
        <w:t> </w:t>
      </w:r>
      <w:r>
        <w:rPr>
          <w:vertAlign w:val="baseline"/>
        </w:rPr>
        <w:t>group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4798" w:val="left" w:leader="none"/>
        </w:tabs>
        <w:spacing w:before="1"/>
        <w:ind w:left="1198"/>
      </w:pPr>
      <w:r>
        <w:rPr/>
        <w:t>1257-1230</w:t>
        <w:tab/>
        <w:t>C=O</w:t>
      </w:r>
      <w:r>
        <w:rPr>
          <w:spacing w:val="-3"/>
        </w:rPr>
        <w:t> </w:t>
      </w:r>
      <w:r>
        <w:rPr/>
        <w:t>stretch,</w:t>
      </w:r>
      <w:r>
        <w:rPr>
          <w:spacing w:val="-5"/>
        </w:rPr>
        <w:t> </w:t>
      </w:r>
      <w:r>
        <w:rPr/>
        <w:t>acetyl</w:t>
      </w:r>
      <w:r>
        <w:rPr>
          <w:spacing w:val="-3"/>
        </w:rPr>
        <w:t> </w:t>
      </w:r>
      <w:r>
        <w:rPr/>
        <w:t>group</w:t>
      </w:r>
      <w:r>
        <w:rPr>
          <w:spacing w:val="-4"/>
        </w:rPr>
        <w:t> </w:t>
      </w:r>
      <w:r>
        <w:rPr/>
        <w:t>(lignin)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4798" w:val="left" w:leader="none"/>
        </w:tabs>
        <w:spacing w:line="480" w:lineRule="auto" w:before="1"/>
        <w:ind w:left="4798" w:right="580" w:hanging="3601"/>
      </w:pPr>
      <w:r>
        <w:rPr/>
        <w:t>1075-1036</w:t>
        <w:tab/>
        <w:t>C-O</w:t>
      </w:r>
      <w:r>
        <w:rPr>
          <w:spacing w:val="31"/>
        </w:rPr>
        <w:t> </w:t>
      </w:r>
      <w:r>
        <w:rPr/>
        <w:t>stretching</w:t>
      </w:r>
      <w:r>
        <w:rPr>
          <w:spacing w:val="30"/>
        </w:rPr>
        <w:t> </w:t>
      </w:r>
      <w:r>
        <w:rPr/>
        <w:t>vibrations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cellulose,</w:t>
      </w:r>
      <w:r>
        <w:rPr>
          <w:spacing w:val="30"/>
        </w:rPr>
        <w:t> </w:t>
      </w:r>
      <w:r>
        <w:rPr/>
        <w:t>hemicellulose</w:t>
      </w:r>
      <w:r>
        <w:rPr>
          <w:spacing w:val="33"/>
        </w:rPr>
        <w:t> </w:t>
      </w:r>
      <w:r>
        <w:rPr/>
        <w:t>and</w:t>
      </w:r>
      <w:r>
        <w:rPr>
          <w:spacing w:val="-72"/>
        </w:rPr>
        <w:t> </w:t>
      </w:r>
      <w:r>
        <w:rPr/>
        <w:t>primary</w:t>
      </w:r>
      <w:r>
        <w:rPr>
          <w:spacing w:val="-2"/>
        </w:rPr>
        <w:t> </w:t>
      </w:r>
      <w:r>
        <w:rPr/>
        <w:t>alcohol</w:t>
      </w:r>
    </w:p>
    <w:p>
      <w:pPr>
        <w:pStyle w:val="BodyText"/>
        <w:tabs>
          <w:tab w:pos="4798" w:val="left" w:leader="none"/>
        </w:tabs>
        <w:ind w:left="1198"/>
      </w:pPr>
      <w:r>
        <w:rPr/>
        <w:t>976-790</w:t>
        <w:tab/>
        <w:t>trisubstituted</w:t>
      </w:r>
      <w:r>
        <w:rPr>
          <w:spacing w:val="-5"/>
        </w:rPr>
        <w:t> </w:t>
      </w:r>
      <w:r>
        <w:rPr/>
        <w:t>C-H</w:t>
      </w:r>
      <w:r>
        <w:rPr>
          <w:spacing w:val="-2"/>
        </w:rPr>
        <w:t> </w:t>
      </w:r>
      <w:r>
        <w:rPr/>
        <w:t>bend,</w:t>
      </w:r>
      <w:r>
        <w:rPr>
          <w:spacing w:val="-5"/>
        </w:rPr>
        <w:t> </w:t>
      </w:r>
      <w:r>
        <w:rPr/>
        <w:t>alkanes</w:t>
      </w:r>
    </w:p>
    <w:p>
      <w:pPr>
        <w:pStyle w:val="BodyText"/>
        <w:spacing w:before="2"/>
      </w:pPr>
    </w:p>
    <w:p>
      <w:pPr>
        <w:pStyle w:val="BodyText"/>
        <w:tabs>
          <w:tab w:pos="4798" w:val="left" w:leader="none"/>
        </w:tabs>
        <w:ind w:left="1198"/>
      </w:pPr>
      <w:r>
        <w:rPr/>
        <w:t>700-600</w:t>
        <w:tab/>
        <w:t>Cis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plane C-H</w:t>
      </w:r>
      <w:r>
        <w:rPr>
          <w:spacing w:val="-1"/>
        </w:rPr>
        <w:t> </w:t>
      </w:r>
      <w:r>
        <w:rPr/>
        <w:t>band,</w:t>
      </w:r>
      <w:r>
        <w:rPr>
          <w:spacing w:val="-1"/>
        </w:rPr>
        <w:t> </w:t>
      </w:r>
      <w:r>
        <w:rPr/>
        <w:t>alkanes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4798" w:val="left" w:leader="none"/>
        </w:tabs>
        <w:ind w:left="1198"/>
      </w:pPr>
      <w:r>
        <w:rPr/>
        <w:t>470-430</w:t>
        <w:tab/>
        <w:t>Si-O-Si</w:t>
      </w:r>
      <w:r>
        <w:rPr>
          <w:spacing w:val="-2"/>
        </w:rPr>
        <w:t> </w:t>
      </w:r>
      <w:r>
        <w:rPr/>
        <w:t>bend,</w:t>
      </w:r>
      <w:r>
        <w:rPr>
          <w:spacing w:val="-3"/>
        </w:rPr>
        <w:t> </w:t>
      </w:r>
      <w:r>
        <w:rPr/>
        <w:t>silica</w:t>
      </w:r>
    </w:p>
    <w:p>
      <w:pPr>
        <w:pStyle w:val="BodyText"/>
        <w:spacing w:before="8"/>
        <w:rPr>
          <w:sz w:val="22"/>
        </w:rPr>
      </w:pPr>
      <w:r>
        <w:rPr/>
        <w:pict>
          <v:rect style="position:absolute;margin-left:79.463997pt;margin-top:15.627344pt;width:488.26pt;height:.47998pt;mso-position-horizontal-relative:page;mso-position-vertical-relative:paragraph;z-index:-15700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before="7"/>
        <w:rPr>
          <w:sz w:val="9"/>
        </w:rPr>
      </w:pPr>
    </w:p>
    <w:p>
      <w:pPr>
        <w:pStyle w:val="Heading3"/>
        <w:numPr>
          <w:ilvl w:val="2"/>
          <w:numId w:val="9"/>
        </w:numPr>
        <w:tabs>
          <w:tab w:pos="1918" w:val="left" w:leader="none"/>
        </w:tabs>
        <w:spacing w:line="240" w:lineRule="auto" w:before="100" w:after="0"/>
        <w:ind w:left="1918" w:right="0" w:hanging="720"/>
        <w:jc w:val="both"/>
      </w:pPr>
      <w:r>
        <w:rPr/>
        <w:t>Structural</w:t>
      </w:r>
      <w:r>
        <w:rPr>
          <w:spacing w:val="-4"/>
        </w:rPr>
        <w:t> </w:t>
      </w:r>
      <w:r>
        <w:rPr/>
        <w:t>characteristics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mango</w:t>
      </w:r>
      <w:r>
        <w:rPr>
          <w:spacing w:val="-3"/>
        </w:rPr>
        <w:t> </w:t>
      </w:r>
      <w:r>
        <w:rPr/>
        <w:t>Kernel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7" w:lineRule="auto"/>
        <w:ind w:left="1198" w:right="575"/>
        <w:jc w:val="both"/>
      </w:pPr>
      <w:r>
        <w:rPr/>
        <w:t>The x-ray diffraction spectra of the raw and acetylated mango kernel are presented in</w:t>
      </w:r>
      <w:r>
        <w:rPr>
          <w:spacing w:val="1"/>
        </w:rPr>
        <w:t> </w:t>
      </w:r>
      <w:r>
        <w:rPr/>
        <w:t>Figure 3.5 and 3.6 respectively. The three broad peaks 14.53</w:t>
      </w:r>
      <w:r>
        <w:rPr>
          <w:vertAlign w:val="superscript"/>
        </w:rPr>
        <w:t>o</w:t>
      </w:r>
      <w:r>
        <w:rPr>
          <w:vertAlign w:val="baseline"/>
        </w:rPr>
        <w:t>, 15.71</w:t>
      </w:r>
      <w:r>
        <w:rPr>
          <w:vertAlign w:val="superscript"/>
        </w:rPr>
        <w:t>o</w:t>
      </w:r>
      <w:r>
        <w:rPr>
          <w:vertAlign w:val="baseline"/>
        </w:rPr>
        <w:t> and 20.46</w:t>
      </w:r>
      <w:r>
        <w:rPr>
          <w:vertAlign w:val="superscript"/>
        </w:rPr>
        <w:t>o</w:t>
      </w:r>
      <w:r>
        <w:rPr>
          <w:vertAlign w:val="baseline"/>
        </w:rPr>
        <w:t> that</w:t>
      </w:r>
      <w:r>
        <w:rPr>
          <w:spacing w:val="1"/>
          <w:vertAlign w:val="baseline"/>
        </w:rPr>
        <w:t> </w:t>
      </w:r>
      <w:r>
        <w:rPr>
          <w:vertAlign w:val="baseline"/>
        </w:rPr>
        <w:t>appeared in the crystalline pattern of raw mango kernel are typical pattern of α-cellulose</w:t>
      </w:r>
      <w:r>
        <w:rPr>
          <w:spacing w:val="1"/>
          <w:vertAlign w:val="baseline"/>
        </w:rPr>
        <w:t> </w:t>
      </w:r>
      <w:r>
        <w:rPr>
          <w:vertAlign w:val="baseline"/>
        </w:rPr>
        <w:t>(Yu</w:t>
      </w:r>
      <w:r>
        <w:rPr>
          <w:sz w:val="25"/>
          <w:vertAlign w:val="baseline"/>
        </w:rPr>
        <w:t>et al</w:t>
      </w:r>
      <w:r>
        <w:rPr>
          <w:vertAlign w:val="baseline"/>
        </w:rPr>
        <w:t>., 2009). Significantly reduced intensity peaks were observed in the crystalline</w:t>
      </w:r>
      <w:r>
        <w:rPr>
          <w:spacing w:val="1"/>
          <w:vertAlign w:val="baseline"/>
        </w:rPr>
        <w:t> </w:t>
      </w:r>
      <w:r>
        <w:rPr>
          <w:vertAlign w:val="baseline"/>
        </w:rPr>
        <w:t>pattern of the acetylated mango kernel. The crystallinity index recorded in this study was</w:t>
      </w:r>
      <w:r>
        <w:rPr>
          <w:spacing w:val="1"/>
          <w:vertAlign w:val="baseline"/>
        </w:rPr>
        <w:t> </w:t>
      </w:r>
      <w:r>
        <w:rPr>
          <w:vertAlign w:val="baseline"/>
        </w:rPr>
        <w:t>(33.25) for raw mango kernel and (-61.24) for acetylated mango kernel, showing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crystallinity was lost after acetylation. High crystallinity indicated an ordered compact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molecular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structure,</w:t>
      </w:r>
      <w:r>
        <w:rPr>
          <w:spacing w:val="1"/>
          <w:vertAlign w:val="baseline"/>
        </w:rPr>
        <w:t> </w:t>
      </w:r>
      <w:r>
        <w:rPr>
          <w:vertAlign w:val="baseline"/>
        </w:rPr>
        <w:t>whereas</w:t>
      </w:r>
      <w:r>
        <w:rPr>
          <w:spacing w:val="1"/>
          <w:vertAlign w:val="baseline"/>
        </w:rPr>
        <w:t> </w:t>
      </w:r>
      <w:r>
        <w:rPr>
          <w:vertAlign w:val="baseline"/>
        </w:rPr>
        <w:t>lower</w:t>
      </w:r>
      <w:r>
        <w:rPr>
          <w:spacing w:val="1"/>
          <w:vertAlign w:val="baseline"/>
        </w:rPr>
        <w:t> </w:t>
      </w:r>
      <w:r>
        <w:rPr>
          <w:vertAlign w:val="baseline"/>
        </w:rPr>
        <w:t>crystallinity</w:t>
      </w:r>
      <w:r>
        <w:rPr>
          <w:spacing w:val="1"/>
          <w:vertAlign w:val="baseline"/>
        </w:rPr>
        <w:t> </w:t>
      </w:r>
      <w:r>
        <w:rPr>
          <w:vertAlign w:val="baseline"/>
        </w:rPr>
        <w:t>implied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disordered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structure,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resulting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amorphous</w:t>
      </w:r>
      <w:r>
        <w:rPr>
          <w:spacing w:val="1"/>
          <w:vertAlign w:val="baseline"/>
        </w:rPr>
        <w:t> </w:t>
      </w:r>
      <w:r>
        <w:rPr>
          <w:vertAlign w:val="baseline"/>
        </w:rPr>
        <w:t>powder</w:t>
      </w:r>
      <w:r>
        <w:rPr>
          <w:spacing w:val="1"/>
          <w:vertAlign w:val="baseline"/>
        </w:rPr>
        <w:t> </w:t>
      </w:r>
      <w:r>
        <w:rPr>
          <w:vertAlign w:val="baseline"/>
        </w:rPr>
        <w:t>(Azupbuike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Okhamafe,</w:t>
      </w:r>
      <w:r>
        <w:rPr>
          <w:spacing w:val="1"/>
          <w:vertAlign w:val="baseline"/>
        </w:rPr>
        <w:t> </w:t>
      </w:r>
      <w:r>
        <w:rPr>
          <w:vertAlign w:val="baseline"/>
        </w:rPr>
        <w:t>2012).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acetylation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 altered</w:t>
      </w:r>
      <w:r>
        <w:rPr>
          <w:spacing w:val="-2"/>
          <w:vertAlign w:val="baseline"/>
        </w:rPr>
        <w:t> </w:t>
      </w:r>
      <w:r>
        <w:rPr>
          <w:vertAlign w:val="baseline"/>
        </w:rPr>
        <w:t>the structure of</w:t>
      </w:r>
      <w:r>
        <w:rPr>
          <w:spacing w:val="1"/>
          <w:vertAlign w:val="baseline"/>
        </w:rPr>
        <w:t> </w:t>
      </w:r>
      <w:r>
        <w:rPr>
          <w:vertAlign w:val="baseline"/>
        </w:rPr>
        <w:t>mango</w:t>
      </w:r>
      <w:r>
        <w:rPr>
          <w:spacing w:val="-2"/>
          <w:vertAlign w:val="baseline"/>
        </w:rPr>
        <w:t> </w:t>
      </w:r>
      <w:r>
        <w:rPr>
          <w:vertAlign w:val="baseline"/>
        </w:rPr>
        <w:t>kernel.</w:t>
      </w:r>
    </w:p>
    <w:p>
      <w:pPr>
        <w:pStyle w:val="BodyText"/>
        <w:rPr>
          <w:sz w:val="28"/>
        </w:rPr>
      </w:pPr>
    </w:p>
    <w:p>
      <w:pPr>
        <w:pStyle w:val="BodyText"/>
        <w:spacing w:line="477" w:lineRule="auto" w:before="249"/>
        <w:ind w:left="1198" w:right="575"/>
        <w:jc w:val="both"/>
      </w:pPr>
      <w:r>
        <w:rPr/>
        <w:t>Structural units that undergo various changes are functional groups located on the glucose</w:t>
      </w:r>
      <w:r>
        <w:rPr>
          <w:spacing w:val="1"/>
        </w:rPr>
        <w:t> </w:t>
      </w:r>
      <w:r>
        <w:rPr/>
        <w:t>monomer of the cellulose (Bodirlau and Teaca, 2009). Figure 3.7 and 3.8 illustrates the</w:t>
      </w:r>
      <w:r>
        <w:rPr>
          <w:spacing w:val="1"/>
        </w:rPr>
        <w:t> </w:t>
      </w:r>
      <w:r>
        <w:rPr/>
        <w:t>FTIR spectra of raw and treated mango kernel respectively. All the spectra of the treated</w:t>
      </w:r>
      <w:r>
        <w:rPr>
          <w:spacing w:val="1"/>
        </w:rPr>
        <w:t> </w:t>
      </w:r>
      <w:r>
        <w:rPr/>
        <w:t>mango kernel show evidence of acetylation (Table 3.4). The following peak intensities and</w:t>
      </w:r>
      <w:r>
        <w:rPr>
          <w:spacing w:val="1"/>
        </w:rPr>
        <w:t> </w:t>
      </w:r>
      <w:r>
        <w:rPr/>
        <w:t>band at 4393, 3853, 3200-3600cm</w:t>
      </w:r>
      <w:r>
        <w:rPr>
          <w:vertAlign w:val="superscript"/>
        </w:rPr>
        <w:t>-1</w:t>
      </w:r>
      <w:r>
        <w:rPr>
          <w:vertAlign w:val="baseline"/>
        </w:rPr>
        <w:t> as reflected on the IR spectra of treated mango kernel</w:t>
      </w:r>
      <w:r>
        <w:rPr>
          <w:spacing w:val="-72"/>
          <w:vertAlign w:val="baseline"/>
        </w:rPr>
        <w:t> </w:t>
      </w:r>
      <w:r>
        <w:rPr>
          <w:vertAlign w:val="baseline"/>
        </w:rPr>
        <w:t>are characteristic absorption of bonded –OH group stretching vibrations in cellulose and</w:t>
      </w:r>
      <w:r>
        <w:rPr>
          <w:spacing w:val="1"/>
          <w:vertAlign w:val="baseline"/>
        </w:rPr>
        <w:t> </w:t>
      </w:r>
      <w:r>
        <w:rPr>
          <w:vertAlign w:val="baseline"/>
        </w:rPr>
        <w:t>hemicelluloses (Yakubu </w:t>
      </w:r>
      <w:r>
        <w:rPr>
          <w:sz w:val="25"/>
          <w:vertAlign w:val="baseline"/>
        </w:rPr>
        <w:t>et al.</w:t>
      </w:r>
      <w:r>
        <w:rPr>
          <w:vertAlign w:val="baseline"/>
        </w:rPr>
        <w:t>, 2012). The –OH absorption bands of the untreated mango</w:t>
      </w:r>
      <w:r>
        <w:rPr>
          <w:spacing w:val="1"/>
          <w:vertAlign w:val="baseline"/>
        </w:rPr>
        <w:t> </w:t>
      </w:r>
      <w:r>
        <w:rPr>
          <w:vertAlign w:val="baseline"/>
        </w:rPr>
        <w:t>kernel were predominantly detected at 4385, 4291, 3960, 3200-3600 cm</w:t>
      </w:r>
      <w:r>
        <w:rPr>
          <w:vertAlign w:val="superscript"/>
        </w:rPr>
        <w:t>-1</w:t>
      </w:r>
      <w:r>
        <w:rPr>
          <w:vertAlign w:val="baseline"/>
        </w:rPr>
        <w:t>. The intensity of</w:t>
      </w:r>
      <w:r>
        <w:rPr>
          <w:spacing w:val="-72"/>
          <w:vertAlign w:val="baseline"/>
        </w:rPr>
        <w:t> </w:t>
      </w:r>
      <w:r>
        <w:rPr>
          <w:vertAlign w:val="baseline"/>
        </w:rPr>
        <w:t>the –OH absorption bands in the treated samples decreased. This decrease in the intensity</w:t>
      </w:r>
      <w:r>
        <w:rPr>
          <w:spacing w:val="1"/>
          <w:vertAlign w:val="baseline"/>
        </w:rPr>
        <w:t> </w:t>
      </w:r>
      <w:r>
        <w:rPr>
          <w:vertAlign w:val="baseline"/>
        </w:rPr>
        <w:t>of –OH band is an indication that the hydroxyl content of the mango kernel reduced during</w:t>
      </w:r>
      <w:r>
        <w:rPr>
          <w:spacing w:val="-72"/>
          <w:vertAlign w:val="baseline"/>
        </w:rPr>
        <w:t> </w:t>
      </w:r>
      <w:r>
        <w:rPr>
          <w:vertAlign w:val="baseline"/>
        </w:rPr>
        <w:t>the</w:t>
      </w:r>
      <w:r>
        <w:rPr>
          <w:spacing w:val="49"/>
          <w:vertAlign w:val="baseline"/>
        </w:rPr>
        <w:t> </w:t>
      </w:r>
      <w:r>
        <w:rPr>
          <w:vertAlign w:val="baseline"/>
        </w:rPr>
        <w:t>reaction,</w:t>
      </w:r>
      <w:r>
        <w:rPr>
          <w:spacing w:val="47"/>
          <w:vertAlign w:val="baseline"/>
        </w:rPr>
        <w:t> </w:t>
      </w:r>
      <w:r>
        <w:rPr>
          <w:vertAlign w:val="baseline"/>
        </w:rPr>
        <w:t>indicating</w:t>
      </w:r>
      <w:r>
        <w:rPr>
          <w:spacing w:val="48"/>
          <w:vertAlign w:val="baseline"/>
        </w:rPr>
        <w:t> </w:t>
      </w:r>
      <w:r>
        <w:rPr>
          <w:vertAlign w:val="baseline"/>
        </w:rPr>
        <w:t>that</w:t>
      </w:r>
      <w:r>
        <w:rPr>
          <w:spacing w:val="46"/>
          <w:vertAlign w:val="baseline"/>
        </w:rPr>
        <w:t> </w:t>
      </w:r>
      <w:r>
        <w:rPr>
          <w:vertAlign w:val="baseline"/>
        </w:rPr>
        <w:t>some</w:t>
      </w:r>
      <w:r>
        <w:rPr>
          <w:spacing w:val="48"/>
          <w:vertAlign w:val="baseline"/>
        </w:rPr>
        <w:t> </w:t>
      </w:r>
      <w:r>
        <w:rPr>
          <w:vertAlign w:val="baseline"/>
        </w:rPr>
        <w:t>levels</w:t>
      </w:r>
      <w:r>
        <w:rPr>
          <w:spacing w:val="49"/>
          <w:vertAlign w:val="baseline"/>
        </w:rPr>
        <w:t> </w:t>
      </w:r>
      <w:r>
        <w:rPr>
          <w:vertAlign w:val="baseline"/>
        </w:rPr>
        <w:t>of</w:t>
      </w:r>
      <w:r>
        <w:rPr>
          <w:spacing w:val="46"/>
          <w:vertAlign w:val="baseline"/>
        </w:rPr>
        <w:t> </w:t>
      </w:r>
      <w:r>
        <w:rPr>
          <w:vertAlign w:val="baseline"/>
        </w:rPr>
        <w:t>acetylation</w:t>
      </w:r>
      <w:r>
        <w:rPr>
          <w:spacing w:val="48"/>
          <w:vertAlign w:val="baseline"/>
        </w:rPr>
        <w:t> </w:t>
      </w:r>
      <w:r>
        <w:rPr>
          <w:vertAlign w:val="baseline"/>
        </w:rPr>
        <w:t>had</w:t>
      </w:r>
      <w:r>
        <w:rPr>
          <w:spacing w:val="47"/>
          <w:vertAlign w:val="baseline"/>
        </w:rPr>
        <w:t> </w:t>
      </w:r>
      <w:r>
        <w:rPr>
          <w:vertAlign w:val="baseline"/>
        </w:rPr>
        <w:t>taken</w:t>
      </w:r>
      <w:r>
        <w:rPr>
          <w:spacing w:val="48"/>
          <w:vertAlign w:val="baseline"/>
        </w:rPr>
        <w:t> </w:t>
      </w:r>
      <w:r>
        <w:rPr>
          <w:vertAlign w:val="baseline"/>
        </w:rPr>
        <w:t>place</w:t>
      </w:r>
      <w:r>
        <w:rPr>
          <w:spacing w:val="48"/>
          <w:vertAlign w:val="baseline"/>
        </w:rPr>
        <w:t> </w:t>
      </w:r>
      <w:r>
        <w:rPr>
          <w:vertAlign w:val="baseline"/>
        </w:rPr>
        <w:t>(Yakubu</w:t>
      </w:r>
      <w:r>
        <w:rPr>
          <w:spacing w:val="47"/>
          <w:vertAlign w:val="baseline"/>
        </w:rPr>
        <w:t> </w:t>
      </w:r>
      <w:r>
        <w:rPr>
          <w:sz w:val="25"/>
          <w:vertAlign w:val="baseline"/>
        </w:rPr>
        <w:t>et</w:t>
      </w:r>
      <w:r>
        <w:rPr>
          <w:spacing w:val="44"/>
          <w:sz w:val="25"/>
          <w:vertAlign w:val="baseline"/>
        </w:rPr>
        <w:t> </w:t>
      </w:r>
      <w:r>
        <w:rPr>
          <w:sz w:val="25"/>
          <w:vertAlign w:val="baseline"/>
        </w:rPr>
        <w:t>al</w:t>
      </w:r>
      <w:r>
        <w:rPr>
          <w:vertAlign w:val="baseline"/>
        </w:rPr>
        <w:t>,</w:t>
      </w:r>
    </w:p>
    <w:p>
      <w:pPr>
        <w:spacing w:after="0" w:line="477" w:lineRule="auto"/>
        <w:jc w:val="both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spacing w:line="475" w:lineRule="auto" w:before="115"/>
        <w:ind w:left="1198" w:right="574"/>
        <w:jc w:val="both"/>
      </w:pPr>
      <w:r>
        <w:rPr/>
        <w:t>2012). The presence of the band at 1750-1650cm</w:t>
      </w:r>
      <w:r>
        <w:rPr>
          <w:vertAlign w:val="superscript"/>
        </w:rPr>
        <w:t>-1</w:t>
      </w:r>
      <w:r>
        <w:rPr>
          <w:vertAlign w:val="baseline"/>
        </w:rPr>
        <w:t> is characteristic absorption of carbonyl</w:t>
      </w:r>
      <w:r>
        <w:rPr>
          <w:spacing w:val="1"/>
          <w:vertAlign w:val="baseline"/>
        </w:rPr>
        <w:t> </w:t>
      </w:r>
      <w:r>
        <w:rPr>
          <w:vertAlign w:val="baseline"/>
        </w:rPr>
        <w:t>(C=O</w:t>
      </w:r>
      <w:r>
        <w:rPr>
          <w:spacing w:val="1"/>
          <w:vertAlign w:val="baseline"/>
        </w:rPr>
        <w:t> </w:t>
      </w:r>
      <w:r>
        <w:rPr>
          <w:vertAlign w:val="baseline"/>
        </w:rPr>
        <w:t>ester)</w:t>
      </w:r>
      <w:r>
        <w:rPr>
          <w:spacing w:val="1"/>
          <w:vertAlign w:val="baseline"/>
        </w:rPr>
        <w:t> </w:t>
      </w:r>
      <w:r>
        <w:rPr>
          <w:vertAlign w:val="baseline"/>
        </w:rPr>
        <w:t>stretching</w:t>
      </w:r>
      <w:r>
        <w:rPr>
          <w:spacing w:val="1"/>
          <w:vertAlign w:val="baseline"/>
        </w:rPr>
        <w:t> </w:t>
      </w:r>
      <w:r>
        <w:rPr>
          <w:vertAlign w:val="baseline"/>
        </w:rPr>
        <w:t>vibration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acetate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cellulose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uronic</w:t>
      </w:r>
      <w:r>
        <w:rPr>
          <w:spacing w:val="1"/>
          <w:vertAlign w:val="baseline"/>
        </w:rPr>
        <w:t> </w:t>
      </w:r>
      <w:r>
        <w:rPr>
          <w:vertAlign w:val="baseline"/>
        </w:rPr>
        <w:t>ester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hemicellulose. This band showed evidence of acetylation (Mohebby, 2008; Nasar </w:t>
      </w:r>
      <w:r>
        <w:rPr>
          <w:sz w:val="25"/>
          <w:vertAlign w:val="baseline"/>
        </w:rPr>
        <w:t>et 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2010;</w:t>
      </w:r>
      <w:r>
        <w:rPr>
          <w:spacing w:val="1"/>
          <w:vertAlign w:val="baseline"/>
        </w:rPr>
        <w:t> </w:t>
      </w:r>
      <w:r>
        <w:rPr>
          <w:vertAlign w:val="baseline"/>
        </w:rPr>
        <w:t>Adebajo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Frost,</w:t>
      </w:r>
      <w:r>
        <w:rPr>
          <w:spacing w:val="1"/>
          <w:vertAlign w:val="baseline"/>
        </w:rPr>
        <w:t> </w:t>
      </w:r>
      <w:r>
        <w:rPr>
          <w:vertAlign w:val="baseline"/>
        </w:rPr>
        <w:t>2004b).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peak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75"/>
          <w:vertAlign w:val="baseline"/>
        </w:rPr>
        <w:t> </w:t>
      </w:r>
      <w:r>
        <w:rPr>
          <w:vertAlign w:val="baseline"/>
        </w:rPr>
        <w:t>acetylated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samples, indicating high level of acetyl gain (Yakubu </w:t>
      </w:r>
      <w:r>
        <w:rPr>
          <w:sz w:val="25"/>
          <w:vertAlign w:val="baseline"/>
        </w:rPr>
        <w:t>et al</w:t>
      </w:r>
      <w:r>
        <w:rPr>
          <w:vertAlign w:val="baseline"/>
        </w:rPr>
        <w:t>., 2013). The increase in the peak</w:t>
      </w:r>
      <w:r>
        <w:rPr>
          <w:spacing w:val="-72"/>
          <w:vertAlign w:val="baseline"/>
        </w:rPr>
        <w:t> </w:t>
      </w:r>
      <w:r>
        <w:rPr>
          <w:vertAlign w:val="baseline"/>
        </w:rPr>
        <w:t>absorptions at 1360-1320cm</w:t>
      </w:r>
      <w:r>
        <w:rPr>
          <w:vertAlign w:val="superscript"/>
        </w:rPr>
        <w:t>-1</w:t>
      </w:r>
      <w:r>
        <w:rPr>
          <w:vertAlign w:val="baseline"/>
        </w:rPr>
        <w:t>, attributed to aliphatic deformation/bending vibrations of –</w:t>
      </w:r>
      <w:r>
        <w:rPr>
          <w:spacing w:val="1"/>
          <w:vertAlign w:val="baseline"/>
        </w:rPr>
        <w:t> </w:t>
      </w:r>
      <w:r>
        <w:rPr>
          <w:vertAlign w:val="baseline"/>
        </w:rPr>
        <w:t>CH</w:t>
      </w:r>
      <w:r>
        <w:rPr>
          <w:vertAlign w:val="subscript"/>
        </w:rPr>
        <w:t>3</w:t>
      </w:r>
      <w:r>
        <w:rPr>
          <w:vertAlign w:val="baseline"/>
        </w:rPr>
        <w:t> in acetyl groups, is an evidence of the formation of ester bands due to acetylation in</w:t>
      </w:r>
      <w:r>
        <w:rPr>
          <w:spacing w:val="1"/>
          <w:vertAlign w:val="baseline"/>
        </w:rPr>
        <w:t> </w:t>
      </w:r>
      <w:r>
        <w:rPr>
          <w:vertAlign w:val="baseline"/>
        </w:rPr>
        <w:t>cellulose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hemicellulose</w:t>
      </w:r>
      <w:r>
        <w:rPr>
          <w:spacing w:val="1"/>
          <w:vertAlign w:val="baseline"/>
        </w:rPr>
        <w:t> </w:t>
      </w:r>
      <w:r>
        <w:rPr>
          <w:vertAlign w:val="baseline"/>
        </w:rPr>
        <w:t>(Mohebby</w:t>
      </w:r>
      <w:r>
        <w:rPr>
          <w:spacing w:val="1"/>
          <w:vertAlign w:val="baseline"/>
        </w:rPr>
        <w:t> </w:t>
      </w:r>
      <w:r>
        <w:rPr>
          <w:sz w:val="25"/>
          <w:vertAlign w:val="baseline"/>
        </w:rPr>
        <w:t>et al.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2008; Yakubu</w:t>
      </w:r>
      <w:r>
        <w:rPr>
          <w:spacing w:val="1"/>
          <w:vertAlign w:val="baseline"/>
        </w:rPr>
        <w:t> </w:t>
      </w:r>
      <w:r>
        <w:rPr>
          <w:sz w:val="25"/>
          <w:vertAlign w:val="baseline"/>
        </w:rPr>
        <w:t>et 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2013;</w:t>
      </w:r>
      <w:r>
        <w:rPr>
          <w:spacing w:val="1"/>
          <w:vertAlign w:val="baseline"/>
        </w:rPr>
        <w:t> </w:t>
      </w:r>
      <w:r>
        <w:rPr>
          <w:vertAlign w:val="baseline"/>
        </w:rPr>
        <w:t>bodirlau</w:t>
      </w:r>
      <w:r>
        <w:rPr>
          <w:spacing w:val="75"/>
          <w:vertAlign w:val="baseline"/>
        </w:rPr>
        <w:t> </w:t>
      </w:r>
      <w:r>
        <w:rPr>
          <w:vertAlign w:val="baseline"/>
        </w:rPr>
        <w:t>and</w:t>
      </w:r>
      <w:r>
        <w:rPr>
          <w:spacing w:val="-72"/>
          <w:vertAlign w:val="baseline"/>
        </w:rPr>
        <w:t> </w:t>
      </w:r>
      <w:r>
        <w:rPr>
          <w:vertAlign w:val="baseline"/>
        </w:rPr>
        <w:t>Teaca, 2009). The band at 1264-1256cm</w:t>
      </w:r>
      <w:r>
        <w:rPr>
          <w:vertAlign w:val="superscript"/>
        </w:rPr>
        <w:t>-1</w:t>
      </w:r>
      <w:r>
        <w:rPr>
          <w:vertAlign w:val="baseline"/>
        </w:rPr>
        <w:t> is assigned to the stretching of C-O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deformation of C=O in the acetate bond formed during acetylation in xylan and lignin</w:t>
      </w:r>
      <w:r>
        <w:rPr>
          <w:spacing w:val="1"/>
          <w:vertAlign w:val="baseline"/>
        </w:rPr>
        <w:t> </w:t>
      </w:r>
      <w:r>
        <w:rPr>
          <w:vertAlign w:val="baseline"/>
        </w:rPr>
        <w:t>(Tuong and Li, 2010; Mohebby, 2008; Adebajo and Frost, 2004b). The band at 1075-</w:t>
      </w:r>
      <w:r>
        <w:rPr>
          <w:spacing w:val="1"/>
          <w:vertAlign w:val="baseline"/>
        </w:rPr>
        <w:t> </w:t>
      </w:r>
      <w:r>
        <w:rPr>
          <w:vertAlign w:val="baseline"/>
        </w:rPr>
        <w:t>1036cm</w:t>
      </w:r>
      <w:r>
        <w:rPr>
          <w:vertAlign w:val="superscript"/>
        </w:rPr>
        <w:t>-1</w:t>
      </w:r>
      <w:r>
        <w:rPr>
          <w:vertAlign w:val="baseline"/>
        </w:rPr>
        <w:t> is assigned to C-O stretching vibrations in cellulose, hemicellulose and primary</w:t>
      </w:r>
      <w:r>
        <w:rPr>
          <w:spacing w:val="1"/>
          <w:vertAlign w:val="baseline"/>
        </w:rPr>
        <w:t> </w:t>
      </w:r>
      <w:r>
        <w:rPr>
          <w:vertAlign w:val="baseline"/>
        </w:rPr>
        <w:t>alcohol (Yakubu </w:t>
      </w:r>
      <w:r>
        <w:rPr>
          <w:sz w:val="25"/>
          <w:vertAlign w:val="baseline"/>
        </w:rPr>
        <w:t>et al</w:t>
      </w:r>
      <w:r>
        <w:rPr>
          <w:vertAlign w:val="baseline"/>
        </w:rPr>
        <w:t>., 2013; Bodirlau and Teaca, 2009; Nasar </w:t>
      </w:r>
      <w:r>
        <w:rPr>
          <w:sz w:val="25"/>
          <w:vertAlign w:val="baseline"/>
        </w:rPr>
        <w:t>et al</w:t>
      </w:r>
      <w:r>
        <w:rPr>
          <w:vertAlign w:val="baseline"/>
        </w:rPr>
        <w:t>., 2010). The band at</w:t>
      </w:r>
      <w:r>
        <w:rPr>
          <w:spacing w:val="1"/>
          <w:vertAlign w:val="baseline"/>
        </w:rPr>
        <w:t> </w:t>
      </w:r>
      <w:r>
        <w:rPr>
          <w:vertAlign w:val="baseline"/>
        </w:rPr>
        <w:t>573cm</w:t>
      </w:r>
      <w:r>
        <w:rPr>
          <w:vertAlign w:val="superscript"/>
        </w:rPr>
        <w:t>-1</w:t>
      </w:r>
      <w:r>
        <w:rPr>
          <w:vertAlign w:val="baseline"/>
        </w:rPr>
        <w:t> can be linked to –OH out-of-plane bending (Bodirlau and Teaca, 2009).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peak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2134cm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assigned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assymetric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stretching</w:t>
      </w:r>
      <w:r>
        <w:rPr>
          <w:spacing w:val="1"/>
          <w:vertAlign w:val="baseline"/>
        </w:rPr>
        <w:t> </w:t>
      </w:r>
      <w:r>
        <w:rPr>
          <w:vertAlign w:val="baseline"/>
        </w:rPr>
        <w:t>vibrations of aliphatic –CH</w:t>
      </w:r>
      <w:r>
        <w:rPr>
          <w:vertAlign w:val="subscript"/>
        </w:rPr>
        <w:t>3</w:t>
      </w:r>
      <w:r>
        <w:rPr>
          <w:vertAlign w:val="baseline"/>
        </w:rPr>
        <w:t> group is an evidence of acetylation (Cetin and Ozmen, 2010;</w:t>
      </w:r>
      <w:r>
        <w:rPr>
          <w:spacing w:val="1"/>
          <w:vertAlign w:val="baseline"/>
        </w:rPr>
        <w:t> </w:t>
      </w:r>
      <w:r>
        <w:rPr>
          <w:vertAlign w:val="baseline"/>
        </w:rPr>
        <w:t>Yakubu </w:t>
      </w:r>
      <w:r>
        <w:rPr>
          <w:sz w:val="25"/>
          <w:vertAlign w:val="baseline"/>
        </w:rPr>
        <w:t>et al.</w:t>
      </w:r>
      <w:r>
        <w:rPr>
          <w:vertAlign w:val="baseline"/>
        </w:rPr>
        <w:t>, 2013; Tuong and Li, 2010). The absence of the band at 1840-1760cm</w:t>
      </w:r>
      <w:r>
        <w:rPr>
          <w:vertAlign w:val="superscript"/>
        </w:rPr>
        <w:t>-1</w:t>
      </w:r>
      <w:r>
        <w:rPr>
          <w:vertAlign w:val="baseline"/>
        </w:rPr>
        <w:t> in all</w:t>
      </w:r>
      <w:r>
        <w:rPr>
          <w:spacing w:val="-72"/>
          <w:vertAlign w:val="baseline"/>
        </w:rPr>
        <w:t> </w:t>
      </w:r>
      <w:r>
        <w:rPr>
          <w:vertAlign w:val="baseline"/>
        </w:rPr>
        <w:t>the treated samples showed that the acetylated samples were free of unreacted acetic</w:t>
      </w:r>
      <w:r>
        <w:rPr>
          <w:spacing w:val="1"/>
          <w:vertAlign w:val="baseline"/>
        </w:rPr>
        <w:t> </w:t>
      </w:r>
      <w:r>
        <w:rPr>
          <w:vertAlign w:val="baseline"/>
        </w:rPr>
        <w:t>anhydride (Sun </w:t>
      </w:r>
      <w:r>
        <w:rPr>
          <w:sz w:val="25"/>
          <w:vertAlign w:val="baseline"/>
        </w:rPr>
        <w:t>et al</w:t>
      </w:r>
      <w:r>
        <w:rPr>
          <w:vertAlign w:val="baseline"/>
        </w:rPr>
        <w:t>., 2002; Adebajo and Frost, 2004b). The absence of the peak at 1700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vertAlign w:val="baseline"/>
        </w:rPr>
        <w:t> in all the treated samples also indicated that the acetylated products are free of acetic</w:t>
      </w:r>
      <w:r>
        <w:rPr>
          <w:spacing w:val="-72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by-product.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FTIR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quite</w:t>
      </w:r>
      <w:r>
        <w:rPr>
          <w:spacing w:val="1"/>
          <w:vertAlign w:val="baseline"/>
        </w:rPr>
        <w:t> </w:t>
      </w:r>
      <w:r>
        <w:rPr>
          <w:vertAlign w:val="baseline"/>
        </w:rPr>
        <w:t>sensitive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good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technique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identifying contamination. Hence it is always necessary to wash the treated samples with</w:t>
      </w:r>
      <w:r>
        <w:rPr>
          <w:spacing w:val="1"/>
          <w:vertAlign w:val="baseline"/>
        </w:rPr>
        <w:t> </w:t>
      </w:r>
      <w:r>
        <w:rPr>
          <w:vertAlign w:val="baseline"/>
        </w:rPr>
        <w:t>ethanol</w:t>
      </w:r>
      <w:r>
        <w:rPr>
          <w:spacing w:val="-1"/>
          <w:vertAlign w:val="baseline"/>
        </w:rPr>
        <w:t> </w:t>
      </w:r>
      <w:r>
        <w:rPr>
          <w:vertAlign w:val="baseline"/>
        </w:rPr>
        <w:t>and acetone</w:t>
      </w:r>
      <w:r>
        <w:rPr>
          <w:spacing w:val="-1"/>
          <w:vertAlign w:val="baseline"/>
        </w:rPr>
        <w:t> </w:t>
      </w:r>
      <w:r>
        <w:rPr>
          <w:vertAlign w:val="baseline"/>
        </w:rPr>
        <w:t>to prevent</w:t>
      </w:r>
      <w:r>
        <w:rPr>
          <w:spacing w:val="-2"/>
          <w:vertAlign w:val="baseline"/>
        </w:rPr>
        <w:t> </w:t>
      </w:r>
      <w:r>
        <w:rPr>
          <w:vertAlign w:val="baseline"/>
        </w:rPr>
        <w:t>contamination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(Adebajo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Frost,</w:t>
      </w:r>
      <w:r>
        <w:rPr>
          <w:spacing w:val="-2"/>
          <w:vertAlign w:val="baseline"/>
        </w:rPr>
        <w:t> </w:t>
      </w:r>
      <w:r>
        <w:rPr>
          <w:vertAlign w:val="baseline"/>
        </w:rPr>
        <w:t>2004b).</w:t>
      </w:r>
    </w:p>
    <w:p>
      <w:pPr>
        <w:spacing w:after="0" w:line="475" w:lineRule="auto"/>
        <w:jc w:val="both"/>
        <w:sectPr>
          <w:pgSz w:w="11910" w:h="16840"/>
          <w:pgMar w:header="0" w:footer="987" w:top="1100" w:bottom="1260" w:left="4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2"/>
        </w:rPr>
      </w:pPr>
    </w:p>
    <w:p>
      <w:pPr>
        <w:pStyle w:val="BodyText"/>
        <w:ind w:left="1228"/>
        <w:rPr>
          <w:sz w:val="20"/>
        </w:rPr>
      </w:pPr>
      <w:r>
        <w:rPr>
          <w:sz w:val="20"/>
        </w:rPr>
        <w:drawing>
          <wp:inline distT="0" distB="0" distL="0" distR="0">
            <wp:extent cx="5259480" cy="297180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48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spacing w:before="100"/>
        <w:ind w:left="1267"/>
      </w:pPr>
      <w:r>
        <w:rPr/>
        <w:t>Figure</w:t>
      </w:r>
      <w:r>
        <w:rPr>
          <w:spacing w:val="-3"/>
        </w:rPr>
        <w:t> </w:t>
      </w:r>
      <w:r>
        <w:rPr/>
        <w:t>3.5</w:t>
      </w:r>
      <w:r>
        <w:rPr>
          <w:spacing w:val="13"/>
        </w:rPr>
        <w:t> </w:t>
      </w:r>
      <w:r>
        <w:rPr/>
        <w:t>XRD</w:t>
      </w:r>
      <w:r>
        <w:rPr>
          <w:spacing w:val="-3"/>
        </w:rPr>
        <w:t> </w:t>
      </w:r>
      <w:r>
        <w:rPr/>
        <w:t>pattern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raw</w:t>
      </w:r>
      <w:r>
        <w:rPr>
          <w:spacing w:val="-1"/>
        </w:rPr>
        <w:t> </w:t>
      </w:r>
      <w:r>
        <w:rPr/>
        <w:t>Mango</w:t>
      </w:r>
      <w:r>
        <w:rPr>
          <w:spacing w:val="-3"/>
        </w:rPr>
        <w:t> </w:t>
      </w:r>
      <w:r>
        <w:rPr/>
        <w:t>kernel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BodyText"/>
        <w:ind w:left="1418"/>
        <w:rPr>
          <w:sz w:val="20"/>
        </w:rPr>
      </w:pPr>
      <w:r>
        <w:rPr>
          <w:sz w:val="20"/>
        </w:rPr>
        <w:drawing>
          <wp:inline distT="0" distB="0" distL="0" distR="0">
            <wp:extent cx="5495469" cy="274320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46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9"/>
        </w:rPr>
      </w:pPr>
    </w:p>
    <w:p>
      <w:pPr>
        <w:spacing w:before="100"/>
        <w:ind w:left="1337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3.6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XRD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pattern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acetyalated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mango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kernel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ind w:left="323"/>
        <w:rPr>
          <w:sz w:val="20"/>
        </w:rPr>
      </w:pPr>
      <w:r>
        <w:rPr>
          <w:sz w:val="20"/>
        </w:rPr>
        <w:drawing>
          <wp:inline distT="0" distB="0" distL="0" distR="0">
            <wp:extent cx="6714056" cy="293370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056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tabs>
          <w:tab w:pos="3637" w:val="left" w:leader="none"/>
        </w:tabs>
        <w:spacing w:before="2"/>
      </w:pPr>
      <w:r>
        <w:rPr/>
        <w:t>FTIR</w:t>
      </w:r>
      <w:r>
        <w:rPr>
          <w:spacing w:val="-4"/>
        </w:rPr>
        <w:t> </w:t>
      </w:r>
      <w:r>
        <w:rPr/>
        <w:t>ANALYSIS</w:t>
        <w:tab/>
        <w:t>FTIR-</w:t>
      </w:r>
      <w:r>
        <w:rPr>
          <w:spacing w:val="-4"/>
        </w:rPr>
        <w:t> </w:t>
      </w:r>
      <w:r>
        <w:rPr/>
        <w:t>8400S</w:t>
      </w:r>
      <w:r>
        <w:rPr>
          <w:spacing w:val="-5"/>
        </w:rPr>
        <w:t> </w:t>
      </w:r>
      <w:r>
        <w:rPr/>
        <w:t>FOURIER</w:t>
      </w:r>
      <w:r>
        <w:rPr>
          <w:spacing w:val="-2"/>
        </w:rPr>
        <w:t> </w:t>
      </w:r>
      <w:r>
        <w:rPr/>
        <w:t>TRANSFORM</w:t>
      </w:r>
    </w:p>
    <w:p>
      <w:pPr>
        <w:pStyle w:val="BodyText"/>
        <w:spacing w:before="1"/>
        <w:rPr>
          <w:b/>
          <w:sz w:val="29"/>
        </w:rPr>
      </w:pPr>
    </w:p>
    <w:p>
      <w:pPr>
        <w:tabs>
          <w:tab w:pos="2637" w:val="left" w:leader="none"/>
        </w:tabs>
        <w:spacing w:before="0"/>
        <w:ind w:left="1198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3.7</w:t>
        <w:tab/>
        <w:t>FTIR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Spectra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Mango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kernel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pStyle w:val="Heading3"/>
        <w:tabs>
          <w:tab w:pos="2637" w:val="left" w:leader="none"/>
        </w:tabs>
        <w:spacing w:before="100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1027430</wp:posOffset>
            </wp:positionH>
            <wp:positionV relativeFrom="paragraph">
              <wp:posOffset>-3059101</wp:posOffset>
            </wp:positionV>
            <wp:extent cx="6531609" cy="2940050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609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5"/>
        </w:rPr>
        <w:t> </w:t>
      </w:r>
      <w:r>
        <w:rPr/>
        <w:t>3.8</w:t>
        <w:tab/>
        <w:t>FTIR</w:t>
      </w:r>
      <w:r>
        <w:rPr>
          <w:spacing w:val="-3"/>
        </w:rPr>
        <w:t> </w:t>
      </w:r>
      <w:r>
        <w:rPr/>
        <w:t>spectra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Acetylated</w:t>
      </w:r>
      <w:r>
        <w:rPr>
          <w:spacing w:val="-4"/>
        </w:rPr>
        <w:t> </w:t>
      </w:r>
      <w:r>
        <w:rPr/>
        <w:t>Mango</w:t>
      </w:r>
      <w:r>
        <w:rPr>
          <w:spacing w:val="-2"/>
        </w:rPr>
        <w:t> </w:t>
      </w:r>
      <w:r>
        <w:rPr/>
        <w:t>kernel</w:t>
      </w:r>
      <w:r>
        <w:rPr>
          <w:spacing w:val="-5"/>
        </w:rPr>
        <w:t> </w:t>
      </w:r>
      <w:r>
        <w:rPr/>
        <w:t>(sample</w:t>
      </w:r>
      <w:r>
        <w:rPr>
          <w:spacing w:val="-4"/>
        </w:rPr>
        <w:t> </w:t>
      </w:r>
      <w:r>
        <w:rPr/>
        <w:t>9)</w:t>
      </w:r>
    </w:p>
    <w:p>
      <w:pPr>
        <w:spacing w:after="0"/>
        <w:sectPr>
          <w:pgSz w:w="11910" w:h="16840"/>
          <w:pgMar w:header="0" w:footer="987" w:top="1220" w:bottom="1260" w:left="420" w:right="0"/>
        </w:sectPr>
      </w:pPr>
    </w:p>
    <w:p>
      <w:pPr>
        <w:spacing w:before="75"/>
        <w:ind w:left="119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3.5: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Acetylation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conditions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corn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cob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obtained</w:t>
      </w: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1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1587"/>
        <w:gridCol w:w="1671"/>
        <w:gridCol w:w="1499"/>
        <w:gridCol w:w="1121"/>
        <w:gridCol w:w="578"/>
        <w:gridCol w:w="1264"/>
        <w:gridCol w:w="331"/>
      </w:tblGrid>
      <w:tr>
        <w:trPr>
          <w:trHeight w:val="1158" w:hRule="atLeast"/>
        </w:trPr>
        <w:tc>
          <w:tcPr>
            <w:tcW w:w="15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–ID</w:t>
            </w:r>
          </w:p>
        </w:tc>
        <w:tc>
          <w:tcPr>
            <w:tcW w:w="15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Solid-liquid</w:t>
            </w:r>
          </w:p>
          <w:p>
            <w:pPr>
              <w:pStyle w:val="TableParagraph"/>
              <w:spacing w:line="240" w:lineRule="auto"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81"/>
              <w:rPr>
                <w:sz w:val="24"/>
              </w:rPr>
            </w:pPr>
            <w:r>
              <w:rPr>
                <w:sz w:val="24"/>
              </w:rPr>
              <w:t>ratio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(g/ml)</w:t>
            </w:r>
          </w:p>
        </w:tc>
        <w:tc>
          <w:tcPr>
            <w:tcW w:w="16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Temperature</w:t>
            </w:r>
          </w:p>
          <w:p>
            <w:pPr>
              <w:pStyle w:val="TableParagraph"/>
              <w:spacing w:line="240" w:lineRule="auto"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91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14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1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Catalyst</w:t>
            </w:r>
          </w:p>
          <w:p>
            <w:pPr>
              <w:pStyle w:val="TableParagraph"/>
              <w:spacing w:line="240" w:lineRule="auto"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213"/>
              <w:rPr>
                <w:sz w:val="24"/>
              </w:rPr>
            </w:pPr>
            <w:r>
              <w:rPr>
                <w:sz w:val="24"/>
              </w:rPr>
              <w:t>g/mL)</w:t>
            </w:r>
          </w:p>
        </w:tc>
        <w:tc>
          <w:tcPr>
            <w:tcW w:w="5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(%,</w:t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Extent</w:t>
            </w:r>
          </w:p>
          <w:p>
            <w:pPr>
              <w:pStyle w:val="TableParagraph"/>
              <w:spacing w:line="240" w:lineRule="auto"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acetylation</w:t>
            </w:r>
          </w:p>
        </w:tc>
        <w:tc>
          <w:tcPr>
            <w:tcW w:w="3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</w:tr>
      <w:tr>
        <w:trPr>
          <w:trHeight w:val="431" w:hRule="atLeast"/>
        </w:trPr>
        <w:tc>
          <w:tcPr>
            <w:tcW w:w="152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ACC1</w:t>
            </w:r>
          </w:p>
        </w:tc>
        <w:tc>
          <w:tcPr>
            <w:tcW w:w="158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9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22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 w:before="144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22" w:type="dxa"/>
          </w:tcPr>
          <w:p>
            <w:pPr>
              <w:pStyle w:val="TableParagraph"/>
              <w:spacing w:line="240" w:lineRule="auto" w:before="145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 w:before="145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5"/>
              <w:ind w:left="19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5"/>
              <w:ind w:lef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5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5"/>
              <w:ind w:left="11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22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 w:before="144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22" w:type="dxa"/>
          </w:tcPr>
          <w:p>
            <w:pPr>
              <w:pStyle w:val="TableParagraph"/>
              <w:spacing w:line="240" w:lineRule="auto" w:before="146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 w:before="146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6"/>
              <w:ind w:left="191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6"/>
              <w:ind w:lef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6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6"/>
              <w:ind w:left="111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8" w:hRule="atLeast"/>
        </w:trPr>
        <w:tc>
          <w:tcPr>
            <w:tcW w:w="1522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 w:before="144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1.03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22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 w:before="144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1.06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22" w:type="dxa"/>
          </w:tcPr>
          <w:p>
            <w:pPr>
              <w:pStyle w:val="TableParagraph"/>
              <w:spacing w:line="240" w:lineRule="auto" w:before="145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 w:before="145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5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5"/>
              <w:ind w:left="116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5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5"/>
              <w:ind w:left="11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22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 w:before="144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22" w:type="dxa"/>
          </w:tcPr>
          <w:p>
            <w:pPr>
              <w:pStyle w:val="TableParagraph"/>
              <w:spacing w:line="240" w:lineRule="auto" w:before="145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 w:before="145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5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5"/>
              <w:ind w:lef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5"/>
              <w:ind w:left="2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5"/>
              <w:ind w:left="111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8" w:hRule="atLeast"/>
        </w:trPr>
        <w:tc>
          <w:tcPr>
            <w:tcW w:w="1522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 w:before="144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22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 w:before="144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22" w:type="dxa"/>
          </w:tcPr>
          <w:p>
            <w:pPr>
              <w:pStyle w:val="TableParagraph"/>
              <w:spacing w:line="240" w:lineRule="auto" w:before="145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 w:before="145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5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5"/>
              <w:ind w:lef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5"/>
              <w:ind w:left="2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5"/>
              <w:ind w:left="111"/>
              <w:rPr>
                <w:sz w:val="24"/>
              </w:rPr>
            </w:pPr>
            <w:r>
              <w:rPr>
                <w:sz w:val="24"/>
              </w:rPr>
              <w:t>1.06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22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 w:before="144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22" w:type="dxa"/>
          </w:tcPr>
          <w:p>
            <w:pPr>
              <w:pStyle w:val="TableParagraph"/>
              <w:spacing w:line="240" w:lineRule="auto" w:before="145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 w:before="145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5"/>
              <w:ind w:left="19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5"/>
              <w:ind w:left="11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5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5"/>
              <w:ind w:left="111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8" w:hRule="atLeast"/>
        </w:trPr>
        <w:tc>
          <w:tcPr>
            <w:tcW w:w="1522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 w:before="144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22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 w:before="144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22" w:type="dxa"/>
          </w:tcPr>
          <w:p>
            <w:pPr>
              <w:pStyle w:val="TableParagraph"/>
              <w:spacing w:line="240" w:lineRule="auto" w:before="145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 w:before="145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5"/>
              <w:ind w:left="19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5"/>
              <w:ind w:left="11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5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5"/>
              <w:ind w:left="111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1522" w:type="dxa"/>
          </w:tcPr>
          <w:p>
            <w:pPr>
              <w:pStyle w:val="TableParagraph"/>
              <w:spacing w:line="270" w:lineRule="exact" w:before="144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</w:t>
            </w:r>
          </w:p>
        </w:tc>
        <w:tc>
          <w:tcPr>
            <w:tcW w:w="1587" w:type="dxa"/>
          </w:tcPr>
          <w:p>
            <w:pPr>
              <w:pStyle w:val="TableParagraph"/>
              <w:spacing w:line="270" w:lineRule="exact" w:before="144"/>
              <w:ind w:left="18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70" w:lineRule="exact" w:before="144"/>
              <w:ind w:left="19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99" w:type="dxa"/>
          </w:tcPr>
          <w:p>
            <w:pPr>
              <w:pStyle w:val="TableParagraph"/>
              <w:spacing w:line="270" w:lineRule="exact" w:before="144"/>
              <w:ind w:left="116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21" w:type="dxa"/>
          </w:tcPr>
          <w:p>
            <w:pPr>
              <w:pStyle w:val="TableParagraph"/>
              <w:spacing w:line="270" w:lineRule="exact" w:before="144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70" w:lineRule="exact" w:before="144"/>
              <w:ind w:left="111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21"/>
        </w:rPr>
      </w:pPr>
      <w:r>
        <w:rPr/>
        <w:pict>
          <v:rect style="position:absolute;margin-left:74.784004pt;margin-top:14.682478pt;width:479.596023pt;height:.479pt;mso-position-horizontal-relative:page;mso-position-vertical-relative:paragraph;z-index:-15699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numPr>
          <w:ilvl w:val="1"/>
          <w:numId w:val="10"/>
        </w:numPr>
        <w:tabs>
          <w:tab w:pos="1917" w:val="left" w:leader="none"/>
          <w:tab w:pos="1918" w:val="left" w:leader="none"/>
        </w:tabs>
        <w:spacing w:line="240" w:lineRule="auto" w:before="75" w:after="0"/>
        <w:ind w:left="1918" w:right="0" w:hanging="720"/>
        <w:jc w:val="left"/>
      </w:pPr>
      <w:r>
        <w:rPr/>
        <w:t>Extent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Acetylation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10"/>
        </w:numPr>
        <w:tabs>
          <w:tab w:pos="1878" w:val="left" w:leader="none"/>
        </w:tabs>
        <w:spacing w:line="240" w:lineRule="auto" w:before="1" w:after="0"/>
        <w:ind w:left="1877" w:right="0" w:hanging="680"/>
        <w:jc w:val="left"/>
        <w:rPr>
          <w:b/>
          <w:sz w:val="24"/>
        </w:rPr>
      </w:pPr>
      <w:r>
        <w:rPr>
          <w:b/>
          <w:sz w:val="24"/>
        </w:rPr>
        <w:t>Corn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Cob-Extent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Acetylation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98" w:right="576" w:firstLine="719"/>
        <w:jc w:val="both"/>
      </w:pPr>
      <w:r>
        <w:rPr/>
        <w:t>The effects of time, catalyst and temperature are shown in Figures 3.9, 3.10, 3.11</w:t>
      </w:r>
      <w:r>
        <w:rPr>
          <w:spacing w:val="1"/>
        </w:rPr>
        <w:t> </w:t>
      </w:r>
      <w:r>
        <w:rPr/>
        <w:t>and Table 3.5. The trends observed in Figs 3.9, 3.10 and 3.11 are not steady (neither</w:t>
      </w:r>
      <w:r>
        <w:rPr>
          <w:spacing w:val="1"/>
        </w:rPr>
        <w:t> </w:t>
      </w:r>
      <w:r>
        <w:rPr/>
        <w:t>decreasing nor increasing) in the variations of the extent of acetylation with reaction time,</w:t>
      </w:r>
      <w:r>
        <w:rPr>
          <w:spacing w:val="1"/>
        </w:rPr>
        <w:t> </w:t>
      </w:r>
      <w:r>
        <w:rPr/>
        <w:t>catalyst and temperature and may be due to the complex nature of corn cob. Evidence, as</w:t>
      </w:r>
      <w:r>
        <w:rPr>
          <w:spacing w:val="1"/>
        </w:rPr>
        <w:t> </w:t>
      </w:r>
      <w:r>
        <w:rPr/>
        <w:t>reported by Sun and Cheng, (2002), revealed that cellulose is the major component of corn</w:t>
      </w:r>
      <w:r>
        <w:rPr>
          <w:spacing w:val="-72"/>
        </w:rPr>
        <w:t> </w:t>
      </w:r>
      <w:r>
        <w:rPr/>
        <w:t>cob (about 45%), while other constituents in corn cob include lignin (6.7 – 13.9%), and</w:t>
      </w:r>
      <w:r>
        <w:rPr>
          <w:spacing w:val="1"/>
        </w:rPr>
        <w:t> </w:t>
      </w:r>
      <w:r>
        <w:rPr/>
        <w:t>hemicelluloses</w:t>
      </w:r>
      <w:r>
        <w:rPr>
          <w:spacing w:val="1"/>
        </w:rPr>
        <w:t> </w:t>
      </w:r>
      <w:r>
        <w:rPr/>
        <w:t>(39%).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phenolic,</w:t>
      </w:r>
      <w:r>
        <w:rPr>
          <w:spacing w:val="1"/>
        </w:rPr>
        <w:t> </w:t>
      </w:r>
      <w:r>
        <w:rPr/>
        <w:t>benzylic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alcoholic</w:t>
      </w:r>
      <w:r>
        <w:rPr>
          <w:spacing w:val="76"/>
        </w:rPr>
        <w:t> </w:t>
      </w:r>
      <w:r>
        <w:rPr/>
        <w:t>(primary</w:t>
      </w:r>
      <w:r>
        <w:rPr>
          <w:spacing w:val="76"/>
        </w:rPr>
        <w:t> </w:t>
      </w:r>
      <w:r>
        <w:rPr/>
        <w:t>and</w:t>
      </w:r>
      <w:r>
        <w:rPr>
          <w:spacing w:val="-72"/>
        </w:rPr>
        <w:t> </w:t>
      </w:r>
      <w:r>
        <w:rPr/>
        <w:t>secondary)</w:t>
      </w:r>
      <w:r>
        <w:rPr>
          <w:spacing w:val="1"/>
        </w:rPr>
        <w:t> </w:t>
      </w:r>
      <w:r>
        <w:rPr/>
        <w:t>hydroxyl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75"/>
        </w:rPr>
        <w:t> </w:t>
      </w:r>
      <w:r>
        <w:rPr/>
        <w:t>alcoholic</w:t>
      </w:r>
      <w:r>
        <w:rPr>
          <w:spacing w:val="-72"/>
        </w:rPr>
        <w:t> </w:t>
      </w:r>
      <w:r>
        <w:rPr/>
        <w:t>hydroxyl groups are found in the carbohydrate. Phenolic hydroxyl groups are attached to</w:t>
      </w:r>
      <w:r>
        <w:rPr>
          <w:spacing w:val="1"/>
        </w:rPr>
        <w:t> </w:t>
      </w:r>
      <w:r>
        <w:rPr/>
        <w:t>aromatic</w:t>
      </w:r>
      <w:r>
        <w:rPr>
          <w:spacing w:val="-3"/>
        </w:rPr>
        <w:t> </w:t>
      </w:r>
      <w:r>
        <w:rPr/>
        <w:t>rings</w:t>
      </w:r>
      <w:r>
        <w:rPr>
          <w:spacing w:val="-1"/>
        </w:rPr>
        <w:t> </w:t>
      </w:r>
      <w:r>
        <w:rPr/>
        <w:t>containing</w:t>
      </w:r>
      <w:r>
        <w:rPr>
          <w:spacing w:val="-2"/>
        </w:rPr>
        <w:t> </w:t>
      </w:r>
      <w:r>
        <w:rPr/>
        <w:t>various</w:t>
      </w:r>
      <w:r>
        <w:rPr>
          <w:spacing w:val="-1"/>
        </w:rPr>
        <w:t> </w:t>
      </w:r>
      <w:r>
        <w:rPr/>
        <w:t>substituents</w:t>
      </w:r>
      <w:r>
        <w:rPr>
          <w:spacing w:val="-1"/>
        </w:rPr>
        <w:t> </w:t>
      </w:r>
      <w:r>
        <w:rPr/>
        <w:t>(Hill</w:t>
      </w:r>
      <w:r>
        <w:rPr>
          <w:spacing w:val="2"/>
        </w:rPr>
        <w:t>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2"/>
        </w:rPr>
        <w:t> </w:t>
      </w:r>
      <w:r>
        <w:rPr/>
        <w:t>1998).</w:t>
      </w:r>
    </w:p>
    <w:p>
      <w:pPr>
        <w:pStyle w:val="BodyText"/>
        <w:spacing w:line="266" w:lineRule="exact"/>
        <w:ind w:left="1918"/>
      </w:pPr>
      <w:r>
        <w:rPr/>
        <w:t>The</w:t>
      </w:r>
      <w:r>
        <w:rPr>
          <w:spacing w:val="30"/>
        </w:rPr>
        <w:t> </w:t>
      </w:r>
      <w:r>
        <w:rPr/>
        <w:t>different</w:t>
      </w:r>
      <w:r>
        <w:rPr>
          <w:spacing w:val="30"/>
        </w:rPr>
        <w:t> </w:t>
      </w:r>
      <w:r>
        <w:rPr/>
        <w:t>types</w:t>
      </w:r>
      <w:r>
        <w:rPr>
          <w:spacing w:val="31"/>
        </w:rPr>
        <w:t> </w:t>
      </w:r>
      <w:r>
        <w:rPr/>
        <w:t>of</w:t>
      </w:r>
      <w:r>
        <w:rPr>
          <w:spacing w:val="27"/>
        </w:rPr>
        <w:t> </w:t>
      </w:r>
      <w:r>
        <w:rPr/>
        <w:t>hydroxyl</w:t>
      </w:r>
      <w:r>
        <w:rPr>
          <w:spacing w:val="30"/>
        </w:rPr>
        <w:t> </w:t>
      </w:r>
      <w:r>
        <w:rPr/>
        <w:t>groups</w:t>
      </w:r>
      <w:r>
        <w:rPr>
          <w:spacing w:val="30"/>
        </w:rPr>
        <w:t> </w:t>
      </w:r>
      <w:r>
        <w:rPr/>
        <w:t>will</w:t>
      </w:r>
      <w:r>
        <w:rPr>
          <w:spacing w:val="27"/>
        </w:rPr>
        <w:t> </w:t>
      </w:r>
      <w:r>
        <w:rPr/>
        <w:t>react</w:t>
      </w:r>
      <w:r>
        <w:rPr>
          <w:spacing w:val="28"/>
        </w:rPr>
        <w:t> </w:t>
      </w:r>
      <w:r>
        <w:rPr/>
        <w:t>differently</w:t>
      </w:r>
      <w:r>
        <w:rPr>
          <w:spacing w:val="30"/>
        </w:rPr>
        <w:t> </w:t>
      </w:r>
      <w:r>
        <w:rPr/>
        <w:t>with</w:t>
      </w:r>
      <w:r>
        <w:rPr>
          <w:spacing w:val="30"/>
        </w:rPr>
        <w:t> </w:t>
      </w:r>
      <w:r>
        <w:rPr/>
        <w:t>acetic</w:t>
      </w:r>
      <w:r>
        <w:rPr>
          <w:spacing w:val="30"/>
        </w:rPr>
        <w:t> </w:t>
      </w:r>
      <w:r>
        <w:rPr/>
        <w:t>anhydride.</w:t>
      </w:r>
    </w:p>
    <w:p>
      <w:pPr>
        <w:pStyle w:val="BodyText"/>
        <w:spacing w:before="1"/>
      </w:pPr>
    </w:p>
    <w:p>
      <w:pPr>
        <w:pStyle w:val="BodyText"/>
        <w:spacing w:line="475" w:lineRule="auto"/>
        <w:ind w:left="1198" w:right="578"/>
        <w:jc w:val="both"/>
      </w:pPr>
      <w:r>
        <w:rPr/>
        <w:t>For example,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of the</w:t>
      </w:r>
      <w:r>
        <w:rPr>
          <w:spacing w:val="1"/>
        </w:rPr>
        <w:t> </w:t>
      </w:r>
      <w:r>
        <w:rPr/>
        <w:t>acetyl distribution in</w:t>
      </w:r>
      <w:r>
        <w:rPr>
          <w:spacing w:val="1"/>
        </w:rPr>
        <w:t> </w:t>
      </w:r>
      <w:r>
        <w:rPr/>
        <w:t>acetylated (whole)</w:t>
      </w:r>
      <w:r>
        <w:rPr>
          <w:spacing w:val="1"/>
        </w:rPr>
        <w:t> </w:t>
      </w:r>
      <w:r>
        <w:rPr/>
        <w:t>wood and</w:t>
      </w:r>
      <w:r>
        <w:rPr>
          <w:spacing w:val="1"/>
        </w:rPr>
        <w:t> </w:t>
      </w:r>
      <w:r>
        <w:rPr/>
        <w:t>reactivity of isolated wood cell wall components to acetic anhydride, Rowell </w:t>
      </w:r>
      <w:r>
        <w:rPr>
          <w:sz w:val="25"/>
        </w:rPr>
        <w:t>et al., </w:t>
      </w:r>
      <w:r>
        <w:rPr/>
        <w:t>(1994)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reactivity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hemicelluloses</w:t>
      </w:r>
      <w:r>
        <w:rPr>
          <w:spacing w:val="1"/>
        </w:rPr>
        <w:t> </w:t>
      </w:r>
      <w:r>
        <w:rPr/>
        <w:t>&gt;&gt;holocellulose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remaining product after removal of lignin from wood). Cellulose was observed not to react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acetic</w:t>
      </w:r>
      <w:r>
        <w:rPr>
          <w:spacing w:val="2"/>
        </w:rPr>
        <w:t> </w:t>
      </w:r>
      <w:r>
        <w:rPr/>
        <w:t>anhydride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absence 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catalyst.</w:t>
      </w:r>
    </w:p>
    <w:p>
      <w:pPr>
        <w:spacing w:after="0" w:line="475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262"/>
        <w:rPr>
          <w:sz w:val="20"/>
        </w:rPr>
      </w:pPr>
      <w:r>
        <w:rPr>
          <w:sz w:val="20"/>
        </w:rPr>
        <w:pict>
          <v:group style="width:461.2pt;height:316.5pt;mso-position-horizontal-relative:char;mso-position-vertical-relative:line" coordorigin="0,0" coordsize="9224,6330">
            <v:rect style="position:absolute;left:8;top:8;width:9207;height:6314" filled="false" stroked="true" strokeweight=".821975pt" strokecolor="#000000">
              <v:stroke dashstyle="solid"/>
            </v:rect>
            <v:shape style="position:absolute;left:2562;top:433;width:5650;height:4718" coordorigin="2562,433" coordsize="5650,4718" path="m2636,433l2636,5047m2562,5064l2621,5064m2562,4405l2621,4405m2562,3746l2621,3746m2562,3087l2621,3087m2562,2411l2621,2411m2562,1751l2621,1751m2562,1092l2621,1092m2562,433l2621,433m2636,5064l8197,5064m2636,5151l2636,5081m4026,5151l4026,5081m5432,5151l5432,5081m6822,5151l6822,5081m8212,5151l8212,5081e" filled="false" stroked="true" strokeweight=".797793pt" strokecolor="#000000">
              <v:path arrowok="t"/>
              <v:stroke dashstyle="solid"/>
            </v:shape>
            <v:shape style="position:absolute;left:4260;top:1040;width:3440;height:3417" coordorigin="4260,1041" coordsize="3440,3417" path="m4304,1751l4407,1977,4509,2237,4612,2498,4714,2758,4831,2983,4875,3087,4933,3191,4977,3278,5036,3330,5080,3382,5139,3417m5139,3417l5197,3417,5241,3399,5299,3347,5343,3278,5402,3191,5461,3104,5563,2896,5665,2689,5724,2601,5783,2515,5826,2445,5885,2411,5929,2393,5987,2411m5987,2411l6046,2463,6090,2549,6149,2671,6192,2827,6251,2983,6295,3174,6412,3555,6456,3746,6514,3919,6558,4076,6617,4214,6661,4319,6719,4388,6763,4422,6793,4422,6822,4405m6822,4405l6880,4336,6924,4249,6983,4110,7027,3954,7085,3763,7129,3555,7187,3330,7231,3087,7349,2567,7451,2047,7553,1543,7598,1318,7656,1092m4304,1700l4348,1751,4304,1804,4260,1751,4304,1700xm5139,3365l5182,3417,5139,3469,5095,3417,5139,3365xm5987,2359l6032,2411,5987,2463,5943,2411,5987,2359xm6822,4353l6866,4405,6822,4458,6778,4405,6822,4353xm7656,1041l7700,1092,7656,1145,7612,1092,7656,1041xe" filled="false" stroked="true" strokeweight=".797793pt" strokecolor="#000000">
              <v:path arrowok="t"/>
              <v:stroke dashstyle="solid"/>
            </v:shape>
            <v:rect style="position:absolute;left:8;top:8;width:9207;height:6314" filled="false" stroked="true" strokeweight=".821975pt" strokecolor="#000000">
              <v:stroke dashstyle="solid"/>
            </v:rect>
            <v:shape style="position:absolute;left:1984;top:277;width:472;height:1628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7"/>
                      </w:rPr>
                      <w:t>1.12</w:t>
                    </w:r>
                  </w:p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131" w:right="0" w:firstLine="0"/>
                      <w:jc w:val="left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27"/>
                      </w:rPr>
                      <w:t>1.1</w:t>
                    </w:r>
                  </w:p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7"/>
                      </w:rPr>
                      <w:t>1.08</w:t>
                    </w:r>
                  </w:p>
                </w:txbxContent>
              </v:textbox>
              <w10:wrap type="none"/>
            </v:shape>
            <v:shape style="position:absolute;left:52;top:2314;width:1657;height:1344" type="#_x0000_t202" filled="false" stroked="false">
              <v:textbox inset="0,0,0,0">
                <w:txbxContent>
                  <w:p>
                    <w:pPr>
                      <w:spacing w:line="406" w:lineRule="exact" w:before="0"/>
                      <w:ind w:left="0" w:right="0" w:firstLine="102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36"/>
                      </w:rPr>
                      <w:t>Degree</w:t>
                    </w:r>
                    <w:r>
                      <w:rPr>
                        <w:rFonts w:ascii="Arial"/>
                        <w:b/>
                        <w:spacing w:val="11"/>
                        <w:w w:val="85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36"/>
                      </w:rPr>
                      <w:t>of</w:t>
                    </w:r>
                  </w:p>
                  <w:p>
                    <w:pPr>
                      <w:spacing w:line="470" w:lineRule="atLeast" w:before="0"/>
                      <w:ind w:left="600" w:right="10" w:hanging="601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85"/>
                        <w:sz w:val="36"/>
                      </w:rPr>
                      <w:t>Acetylation</w:t>
                    </w:r>
                    <w:r>
                      <w:rPr>
                        <w:rFonts w:ascii="Arial"/>
                        <w:b/>
                        <w:spacing w:val="-83"/>
                        <w:w w:val="85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sz w:val="36"/>
                      </w:rPr>
                      <w:t>(</w:t>
                    </w:r>
                    <w:r>
                      <w:rPr>
                        <w:rFonts w:ascii="Arial"/>
                        <w:b/>
                        <w:strike/>
                        <w:sz w:val="36"/>
                      </w:rPr>
                      <w:t>O</w:t>
                    </w:r>
                    <w:r>
                      <w:rPr>
                        <w:rFonts w:ascii="Arial"/>
                        <w:b/>
                        <w:strike w:val="0"/>
                        <w:sz w:val="36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984;top:2255;width:472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7"/>
                      </w:rPr>
                      <w:t>1.06</w:t>
                    </w:r>
                  </w:p>
                </w:txbxContent>
              </v:textbox>
              <w10:wrap type="none"/>
            </v:shape>
            <v:shape style="position:absolute;left:1984;top:2931;width:472;height:97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7"/>
                      </w:rPr>
                      <w:t>1.04</w:t>
                    </w:r>
                  </w:p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7"/>
                      </w:rPr>
                      <w:t>1.02</w:t>
                    </w:r>
                  </w:p>
                </w:txbxContent>
              </v:textbox>
              <w10:wrap type="none"/>
            </v:shape>
            <v:shape style="position:absolute;left:1984;top:4249;width:473;height:96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18" w:firstLine="0"/>
                      <w:jc w:val="right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w w:val="86"/>
                        <w:sz w:val="27"/>
                      </w:rPr>
                      <w:t>1</w:t>
                    </w:r>
                  </w:p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90"/>
                        <w:sz w:val="27"/>
                      </w:rPr>
                      <w:t>0.98</w:t>
                    </w:r>
                  </w:p>
                </w:txbxContent>
              </v:textbox>
              <w10:wrap type="none"/>
            </v:shape>
            <v:shape style="position:absolute;left:2569;top:5325;width:151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w w:val="86"/>
                        <w:sz w:val="2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87;top:5325;width:284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27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575;top:5325;width:1570;height:866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658" w:right="0" w:firstLine="0"/>
                      <w:jc w:val="left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sz w:val="27"/>
                      </w:rPr>
                      <w:t>100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36"/>
                      </w:rPr>
                      <w:t>Time</w:t>
                    </w:r>
                    <w:r>
                      <w:rPr>
                        <w:rFonts w:ascii="Arial"/>
                        <w:b/>
                        <w:spacing w:val="1"/>
                        <w:w w:val="85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36"/>
                      </w:rPr>
                      <w:t>(min)</w:t>
                    </w:r>
                  </w:p>
                </w:txbxContent>
              </v:textbox>
              <w10:wrap type="none"/>
            </v:shape>
            <v:shape style="position:absolute;left:6623;top:5325;width:415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7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8014;top:5325;width:415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7"/>
                      </w:rPr>
                      <w:t>200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spacing w:before="100"/>
      </w:pPr>
      <w:r>
        <w:rPr/>
        <w:t>Figure</w:t>
      </w:r>
      <w:r>
        <w:rPr>
          <w:spacing w:val="-4"/>
        </w:rPr>
        <w:t> </w:t>
      </w:r>
      <w:r>
        <w:rPr/>
        <w:t>3.9: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time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acetylation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corn</w:t>
      </w:r>
      <w:r>
        <w:rPr>
          <w:spacing w:val="-3"/>
        </w:rPr>
        <w:t> </w:t>
      </w:r>
      <w:r>
        <w:rPr/>
        <w:t>cob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ind w:left="1261"/>
        <w:rPr>
          <w:sz w:val="20"/>
        </w:rPr>
      </w:pPr>
      <w:r>
        <w:rPr>
          <w:sz w:val="20"/>
        </w:rPr>
        <w:pict>
          <v:group style="width:461.2pt;height:334.5pt;mso-position-horizontal-relative:char;mso-position-vertical-relative:line" coordorigin="0,0" coordsize="9224,6690">
            <v:rect style="position:absolute;left:8;top:8;width:9207;height:6673" filled="false" stroked="true" strokeweight=".829949pt" strokecolor="#000000">
              <v:stroke dashstyle="solid"/>
            </v:rect>
            <v:shape style="position:absolute;left:2383;top:442;width:6605;height:4939" coordorigin="2383,442" coordsize="6605,4939" path="m2456,442l2456,5274m2383,5292l2442,5292m2383,4690l2442,4690m2383,4088l2442,4088m2383,3469l2442,3469m2383,2867l2442,2867m2383,2265l2442,2265m2383,1664l2442,1664m2383,1044l2442,1044m2383,442l2442,442m2456,5292l8974,5292m2456,5381l2456,5310m3757,5381l3757,5310m5072,5381l5072,5310m6373,5381l6373,5310m7688,5381l7688,5310m8988,5381l8988,5310e" filled="false" stroked="true" strokeweight=".806111pt" strokecolor="#000000">
              <v:path arrowok="t"/>
              <v:stroke dashstyle="solid"/>
            </v:shape>
            <v:shape style="position:absolute;left:2456;top:743;width:5232;height:1327" coordorigin="2456,744" coordsize="5232,1327" path="m2456,2070l3099,2053,3757,2018m3757,2018l3918,2018,4078,2018,4414,2053,4575,2053,4751,2035,4911,2000,5072,1929m5072,1929l5160,1876,5233,1823,5394,1646,5554,1451,5715,1257,5890,1062,6051,902,6124,832,6212,779,6285,761,6373,744m6373,744l6460,761,6533,779,6621,832,6694,885,6869,1027,7030,1204,7191,1398,7352,1610,7527,1788,7688,1965e" filled="false" stroked="true" strokeweight=".806111pt" strokecolor="#000000">
              <v:path arrowok="t"/>
              <v:stroke dashstyle="solid"/>
            </v:shape>
            <v:shape style="position:absolute;left:2427;top:707;width:5290;height:1399" coordorigin="2427,708" coordsize="5290,1399" path="m2456,2070l2427,2035m2456,2070l2485,2106m2456,2070l2427,2106m2456,2070l2485,2035m2456,2070l2456,2035m2456,2070l2456,2106m3757,2018l3728,1982m3757,2018l3786,2053m3757,2018l3728,2053m3757,2018l3786,1982m3757,2018l3757,1982m3757,2018l3757,2053m5072,1929l5042,1894m5072,1929l5101,1965m5072,1929l5042,1965m5072,1929l5101,1894m5072,1929l5072,1894m5072,1929l5072,1965m6373,744l6343,708m6373,744l6402,779m6373,744l6343,779m6373,744l6402,708m6373,744l6373,708m6373,744l6373,779m7688,1965l7659,1929m7688,1965l7717,2000m7688,1965l7659,2000m7688,1965l7717,1929m7688,1965l7688,1929m7688,1965l7688,2000e" filled="false" stroked="true" strokeweight=".806111pt" strokecolor="#000000">
              <v:path arrowok="t"/>
              <v:stroke dashstyle="solid"/>
            </v:shape>
            <v:rect style="position:absolute;left:8;top:8;width:9207;height:6673" filled="false" stroked="true" strokeweight=".829949pt" strokecolor="#000000">
              <v:stroke dashstyle="solid"/>
            </v:rect>
            <v:shape style="position:absolute;left:1937;top:283;width:341;height:2140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8"/>
                      </w:rPr>
                      <w:t>1.6</w:t>
                    </w:r>
                  </w:p>
                  <w:p>
                    <w:pPr>
                      <w:spacing w:before="279"/>
                      <w:ind w:left="0" w:right="19" w:firstLine="0"/>
                      <w:jc w:val="righ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28"/>
                      </w:rPr>
                      <w:t>1.4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28"/>
                      </w:rPr>
                      <w:t>1.2</w:t>
                    </w:r>
                  </w:p>
                  <w:p>
                    <w:pPr>
                      <w:spacing w:before="280"/>
                      <w:ind w:left="0" w:right="18" w:firstLine="0"/>
                      <w:jc w:val="righ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8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2;top:2610;width:1654;height:1372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0" w:right="0" w:firstLine="102"/>
                      <w:jc w:val="left"/>
                      <w:rPr>
                        <w:rFonts w:ascii="Arial"/>
                        <w:b/>
                        <w:sz w:val="37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37"/>
                      </w:rPr>
                      <w:t>Degree</w:t>
                    </w:r>
                    <w:r>
                      <w:rPr>
                        <w:rFonts w:ascii="Arial"/>
                        <w:b/>
                        <w:spacing w:val="-8"/>
                        <w:w w:val="85"/>
                        <w:sz w:val="37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37"/>
                      </w:rPr>
                      <w:t>of</w:t>
                    </w:r>
                  </w:p>
                  <w:p>
                    <w:pPr>
                      <w:spacing w:line="470" w:lineRule="atLeast" w:before="8"/>
                      <w:ind w:left="599" w:right="0" w:hanging="600"/>
                      <w:jc w:val="left"/>
                      <w:rPr>
                        <w:rFonts w:ascii="Arial"/>
                        <w:b/>
                        <w:sz w:val="37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37"/>
                      </w:rPr>
                      <w:t>Acetylation</w:t>
                    </w:r>
                    <w:r>
                      <w:rPr>
                        <w:rFonts w:ascii="Arial"/>
                        <w:b/>
                        <w:spacing w:val="-80"/>
                        <w:w w:val="80"/>
                        <w:sz w:val="37"/>
                      </w:rPr>
                      <w:t> </w:t>
                    </w:r>
                    <w:r>
                      <w:rPr>
                        <w:rFonts w:ascii="Arial"/>
                        <w:b/>
                        <w:sz w:val="37"/>
                      </w:rPr>
                      <w:t>(</w:t>
                    </w:r>
                    <w:r>
                      <w:rPr>
                        <w:rFonts w:ascii="Arial"/>
                        <w:b/>
                        <w:strike/>
                        <w:sz w:val="37"/>
                      </w:rPr>
                      <w:t>O</w:t>
                    </w:r>
                    <w:r>
                      <w:rPr>
                        <w:rFonts w:ascii="Arial"/>
                        <w:b/>
                        <w:strike w:val="0"/>
                        <w:sz w:val="37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937;top:2708;width:340;height:317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8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1937;top:3310;width:340;height:937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8"/>
                      </w:rPr>
                      <w:t>0.6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8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1937;top:4531;width:341;height:919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8"/>
                      </w:rPr>
                      <w:t>0.2</w:t>
                    </w:r>
                  </w:p>
                  <w:p>
                    <w:pPr>
                      <w:spacing w:before="280"/>
                      <w:ind w:left="19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83"/>
                        <w:sz w:val="2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90;top:5558;width:151;height:317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83"/>
                        <w:sz w:val="2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90;top:5558;width:151;height:317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83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006;top:5558;width:151;height:317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83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306;top:5558;width:151;height:317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83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622;top:5558;width:151;height:317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83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922;top:5558;width:151;height:317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83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515;top:6050;width:4419;height:525" type="#_x0000_t202" filled="false" stroked="false">
              <v:textbox inset="0,0,0,0">
                <w:txbxContent>
                  <w:p>
                    <w:pPr>
                      <w:spacing w:before="53"/>
                      <w:ind w:left="0" w:right="0" w:firstLine="0"/>
                      <w:jc w:val="left"/>
                      <w:rPr>
                        <w:rFonts w:ascii="Arial"/>
                        <w:b/>
                        <w:sz w:val="37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37"/>
                      </w:rPr>
                      <w:t>Catalyst</w:t>
                    </w:r>
                    <w:r>
                      <w:rPr>
                        <w:rFonts w:ascii="Arial"/>
                        <w:b/>
                        <w:spacing w:val="46"/>
                        <w:w w:val="80"/>
                        <w:sz w:val="37"/>
                      </w:rPr>
                      <w:t> </w:t>
                    </w:r>
                    <w:r>
                      <w:rPr>
                        <w:rFonts w:ascii="Arial"/>
                        <w:b/>
                        <w:w w:val="80"/>
                        <w:sz w:val="37"/>
                      </w:rPr>
                      <w:t>Concentration</w:t>
                    </w:r>
                    <w:r>
                      <w:rPr>
                        <w:rFonts w:ascii="Arial"/>
                        <w:b/>
                        <w:spacing w:val="50"/>
                        <w:w w:val="80"/>
                        <w:sz w:val="37"/>
                      </w:rPr>
                      <w:t> </w:t>
                    </w:r>
                    <w:r>
                      <w:rPr>
                        <w:rFonts w:ascii="Arial"/>
                        <w:b/>
                        <w:w w:val="80"/>
                        <w:sz w:val="37"/>
                      </w:rPr>
                      <w:t>(</w:t>
                    </w:r>
                    <w:r>
                      <w:rPr>
                        <w:rFonts w:ascii="Arial"/>
                        <w:b/>
                        <w:w w:val="80"/>
                        <w:sz w:val="37"/>
                        <w:vertAlign w:val="superscript"/>
                      </w:rPr>
                      <w:t>w</w:t>
                    </w:r>
                    <w:r>
                      <w:rPr>
                        <w:rFonts w:ascii="Arial"/>
                        <w:b/>
                        <w:w w:val="80"/>
                        <w:sz w:val="37"/>
                        <w:vertAlign w:val="baseline"/>
                      </w:rPr>
                      <w:t>/</w:t>
                    </w:r>
                    <w:r>
                      <w:rPr>
                        <w:rFonts w:ascii="Arial"/>
                        <w:b/>
                        <w:w w:val="80"/>
                        <w:sz w:val="37"/>
                        <w:vertAlign w:val="subscript"/>
                      </w:rPr>
                      <w:t>w</w:t>
                    </w:r>
                    <w:r>
                      <w:rPr>
                        <w:rFonts w:ascii="Arial"/>
                        <w:b/>
                        <w:spacing w:val="49"/>
                        <w:w w:val="80"/>
                        <w:sz w:val="37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w w:val="80"/>
                        <w:sz w:val="37"/>
                        <w:vertAlign w:val="baseline"/>
                      </w:rPr>
                      <w:t>%)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b/>
          <w:sz w:val="19"/>
        </w:rPr>
      </w:pPr>
    </w:p>
    <w:p>
      <w:pPr>
        <w:spacing w:before="100"/>
        <w:ind w:left="1198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3.10: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catalyst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degree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acetylation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cob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ind w:left="1262"/>
        <w:rPr>
          <w:sz w:val="20"/>
        </w:rPr>
      </w:pPr>
      <w:r>
        <w:rPr>
          <w:sz w:val="20"/>
        </w:rPr>
        <w:pict>
          <v:group style="width:461.1pt;height:329.6pt;mso-position-horizontal-relative:char;mso-position-vertical-relative:line" coordorigin="0,0" coordsize="9222,6592">
            <v:rect style="position:absolute;left:8;top:8;width:9206;height:6576" filled="false" stroked="true" strokeweight=".79641pt" strokecolor="#000000">
              <v:stroke dashstyle="solid"/>
            </v:rect>
            <v:shape style="position:absolute;left:2397;top:414;width:6456;height:4949" coordorigin="2398,415" coordsize="6456,4949" path="m2471,415l2471,5263m2398,5280l2457,5280m2398,4467l2457,4467m2398,3653l2457,3653m2398,2856l2457,2856m2398,2042l2457,2042m2398,1229l2457,1229m2398,415l2457,415m2471,5280l8839,5280m2471,5363l2471,5296m4603,5363l4603,5296m6721,5363l6721,5296m8853,5363l8853,5296e" filled="false" stroked="true" strokeweight=".781149pt" strokecolor="#000000">
              <v:path arrowok="t"/>
              <v:stroke dashstyle="solid"/>
            </v:shape>
            <v:shape style="position:absolute;left:3706;top:846;width:4338;height:831" coordorigin="3706,847" coordsize="4338,831" path="m3751,1146l3912,1212,4074,1279,4412,1445,4589,1511,4736,1561,4898,1610,5030,1627m5030,1627l5162,1627,5265,1594,5383,1544,5471,1478,5662,1345,5765,1279,5868,1229m5868,1229l6074,1129,6265,1013,6471,930,6588,913,6721,896m6721,896l6853,896,7015,930,7339,996,7677,1096,8000,1179m3751,1096l3795,1146,3751,1196,3706,1146,3751,1096xm5030,1577l5074,1627,5030,1677,4986,1627,5030,1577xm5868,1179l5912,1229,5868,1279,5824,1229,5868,1179xm6721,847l6765,896,6721,946,6677,896,6721,847xm8000,1129l8044,1179,8000,1229,7956,1179,8000,1129xe" filled="false" stroked="true" strokeweight=".781149pt" strokecolor="#000000">
              <v:path arrowok="t"/>
              <v:stroke dashstyle="solid"/>
            </v:shape>
            <v:rect style="position:absolute;left:8;top:8;width:9206;height:6576" filled="false" stroked="true" strokeweight=".79641pt" strokecolor="#000000">
              <v:stroke dashstyle="solid"/>
            </v:rect>
            <v:shape style="position:absolute;left:1949;top:266;width:342;height:297" type="#_x0000_t202" filled="false" stroked="false">
              <v:textbox inset="0,0,0,0">
                <w:txbxContent>
                  <w:p>
                    <w:pPr>
                      <w:spacing w:line="29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95"/>
                        <w:sz w:val="26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2140;top:1079;width:151;height:297" type="#_x0000_t202" filled="false" stroked="false">
              <v:textbox inset="0,0,0,0">
                <w:txbxContent>
                  <w:p>
                    <w:pPr>
                      <w:spacing w:line="29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2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949;top:1893;width:342;height:297" type="#_x0000_t202" filled="false" stroked="false">
              <v:textbox inset="0,0,0,0">
                <w:txbxContent>
                  <w:p>
                    <w:pPr>
                      <w:spacing w:line="29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95"/>
                        <w:sz w:val="26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52;top:2614;width:1665;height:1287" type="#_x0000_t202" filled="false" stroked="false">
              <v:textbox inset="0,0,0,0">
                <w:txbxContent>
                  <w:p>
                    <w:pPr>
                      <w:spacing w:line="390" w:lineRule="exact" w:before="0"/>
                      <w:ind w:left="103" w:right="0" w:firstLine="0"/>
                      <w:jc w:val="left"/>
                      <w:rPr>
                        <w:rFonts w:ascii="Arial"/>
                        <w:b/>
                        <w:sz w:val="35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35"/>
                      </w:rPr>
                      <w:t>Degree</w:t>
                    </w:r>
                    <w:r>
                      <w:rPr>
                        <w:rFonts w:ascii="Arial"/>
                        <w:b/>
                        <w:spacing w:val="-5"/>
                        <w:w w:val="90"/>
                        <w:sz w:val="35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35"/>
                      </w:rPr>
                      <w:t>of</w:t>
                    </w:r>
                  </w:p>
                  <w:p>
                    <w:pPr>
                      <w:spacing w:line="450" w:lineRule="atLeast" w:before="0"/>
                      <w:ind w:left="602" w:right="0" w:hanging="603"/>
                      <w:jc w:val="left"/>
                      <w:rPr>
                        <w:rFonts w:ascii="Arial"/>
                        <w:b/>
                        <w:sz w:val="35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35"/>
                      </w:rPr>
                      <w:t>Acetylation</w:t>
                    </w:r>
                    <w:r>
                      <w:rPr>
                        <w:rFonts w:ascii="Arial"/>
                        <w:b/>
                        <w:spacing w:val="-80"/>
                        <w:w w:val="85"/>
                        <w:sz w:val="35"/>
                      </w:rPr>
                      <w:t> </w:t>
                    </w:r>
                    <w:r>
                      <w:rPr>
                        <w:rFonts w:ascii="Arial"/>
                        <w:b/>
                        <w:sz w:val="35"/>
                      </w:rPr>
                      <w:t>(</w:t>
                    </w:r>
                    <w:r>
                      <w:rPr>
                        <w:rFonts w:ascii="Arial"/>
                        <w:b/>
                        <w:strike/>
                        <w:sz w:val="35"/>
                      </w:rPr>
                      <w:t>O</w:t>
                    </w:r>
                    <w:r>
                      <w:rPr>
                        <w:rFonts w:ascii="Arial"/>
                        <w:b/>
                        <w:strike w:val="0"/>
                        <w:sz w:val="35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949;top:2706;width:342;height:297" type="#_x0000_t202" filled="false" stroked="false">
              <v:textbox inset="0,0,0,0">
                <w:txbxContent>
                  <w:p>
                    <w:pPr>
                      <w:spacing w:line="29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95"/>
                        <w:sz w:val="26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1949;top:3503;width:342;height:297" type="#_x0000_t202" filled="false" stroked="false">
              <v:textbox inset="0,0,0,0">
                <w:txbxContent>
                  <w:p>
                    <w:pPr>
                      <w:spacing w:line="29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95"/>
                        <w:sz w:val="26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1949;top:4317;width:342;height:297" type="#_x0000_t202" filled="false" stroked="false">
              <v:textbox inset="0,0,0,0">
                <w:txbxContent>
                  <w:p>
                    <w:pPr>
                      <w:spacing w:line="29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95"/>
                        <w:sz w:val="26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2140;top:5131;width:151;height:297" type="#_x0000_t202" filled="false" stroked="false">
              <v:textbox inset="0,0,0,0">
                <w:txbxContent>
                  <w:p>
                    <w:pPr>
                      <w:spacing w:line="29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2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405;top:5529;width:151;height:297" type="#_x0000_t202" filled="false" stroked="false">
              <v:textbox inset="0,0,0,0">
                <w:txbxContent>
                  <w:p>
                    <w:pPr>
                      <w:spacing w:line="29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2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464;top:5529;width:285;height:297" type="#_x0000_t202" filled="false" stroked="false">
              <v:textbox inset="0,0,0,0">
                <w:txbxContent>
                  <w:p>
                    <w:pPr>
                      <w:spacing w:line="29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26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6522;top:5529;width:417;height:297" type="#_x0000_t202" filled="false" stroked="false">
              <v:textbox inset="0,0,0,0">
                <w:txbxContent>
                  <w:p>
                    <w:pPr>
                      <w:spacing w:line="29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26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8654;top:5529;width:417;height:297" type="#_x0000_t202" filled="false" stroked="false">
              <v:textbox inset="0,0,0,0">
                <w:txbxContent>
                  <w:p>
                    <w:pPr>
                      <w:spacing w:line="29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26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4478;top:6024;width:2562;height:451" type="#_x0000_t202" filled="false" stroked="false">
              <v:textbox inset="0,0,0,0">
                <w:txbxContent>
                  <w:p>
                    <w:pPr>
                      <w:spacing w:line="402" w:lineRule="exact" w:before="47"/>
                      <w:ind w:left="0" w:right="0" w:firstLine="0"/>
                      <w:jc w:val="left"/>
                      <w:rPr>
                        <w:rFonts w:ascii="Arial"/>
                        <w:b/>
                        <w:sz w:val="35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35"/>
                      </w:rPr>
                      <w:t>Temperature</w:t>
                    </w:r>
                    <w:r>
                      <w:rPr>
                        <w:rFonts w:ascii="Arial"/>
                        <w:b/>
                        <w:spacing w:val="81"/>
                        <w:sz w:val="35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35"/>
                      </w:rPr>
                      <w:t>(</w:t>
                    </w:r>
                    <w:r>
                      <w:rPr>
                        <w:rFonts w:ascii="Arial"/>
                        <w:b/>
                        <w:w w:val="85"/>
                        <w:sz w:val="35"/>
                        <w:vertAlign w:val="superscript"/>
                      </w:rPr>
                      <w:t>o</w:t>
                    </w:r>
                    <w:r>
                      <w:rPr>
                        <w:rFonts w:ascii="Arial"/>
                        <w:b/>
                        <w:w w:val="85"/>
                        <w:sz w:val="35"/>
                        <w:vertAlign w:val="baseline"/>
                      </w:rPr>
                      <w:t>C)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19"/>
        </w:rPr>
      </w:pPr>
    </w:p>
    <w:p>
      <w:pPr>
        <w:pStyle w:val="Heading3"/>
        <w:spacing w:before="100"/>
      </w:pPr>
      <w:r>
        <w:rPr/>
        <w:t>Figure</w:t>
      </w:r>
      <w:r>
        <w:rPr>
          <w:spacing w:val="-4"/>
        </w:rPr>
        <w:t> </w:t>
      </w:r>
      <w:r>
        <w:rPr/>
        <w:t>3.11:</w:t>
      </w:r>
      <w:r>
        <w:rPr>
          <w:spacing w:val="-3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degree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acetylation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corn</w:t>
      </w:r>
      <w:r>
        <w:rPr>
          <w:spacing w:val="-2"/>
        </w:rPr>
        <w:t> </w:t>
      </w:r>
      <w:r>
        <w:rPr/>
        <w:t>cob</w:t>
      </w:r>
    </w:p>
    <w:p>
      <w:pPr>
        <w:spacing w:after="0"/>
        <w:sectPr>
          <w:pgSz w:w="11910" w:h="16840"/>
          <w:pgMar w:header="0" w:footer="987" w:top="1300" w:bottom="1260" w:left="420" w:right="0"/>
        </w:sectPr>
      </w:pPr>
    </w:p>
    <w:p>
      <w:pPr>
        <w:pStyle w:val="BodyText"/>
        <w:spacing w:line="482" w:lineRule="auto" w:before="75"/>
        <w:ind w:left="1198" w:right="581" w:firstLine="719"/>
        <w:jc w:val="both"/>
      </w:pPr>
      <w:r>
        <w:rPr/>
        <w:t>The</w:t>
      </w:r>
      <w:r>
        <w:rPr>
          <w:spacing w:val="40"/>
        </w:rPr>
        <w:t> </w:t>
      </w:r>
      <w:r>
        <w:rPr/>
        <w:t>shown</w:t>
      </w:r>
      <w:r>
        <w:rPr>
          <w:spacing w:val="38"/>
        </w:rPr>
        <w:t> </w:t>
      </w:r>
      <w:r>
        <w:rPr/>
        <w:t>effects</w:t>
      </w:r>
      <w:r>
        <w:rPr>
          <w:spacing w:val="41"/>
        </w:rPr>
        <w:t> </w:t>
      </w:r>
      <w:r>
        <w:rPr/>
        <w:t>of</w:t>
      </w:r>
      <w:r>
        <w:rPr>
          <w:spacing w:val="36"/>
        </w:rPr>
        <w:t> </w:t>
      </w:r>
      <w:r>
        <w:rPr/>
        <w:t>time,</w:t>
      </w:r>
      <w:r>
        <w:rPr>
          <w:spacing w:val="39"/>
        </w:rPr>
        <w:t> </w:t>
      </w:r>
      <w:r>
        <w:rPr/>
        <w:t>catalyst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temperature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degree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acetylation</w:t>
      </w:r>
      <w:r>
        <w:rPr>
          <w:spacing w:val="39"/>
        </w:rPr>
        <w:t> </w:t>
      </w:r>
      <w:r>
        <w:rPr/>
        <w:t>of</w:t>
      </w:r>
      <w:r>
        <w:rPr>
          <w:spacing w:val="-72"/>
        </w:rPr>
        <w:t> </w:t>
      </w:r>
      <w:r>
        <w:rPr/>
        <w:t>corn</w:t>
      </w:r>
      <w:r>
        <w:rPr>
          <w:spacing w:val="-3"/>
        </w:rPr>
        <w:t> </w:t>
      </w:r>
      <w:r>
        <w:rPr/>
        <w:t>cob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tested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statistical</w:t>
      </w:r>
      <w:r>
        <w:rPr>
          <w:spacing w:val="-2"/>
        </w:rPr>
        <w:t> </w:t>
      </w:r>
      <w:r>
        <w:rPr/>
        <w:t>difference.</w:t>
      </w:r>
      <w:r>
        <w:rPr>
          <w:spacing w:val="-3"/>
        </w:rPr>
        <w:t> </w:t>
      </w:r>
      <w:r>
        <w:rPr/>
        <w:t>ANOVA</w:t>
      </w:r>
      <w:r>
        <w:rPr>
          <w:spacing w:val="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3.6.</w:t>
      </w:r>
    </w:p>
    <w:p>
      <w:pPr>
        <w:pStyle w:val="BodyText"/>
        <w:spacing w:line="480" w:lineRule="auto"/>
        <w:ind w:left="1198" w:right="579"/>
        <w:jc w:val="both"/>
      </w:pP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(Ho),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catalyst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acetylation of corn cob.</w:t>
      </w:r>
      <w:r>
        <w:rPr>
          <w:spacing w:val="1"/>
        </w:rPr>
        <w:t> </w:t>
      </w:r>
      <w:r>
        <w:rPr/>
        <w:t>Rejection of the hypothesis Ho implies the acceptance of the</w:t>
      </w:r>
      <w:r>
        <w:rPr>
          <w:spacing w:val="1"/>
        </w:rPr>
        <w:t> </w:t>
      </w:r>
      <w:r>
        <w:rPr/>
        <w:t>alternative hypothesis (H</w:t>
      </w:r>
      <w:r>
        <w:rPr>
          <w:vertAlign w:val="subscript"/>
        </w:rPr>
        <w:t>1</w:t>
      </w:r>
      <w:r>
        <w:rPr>
          <w:vertAlign w:val="baseline"/>
        </w:rPr>
        <w:t>), that temperature, time and catalyst affected the acetylation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corn</w:t>
      </w:r>
      <w:r>
        <w:rPr>
          <w:spacing w:val="-2"/>
          <w:vertAlign w:val="baseline"/>
        </w:rPr>
        <w:t> </w:t>
      </w:r>
      <w:r>
        <w:rPr>
          <w:vertAlign w:val="baseline"/>
        </w:rPr>
        <w:t>cob.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statistic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performed</w:t>
      </w:r>
      <w:r>
        <w:rPr>
          <w:spacing w:val="-2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5%</w:t>
      </w:r>
      <w:r>
        <w:rPr>
          <w:spacing w:val="2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2"/>
          <w:vertAlign w:val="baseline"/>
        </w:rPr>
        <w:t> </w:t>
      </w:r>
      <w:r>
        <w:rPr>
          <w:vertAlign w:val="baseline"/>
        </w:rPr>
        <w:t>level.</w:t>
      </w:r>
    </w:p>
    <w:p>
      <w:pPr>
        <w:pStyle w:val="BodyText"/>
        <w:spacing w:line="480" w:lineRule="auto"/>
        <w:ind w:left="1198" w:right="578"/>
        <w:jc w:val="both"/>
      </w:pPr>
      <w:r>
        <w:rPr/>
        <w:t>In this case we reject Ho if p-value is less than 0.05 and conclude that there is significant</w:t>
      </w:r>
      <w:r>
        <w:rPr>
          <w:spacing w:val="1"/>
        </w:rPr>
        <w:t> </w:t>
      </w:r>
      <w:r>
        <w:rPr/>
        <w:t>difference in the performance of the variables. The results as presented in Table 3.6</w:t>
      </w:r>
      <w:r>
        <w:rPr>
          <w:spacing w:val="1"/>
        </w:rPr>
        <w:t> </w:t>
      </w:r>
      <w:r>
        <w:rPr/>
        <w:t>indicated that the P-values (0.000) were less than 0.05. This therefore, implied that</w:t>
      </w:r>
      <w:r>
        <w:rPr>
          <w:spacing w:val="1"/>
        </w:rPr>
        <w:t> </w:t>
      </w:r>
      <w:r>
        <w:rPr/>
        <w:t>temperature,</w:t>
      </w:r>
      <w:r>
        <w:rPr>
          <w:spacing w:val="-4"/>
        </w:rPr>
        <w:t> </w:t>
      </w:r>
      <w:r>
        <w:rPr/>
        <w:t>time and</w:t>
      </w:r>
      <w:r>
        <w:rPr>
          <w:spacing w:val="1"/>
        </w:rPr>
        <w:t> </w:t>
      </w:r>
      <w:r>
        <w:rPr/>
        <w:t>catalyst</w:t>
      </w:r>
      <w:r>
        <w:rPr>
          <w:spacing w:val="-3"/>
        </w:rPr>
        <w:t> </w:t>
      </w:r>
      <w:r>
        <w:rPr/>
        <w:t>had significant</w:t>
      </w:r>
      <w:r>
        <w:rPr>
          <w:spacing w:val="-3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acetylation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corn</w:t>
      </w:r>
      <w:r>
        <w:rPr>
          <w:spacing w:val="-2"/>
        </w:rPr>
        <w:t> </w:t>
      </w:r>
      <w:r>
        <w:rPr/>
        <w:t>cob.</w:t>
      </w:r>
    </w:p>
    <w:p>
      <w:pPr>
        <w:pStyle w:val="BodyText"/>
        <w:spacing w:line="480" w:lineRule="auto"/>
        <w:ind w:left="1198" w:right="576" w:firstLine="719"/>
        <w:jc w:val="both"/>
      </w:pPr>
      <w:r>
        <w:rPr/>
        <w:t>To understand the effects of the individual variables on the extent of acetylation</w:t>
      </w:r>
      <w:r>
        <w:rPr>
          <w:spacing w:val="1"/>
        </w:rPr>
        <w:t> </w:t>
      </w:r>
      <w:r>
        <w:rPr/>
        <w:t>(EA),</w:t>
      </w:r>
      <w:r>
        <w:rPr>
          <w:spacing w:val="33"/>
        </w:rPr>
        <w:t> </w:t>
      </w:r>
      <w:r>
        <w:rPr/>
        <w:t>their</w:t>
      </w:r>
      <w:r>
        <w:rPr>
          <w:spacing w:val="35"/>
        </w:rPr>
        <w:t> </w:t>
      </w:r>
      <w:r>
        <w:rPr/>
        <w:t>statistical</w:t>
      </w:r>
      <w:r>
        <w:rPr>
          <w:spacing w:val="35"/>
        </w:rPr>
        <w:t> </w:t>
      </w:r>
      <w:r>
        <w:rPr/>
        <w:t>relationship</w:t>
      </w:r>
      <w:r>
        <w:rPr>
          <w:spacing w:val="34"/>
        </w:rPr>
        <w:t> </w:t>
      </w:r>
      <w:r>
        <w:rPr/>
        <w:t>were</w:t>
      </w:r>
      <w:r>
        <w:rPr>
          <w:spacing w:val="35"/>
        </w:rPr>
        <w:t> </w:t>
      </w:r>
      <w:r>
        <w:rPr/>
        <w:t>tested.</w:t>
      </w:r>
      <w:r>
        <w:rPr>
          <w:spacing w:val="33"/>
        </w:rPr>
        <w:t> </w:t>
      </w:r>
      <w:r>
        <w:rPr/>
        <w:t>Correlation</w:t>
      </w:r>
      <w:r>
        <w:rPr>
          <w:spacing w:val="37"/>
        </w:rPr>
        <w:t> </w:t>
      </w:r>
      <w:r>
        <w:rPr/>
        <w:t>results</w:t>
      </w:r>
      <w:r>
        <w:rPr>
          <w:spacing w:val="32"/>
        </w:rPr>
        <w:t> </w:t>
      </w:r>
      <w:r>
        <w:rPr/>
        <w:t>are</w:t>
      </w:r>
      <w:r>
        <w:rPr>
          <w:spacing w:val="35"/>
        </w:rPr>
        <w:t> </w:t>
      </w:r>
      <w:r>
        <w:rPr/>
        <w:t>presented</w:t>
      </w:r>
      <w:r>
        <w:rPr>
          <w:spacing w:val="34"/>
        </w:rPr>
        <w:t> </w:t>
      </w:r>
      <w:r>
        <w:rPr/>
        <w:t>in</w:t>
      </w:r>
      <w:r>
        <w:rPr>
          <w:spacing w:val="33"/>
        </w:rPr>
        <w:t> </w:t>
      </w:r>
      <w:r>
        <w:rPr/>
        <w:t>Table</w:t>
      </w:r>
    </w:p>
    <w:p>
      <w:pPr>
        <w:pStyle w:val="BodyText"/>
        <w:spacing w:line="480" w:lineRule="auto"/>
        <w:ind w:left="1198" w:right="575"/>
        <w:jc w:val="both"/>
      </w:pPr>
      <w:r>
        <w:rPr/>
        <w:t>3.7.</w:t>
      </w:r>
      <w:r>
        <w:rPr>
          <w:spacing w:val="33"/>
        </w:rPr>
        <w:t> </w:t>
      </w:r>
      <w:r>
        <w:rPr/>
        <w:t>The</w:t>
      </w:r>
      <w:r>
        <w:rPr>
          <w:spacing w:val="35"/>
        </w:rPr>
        <w:t> </w:t>
      </w:r>
      <w:r>
        <w:rPr/>
        <w:t>results</w:t>
      </w:r>
      <w:r>
        <w:rPr>
          <w:spacing w:val="32"/>
        </w:rPr>
        <w:t> </w:t>
      </w:r>
      <w:r>
        <w:rPr/>
        <w:t>showed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positive</w:t>
      </w:r>
      <w:r>
        <w:rPr>
          <w:spacing w:val="36"/>
        </w:rPr>
        <w:t> </w:t>
      </w:r>
      <w:r>
        <w:rPr/>
        <w:t>correlation</w:t>
      </w:r>
      <w:r>
        <w:rPr>
          <w:spacing w:val="34"/>
        </w:rPr>
        <w:t> </w:t>
      </w:r>
      <w:r>
        <w:rPr/>
        <w:t>between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effects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temperature,</w:t>
      </w:r>
      <w:r>
        <w:rPr>
          <w:spacing w:val="33"/>
        </w:rPr>
        <w:t> </w:t>
      </w:r>
      <w:r>
        <w:rPr/>
        <w:t>time</w:t>
      </w:r>
      <w:r>
        <w:rPr>
          <w:spacing w:val="-73"/>
        </w:rPr>
        <w:t> </w:t>
      </w:r>
      <w:r>
        <w:rPr/>
        <w:t>and catalyst on extent of acetylation. It also showed that time had a very weak relationship</w:t>
      </w:r>
      <w:r>
        <w:rPr>
          <w:spacing w:val="-72"/>
        </w:rPr>
        <w:t> </w:t>
      </w:r>
      <w:r>
        <w:rPr/>
        <w:t>with EA, but temperature and catalyst had a moderate relationship. This showed that on</w:t>
      </w:r>
      <w:r>
        <w:rPr>
          <w:spacing w:val="1"/>
        </w:rPr>
        <w:t> </w:t>
      </w:r>
      <w:r>
        <w:rPr/>
        <w:t>increasing temperature and catalyst concentration, the extent of acetylation would as well</w:t>
      </w:r>
      <w:r>
        <w:rPr>
          <w:spacing w:val="1"/>
        </w:rPr>
        <w:t> </w:t>
      </w:r>
      <w:r>
        <w:rPr/>
        <w:t>increase.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spacing w:before="75"/>
        <w:ind w:left="1272"/>
      </w:pPr>
      <w:r>
        <w:rPr/>
        <w:t>Table</w:t>
      </w:r>
      <w:r>
        <w:rPr>
          <w:spacing w:val="-4"/>
        </w:rPr>
        <w:t> </w:t>
      </w:r>
      <w:r>
        <w:rPr/>
        <w:t>3.6:</w:t>
      </w:r>
      <w:r>
        <w:rPr>
          <w:spacing w:val="28"/>
        </w:rPr>
        <w:t> </w:t>
      </w:r>
      <w:r>
        <w:rPr/>
        <w:t>Anova</w:t>
      </w:r>
      <w:r>
        <w:rPr>
          <w:spacing w:val="-2"/>
        </w:rPr>
        <w:t> </w:t>
      </w:r>
      <w:r>
        <w:rPr/>
        <w:t>results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corn</w:t>
      </w:r>
      <w:r>
        <w:rPr>
          <w:spacing w:val="-3"/>
        </w:rPr>
        <w:t> </w:t>
      </w:r>
      <w:r>
        <w:rPr/>
        <w:t>cob</w:t>
      </w:r>
      <w:r>
        <w:rPr>
          <w:spacing w:val="-4"/>
        </w:rPr>
        <w:t> </w:t>
      </w:r>
      <w:r>
        <w:rPr/>
        <w:t>extent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acetylation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20" w:lineRule="exact"/>
        <w:ind w:left="1198"/>
        <w:rPr>
          <w:sz w:val="2"/>
        </w:rPr>
      </w:pPr>
      <w:r>
        <w:rPr>
          <w:sz w:val="2"/>
        </w:rPr>
        <w:pict>
          <v:group style="width:446.6pt;height:.5pt;mso-position-horizontal-relative:char;mso-position-vertical-relative:line" coordorigin="0,0" coordsize="8932,10">
            <v:shape style="position:absolute;left:0;top:0;width:8932;height:10" coordorigin="0,0" coordsize="8932,10" path="m2669,0l1013,0,1003,0,1003,0,0,0,0,10,1003,10,1003,10,1013,10,2669,10,2669,0xm4119,0l4109,0,2679,0,2669,0,2669,10,2679,10,4109,10,4119,10,4119,0xm5118,0l5108,0,5108,0,4119,0,4119,10,5108,10,5108,10,5118,10,5118,0xm7489,0l6500,0,6491,0,5118,0,5118,10,6491,10,6500,10,7489,10,7489,0xm8932,0l7499,0,7490,0,7490,10,7499,10,8932,10,893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before="47"/>
        <w:ind w:left="4210"/>
      </w:pPr>
      <w:r>
        <w:rPr/>
        <w:t>Sum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tabs>
          <w:tab w:pos="5686" w:val="left" w:leader="none"/>
        </w:tabs>
        <w:spacing w:before="32"/>
        <w:ind w:left="4162"/>
      </w:pPr>
      <w:r>
        <w:rPr/>
        <w:t>Squares</w:t>
        <w:tab/>
      </w:r>
      <w:r>
        <w:rPr>
          <w:spacing w:val="-3"/>
        </w:rPr>
        <w:t>Df</w:t>
      </w:r>
    </w:p>
    <w:p>
      <w:pPr>
        <w:pStyle w:val="BodyText"/>
        <w:spacing w:before="47"/>
        <w:ind w:left="745"/>
      </w:pPr>
      <w:r>
        <w:rPr/>
        <w:br w:type="column"/>
      </w:r>
      <w:r>
        <w:rPr/>
        <w:t>Mean</w:t>
      </w:r>
    </w:p>
    <w:p>
      <w:pPr>
        <w:pStyle w:val="BodyText"/>
        <w:tabs>
          <w:tab w:pos="2158" w:val="left" w:leader="none"/>
          <w:tab w:pos="3140" w:val="left" w:leader="none"/>
        </w:tabs>
        <w:spacing w:before="32"/>
        <w:ind w:left="661"/>
      </w:pPr>
      <w:r>
        <w:rPr/>
        <w:t>Square</w:t>
        <w:tab/>
        <w:t>F</w:t>
        <w:tab/>
        <w:t>Sig.</w:t>
      </w:r>
      <w:r>
        <w:rPr>
          <w:spacing w:val="-1"/>
        </w:rPr>
        <w:t> </w:t>
      </w:r>
      <w:r>
        <w:rPr/>
        <w:t>P</w:t>
      </w:r>
    </w:p>
    <w:p>
      <w:pPr>
        <w:spacing w:after="0"/>
        <w:sectPr>
          <w:type w:val="continuous"/>
          <w:pgSz w:w="11910" w:h="16840"/>
          <w:pgMar w:top="1580" w:bottom="1180" w:left="420" w:right="0"/>
          <w:cols w:num="2" w:equalWidth="0">
            <w:col w:w="5927" w:space="40"/>
            <w:col w:w="5523"/>
          </w:cols>
        </w:sectPr>
      </w:pPr>
    </w:p>
    <w:p>
      <w:pPr>
        <w:pStyle w:val="BodyText"/>
        <w:spacing w:before="7"/>
        <w:rPr>
          <w:sz w:val="2"/>
        </w:rPr>
      </w:pPr>
    </w:p>
    <w:p>
      <w:pPr>
        <w:pStyle w:val="BodyText"/>
        <w:spacing w:line="20" w:lineRule="exact"/>
        <w:ind w:left="1198"/>
        <w:rPr>
          <w:sz w:val="2"/>
        </w:rPr>
      </w:pPr>
      <w:r>
        <w:rPr>
          <w:sz w:val="2"/>
        </w:rPr>
        <w:pict>
          <v:group style="width:446.6pt;height:.5pt;mso-position-horizontal-relative:char;mso-position-vertical-relative:line" coordorigin="0,0" coordsize="8932,10">
            <v:shape style="position:absolute;left:0;top:0;width:8932;height:10" coordorigin="0,0" coordsize="8932,10" path="m2669,0l1013,0,1003,0,1003,0,0,0,0,10,1003,10,1003,10,1013,10,2669,10,2669,0xm4119,0l4109,0,2679,0,2669,0,2669,10,2679,10,4109,10,4119,10,4119,0xm5118,0l5108,0,5108,0,4119,0,4119,10,5108,10,5108,10,5118,10,5118,0xm7489,0l6500,0,6491,0,5118,0,5118,10,6491,10,6500,10,7489,10,7489,0xm8932,0l7499,0,7490,0,7490,10,7499,10,8932,10,893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2232" w:val="left" w:leader="none"/>
        </w:tabs>
        <w:spacing w:before="100"/>
        <w:ind w:left="1229"/>
      </w:pPr>
      <w:r>
        <w:rPr/>
        <w:pict>
          <v:shape style="position:absolute;margin-left:79.463997pt;margin-top:-3.040025pt;width:448.05pt;height:208.85pt;mso-position-horizontal-relative:page;mso-position-vertical-relative:paragraph;z-index:1576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2"/>
                    <w:gridCol w:w="1024"/>
                    <w:gridCol w:w="1191"/>
                    <w:gridCol w:w="1220"/>
                    <w:gridCol w:w="982"/>
                  </w:tblGrid>
                  <w:tr>
                    <w:trPr>
                      <w:trHeight w:val="414" w:hRule="atLeast"/>
                    </w:trPr>
                    <w:tc>
                      <w:tcPr>
                        <w:tcW w:w="4542" w:type="dxa"/>
                      </w:tcPr>
                      <w:p>
                        <w:pPr>
                          <w:pStyle w:val="TableParagraph"/>
                          <w:tabs>
                            <w:tab w:pos="3581" w:val="left" w:leader="none"/>
                          </w:tabs>
                          <w:spacing w:line="79" w:lineRule="auto"/>
                          <w:ind w:left="0" w:right="4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Effect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Between</w:t>
                          <w:tab/>
                        </w:r>
                        <w:r>
                          <w:rPr>
                            <w:position w:val="-15"/>
                            <w:sz w:val="24"/>
                          </w:rPr>
                          <w:t>.006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 w:right="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 w:right="2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.002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 w:right="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4542" w:type="dxa"/>
                      </w:tcPr>
                      <w:p>
                        <w:pPr>
                          <w:pStyle w:val="TableParagraph"/>
                          <w:tabs>
                            <w:tab w:pos="2578" w:val="left" w:leader="none"/>
                          </w:tabs>
                          <w:spacing w:line="240" w:lineRule="auto" w:before="125"/>
                          <w:ind w:left="0" w:right="4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Within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Groups</w:t>
                          <w:tab/>
                          <w:t>.000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0" w:right="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0" w:right="2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4542" w:type="dxa"/>
                      </w:tcPr>
                      <w:p>
                        <w:pPr>
                          <w:pStyle w:val="TableParagraph"/>
                          <w:tabs>
                            <w:tab w:pos="2578" w:val="left" w:leader="none"/>
                          </w:tabs>
                          <w:spacing w:line="240" w:lineRule="auto" w:before="44"/>
                          <w:ind w:left="0" w:right="4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  <w:tab/>
                          <w:t>.006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0" w:right="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4542" w:type="dxa"/>
                      </w:tcPr>
                      <w:p>
                        <w:pPr>
                          <w:pStyle w:val="TableParagraph"/>
                          <w:tabs>
                            <w:tab w:pos="3581" w:val="left" w:leader="none"/>
                          </w:tabs>
                          <w:spacing w:line="206" w:lineRule="auto"/>
                          <w:ind w:left="0" w:right="4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Effect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Between</w:t>
                          <w:tab/>
                        </w:r>
                        <w:r>
                          <w:rPr>
                            <w:position w:val="-15"/>
                            <w:sz w:val="24"/>
                          </w:rPr>
                          <w:t>.005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0" w:right="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0" w:right="2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.001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0" w:right="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</w:tr>
                  <w:tr>
                    <w:trPr>
                      <w:trHeight w:val="461" w:hRule="atLeast"/>
                    </w:trPr>
                    <w:tc>
                      <w:tcPr>
                        <w:tcW w:w="4542" w:type="dxa"/>
                      </w:tcPr>
                      <w:p>
                        <w:pPr>
                          <w:pStyle w:val="TableParagraph"/>
                          <w:tabs>
                            <w:tab w:pos="2578" w:val="left" w:leader="none"/>
                          </w:tabs>
                          <w:spacing w:line="240" w:lineRule="auto" w:before="125"/>
                          <w:ind w:left="0" w:right="4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Within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Groups</w:t>
                          <w:tab/>
                          <w:t>.000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0" w:right="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0" w:right="2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4542" w:type="dxa"/>
                      </w:tcPr>
                      <w:p>
                        <w:pPr>
                          <w:pStyle w:val="TableParagraph"/>
                          <w:tabs>
                            <w:tab w:pos="2578" w:val="left" w:leader="none"/>
                          </w:tabs>
                          <w:spacing w:line="240" w:lineRule="auto" w:before="46"/>
                          <w:ind w:left="0" w:right="4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  <w:tab/>
                          <w:t>.005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0" w:right="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4542" w:type="dxa"/>
                      </w:tcPr>
                      <w:p>
                        <w:pPr>
                          <w:pStyle w:val="TableParagraph"/>
                          <w:tabs>
                            <w:tab w:pos="3581" w:val="left" w:leader="none"/>
                          </w:tabs>
                          <w:spacing w:line="204" w:lineRule="auto"/>
                          <w:ind w:left="0" w:right="4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Effect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Between</w:t>
                          <w:tab/>
                        </w:r>
                        <w:r>
                          <w:rPr>
                            <w:position w:val="-15"/>
                            <w:sz w:val="24"/>
                          </w:rPr>
                          <w:t>.138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0" w:right="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0" w:right="2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.034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0" w:right="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4542" w:type="dxa"/>
                      </w:tcPr>
                      <w:p>
                        <w:pPr>
                          <w:pStyle w:val="TableParagraph"/>
                          <w:tabs>
                            <w:tab w:pos="2578" w:val="left" w:leader="none"/>
                          </w:tabs>
                          <w:spacing w:line="240" w:lineRule="auto" w:before="125"/>
                          <w:ind w:left="0" w:right="4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Within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Groups</w:t>
                          <w:tab/>
                          <w:t>.000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0" w:right="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0" w:right="2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45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578" w:val="left" w:leader="none"/>
                          </w:tabs>
                          <w:spacing w:line="240" w:lineRule="auto" w:before="44"/>
                          <w:ind w:left="0" w:right="4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  <w:tab/>
                          <w:t>.138</w:t>
                        </w:r>
                      </w:p>
                    </w:tc>
                    <w:tc>
                      <w:tcPr>
                        <w:tcW w:w="102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0" w:right="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19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8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Time</w:t>
        <w:tab/>
        <w:t>Groups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tabs>
          <w:tab w:pos="2232" w:val="left" w:leader="none"/>
        </w:tabs>
        <w:spacing w:before="100"/>
        <w:ind w:left="1229"/>
      </w:pPr>
      <w:r>
        <w:rPr/>
        <w:t>Temp</w:t>
        <w:tab/>
        <w:t>Groups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00"/>
        <w:ind w:left="1229"/>
      </w:pPr>
      <w:r>
        <w:rPr/>
        <w:t>Catalyst</w:t>
      </w:r>
      <w:r>
        <w:rPr>
          <w:spacing w:val="81"/>
        </w:rPr>
        <w:t> </w:t>
      </w:r>
      <w:r>
        <w:rPr/>
        <w:t>Groups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2637" w:val="left" w:leader="none"/>
        </w:tabs>
        <w:spacing w:line="480" w:lineRule="auto" w:after="13"/>
        <w:ind w:left="1198" w:right="583"/>
      </w:pPr>
      <w:r>
        <w:rPr/>
        <w:t>Table</w:t>
      </w:r>
      <w:r>
        <w:rPr>
          <w:spacing w:val="-2"/>
        </w:rPr>
        <w:t> </w:t>
      </w:r>
      <w:r>
        <w:rPr/>
        <w:t>3.7:</w:t>
        <w:tab/>
        <w:t>Correlation</w:t>
      </w:r>
      <w:r>
        <w:rPr>
          <w:spacing w:val="22"/>
        </w:rPr>
        <w:t> </w:t>
      </w:r>
      <w:r>
        <w:rPr/>
        <w:t>for</w:t>
      </w:r>
      <w:r>
        <w:rPr>
          <w:spacing w:val="25"/>
        </w:rPr>
        <w:t> </w:t>
      </w:r>
      <w:r>
        <w:rPr/>
        <w:t>effect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time,</w:t>
      </w:r>
      <w:r>
        <w:rPr>
          <w:spacing w:val="21"/>
        </w:rPr>
        <w:t> </w:t>
      </w:r>
      <w:r>
        <w:rPr/>
        <w:t>temperature,</w:t>
      </w:r>
      <w:r>
        <w:rPr>
          <w:spacing w:val="24"/>
        </w:rPr>
        <w:t> </w:t>
      </w:r>
      <w:r>
        <w:rPr/>
        <w:t>catalyst</w:t>
      </w:r>
      <w:r>
        <w:rPr>
          <w:spacing w:val="22"/>
        </w:rPr>
        <w:t> </w:t>
      </w:r>
      <w:r>
        <w:rPr/>
        <w:t>on</w:t>
      </w:r>
      <w:r>
        <w:rPr>
          <w:spacing w:val="25"/>
        </w:rPr>
        <w:t> </w:t>
      </w:r>
      <w:r>
        <w:rPr/>
        <w:t>extent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acetylation</w:t>
      </w:r>
      <w:r>
        <w:rPr>
          <w:spacing w:val="-72"/>
        </w:rPr>
        <w:t> </w:t>
      </w:r>
      <w:r>
        <w:rPr/>
        <w:t>of</w:t>
      </w:r>
      <w:r>
        <w:rPr>
          <w:spacing w:val="-2"/>
        </w:rPr>
        <w:t> </w:t>
      </w:r>
      <w:r>
        <w:rPr/>
        <w:t>corn</w:t>
      </w:r>
      <w:r>
        <w:rPr>
          <w:spacing w:val="-1"/>
        </w:rPr>
        <w:t> </w:t>
      </w:r>
      <w:r>
        <w:rPr/>
        <w:t>cob</w:t>
      </w:r>
    </w:p>
    <w:tbl>
      <w:tblPr>
        <w:tblW w:w="0" w:type="auto"/>
        <w:jc w:val="left"/>
        <w:tblInd w:w="1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3"/>
        <w:gridCol w:w="1203"/>
        <w:gridCol w:w="1249"/>
        <w:gridCol w:w="1159"/>
        <w:gridCol w:w="1203"/>
        <w:gridCol w:w="1502"/>
        <w:gridCol w:w="1185"/>
      </w:tblGrid>
      <w:tr>
        <w:trPr>
          <w:trHeight w:val="577" w:hRule="atLeast"/>
        </w:trPr>
        <w:tc>
          <w:tcPr>
            <w:tcW w:w="146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0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236"/>
              <w:rPr>
                <w:sz w:val="25"/>
              </w:rPr>
            </w:pPr>
            <w:r>
              <w:rPr>
                <w:sz w:val="25"/>
              </w:rPr>
              <w:t>TIME</w:t>
            </w:r>
          </w:p>
        </w:tc>
        <w:tc>
          <w:tcPr>
            <w:tcW w:w="124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238"/>
              <w:rPr>
                <w:sz w:val="25"/>
              </w:rPr>
            </w:pPr>
            <w:r>
              <w:rPr>
                <w:sz w:val="25"/>
              </w:rPr>
              <w:t>θ1</w:t>
            </w:r>
          </w:p>
        </w:tc>
        <w:tc>
          <w:tcPr>
            <w:tcW w:w="115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191"/>
              <w:rPr>
                <w:sz w:val="25"/>
              </w:rPr>
            </w:pPr>
            <w:r>
              <w:rPr>
                <w:sz w:val="25"/>
              </w:rPr>
              <w:t>TEMP</w:t>
            </w:r>
          </w:p>
        </w:tc>
        <w:tc>
          <w:tcPr>
            <w:tcW w:w="120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235"/>
              <w:rPr>
                <w:sz w:val="25"/>
              </w:rPr>
            </w:pPr>
            <w:r>
              <w:rPr>
                <w:sz w:val="25"/>
              </w:rPr>
              <w:t>θ2</w:t>
            </w:r>
          </w:p>
        </w:tc>
        <w:tc>
          <w:tcPr>
            <w:tcW w:w="150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235"/>
              <w:rPr>
                <w:sz w:val="25"/>
              </w:rPr>
            </w:pPr>
            <w:r>
              <w:rPr>
                <w:sz w:val="25"/>
              </w:rPr>
              <w:t>CATALYST</w:t>
            </w:r>
          </w:p>
        </w:tc>
        <w:tc>
          <w:tcPr>
            <w:tcW w:w="118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156"/>
              <w:rPr>
                <w:sz w:val="25"/>
              </w:rPr>
            </w:pPr>
            <w:r>
              <w:rPr>
                <w:sz w:val="25"/>
              </w:rPr>
              <w:t>θ3</w:t>
            </w:r>
          </w:p>
        </w:tc>
      </w:tr>
      <w:tr>
        <w:trPr>
          <w:trHeight w:val="433" w:hRule="atLeast"/>
        </w:trPr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9" w:lineRule="exact"/>
              <w:ind w:left="122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12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9" w:lineRule="exact"/>
              <w:ind w:left="2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578" w:hRule="atLeast"/>
        </w:trPr>
        <w:tc>
          <w:tcPr>
            <w:tcW w:w="1463" w:type="dxa"/>
          </w:tcPr>
          <w:p>
            <w:pPr>
              <w:pStyle w:val="TableParagraph"/>
              <w:spacing w:line="240" w:lineRule="auto" w:before="144"/>
              <w:ind w:left="122"/>
              <w:rPr>
                <w:sz w:val="24"/>
              </w:rPr>
            </w:pPr>
            <w:r>
              <w:rPr>
                <w:sz w:val="24"/>
              </w:rPr>
              <w:t>θ1</w:t>
            </w:r>
          </w:p>
        </w:tc>
        <w:tc>
          <w:tcPr>
            <w:tcW w:w="1203" w:type="dxa"/>
          </w:tcPr>
          <w:p>
            <w:pPr>
              <w:pStyle w:val="TableParagraph"/>
              <w:spacing w:line="240" w:lineRule="auto" w:before="144"/>
              <w:ind w:left="236"/>
              <w:rPr>
                <w:sz w:val="24"/>
              </w:rPr>
            </w:pPr>
            <w:r>
              <w:rPr>
                <w:sz w:val="24"/>
              </w:rPr>
              <w:t>0.0397</w:t>
            </w:r>
          </w:p>
        </w:tc>
        <w:tc>
          <w:tcPr>
            <w:tcW w:w="1249" w:type="dxa"/>
          </w:tcPr>
          <w:p>
            <w:pPr>
              <w:pStyle w:val="TableParagraph"/>
              <w:spacing w:line="240" w:lineRule="auto" w:before="144"/>
              <w:ind w:left="2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9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579" w:hRule="atLeast"/>
        </w:trPr>
        <w:tc>
          <w:tcPr>
            <w:tcW w:w="1463" w:type="dxa"/>
          </w:tcPr>
          <w:p>
            <w:pPr>
              <w:pStyle w:val="TableParagraph"/>
              <w:spacing w:line="240" w:lineRule="auto" w:before="144"/>
              <w:ind w:left="122"/>
              <w:rPr>
                <w:sz w:val="24"/>
              </w:rPr>
            </w:pPr>
            <w:r>
              <w:rPr>
                <w:sz w:val="24"/>
              </w:rPr>
              <w:t>TEMP</w:t>
            </w:r>
          </w:p>
        </w:tc>
        <w:tc>
          <w:tcPr>
            <w:tcW w:w="1203" w:type="dxa"/>
          </w:tcPr>
          <w:p>
            <w:pPr>
              <w:pStyle w:val="TableParagraph"/>
              <w:spacing w:line="240" w:lineRule="auto" w:before="144"/>
              <w:ind w:left="236"/>
              <w:rPr>
                <w:sz w:val="24"/>
              </w:rPr>
            </w:pPr>
            <w:r>
              <w:rPr>
                <w:sz w:val="24"/>
              </w:rPr>
              <w:t>0.9965</w:t>
            </w:r>
          </w:p>
        </w:tc>
        <w:tc>
          <w:tcPr>
            <w:tcW w:w="1249" w:type="dxa"/>
          </w:tcPr>
          <w:p>
            <w:pPr>
              <w:pStyle w:val="TableParagraph"/>
              <w:spacing w:line="240" w:lineRule="auto" w:before="144"/>
              <w:ind w:left="238"/>
              <w:rPr>
                <w:sz w:val="24"/>
              </w:rPr>
            </w:pPr>
            <w:r>
              <w:rPr>
                <w:sz w:val="24"/>
              </w:rPr>
              <w:t>0.0660</w:t>
            </w:r>
          </w:p>
        </w:tc>
        <w:tc>
          <w:tcPr>
            <w:tcW w:w="1159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579" w:hRule="atLeast"/>
        </w:trPr>
        <w:tc>
          <w:tcPr>
            <w:tcW w:w="1463" w:type="dxa"/>
          </w:tcPr>
          <w:p>
            <w:pPr>
              <w:pStyle w:val="TableParagraph"/>
              <w:spacing w:line="240" w:lineRule="auto" w:before="146"/>
              <w:ind w:left="122"/>
              <w:rPr>
                <w:sz w:val="24"/>
              </w:rPr>
            </w:pPr>
            <w:r>
              <w:rPr>
                <w:sz w:val="24"/>
              </w:rPr>
              <w:t>θ2</w:t>
            </w:r>
          </w:p>
        </w:tc>
        <w:tc>
          <w:tcPr>
            <w:tcW w:w="1203" w:type="dxa"/>
          </w:tcPr>
          <w:p>
            <w:pPr>
              <w:pStyle w:val="TableParagraph"/>
              <w:spacing w:line="240" w:lineRule="auto" w:before="146"/>
              <w:ind w:left="236"/>
              <w:rPr>
                <w:sz w:val="24"/>
              </w:rPr>
            </w:pPr>
            <w:r>
              <w:rPr>
                <w:sz w:val="24"/>
              </w:rPr>
              <w:t>0.3130</w:t>
            </w:r>
          </w:p>
        </w:tc>
        <w:tc>
          <w:tcPr>
            <w:tcW w:w="1249" w:type="dxa"/>
          </w:tcPr>
          <w:p>
            <w:pPr>
              <w:pStyle w:val="TableParagraph"/>
              <w:spacing w:line="240" w:lineRule="auto" w:before="146"/>
              <w:ind w:left="238"/>
              <w:rPr>
                <w:sz w:val="24"/>
              </w:rPr>
            </w:pPr>
            <w:r>
              <w:rPr>
                <w:sz w:val="24"/>
              </w:rPr>
              <w:t>-0.5514</w:t>
            </w:r>
          </w:p>
        </w:tc>
        <w:tc>
          <w:tcPr>
            <w:tcW w:w="1159" w:type="dxa"/>
          </w:tcPr>
          <w:p>
            <w:pPr>
              <w:pStyle w:val="TableParagraph"/>
              <w:spacing w:line="240" w:lineRule="auto" w:before="146"/>
              <w:ind w:left="191"/>
              <w:rPr>
                <w:sz w:val="24"/>
              </w:rPr>
            </w:pPr>
            <w:r>
              <w:rPr>
                <w:sz w:val="24"/>
              </w:rPr>
              <w:t>0.2414</w:t>
            </w:r>
          </w:p>
        </w:tc>
        <w:tc>
          <w:tcPr>
            <w:tcW w:w="1203" w:type="dxa"/>
          </w:tcPr>
          <w:p>
            <w:pPr>
              <w:pStyle w:val="TableParagraph"/>
              <w:spacing w:line="240" w:lineRule="auto" w:before="146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579" w:hRule="atLeast"/>
        </w:trPr>
        <w:tc>
          <w:tcPr>
            <w:tcW w:w="1463" w:type="dxa"/>
          </w:tcPr>
          <w:p>
            <w:pPr>
              <w:pStyle w:val="TableParagraph"/>
              <w:spacing w:line="240" w:lineRule="auto" w:before="144"/>
              <w:ind w:left="122"/>
              <w:rPr>
                <w:sz w:val="24"/>
              </w:rPr>
            </w:pPr>
            <w:r>
              <w:rPr>
                <w:sz w:val="24"/>
              </w:rPr>
              <w:t>CATALYST</w:t>
            </w:r>
          </w:p>
        </w:tc>
        <w:tc>
          <w:tcPr>
            <w:tcW w:w="1203" w:type="dxa"/>
          </w:tcPr>
          <w:p>
            <w:pPr>
              <w:pStyle w:val="TableParagraph"/>
              <w:spacing w:line="240" w:lineRule="auto" w:before="144"/>
              <w:ind w:left="2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9" w:type="dxa"/>
          </w:tcPr>
          <w:p>
            <w:pPr>
              <w:pStyle w:val="TableParagraph"/>
              <w:spacing w:line="240" w:lineRule="auto" w:before="144"/>
              <w:ind w:left="238"/>
              <w:rPr>
                <w:sz w:val="24"/>
              </w:rPr>
            </w:pPr>
            <w:r>
              <w:rPr>
                <w:sz w:val="24"/>
              </w:rPr>
              <w:t>0.0397</w:t>
            </w:r>
          </w:p>
        </w:tc>
        <w:tc>
          <w:tcPr>
            <w:tcW w:w="1159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0.9965</w:t>
            </w:r>
          </w:p>
        </w:tc>
        <w:tc>
          <w:tcPr>
            <w:tcW w:w="1203" w:type="dxa"/>
          </w:tcPr>
          <w:p>
            <w:pPr>
              <w:pStyle w:val="TableParagraph"/>
              <w:spacing w:line="240" w:lineRule="auto" w:before="144"/>
              <w:ind w:left="235"/>
              <w:rPr>
                <w:sz w:val="24"/>
              </w:rPr>
            </w:pPr>
            <w:r>
              <w:rPr>
                <w:sz w:val="24"/>
              </w:rPr>
              <w:t>0.3130</w:t>
            </w:r>
          </w:p>
        </w:tc>
        <w:tc>
          <w:tcPr>
            <w:tcW w:w="1502" w:type="dxa"/>
          </w:tcPr>
          <w:p>
            <w:pPr>
              <w:pStyle w:val="TableParagraph"/>
              <w:spacing w:line="240" w:lineRule="auto" w:before="144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435" w:hRule="atLeast"/>
        </w:trPr>
        <w:tc>
          <w:tcPr>
            <w:tcW w:w="1463" w:type="dxa"/>
          </w:tcPr>
          <w:p>
            <w:pPr>
              <w:pStyle w:val="TableParagraph"/>
              <w:spacing w:line="270" w:lineRule="exact" w:before="145"/>
              <w:ind w:left="122"/>
              <w:rPr>
                <w:sz w:val="24"/>
              </w:rPr>
            </w:pPr>
            <w:r>
              <w:rPr>
                <w:sz w:val="24"/>
              </w:rPr>
              <w:t>θ3</w:t>
            </w:r>
          </w:p>
        </w:tc>
        <w:tc>
          <w:tcPr>
            <w:tcW w:w="1203" w:type="dxa"/>
          </w:tcPr>
          <w:p>
            <w:pPr>
              <w:pStyle w:val="TableParagraph"/>
              <w:spacing w:line="270" w:lineRule="exact" w:before="145"/>
              <w:ind w:left="236"/>
              <w:rPr>
                <w:sz w:val="24"/>
              </w:rPr>
            </w:pPr>
            <w:r>
              <w:rPr>
                <w:sz w:val="24"/>
              </w:rPr>
              <w:t>0.4262</w:t>
            </w:r>
          </w:p>
        </w:tc>
        <w:tc>
          <w:tcPr>
            <w:tcW w:w="1249" w:type="dxa"/>
          </w:tcPr>
          <w:p>
            <w:pPr>
              <w:pStyle w:val="TableParagraph"/>
              <w:spacing w:line="270" w:lineRule="exact" w:before="145"/>
              <w:ind w:left="238"/>
              <w:rPr>
                <w:sz w:val="24"/>
              </w:rPr>
            </w:pPr>
            <w:r>
              <w:rPr>
                <w:sz w:val="24"/>
              </w:rPr>
              <w:t>-0.7494</w:t>
            </w:r>
          </w:p>
        </w:tc>
        <w:tc>
          <w:tcPr>
            <w:tcW w:w="1159" w:type="dxa"/>
          </w:tcPr>
          <w:p>
            <w:pPr>
              <w:pStyle w:val="TableParagraph"/>
              <w:spacing w:line="270" w:lineRule="exact" w:before="145"/>
              <w:ind w:left="191"/>
              <w:rPr>
                <w:sz w:val="24"/>
              </w:rPr>
            </w:pPr>
            <w:r>
              <w:rPr>
                <w:sz w:val="24"/>
              </w:rPr>
              <w:t>0.3681</w:t>
            </w:r>
          </w:p>
        </w:tc>
        <w:tc>
          <w:tcPr>
            <w:tcW w:w="1203" w:type="dxa"/>
          </w:tcPr>
          <w:p>
            <w:pPr>
              <w:pStyle w:val="TableParagraph"/>
              <w:spacing w:line="270" w:lineRule="exact" w:before="145"/>
              <w:ind w:left="235"/>
              <w:rPr>
                <w:sz w:val="24"/>
              </w:rPr>
            </w:pPr>
            <w:r>
              <w:rPr>
                <w:sz w:val="24"/>
              </w:rPr>
              <w:t>0.9302</w:t>
            </w:r>
          </w:p>
        </w:tc>
        <w:tc>
          <w:tcPr>
            <w:tcW w:w="1502" w:type="dxa"/>
          </w:tcPr>
          <w:p>
            <w:pPr>
              <w:pStyle w:val="TableParagraph"/>
              <w:spacing w:line="270" w:lineRule="exact" w:before="145"/>
              <w:ind w:left="235"/>
              <w:rPr>
                <w:sz w:val="24"/>
              </w:rPr>
            </w:pPr>
            <w:r>
              <w:rPr>
                <w:sz w:val="24"/>
              </w:rPr>
              <w:t>0.4262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 w:before="145"/>
              <w:ind w:left="1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10"/>
        <w:rPr>
          <w:sz w:val="20"/>
        </w:rPr>
      </w:pPr>
      <w:r>
        <w:rPr/>
        <w:pict>
          <v:shape style="position:absolute;margin-left:79.464005pt;margin-top:14.520324pt;width:447pt;height:1pt;mso-position-horizontal-relative:page;mso-position-vertical-relative:paragraph;z-index:-15696384;mso-wrap-distance-left:0;mso-wrap-distance-right:0" coordorigin="1589,290" coordsize="8940,20" path="m4391,290l4386,290,4371,290,3185,290,3180,290,3166,290,1589,290,1589,310,3166,310,3180,310,3185,310,4371,310,4386,310,4391,310,4391,290xm6796,290l6791,290,6777,290,5593,290,5588,290,5574,290,4391,290,4391,310,5574,310,5588,310,5593,310,6777,310,6791,310,6796,310,6796,290xm9422,290l9417,290,9403,290,7998,290,7993,290,7979,290,6796,290,6796,310,7979,310,7993,310,7998,310,9403,310,9417,310,9422,310,9422,290xm10528,290l9422,290,9422,310,10528,310,10528,29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480" w:lineRule="auto"/>
        <w:ind w:left="1198"/>
      </w:pPr>
      <w:r>
        <w:rPr/>
        <w:t>Where</w:t>
      </w:r>
      <w:r>
        <w:rPr>
          <w:spacing w:val="39"/>
        </w:rPr>
        <w:t> </w:t>
      </w:r>
      <w:r>
        <w:rPr/>
        <w:t>ϴ1</w:t>
      </w:r>
      <w:r>
        <w:rPr>
          <w:spacing w:val="40"/>
        </w:rPr>
        <w:t> </w:t>
      </w:r>
      <w:r>
        <w:rPr/>
        <w:t>=</w:t>
      </w:r>
      <w:r>
        <w:rPr>
          <w:spacing w:val="39"/>
        </w:rPr>
        <w:t> </w:t>
      </w:r>
      <w:r>
        <w:rPr/>
        <w:t>EA</w:t>
      </w:r>
      <w:r>
        <w:rPr>
          <w:spacing w:val="38"/>
        </w:rPr>
        <w:t> </w:t>
      </w:r>
      <w:r>
        <w:rPr/>
        <w:t>for</w:t>
      </w:r>
      <w:r>
        <w:rPr>
          <w:spacing w:val="38"/>
        </w:rPr>
        <w:t> </w:t>
      </w:r>
      <w:r>
        <w:rPr/>
        <w:t>effect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time,</w:t>
      </w:r>
      <w:r>
        <w:rPr>
          <w:spacing w:val="38"/>
        </w:rPr>
        <w:t> </w:t>
      </w:r>
      <w:r>
        <w:rPr/>
        <w:t>ϴ2</w:t>
      </w:r>
      <w:r>
        <w:rPr>
          <w:spacing w:val="40"/>
        </w:rPr>
        <w:t> </w:t>
      </w:r>
      <w:r>
        <w:rPr/>
        <w:t>=</w:t>
      </w:r>
      <w:r>
        <w:rPr>
          <w:spacing w:val="39"/>
        </w:rPr>
        <w:t> </w:t>
      </w:r>
      <w:r>
        <w:rPr/>
        <w:t>EA</w:t>
      </w:r>
      <w:r>
        <w:rPr>
          <w:spacing w:val="39"/>
        </w:rPr>
        <w:t> </w:t>
      </w:r>
      <w:r>
        <w:rPr/>
        <w:t>for</w:t>
      </w:r>
      <w:r>
        <w:rPr>
          <w:spacing w:val="38"/>
        </w:rPr>
        <w:t> </w:t>
      </w:r>
      <w:r>
        <w:rPr/>
        <w:t>effect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temp,</w:t>
      </w:r>
      <w:r>
        <w:rPr>
          <w:spacing w:val="43"/>
        </w:rPr>
        <w:t> </w:t>
      </w:r>
      <w:r>
        <w:rPr/>
        <w:t>ϴ3</w:t>
      </w:r>
      <w:r>
        <w:rPr>
          <w:spacing w:val="40"/>
        </w:rPr>
        <w:t> </w:t>
      </w:r>
      <w:r>
        <w:rPr/>
        <w:t>=</w:t>
      </w:r>
      <w:r>
        <w:rPr>
          <w:spacing w:val="39"/>
        </w:rPr>
        <w:t> </w:t>
      </w:r>
      <w:r>
        <w:rPr/>
        <w:t>EA</w:t>
      </w:r>
      <w:r>
        <w:rPr>
          <w:spacing w:val="38"/>
        </w:rPr>
        <w:t> </w:t>
      </w:r>
      <w:r>
        <w:rPr/>
        <w:t>for</w:t>
      </w:r>
      <w:r>
        <w:rPr>
          <w:spacing w:val="38"/>
        </w:rPr>
        <w:t> </w:t>
      </w:r>
      <w:r>
        <w:rPr/>
        <w:t>effect</w:t>
      </w:r>
      <w:r>
        <w:rPr>
          <w:spacing w:val="37"/>
        </w:rPr>
        <w:t> </w:t>
      </w:r>
      <w:r>
        <w:rPr/>
        <w:t>of</w:t>
      </w:r>
      <w:r>
        <w:rPr>
          <w:spacing w:val="-72"/>
        </w:rPr>
        <w:t> </w:t>
      </w:r>
      <w:r>
        <w:rPr/>
        <w:t>catalyst</w:t>
      </w:r>
    </w:p>
    <w:p>
      <w:pPr>
        <w:spacing w:after="0" w:line="480" w:lineRule="auto"/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spacing w:line="480" w:lineRule="auto" w:before="75"/>
        <w:ind w:left="1198" w:right="57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catalyst,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acetylation were determined using a statistical predictive tool- regression and the results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Table 3.8,</w:t>
      </w:r>
    </w:p>
    <w:p>
      <w:pPr>
        <w:pStyle w:val="BodyText"/>
        <w:spacing w:line="480" w:lineRule="auto" w:before="2" w:after="6"/>
        <w:ind w:left="1198" w:right="576" w:firstLine="719"/>
        <w:jc w:val="both"/>
      </w:pPr>
      <w:r>
        <w:rPr/>
        <w:t>Table 3.8</w:t>
      </w:r>
      <w:r>
        <w:rPr>
          <w:spacing w:val="1"/>
        </w:rPr>
        <w:t> </w:t>
      </w:r>
      <w:r>
        <w:rPr/>
        <w:t>Regression analysis for the effect of catalyst, temperature and time on</w:t>
      </w:r>
      <w:r>
        <w:rPr>
          <w:spacing w:val="1"/>
        </w:rPr>
        <w:t> </w:t>
      </w:r>
      <w:r>
        <w:rPr/>
        <w:t>extent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acetylation</w:t>
      </w:r>
    </w:p>
    <w:tbl>
      <w:tblPr>
        <w:tblW w:w="0" w:type="auto"/>
        <w:jc w:val="left"/>
        <w:tblInd w:w="1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331"/>
        <w:gridCol w:w="1488"/>
        <w:gridCol w:w="1457"/>
        <w:gridCol w:w="1365"/>
        <w:gridCol w:w="1742"/>
      </w:tblGrid>
      <w:tr>
        <w:trPr>
          <w:trHeight w:val="580" w:hRule="atLeast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110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255"/>
              <w:rPr>
                <w:sz w:val="24"/>
              </w:rPr>
            </w:pPr>
            <w:r>
              <w:rPr>
                <w:sz w:val="24"/>
              </w:rPr>
              <w:t>Slope</w:t>
            </w:r>
          </w:p>
        </w:tc>
        <w:tc>
          <w:tcPr>
            <w:tcW w:w="14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8" w:lineRule="exact"/>
              <w:ind w:left="243" w:right="242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73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3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263"/>
              <w:rPr>
                <w:sz w:val="24"/>
              </w:rPr>
            </w:pPr>
            <w:r>
              <w:rPr>
                <w:sz w:val="24"/>
              </w:rPr>
              <w:t>t-stat</w:t>
            </w:r>
          </w:p>
        </w:tc>
        <w:tc>
          <w:tcPr>
            <w:tcW w:w="17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374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287" w:hRule="atLeast"/>
        </w:trPr>
        <w:tc>
          <w:tcPr>
            <w:tcW w:w="1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Catalyst</w:t>
            </w:r>
          </w:p>
        </w:tc>
        <w:tc>
          <w:tcPr>
            <w:tcW w:w="1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1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0.0613</w:t>
            </w:r>
          </w:p>
        </w:tc>
        <w:tc>
          <w:tcPr>
            <w:tcW w:w="13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0.816</w:t>
            </w:r>
          </w:p>
        </w:tc>
        <w:tc>
          <w:tcPr>
            <w:tcW w:w="17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74"/>
              <w:rPr>
                <w:sz w:val="24"/>
              </w:rPr>
            </w:pPr>
            <w:r>
              <w:rPr>
                <w:sz w:val="24"/>
              </w:rPr>
              <w:t>0.474</w:t>
            </w:r>
          </w:p>
        </w:tc>
      </w:tr>
      <w:tr>
        <w:trPr>
          <w:trHeight w:val="290" w:hRule="atLeast"/>
        </w:trPr>
        <w:tc>
          <w:tcPr>
            <w:tcW w:w="1589" w:type="dxa"/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Temperature</w:t>
            </w:r>
          </w:p>
        </w:tc>
        <w:tc>
          <w:tcPr>
            <w:tcW w:w="1331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88" w:type="dxa"/>
          </w:tcPr>
          <w:p>
            <w:pPr>
              <w:pStyle w:val="TableParagraph"/>
              <w:spacing w:line="270" w:lineRule="exact"/>
              <w:ind w:left="255"/>
              <w:rPr>
                <w:sz w:val="24"/>
              </w:rPr>
            </w:pPr>
            <w:r>
              <w:rPr>
                <w:sz w:val="24"/>
              </w:rPr>
              <w:t>0.0002</w:t>
            </w:r>
          </w:p>
        </w:tc>
        <w:tc>
          <w:tcPr>
            <w:tcW w:w="1457" w:type="dxa"/>
          </w:tcPr>
          <w:p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  <w:tc>
          <w:tcPr>
            <w:tcW w:w="1365" w:type="dxa"/>
          </w:tcPr>
          <w:p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0.4309</w:t>
            </w:r>
          </w:p>
        </w:tc>
        <w:tc>
          <w:tcPr>
            <w:tcW w:w="1742" w:type="dxa"/>
          </w:tcPr>
          <w:p>
            <w:pPr>
              <w:pStyle w:val="TableParagraph"/>
              <w:spacing w:line="270" w:lineRule="exact"/>
              <w:ind w:left="374"/>
              <w:rPr>
                <w:sz w:val="24"/>
              </w:rPr>
            </w:pPr>
            <w:r>
              <w:rPr>
                <w:sz w:val="24"/>
              </w:rPr>
              <w:t>0.6956</w:t>
            </w:r>
          </w:p>
        </w:tc>
      </w:tr>
      <w:tr>
        <w:trPr>
          <w:trHeight w:val="290" w:hRule="atLeast"/>
        </w:trPr>
        <w:tc>
          <w:tcPr>
            <w:tcW w:w="15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13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1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55"/>
              <w:rPr>
                <w:sz w:val="24"/>
              </w:rPr>
            </w:pPr>
            <w:r>
              <w:rPr>
                <w:sz w:val="24"/>
              </w:rPr>
              <w:t>0.000033</w:t>
            </w:r>
          </w:p>
        </w:tc>
        <w:tc>
          <w:tcPr>
            <w:tcW w:w="14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  <w:tc>
          <w:tcPr>
            <w:tcW w:w="13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0.0689</w:t>
            </w:r>
          </w:p>
        </w:tc>
        <w:tc>
          <w:tcPr>
            <w:tcW w:w="17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74"/>
              <w:rPr>
                <w:sz w:val="24"/>
              </w:rPr>
            </w:pPr>
            <w:r>
              <w:rPr>
                <w:sz w:val="24"/>
              </w:rPr>
              <w:t>0.949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line="480" w:lineRule="auto" w:before="235"/>
        <w:ind w:left="1198" w:right="577"/>
        <w:jc w:val="both"/>
      </w:pPr>
      <w:r>
        <w:rPr/>
        <w:t>Equations 3.1, 3.2 and 3.3 were derived from the intercept and slope of the results</w:t>
      </w:r>
      <w:r>
        <w:rPr>
          <w:spacing w:val="1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3.8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9839" w:val="left" w:leader="none"/>
        </w:tabs>
        <w:spacing w:before="241"/>
        <w:ind w:left="1198"/>
        <w:jc w:val="both"/>
      </w:pPr>
      <w:r>
        <w:rPr>
          <w:rFonts w:ascii="Cambria Math" w:eastAsia="Cambria Math"/>
        </w:rPr>
        <w:t>𝐸𝐴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1.05 + 0.00003𝑇𝐼𝑀𝐸  </w:t>
      </w:r>
      <w:r>
        <w:rPr>
          <w:rFonts w:ascii="Cambria Math" w:eastAsia="Cambria Math"/>
          <w:spacing w:val="7"/>
        </w:rPr>
        <w:t> </w:t>
      </w:r>
      <w:r>
        <w:rPr/>
        <w:t>.</w:t>
        <w:tab/>
        <w:t>3.1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9839" w:val="left" w:leader="none"/>
        </w:tabs>
        <w:spacing w:before="193"/>
        <w:ind w:left="1198"/>
        <w:jc w:val="both"/>
      </w:pPr>
      <w:r>
        <w:rPr>
          <w:rFonts w:ascii="Cambria Math" w:eastAsia="Cambria Math"/>
        </w:rPr>
        <w:t>𝐸𝐴</w:t>
      </w:r>
      <w:r>
        <w:rPr>
          <w:rFonts w:ascii="Cambria Math" w:eastAsia="Cambria Math"/>
          <w:spacing w:val="16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> </w:t>
      </w:r>
      <w:r>
        <w:rPr>
          <w:rFonts w:ascii="Cambria Math" w:eastAsia="Cambria Math"/>
        </w:rPr>
        <w:t>1.00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0.0002𝑇𝐸𝑀𝑃</w:t>
        <w:tab/>
      </w:r>
      <w:r>
        <w:rPr/>
        <w:t>3.2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94"/>
        <w:ind w:right="1308"/>
        <w:jc w:val="right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1035042</wp:posOffset>
            </wp:positionH>
            <wp:positionV relativeFrom="paragraph">
              <wp:posOffset>165114</wp:posOffset>
            </wp:positionV>
            <wp:extent cx="1210356" cy="114502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356" cy="114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3.3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32"/>
        <w:ind w:left="1198" w:right="576"/>
        <w:jc w:val="both"/>
      </w:pPr>
      <w:r>
        <w:rPr/>
        <w:t>EA represents extent of acetylation, Time means time, Temp stands for temperature and C</w:t>
      </w:r>
      <w:r>
        <w:rPr>
          <w:spacing w:val="1"/>
        </w:rPr>
        <w:t> </w:t>
      </w:r>
      <w:r>
        <w:rPr/>
        <w:t>means catalyst. Equation 3.1, 3.2 and 3.3 showed that for every increase in acetylation</w:t>
      </w:r>
      <w:r>
        <w:rPr>
          <w:spacing w:val="1"/>
        </w:rPr>
        <w:t> </w:t>
      </w:r>
      <w:r>
        <w:rPr/>
        <w:t>reaction time brought about 0.003% increase in EA. Temperature rise by 1 Kel brought</w:t>
      </w:r>
      <w:r>
        <w:rPr>
          <w:spacing w:val="1"/>
        </w:rPr>
        <w:t> </w:t>
      </w:r>
      <w:r>
        <w:rPr/>
        <w:t>about</w:t>
      </w:r>
      <w:r>
        <w:rPr>
          <w:spacing w:val="44"/>
        </w:rPr>
        <w:t> </w:t>
      </w:r>
      <w:r>
        <w:rPr/>
        <w:t>0.02%</w:t>
      </w:r>
      <w:r>
        <w:rPr>
          <w:spacing w:val="45"/>
        </w:rPr>
        <w:t> </w:t>
      </w:r>
      <w:r>
        <w:rPr/>
        <w:t>increase</w:t>
      </w:r>
      <w:r>
        <w:rPr>
          <w:spacing w:val="41"/>
        </w:rPr>
        <w:t> </w:t>
      </w:r>
      <w:r>
        <w:rPr/>
        <w:t>in</w:t>
      </w:r>
      <w:r>
        <w:rPr>
          <w:spacing w:val="44"/>
        </w:rPr>
        <w:t> </w:t>
      </w:r>
      <w:r>
        <w:rPr/>
        <w:t>EA,</w:t>
      </w:r>
      <w:r>
        <w:rPr>
          <w:spacing w:val="43"/>
        </w:rPr>
        <w:t> </w:t>
      </w:r>
      <w:r>
        <w:rPr/>
        <w:t>increase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quantity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catalyst</w:t>
      </w:r>
      <w:r>
        <w:rPr>
          <w:spacing w:val="43"/>
        </w:rPr>
        <w:t> </w:t>
      </w:r>
      <w:r>
        <w:rPr/>
        <w:t>by</w:t>
      </w:r>
      <w:r>
        <w:rPr>
          <w:spacing w:val="43"/>
        </w:rPr>
        <w:t> </w:t>
      </w:r>
      <w:r>
        <w:rPr/>
        <w:t>1%g/mL</w:t>
      </w:r>
      <w:r>
        <w:rPr>
          <w:spacing w:val="43"/>
        </w:rPr>
        <w:t> </w:t>
      </w:r>
      <w:r>
        <w:rPr/>
        <w:t>caused</w:t>
      </w:r>
      <w:r>
        <w:rPr>
          <w:spacing w:val="45"/>
        </w:rPr>
        <w:t> </w:t>
      </w:r>
      <w:r>
        <w:rPr/>
        <w:t>a</w:t>
      </w:r>
      <w:r>
        <w:rPr>
          <w:spacing w:val="-73"/>
        </w:rPr>
        <w:t> </w:t>
      </w:r>
      <w:r>
        <w:rPr/>
        <w:t>5.0%</w:t>
      </w:r>
      <w:r>
        <w:rPr>
          <w:spacing w:val="-1"/>
        </w:rPr>
        <w:t> </w:t>
      </w:r>
      <w:r>
        <w:rPr/>
        <w:t>increase in EA.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numPr>
          <w:ilvl w:val="2"/>
          <w:numId w:val="10"/>
        </w:numPr>
        <w:tabs>
          <w:tab w:pos="1918" w:val="left" w:leader="none"/>
        </w:tabs>
        <w:spacing w:line="240" w:lineRule="auto" w:before="75" w:after="0"/>
        <w:ind w:left="1918" w:right="0" w:hanging="720"/>
        <w:jc w:val="left"/>
      </w:pPr>
      <w:r>
        <w:rPr/>
        <w:t>Mango</w:t>
      </w:r>
      <w:r>
        <w:rPr>
          <w:spacing w:val="-3"/>
        </w:rPr>
        <w:t> </w:t>
      </w:r>
      <w:r>
        <w:rPr/>
        <w:t>kernel</w:t>
      </w:r>
      <w:r>
        <w:rPr>
          <w:spacing w:val="-4"/>
        </w:rPr>
        <w:t> </w:t>
      </w:r>
      <w:r>
        <w:rPr/>
        <w:t>Extent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Acetylation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77" w:lineRule="auto" w:before="1"/>
        <w:ind w:left="1198" w:right="576"/>
        <w:jc w:val="both"/>
      </w:pPr>
      <w:r>
        <w:rPr/>
        <w:t>The effects of time, catalyst and temperature are shown in Figures 3.12, 3.13, 3.14 and</w:t>
      </w:r>
      <w:r>
        <w:rPr>
          <w:spacing w:val="1"/>
        </w:rPr>
        <w:t> </w:t>
      </w:r>
      <w:r>
        <w:rPr/>
        <w:t>Table 3.9. The trends observed in Figs 3.12, 3.13 and 3.14 are not steady (neither</w:t>
      </w:r>
      <w:r>
        <w:rPr>
          <w:spacing w:val="1"/>
        </w:rPr>
        <w:t> </w:t>
      </w:r>
      <w:r>
        <w:rPr/>
        <w:t>decreasing nor increasing) in the variations of the extent of acetylation with reaction time,</w:t>
      </w:r>
      <w:r>
        <w:rPr>
          <w:spacing w:val="1"/>
        </w:rPr>
        <w:t> </w:t>
      </w:r>
      <w:r>
        <w:rPr/>
        <w:t>catalyst and temperature, might be as a result of de-acetylation mechanism attributed to</w:t>
      </w:r>
      <w:r>
        <w:rPr>
          <w:spacing w:val="1"/>
        </w:rPr>
        <w:t> </w:t>
      </w:r>
      <w:r>
        <w:rPr/>
        <w:t>lignocellulosic materials (Adebajo and Frost, 2004b) and/or differences in the reactivity of</w:t>
      </w:r>
      <w:r>
        <w:rPr>
          <w:spacing w:val="1"/>
        </w:rPr>
        <w:t> </w:t>
      </w:r>
      <w:r>
        <w:rPr/>
        <w:t>acetic anhydride and different hydroxyl group of the cell wall polymer of mango kernel (Hill</w:t>
      </w:r>
      <w:r>
        <w:rPr>
          <w:spacing w:val="-72"/>
        </w:rPr>
        <w:t>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al.,</w:t>
      </w:r>
      <w:r>
        <w:rPr>
          <w:spacing w:val="-5"/>
          <w:sz w:val="25"/>
        </w:rPr>
        <w:t> </w:t>
      </w:r>
      <w:r>
        <w:rPr/>
        <w:t>1996).</w:t>
      </w:r>
    </w:p>
    <w:p>
      <w:pPr>
        <w:spacing w:after="0" w:line="477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spacing w:before="75"/>
      </w:pPr>
      <w:r>
        <w:rPr/>
        <w:t>Table</w:t>
      </w:r>
      <w:r>
        <w:rPr>
          <w:spacing w:val="42"/>
        </w:rPr>
        <w:t> </w:t>
      </w:r>
      <w:r>
        <w:rPr/>
        <w:t>3.9:</w:t>
      </w:r>
      <w:r>
        <w:rPr>
          <w:spacing w:val="42"/>
        </w:rPr>
        <w:t> </w:t>
      </w:r>
      <w:r>
        <w:rPr/>
        <w:t>Results</w:t>
      </w:r>
      <w:r>
        <w:rPr>
          <w:spacing w:val="46"/>
        </w:rPr>
        <w:t> </w:t>
      </w:r>
      <w:r>
        <w:rPr/>
        <w:t>of</w:t>
      </w:r>
      <w:r>
        <w:rPr>
          <w:spacing w:val="43"/>
        </w:rPr>
        <w:t> </w:t>
      </w:r>
      <w:r>
        <w:rPr/>
        <w:t>acetylation</w:t>
      </w:r>
      <w:r>
        <w:rPr>
          <w:spacing w:val="45"/>
        </w:rPr>
        <w:t> </w:t>
      </w:r>
      <w:r>
        <w:rPr/>
        <w:t>studies</w:t>
      </w:r>
      <w:r>
        <w:rPr>
          <w:spacing w:val="42"/>
        </w:rPr>
        <w:t> </w:t>
      </w:r>
      <w:r>
        <w:rPr/>
        <w:t>of</w:t>
      </w:r>
      <w:r>
        <w:rPr>
          <w:spacing w:val="47"/>
        </w:rPr>
        <w:t> </w:t>
      </w:r>
      <w:r>
        <w:rPr/>
        <w:t>mango</w:t>
      </w:r>
      <w:r>
        <w:rPr>
          <w:spacing w:val="45"/>
        </w:rPr>
        <w:t> </w:t>
      </w:r>
      <w:r>
        <w:rPr/>
        <w:t>seed</w:t>
      </w:r>
      <w:r>
        <w:rPr>
          <w:spacing w:val="46"/>
        </w:rPr>
        <w:t> </w:t>
      </w:r>
      <w:r>
        <w:rPr/>
        <w:t>kernel</w:t>
      </w:r>
      <w:r>
        <w:rPr>
          <w:spacing w:val="43"/>
        </w:rPr>
        <w:t> </w:t>
      </w:r>
      <w:r>
        <w:rPr/>
        <w:t>under</w:t>
      </w:r>
      <w:r>
        <w:rPr>
          <w:spacing w:val="43"/>
        </w:rPr>
        <w:t> </w:t>
      </w:r>
      <w:r>
        <w:rPr/>
        <w:t>several</w:t>
      </w:r>
    </w:p>
    <w:p>
      <w:pPr>
        <w:pStyle w:val="BodyText"/>
        <w:spacing w:before="1" w:after="1"/>
        <w:rPr>
          <w:b/>
        </w:rPr>
      </w:pPr>
    </w:p>
    <w:tbl>
      <w:tblPr>
        <w:tblW w:w="0" w:type="auto"/>
        <w:jc w:val="left"/>
        <w:tblInd w:w="1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1578"/>
        <w:gridCol w:w="1671"/>
        <w:gridCol w:w="1499"/>
        <w:gridCol w:w="1121"/>
        <w:gridCol w:w="578"/>
        <w:gridCol w:w="1264"/>
        <w:gridCol w:w="331"/>
      </w:tblGrid>
      <w:tr>
        <w:trPr>
          <w:trHeight w:val="580" w:hRule="atLeast"/>
        </w:trPr>
        <w:tc>
          <w:tcPr>
            <w:tcW w:w="15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conditions</w:t>
            </w:r>
          </w:p>
        </w:tc>
        <w:tc>
          <w:tcPr>
            <w:tcW w:w="8042" w:type="dxa"/>
            <w:gridSpan w:val="7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58" w:hRule="atLeast"/>
        </w:trPr>
        <w:tc>
          <w:tcPr>
            <w:tcW w:w="15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–ID</w:t>
            </w:r>
          </w:p>
        </w:tc>
        <w:tc>
          <w:tcPr>
            <w:tcW w:w="15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Solid-liquid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172"/>
              <w:rPr>
                <w:sz w:val="24"/>
              </w:rPr>
            </w:pPr>
            <w:r>
              <w:rPr>
                <w:sz w:val="24"/>
              </w:rPr>
              <w:t>ratio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(g/ml)</w:t>
            </w:r>
          </w:p>
        </w:tc>
        <w:tc>
          <w:tcPr>
            <w:tcW w:w="16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Temperature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191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14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1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Catalyst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213"/>
              <w:rPr>
                <w:sz w:val="24"/>
              </w:rPr>
            </w:pPr>
            <w:r>
              <w:rPr>
                <w:sz w:val="24"/>
              </w:rPr>
              <w:t>g/mL)</w:t>
            </w:r>
          </w:p>
        </w:tc>
        <w:tc>
          <w:tcPr>
            <w:tcW w:w="5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(%,</w:t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Extent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acetylation</w:t>
            </w:r>
          </w:p>
        </w:tc>
        <w:tc>
          <w:tcPr>
            <w:tcW w:w="3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</w:tr>
      <w:tr>
        <w:trPr>
          <w:trHeight w:val="432" w:hRule="atLeast"/>
        </w:trPr>
        <w:tc>
          <w:tcPr>
            <w:tcW w:w="153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AMSK1</w:t>
            </w:r>
          </w:p>
        </w:tc>
        <w:tc>
          <w:tcPr>
            <w:tcW w:w="1578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9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31" w:type="dxa"/>
          </w:tcPr>
          <w:p>
            <w:pPr>
              <w:pStyle w:val="TableParagraph"/>
              <w:spacing w:line="240" w:lineRule="auto" w:before="145"/>
              <w:ind w:left="107"/>
              <w:rPr>
                <w:sz w:val="24"/>
              </w:rPr>
            </w:pPr>
            <w:r>
              <w:rPr>
                <w:sz w:val="24"/>
              </w:rPr>
              <w:t>AMSK2</w:t>
            </w:r>
          </w:p>
        </w:tc>
        <w:tc>
          <w:tcPr>
            <w:tcW w:w="1578" w:type="dxa"/>
          </w:tcPr>
          <w:p>
            <w:pPr>
              <w:pStyle w:val="TableParagraph"/>
              <w:spacing w:line="240" w:lineRule="auto" w:before="145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5"/>
              <w:ind w:left="19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5"/>
              <w:ind w:lef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5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5"/>
              <w:ind w:left="111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31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AMSK3</w:t>
            </w:r>
          </w:p>
        </w:tc>
        <w:tc>
          <w:tcPr>
            <w:tcW w:w="1578" w:type="dxa"/>
          </w:tcPr>
          <w:p>
            <w:pPr>
              <w:pStyle w:val="TableParagraph"/>
              <w:spacing w:line="240" w:lineRule="auto" w:before="144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31" w:type="dxa"/>
          </w:tcPr>
          <w:p>
            <w:pPr>
              <w:pStyle w:val="TableParagraph"/>
              <w:spacing w:line="240" w:lineRule="auto" w:before="146"/>
              <w:ind w:left="107"/>
              <w:rPr>
                <w:sz w:val="24"/>
              </w:rPr>
            </w:pPr>
            <w:r>
              <w:rPr>
                <w:sz w:val="24"/>
              </w:rPr>
              <w:t>AMSK4</w:t>
            </w:r>
          </w:p>
        </w:tc>
        <w:tc>
          <w:tcPr>
            <w:tcW w:w="1578" w:type="dxa"/>
          </w:tcPr>
          <w:p>
            <w:pPr>
              <w:pStyle w:val="TableParagraph"/>
              <w:spacing w:line="240" w:lineRule="auto" w:before="146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6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6"/>
              <w:ind w:lef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6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6"/>
              <w:ind w:left="111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8" w:hRule="atLeast"/>
        </w:trPr>
        <w:tc>
          <w:tcPr>
            <w:tcW w:w="1531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AMSK5</w:t>
            </w:r>
          </w:p>
        </w:tc>
        <w:tc>
          <w:tcPr>
            <w:tcW w:w="1578" w:type="dxa"/>
          </w:tcPr>
          <w:p>
            <w:pPr>
              <w:pStyle w:val="TableParagraph"/>
              <w:spacing w:line="240" w:lineRule="auto" w:before="144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1.79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31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AMSK6</w:t>
            </w:r>
          </w:p>
        </w:tc>
        <w:tc>
          <w:tcPr>
            <w:tcW w:w="1578" w:type="dxa"/>
          </w:tcPr>
          <w:p>
            <w:pPr>
              <w:pStyle w:val="TableParagraph"/>
              <w:spacing w:line="240" w:lineRule="auto" w:before="144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31" w:type="dxa"/>
          </w:tcPr>
          <w:p>
            <w:pPr>
              <w:pStyle w:val="TableParagraph"/>
              <w:spacing w:line="240" w:lineRule="auto" w:before="145"/>
              <w:ind w:left="107"/>
              <w:rPr>
                <w:sz w:val="24"/>
              </w:rPr>
            </w:pPr>
            <w:r>
              <w:rPr>
                <w:sz w:val="24"/>
              </w:rPr>
              <w:t>AMSK7</w:t>
            </w:r>
          </w:p>
        </w:tc>
        <w:tc>
          <w:tcPr>
            <w:tcW w:w="1578" w:type="dxa"/>
          </w:tcPr>
          <w:p>
            <w:pPr>
              <w:pStyle w:val="TableParagraph"/>
              <w:spacing w:line="240" w:lineRule="auto" w:before="145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5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5"/>
              <w:ind w:left="11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5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5"/>
              <w:ind w:left="111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31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AMSK8</w:t>
            </w:r>
          </w:p>
        </w:tc>
        <w:tc>
          <w:tcPr>
            <w:tcW w:w="1578" w:type="dxa"/>
          </w:tcPr>
          <w:p>
            <w:pPr>
              <w:pStyle w:val="TableParagraph"/>
              <w:spacing w:line="240" w:lineRule="auto" w:before="144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31" w:type="dxa"/>
          </w:tcPr>
          <w:p>
            <w:pPr>
              <w:pStyle w:val="TableParagraph"/>
              <w:spacing w:line="240" w:lineRule="auto" w:before="145"/>
              <w:ind w:left="107"/>
              <w:rPr>
                <w:sz w:val="24"/>
              </w:rPr>
            </w:pPr>
            <w:r>
              <w:rPr>
                <w:sz w:val="24"/>
              </w:rPr>
              <w:t>AMSK9</w:t>
            </w:r>
          </w:p>
        </w:tc>
        <w:tc>
          <w:tcPr>
            <w:tcW w:w="1578" w:type="dxa"/>
          </w:tcPr>
          <w:p>
            <w:pPr>
              <w:pStyle w:val="TableParagraph"/>
              <w:spacing w:line="240" w:lineRule="auto" w:before="145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5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5"/>
              <w:ind w:left="116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5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5"/>
              <w:ind w:left="111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8" w:hRule="atLeast"/>
        </w:trPr>
        <w:tc>
          <w:tcPr>
            <w:tcW w:w="1531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AMSK10</w:t>
            </w:r>
          </w:p>
        </w:tc>
        <w:tc>
          <w:tcPr>
            <w:tcW w:w="1578" w:type="dxa"/>
          </w:tcPr>
          <w:p>
            <w:pPr>
              <w:pStyle w:val="TableParagraph"/>
              <w:spacing w:line="240" w:lineRule="auto" w:before="144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31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AMSK11</w:t>
            </w:r>
          </w:p>
        </w:tc>
        <w:tc>
          <w:tcPr>
            <w:tcW w:w="1578" w:type="dxa"/>
          </w:tcPr>
          <w:p>
            <w:pPr>
              <w:pStyle w:val="TableParagraph"/>
              <w:spacing w:line="240" w:lineRule="auto" w:before="144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31" w:type="dxa"/>
          </w:tcPr>
          <w:p>
            <w:pPr>
              <w:pStyle w:val="TableParagraph"/>
              <w:spacing w:line="240" w:lineRule="auto" w:before="145"/>
              <w:ind w:left="107"/>
              <w:rPr>
                <w:sz w:val="24"/>
              </w:rPr>
            </w:pPr>
            <w:r>
              <w:rPr>
                <w:sz w:val="24"/>
              </w:rPr>
              <w:t>AMSK12</w:t>
            </w:r>
          </w:p>
        </w:tc>
        <w:tc>
          <w:tcPr>
            <w:tcW w:w="1578" w:type="dxa"/>
          </w:tcPr>
          <w:p>
            <w:pPr>
              <w:pStyle w:val="TableParagraph"/>
              <w:spacing w:line="240" w:lineRule="auto" w:before="145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5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5"/>
              <w:ind w:lef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5"/>
              <w:ind w:left="2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5"/>
              <w:ind w:left="111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31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AMSK13</w:t>
            </w:r>
          </w:p>
        </w:tc>
        <w:tc>
          <w:tcPr>
            <w:tcW w:w="1578" w:type="dxa"/>
          </w:tcPr>
          <w:p>
            <w:pPr>
              <w:pStyle w:val="TableParagraph"/>
              <w:spacing w:line="240" w:lineRule="auto" w:before="144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1.93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31" w:type="dxa"/>
          </w:tcPr>
          <w:p>
            <w:pPr>
              <w:pStyle w:val="TableParagraph"/>
              <w:spacing w:line="240" w:lineRule="auto" w:before="145"/>
              <w:ind w:left="107"/>
              <w:rPr>
                <w:sz w:val="24"/>
              </w:rPr>
            </w:pPr>
            <w:r>
              <w:rPr>
                <w:sz w:val="24"/>
              </w:rPr>
              <w:t>AMSK14</w:t>
            </w:r>
          </w:p>
        </w:tc>
        <w:tc>
          <w:tcPr>
            <w:tcW w:w="1578" w:type="dxa"/>
          </w:tcPr>
          <w:p>
            <w:pPr>
              <w:pStyle w:val="TableParagraph"/>
              <w:spacing w:line="240" w:lineRule="auto" w:before="145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5"/>
              <w:ind w:left="19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5"/>
              <w:ind w:left="11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5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5"/>
              <w:ind w:left="111"/>
              <w:rPr>
                <w:sz w:val="24"/>
              </w:rPr>
            </w:pPr>
            <w:r>
              <w:rPr>
                <w:sz w:val="24"/>
              </w:rPr>
              <w:t>1.48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8" w:hRule="atLeast"/>
        </w:trPr>
        <w:tc>
          <w:tcPr>
            <w:tcW w:w="1531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AMSK15</w:t>
            </w:r>
          </w:p>
        </w:tc>
        <w:tc>
          <w:tcPr>
            <w:tcW w:w="1578" w:type="dxa"/>
          </w:tcPr>
          <w:p>
            <w:pPr>
              <w:pStyle w:val="TableParagraph"/>
              <w:spacing w:line="240" w:lineRule="auto" w:before="144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31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AMSK16</w:t>
            </w:r>
          </w:p>
        </w:tc>
        <w:tc>
          <w:tcPr>
            <w:tcW w:w="1578" w:type="dxa"/>
          </w:tcPr>
          <w:p>
            <w:pPr>
              <w:pStyle w:val="TableParagraph"/>
              <w:spacing w:line="240" w:lineRule="auto" w:before="144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1.34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31" w:type="dxa"/>
          </w:tcPr>
          <w:p>
            <w:pPr>
              <w:pStyle w:val="TableParagraph"/>
              <w:spacing w:line="240" w:lineRule="auto" w:before="145"/>
              <w:ind w:left="107"/>
              <w:rPr>
                <w:sz w:val="24"/>
              </w:rPr>
            </w:pPr>
            <w:r>
              <w:rPr>
                <w:sz w:val="24"/>
              </w:rPr>
              <w:t>AMSK17</w:t>
            </w:r>
          </w:p>
        </w:tc>
        <w:tc>
          <w:tcPr>
            <w:tcW w:w="1578" w:type="dxa"/>
          </w:tcPr>
          <w:p>
            <w:pPr>
              <w:pStyle w:val="TableParagraph"/>
              <w:spacing w:line="240" w:lineRule="auto" w:before="145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5"/>
              <w:ind w:left="19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5"/>
              <w:ind w:left="11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5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5"/>
              <w:ind w:left="111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531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AMSK 18</w:t>
            </w:r>
          </w:p>
        </w:tc>
        <w:tc>
          <w:tcPr>
            <w:tcW w:w="1578" w:type="dxa"/>
          </w:tcPr>
          <w:p>
            <w:pPr>
              <w:pStyle w:val="TableParagraph"/>
              <w:spacing w:line="240" w:lineRule="auto" w:before="144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40" w:lineRule="auto" w:before="144"/>
              <w:ind w:left="19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99" w:type="dxa"/>
          </w:tcPr>
          <w:p>
            <w:pPr>
              <w:pStyle w:val="TableParagraph"/>
              <w:spacing w:line="240" w:lineRule="auto" w:before="144"/>
              <w:ind w:left="11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44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144"/>
              <w:ind w:left="111"/>
              <w:rPr>
                <w:sz w:val="24"/>
              </w:rPr>
            </w:pPr>
            <w:r>
              <w:rPr>
                <w:sz w:val="24"/>
              </w:rPr>
              <w:t>1.42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435" w:hRule="atLeast"/>
        </w:trPr>
        <w:tc>
          <w:tcPr>
            <w:tcW w:w="1531" w:type="dxa"/>
          </w:tcPr>
          <w:p>
            <w:pPr>
              <w:pStyle w:val="TableParagraph"/>
              <w:spacing w:line="270" w:lineRule="exact" w:before="145"/>
              <w:ind w:left="107"/>
              <w:rPr>
                <w:sz w:val="24"/>
              </w:rPr>
            </w:pPr>
            <w:r>
              <w:rPr>
                <w:sz w:val="24"/>
              </w:rPr>
              <w:t>AMSK 19</w:t>
            </w:r>
          </w:p>
        </w:tc>
        <w:tc>
          <w:tcPr>
            <w:tcW w:w="1578" w:type="dxa"/>
          </w:tcPr>
          <w:p>
            <w:pPr>
              <w:pStyle w:val="TableParagraph"/>
              <w:spacing w:line="270" w:lineRule="exact" w:before="145"/>
              <w:ind w:left="17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671" w:type="dxa"/>
          </w:tcPr>
          <w:p>
            <w:pPr>
              <w:pStyle w:val="TableParagraph"/>
              <w:spacing w:line="270" w:lineRule="exact" w:before="145"/>
              <w:ind w:left="19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99" w:type="dxa"/>
          </w:tcPr>
          <w:p>
            <w:pPr>
              <w:pStyle w:val="TableParagraph"/>
              <w:spacing w:line="270" w:lineRule="exact" w:before="145"/>
              <w:ind w:left="116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21" w:type="dxa"/>
          </w:tcPr>
          <w:p>
            <w:pPr>
              <w:pStyle w:val="TableParagraph"/>
              <w:spacing w:line="270" w:lineRule="exact" w:before="145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70" w:lineRule="exact" w:before="145"/>
              <w:ind w:left="111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3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0"/>
        <w:rPr>
          <w:b/>
          <w:sz w:val="20"/>
        </w:rPr>
      </w:pPr>
      <w:r>
        <w:rPr/>
        <w:pict>
          <v:rect style="position:absolute;margin-left:74.784004pt;margin-top:14.521287pt;width:479.596023pt;height:.479pt;mso-position-horizontal-relative:page;mso-position-vertical-relative:paragraph;z-index:-15694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ind w:left="1349"/>
        <w:rPr>
          <w:sz w:val="20"/>
        </w:rPr>
      </w:pPr>
      <w:r>
        <w:rPr>
          <w:sz w:val="20"/>
        </w:rPr>
        <w:drawing>
          <wp:inline distT="0" distB="0" distL="0" distR="0">
            <wp:extent cx="5709817" cy="4772025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817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1198"/>
      </w:pPr>
      <w:r>
        <w:rPr/>
        <w:t>Figure</w:t>
      </w:r>
      <w:r>
        <w:rPr>
          <w:spacing w:val="-1"/>
        </w:rPr>
        <w:t> </w:t>
      </w:r>
      <w:r>
        <w:rPr/>
        <w:t>3.12:</w:t>
      </w:r>
      <w:r>
        <w:rPr>
          <w:spacing w:val="74"/>
        </w:rPr>
        <w:t> </w:t>
      </w:r>
      <w:r>
        <w:rPr/>
        <w:t>Effect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mango</w:t>
      </w:r>
      <w:r>
        <w:rPr>
          <w:spacing w:val="-4"/>
        </w:rPr>
        <w:t> </w:t>
      </w:r>
      <w:r>
        <w:rPr/>
        <w:t>kernel</w:t>
      </w:r>
      <w:r>
        <w:rPr>
          <w:spacing w:val="-2"/>
        </w:rPr>
        <w:t> </w:t>
      </w:r>
      <w:r>
        <w:rPr/>
        <w:t>extent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acetylation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484"/>
        <w:rPr>
          <w:sz w:val="20"/>
        </w:rPr>
      </w:pPr>
      <w:r>
        <w:rPr>
          <w:sz w:val="20"/>
        </w:rPr>
        <w:drawing>
          <wp:inline distT="0" distB="0" distL="0" distR="0">
            <wp:extent cx="5607991" cy="4334256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991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00"/>
        <w:ind w:left="1198"/>
      </w:pPr>
      <w:r>
        <w:rPr/>
        <w:t>Figure</w:t>
      </w:r>
      <w:r>
        <w:rPr>
          <w:spacing w:val="-3"/>
        </w:rPr>
        <w:t> </w:t>
      </w:r>
      <w:r>
        <w:rPr/>
        <w:t>3.13:</w:t>
      </w:r>
      <w:r>
        <w:rPr>
          <w:spacing w:val="73"/>
        </w:rPr>
        <w:t> </w:t>
      </w:r>
      <w:r>
        <w:rPr/>
        <w:t>Effect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mango</w:t>
      </w:r>
      <w:r>
        <w:rPr>
          <w:spacing w:val="-3"/>
        </w:rPr>
        <w:t> </w:t>
      </w:r>
      <w:r>
        <w:rPr/>
        <w:t>kernel</w:t>
      </w:r>
      <w:r>
        <w:rPr>
          <w:spacing w:val="-3"/>
        </w:rPr>
        <w:t> </w:t>
      </w:r>
      <w:r>
        <w:rPr/>
        <w:t>extent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acetylation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1497"/>
        <w:rPr>
          <w:sz w:val="20"/>
        </w:rPr>
      </w:pPr>
      <w:r>
        <w:rPr>
          <w:sz w:val="20"/>
        </w:rPr>
        <w:drawing>
          <wp:inline distT="0" distB="0" distL="0" distR="0">
            <wp:extent cx="5675655" cy="419100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65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00"/>
        <w:ind w:left="1198"/>
      </w:pPr>
      <w:r>
        <w:rPr/>
        <w:t>Figure</w:t>
      </w:r>
      <w:r>
        <w:rPr>
          <w:spacing w:val="-2"/>
        </w:rPr>
        <w:t> </w:t>
      </w:r>
      <w:r>
        <w:rPr/>
        <w:t>3.14:</w:t>
      </w:r>
      <w:r>
        <w:rPr>
          <w:spacing w:val="74"/>
        </w:rPr>
        <w:t> </w:t>
      </w:r>
      <w:r>
        <w:rPr/>
        <w:t>Effect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catalyst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mango</w:t>
      </w:r>
      <w:r>
        <w:rPr>
          <w:spacing w:val="-3"/>
        </w:rPr>
        <w:t> </w:t>
      </w:r>
      <w:r>
        <w:rPr/>
        <w:t>kernel</w:t>
      </w:r>
      <w:r>
        <w:rPr>
          <w:spacing w:val="-2"/>
        </w:rPr>
        <w:t> </w:t>
      </w:r>
      <w:r>
        <w:rPr/>
        <w:t>extent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acetylation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spacing w:line="482" w:lineRule="auto" w:before="75"/>
        <w:ind w:left="1198" w:right="583"/>
        <w:jc w:val="both"/>
      </w:pPr>
      <w:r>
        <w:rPr/>
        <w:t>The shown effects of time, catalyst and temperature on degree of acetylation of mango</w:t>
      </w:r>
      <w:r>
        <w:rPr>
          <w:spacing w:val="1"/>
        </w:rPr>
        <w:t> </w:t>
      </w:r>
      <w:r>
        <w:rPr/>
        <w:t>kernel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tested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statistical difference.</w:t>
      </w:r>
      <w:r>
        <w:rPr>
          <w:spacing w:val="-3"/>
        </w:rPr>
        <w:t> </w:t>
      </w:r>
      <w:r>
        <w:rPr/>
        <w:t>ANOVA</w:t>
      </w:r>
      <w:r>
        <w:rPr>
          <w:spacing w:val="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2"/>
        </w:rPr>
        <w:t> </w:t>
      </w:r>
      <w:r>
        <w:rPr/>
        <w:t>3.10.</w:t>
      </w:r>
    </w:p>
    <w:p>
      <w:pPr>
        <w:pStyle w:val="BodyText"/>
        <w:spacing w:line="480" w:lineRule="auto"/>
        <w:ind w:left="1198" w:right="575"/>
        <w:jc w:val="both"/>
      </w:pP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(Ho),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catalyst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acetylation of mango kernel.</w:t>
      </w:r>
      <w:r>
        <w:rPr>
          <w:spacing w:val="1"/>
        </w:rPr>
        <w:t> </w:t>
      </w:r>
      <w:r>
        <w:rPr/>
        <w:t>Rejection of the hypothesis Ho implies the acceptance of the</w:t>
      </w:r>
      <w:r>
        <w:rPr>
          <w:spacing w:val="1"/>
        </w:rPr>
        <w:t> </w:t>
      </w:r>
      <w:r>
        <w:rPr/>
        <w:t>alternative hypothesis (H</w:t>
      </w:r>
      <w:r>
        <w:rPr>
          <w:vertAlign w:val="subscript"/>
        </w:rPr>
        <w:t>1</w:t>
      </w:r>
      <w:r>
        <w:rPr>
          <w:vertAlign w:val="baseline"/>
        </w:rPr>
        <w:t>), that temperature, time and catalyst affected the acetylation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mango</w:t>
      </w:r>
      <w:r>
        <w:rPr>
          <w:spacing w:val="-2"/>
          <w:vertAlign w:val="baseline"/>
        </w:rPr>
        <w:t> </w:t>
      </w:r>
      <w:r>
        <w:rPr>
          <w:vertAlign w:val="baseline"/>
        </w:rPr>
        <w:t>kernel.</w:t>
      </w:r>
      <w:r>
        <w:rPr>
          <w:spacing w:val="-2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</w:t>
      </w:r>
      <w:r>
        <w:rPr>
          <w:spacing w:val="-2"/>
          <w:vertAlign w:val="baseline"/>
        </w:rPr>
        <w:t> </w:t>
      </w:r>
      <w:r>
        <w:rPr>
          <w:vertAlign w:val="baseline"/>
        </w:rPr>
        <w:t>was</w:t>
      </w:r>
      <w:r>
        <w:rPr>
          <w:spacing w:val="2"/>
          <w:vertAlign w:val="baseline"/>
        </w:rPr>
        <w:t> </w:t>
      </w:r>
      <w:r>
        <w:rPr>
          <w:vertAlign w:val="baseline"/>
        </w:rPr>
        <w:t>performed</w:t>
      </w:r>
      <w:r>
        <w:rPr>
          <w:spacing w:val="-3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5%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level.</w:t>
      </w:r>
    </w:p>
    <w:p>
      <w:pPr>
        <w:pStyle w:val="BodyText"/>
        <w:spacing w:line="480" w:lineRule="auto"/>
        <w:ind w:left="1198" w:right="573"/>
        <w:jc w:val="both"/>
      </w:pPr>
      <w:r>
        <w:rPr/>
        <w:t>In this case we reject Ho if p-value is less than 0.05 and conclude that there is significant</w:t>
      </w:r>
      <w:r>
        <w:rPr>
          <w:spacing w:val="1"/>
        </w:rPr>
        <w:t> </w:t>
      </w:r>
      <w:r>
        <w:rPr/>
        <w:t>difference in the performance of the variables. The results as presented in Table 3.10,</w:t>
      </w:r>
      <w:r>
        <w:rPr>
          <w:spacing w:val="1"/>
        </w:rPr>
        <w:t> </w:t>
      </w:r>
      <w:r>
        <w:rPr/>
        <w:t>indicated that the P-values (0.000) were less than 0.05. This therefore,</w:t>
      </w:r>
      <w:r>
        <w:rPr>
          <w:spacing w:val="1"/>
        </w:rPr>
        <w:t> </w:t>
      </w:r>
      <w:r>
        <w:rPr/>
        <w:t>implied that</w:t>
      </w:r>
      <w:r>
        <w:rPr>
          <w:spacing w:val="1"/>
        </w:rPr>
        <w:t> </w:t>
      </w:r>
      <w:r>
        <w:rPr/>
        <w:t>temperature,</w:t>
      </w:r>
      <w:r>
        <w:rPr>
          <w:spacing w:val="-5"/>
        </w:rPr>
        <w:t> </w:t>
      </w:r>
      <w:r>
        <w:rPr/>
        <w:t>time and catalyst</w:t>
      </w:r>
      <w:r>
        <w:rPr>
          <w:spacing w:val="-3"/>
        </w:rPr>
        <w:t> </w:t>
      </w:r>
      <w:r>
        <w:rPr/>
        <w:t>had</w:t>
      </w:r>
      <w:r>
        <w:rPr>
          <w:spacing w:val="-2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acetylation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mango</w:t>
      </w:r>
      <w:r>
        <w:rPr>
          <w:spacing w:val="-3"/>
        </w:rPr>
        <w:t> </w:t>
      </w:r>
      <w:r>
        <w:rPr/>
        <w:t>kernel.</w:t>
      </w:r>
    </w:p>
    <w:p>
      <w:pPr>
        <w:pStyle w:val="BodyText"/>
        <w:spacing w:line="480" w:lineRule="auto"/>
        <w:ind w:left="1198" w:right="573" w:firstLine="74"/>
        <w:jc w:val="both"/>
      </w:pPr>
      <w:r>
        <w:rPr/>
        <w:t>To</w:t>
      </w:r>
      <w:r>
        <w:rPr>
          <w:spacing w:val="36"/>
        </w:rPr>
        <w:t> </w:t>
      </w:r>
      <w:r>
        <w:rPr/>
        <w:t>understand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effects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individual</w:t>
      </w:r>
      <w:r>
        <w:rPr>
          <w:spacing w:val="37"/>
        </w:rPr>
        <w:t> </w:t>
      </w:r>
      <w:r>
        <w:rPr/>
        <w:t>variables</w:t>
      </w:r>
      <w:r>
        <w:rPr>
          <w:spacing w:val="38"/>
        </w:rPr>
        <w:t> </w:t>
      </w:r>
      <w:r>
        <w:rPr/>
        <w:t>on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extent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acetylation</w:t>
      </w:r>
      <w:r>
        <w:rPr>
          <w:spacing w:val="37"/>
        </w:rPr>
        <w:t> </w:t>
      </w:r>
      <w:r>
        <w:rPr/>
        <w:t>(EA),</w:t>
      </w:r>
      <w:r>
        <w:rPr>
          <w:spacing w:val="-73"/>
        </w:rPr>
        <w:t> </w:t>
      </w:r>
      <w:r>
        <w:rPr/>
        <w:t>their</w:t>
      </w:r>
      <w:r>
        <w:rPr>
          <w:spacing w:val="34"/>
        </w:rPr>
        <w:t> </w:t>
      </w:r>
      <w:r>
        <w:rPr/>
        <w:t>statistical</w:t>
      </w:r>
      <w:r>
        <w:rPr>
          <w:spacing w:val="34"/>
        </w:rPr>
        <w:t> </w:t>
      </w:r>
      <w:r>
        <w:rPr/>
        <w:t>relationship</w:t>
      </w:r>
      <w:r>
        <w:rPr>
          <w:spacing w:val="34"/>
        </w:rPr>
        <w:t> </w:t>
      </w:r>
      <w:r>
        <w:rPr/>
        <w:t>were</w:t>
      </w:r>
      <w:r>
        <w:rPr>
          <w:spacing w:val="34"/>
        </w:rPr>
        <w:t> </w:t>
      </w:r>
      <w:r>
        <w:rPr/>
        <w:t>tested.</w:t>
      </w:r>
      <w:r>
        <w:rPr>
          <w:spacing w:val="33"/>
        </w:rPr>
        <w:t> </w:t>
      </w:r>
      <w:r>
        <w:rPr/>
        <w:t>Correlation</w:t>
      </w:r>
      <w:r>
        <w:rPr>
          <w:spacing w:val="36"/>
        </w:rPr>
        <w:t> </w:t>
      </w:r>
      <w:r>
        <w:rPr/>
        <w:t>results</w:t>
      </w:r>
      <w:r>
        <w:rPr>
          <w:spacing w:val="35"/>
        </w:rPr>
        <w:t> </w:t>
      </w:r>
      <w:r>
        <w:rPr/>
        <w:t>are</w:t>
      </w:r>
      <w:r>
        <w:rPr>
          <w:spacing w:val="32"/>
        </w:rPr>
        <w:t> </w:t>
      </w:r>
      <w:r>
        <w:rPr/>
        <w:t>presented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Table</w:t>
      </w:r>
      <w:r>
        <w:rPr>
          <w:spacing w:val="35"/>
        </w:rPr>
        <w:t> </w:t>
      </w:r>
      <w:r>
        <w:rPr/>
        <w:t>3.11.</w:t>
      </w:r>
      <w:r>
        <w:rPr>
          <w:spacing w:val="-73"/>
        </w:rPr>
        <w:t> </w:t>
      </w:r>
      <w:r>
        <w:rPr/>
        <w:t>The results showed that catalyst had moderate relationship with EA while temperature and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temperature,</w:t>
      </w:r>
      <w:r>
        <w:rPr>
          <w:spacing w:val="-3"/>
        </w:rPr>
        <w:t> </w:t>
      </w:r>
      <w:r>
        <w:rPr/>
        <w:t>catalyst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time,</w:t>
      </w:r>
      <w:r>
        <w:rPr>
          <w:spacing w:val="1"/>
        </w:rPr>
        <w:t> </w:t>
      </w:r>
      <w:r>
        <w:rPr/>
        <w:t>the extent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acetylation</w:t>
      </w:r>
      <w:r>
        <w:rPr>
          <w:spacing w:val="-2"/>
        </w:rPr>
        <w:t> </w:t>
      </w:r>
      <w:r>
        <w:rPr/>
        <w:t>would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-2"/>
        </w:rPr>
        <w:t> </w:t>
      </w:r>
      <w:r>
        <w:rPr/>
        <w:t>increase.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tabs>
          <w:tab w:pos="2637" w:val="left" w:leader="none"/>
        </w:tabs>
        <w:spacing w:before="100"/>
        <w:ind w:left="1198"/>
      </w:pPr>
      <w:r>
        <w:rPr/>
        <w:t>Table</w:t>
      </w:r>
      <w:r>
        <w:rPr>
          <w:spacing w:val="-2"/>
        </w:rPr>
        <w:t> </w:t>
      </w:r>
      <w:r>
        <w:rPr/>
        <w:t>3.10</w:t>
        <w:tab/>
        <w:t>Anova</w:t>
      </w:r>
      <w:r>
        <w:rPr>
          <w:spacing w:val="-3"/>
        </w:rPr>
        <w:t> </w:t>
      </w:r>
      <w:r>
        <w:rPr/>
        <w:t>result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mango</w:t>
      </w:r>
      <w:r>
        <w:rPr>
          <w:spacing w:val="-1"/>
        </w:rPr>
        <w:t> </w:t>
      </w:r>
      <w:r>
        <w:rPr/>
        <w:t>kernel</w:t>
      </w:r>
      <w:r>
        <w:rPr>
          <w:spacing w:val="-2"/>
        </w:rPr>
        <w:t> </w:t>
      </w:r>
      <w:r>
        <w:rPr/>
        <w:t>extent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acetylation</w:t>
      </w:r>
    </w:p>
    <w:p>
      <w:pPr>
        <w:pStyle w:val="BodyText"/>
        <w:spacing w:before="11"/>
        <w:rPr>
          <w:sz w:val="20"/>
        </w:rPr>
      </w:pPr>
      <w:r>
        <w:rPr/>
        <w:pict>
          <v:shape style="position:absolute;margin-left:80.904007pt;margin-top:14.59395pt;width:446.6pt;height:.5pt;mso-position-horizontal-relative:page;mso-position-vertical-relative:paragraph;z-index:-15694336;mso-wrap-distance-left:0;mso-wrap-distance-right:0" coordorigin="1618,292" coordsize="8932,10" path="m4182,292l2528,292,2518,292,2518,292,1618,292,1618,301,2518,301,2518,301,2528,301,4182,301,4182,292xm5631,292l5622,292,4191,292,4182,292,4182,301,4191,301,5622,301,5631,301,5631,292xm6630,292l6621,292,6621,292,5631,292,5631,301,6621,301,6621,301,6630,301,6630,292xm8013,292l8003,292,6630,292,6630,301,8003,301,8013,301,8013,292xm9004,292l8013,292,8013,301,9004,301,9004,292xm10550,292l9014,292,9004,292,9004,301,9014,301,10550,301,10550,29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4131"/>
        <w:rPr>
          <w:rFonts w:ascii="Times New Roman"/>
        </w:rPr>
      </w:pPr>
      <w:r>
        <w:rPr>
          <w:rFonts w:ascii="Times New Roman"/>
        </w:rPr>
        <w:t>Sum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</w:p>
    <w:p>
      <w:pPr>
        <w:pStyle w:val="BodyText"/>
        <w:tabs>
          <w:tab w:pos="5602" w:val="left" w:leader="none"/>
          <w:tab w:pos="6255" w:val="left" w:leader="none"/>
          <w:tab w:pos="8017" w:val="left" w:leader="none"/>
          <w:tab w:pos="8997" w:val="left" w:leader="none"/>
        </w:tabs>
        <w:ind w:left="4102"/>
        <w:rPr>
          <w:rFonts w:ascii="Times New Roman"/>
        </w:rPr>
      </w:pPr>
      <w:r>
        <w:rPr>
          <w:rFonts w:ascii="Times New Roman"/>
        </w:rPr>
        <w:t>Squares</w:t>
        <w:tab/>
        <w:t>df</w:t>
        <w:tab/>
        <w:t>Mean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Square</w:t>
        <w:tab/>
        <w:t>F</w:t>
        <w:tab/>
        <w:t>Sig.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(p)</w:t>
      </w: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pStyle w:val="BodyText"/>
        <w:spacing w:before="90"/>
        <w:ind w:left="1229"/>
        <w:rPr>
          <w:rFonts w:ascii="Times New Roman"/>
        </w:rPr>
      </w:pPr>
      <w:r>
        <w:rPr/>
        <w:pict>
          <v:shape style="position:absolute;margin-left:80.903999pt;margin-top:-10.696892pt;width:446.6pt;height:193.75pt;mso-position-horizontal-relative:page;mso-position-vertical-relative:paragraph;z-index:15763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14"/>
                    <w:gridCol w:w="980"/>
                    <w:gridCol w:w="1191"/>
                    <w:gridCol w:w="1273"/>
                    <w:gridCol w:w="1071"/>
                  </w:tblGrid>
                  <w:tr>
                    <w:trPr>
                      <w:trHeight w:val="541" w:hRule="atLeast"/>
                    </w:trPr>
                    <w:tc>
                      <w:tcPr>
                        <w:tcW w:w="441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97" w:val="left" w:leader="none"/>
                            <w:tab w:pos="3943" w:val="right" w:leader="none"/>
                          </w:tabs>
                          <w:spacing w:line="240" w:lineRule="auto" w:before="23"/>
                          <w:ind w:left="0" w:right="43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Effect</w:t>
                          <w:tab/>
                          <w:t>Between</w:t>
                          <w:tab/>
                        </w:r>
                        <w:r>
                          <w:rPr>
                            <w:rFonts w:ascii="Times New Roman"/>
                            <w:position w:val="-13"/>
                            <w:sz w:val="24"/>
                          </w:rPr>
                          <w:t>0.513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62"/>
                          <w:ind w:left="1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62"/>
                          <w:ind w:left="0" w:right="22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0.128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62"/>
                          <w:ind w:left="23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0.000</w:t>
                        </w:r>
                      </w:p>
                    </w:tc>
                    <w:tc>
                      <w:tcPr>
                        <w:tcW w:w="107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62"/>
                          <w:ind w:left="0" w:right="2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0.000</w:t>
                        </w:r>
                      </w:p>
                    </w:tc>
                  </w:tr>
                  <w:tr>
                    <w:trPr>
                      <w:trHeight w:val="404" w:hRule="atLeast"/>
                    </w:trPr>
                    <w:tc>
                      <w:tcPr>
                        <w:tcW w:w="4414" w:type="dxa"/>
                      </w:tcPr>
                      <w:p>
                        <w:pPr>
                          <w:pStyle w:val="TableParagraph"/>
                          <w:tabs>
                            <w:tab w:pos="2506" w:val="left" w:leader="none"/>
                          </w:tabs>
                          <w:spacing w:line="240" w:lineRule="auto" w:before="93"/>
                          <w:ind w:left="0" w:right="43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Within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Groups</w:t>
                          <w:tab/>
                          <w:t>0.000</w:t>
                        </w: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1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0" w:right="22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0.000</w:t>
                        </w:r>
                      </w:p>
                    </w:tc>
                    <w:tc>
                      <w:tcPr>
                        <w:tcW w:w="1273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04" w:hRule="atLeast"/>
                    </w:trPr>
                    <w:tc>
                      <w:tcPr>
                        <w:tcW w:w="4414" w:type="dxa"/>
                      </w:tcPr>
                      <w:p>
                        <w:pPr>
                          <w:pStyle w:val="TableParagraph"/>
                          <w:tabs>
                            <w:tab w:pos="3046" w:val="right" w:leader="none"/>
                          </w:tabs>
                          <w:spacing w:line="240" w:lineRule="auto" w:before="25"/>
                          <w:ind w:left="0" w:right="43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Total</w:t>
                          <w:tab/>
                          <w:t>0.513</w:t>
                        </w: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73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74" w:hRule="atLeast"/>
                    </w:trPr>
                    <w:tc>
                      <w:tcPr>
                        <w:tcW w:w="4414" w:type="dxa"/>
                      </w:tcPr>
                      <w:p>
                        <w:pPr>
                          <w:pStyle w:val="TableParagraph"/>
                          <w:tabs>
                            <w:tab w:pos="897" w:val="left" w:leader="none"/>
                            <w:tab w:pos="3943" w:val="right" w:leader="none"/>
                          </w:tabs>
                          <w:spacing w:line="192" w:lineRule="auto"/>
                          <w:ind w:left="0" w:right="43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Effect</w:t>
                          <w:tab/>
                          <w:t>Between</w:t>
                          <w:tab/>
                        </w:r>
                        <w:r>
                          <w:rPr>
                            <w:rFonts w:ascii="Times New Roman"/>
                            <w:position w:val="-13"/>
                            <w:sz w:val="24"/>
                          </w:rPr>
                          <w:t>0.253</w:t>
                        </w: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1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0" w:right="22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0.063</w:t>
                        </w:r>
                      </w:p>
                    </w:tc>
                    <w:tc>
                      <w:tcPr>
                        <w:tcW w:w="1273" w:type="dxa"/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23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0.000</w:t>
                        </w: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0" w:right="2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0.000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4414" w:type="dxa"/>
                      </w:tcPr>
                      <w:p>
                        <w:pPr>
                          <w:pStyle w:val="TableParagraph"/>
                          <w:tabs>
                            <w:tab w:pos="2506" w:val="left" w:leader="none"/>
                          </w:tabs>
                          <w:spacing w:line="240" w:lineRule="auto" w:before="95"/>
                          <w:ind w:left="0" w:right="43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Within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Groups</w:t>
                          <w:tab/>
                          <w:t>0.000</w:t>
                        </w: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1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0" w:right="22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0.000</w:t>
                        </w:r>
                      </w:p>
                    </w:tc>
                    <w:tc>
                      <w:tcPr>
                        <w:tcW w:w="1273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04" w:hRule="atLeast"/>
                    </w:trPr>
                    <w:tc>
                      <w:tcPr>
                        <w:tcW w:w="4414" w:type="dxa"/>
                      </w:tcPr>
                      <w:p>
                        <w:pPr>
                          <w:pStyle w:val="TableParagraph"/>
                          <w:tabs>
                            <w:tab w:pos="3046" w:val="right" w:leader="none"/>
                          </w:tabs>
                          <w:spacing w:line="240" w:lineRule="auto" w:before="25"/>
                          <w:ind w:left="0" w:right="43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Total</w:t>
                          <w:tab/>
                          <w:t>0.253</w:t>
                        </w: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73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73" w:hRule="atLeast"/>
                    </w:trPr>
                    <w:tc>
                      <w:tcPr>
                        <w:tcW w:w="4414" w:type="dxa"/>
                      </w:tcPr>
                      <w:p>
                        <w:pPr>
                          <w:pStyle w:val="TableParagraph"/>
                          <w:tabs>
                            <w:tab w:pos="897" w:val="left" w:leader="none"/>
                            <w:tab w:pos="3943" w:val="right" w:leader="none"/>
                          </w:tabs>
                          <w:spacing w:line="192" w:lineRule="auto"/>
                          <w:ind w:left="0" w:right="43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Effect</w:t>
                          <w:tab/>
                          <w:t>Between</w:t>
                          <w:tab/>
                        </w:r>
                        <w:r>
                          <w:rPr>
                            <w:rFonts w:ascii="Times New Roman"/>
                            <w:position w:val="-13"/>
                            <w:sz w:val="24"/>
                          </w:rPr>
                          <w:t>0.572</w:t>
                        </w: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1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0" w:right="22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0.143</w:t>
                        </w:r>
                      </w:p>
                    </w:tc>
                    <w:tc>
                      <w:tcPr>
                        <w:tcW w:w="1273" w:type="dxa"/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23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0.000</w:t>
                        </w: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0" w:right="2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0.000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4414" w:type="dxa"/>
                      </w:tcPr>
                      <w:p>
                        <w:pPr>
                          <w:pStyle w:val="TableParagraph"/>
                          <w:tabs>
                            <w:tab w:pos="3403" w:val="left" w:leader="none"/>
                          </w:tabs>
                          <w:spacing w:line="240" w:lineRule="auto" w:before="34"/>
                          <w:ind w:left="0" w:right="43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position w:val="6"/>
                            <w:sz w:val="24"/>
                          </w:rPr>
                          <w:t>Catalyst</w:t>
                        </w:r>
                        <w:r>
                          <w:rPr>
                            <w:rFonts w:ascii="Times New Roman"/>
                            <w:spacing w:val="51"/>
                            <w:position w:val="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Within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Groups</w:t>
                          <w:tab/>
                          <w:t>0.000</w:t>
                        </w: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1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0" w:right="22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0.000</w:t>
                        </w:r>
                      </w:p>
                    </w:tc>
                    <w:tc>
                      <w:tcPr>
                        <w:tcW w:w="1273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441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046" w:val="right" w:leader="none"/>
                          </w:tabs>
                          <w:spacing w:line="240" w:lineRule="auto" w:before="25"/>
                          <w:ind w:left="0" w:right="43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Total</w:t>
                          <w:tab/>
                          <w:t>0.572</w:t>
                        </w:r>
                      </w:p>
                    </w:tc>
                    <w:tc>
                      <w:tcPr>
                        <w:tcW w:w="9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19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7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7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Time</w:t>
      </w:r>
      <w:r>
        <w:rPr>
          <w:rFonts w:ascii="Times New Roman"/>
          <w:spacing w:val="68"/>
        </w:rPr>
        <w:t> </w:t>
      </w:r>
      <w:r>
        <w:rPr>
          <w:rFonts w:ascii="Times New Roman"/>
        </w:rPr>
        <w:t>Groups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BodyText"/>
        <w:spacing w:before="90"/>
        <w:ind w:left="1229"/>
        <w:rPr>
          <w:rFonts w:ascii="Times New Roman"/>
        </w:rPr>
      </w:pPr>
      <w:r>
        <w:rPr>
          <w:rFonts w:ascii="Times New Roman"/>
        </w:rPr>
        <w:t>of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Temp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Groups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BodyText"/>
        <w:tabs>
          <w:tab w:pos="2126" w:val="left" w:leader="none"/>
        </w:tabs>
        <w:spacing w:before="90"/>
        <w:ind w:left="1229"/>
        <w:rPr>
          <w:rFonts w:ascii="Times New Roman"/>
        </w:rPr>
      </w:pPr>
      <w:r>
        <w:rPr>
          <w:rFonts w:ascii="Times New Roman"/>
        </w:rPr>
        <w:t>of</w:t>
        <w:tab/>
        <w:t>Groups</w:t>
      </w:r>
    </w:p>
    <w:p>
      <w:pPr>
        <w:spacing w:after="0"/>
        <w:rPr>
          <w:rFonts w:ascii="Times New Roman"/>
        </w:rPr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spacing w:before="1"/>
        <w:rPr>
          <w:rFonts w:ascii="Times New Roman"/>
          <w:sz w:val="10"/>
        </w:rPr>
      </w:pPr>
    </w:p>
    <w:p>
      <w:pPr>
        <w:pStyle w:val="BodyText"/>
        <w:tabs>
          <w:tab w:pos="2637" w:val="left" w:leader="none"/>
        </w:tabs>
        <w:spacing w:line="480" w:lineRule="auto" w:before="100" w:after="13"/>
        <w:ind w:left="1198" w:right="583"/>
      </w:pPr>
      <w:r>
        <w:rPr/>
        <w:t>Table</w:t>
      </w:r>
      <w:r>
        <w:rPr>
          <w:spacing w:val="-2"/>
        </w:rPr>
        <w:t> </w:t>
      </w:r>
      <w:r>
        <w:rPr/>
        <w:t>3.11</w:t>
        <w:tab/>
        <w:t>correlation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effect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time,</w:t>
      </w:r>
      <w:r>
        <w:rPr>
          <w:spacing w:val="10"/>
        </w:rPr>
        <w:t> </w:t>
      </w:r>
      <w:r>
        <w:rPr/>
        <w:t>temperature,</w:t>
      </w:r>
      <w:r>
        <w:rPr>
          <w:spacing w:val="10"/>
        </w:rPr>
        <w:t> </w:t>
      </w:r>
      <w:r>
        <w:rPr/>
        <w:t>catalyst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mango</w:t>
      </w:r>
      <w:r>
        <w:rPr>
          <w:spacing w:val="12"/>
        </w:rPr>
        <w:t> </w:t>
      </w:r>
      <w:r>
        <w:rPr/>
        <w:t>kernel</w:t>
      </w:r>
      <w:r>
        <w:rPr>
          <w:spacing w:val="11"/>
        </w:rPr>
        <w:t> </w:t>
      </w:r>
      <w:r>
        <w:rPr/>
        <w:t>extent</w:t>
      </w:r>
      <w:r>
        <w:rPr>
          <w:spacing w:val="-72"/>
        </w:rPr>
        <w:t> </w:t>
      </w:r>
      <w:r>
        <w:rPr/>
        <w:t>of</w:t>
      </w:r>
      <w:r>
        <w:rPr>
          <w:spacing w:val="-2"/>
        </w:rPr>
        <w:t> </w:t>
      </w:r>
      <w:r>
        <w:rPr/>
        <w:t>acetylation</w:t>
      </w:r>
    </w:p>
    <w:tbl>
      <w:tblPr>
        <w:tblW w:w="0" w:type="auto"/>
        <w:jc w:val="left"/>
        <w:tblInd w:w="1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1206"/>
        <w:gridCol w:w="1206"/>
        <w:gridCol w:w="1206"/>
        <w:gridCol w:w="1206"/>
        <w:gridCol w:w="2167"/>
      </w:tblGrid>
      <w:tr>
        <w:trPr>
          <w:trHeight w:val="577" w:hRule="atLeast"/>
        </w:trPr>
        <w:tc>
          <w:tcPr>
            <w:tcW w:w="102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0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107"/>
              <w:rPr>
                <w:sz w:val="25"/>
              </w:rPr>
            </w:pPr>
            <w:r>
              <w:rPr>
                <w:sz w:val="25"/>
              </w:rPr>
              <w:t>time</w:t>
            </w:r>
          </w:p>
        </w:tc>
        <w:tc>
          <w:tcPr>
            <w:tcW w:w="120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109"/>
              <w:rPr>
                <w:sz w:val="25"/>
              </w:rPr>
            </w:pPr>
            <w:r>
              <w:rPr>
                <w:sz w:val="25"/>
              </w:rPr>
              <w:t>θ1</w:t>
            </w:r>
          </w:p>
        </w:tc>
        <w:tc>
          <w:tcPr>
            <w:tcW w:w="120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108"/>
              <w:rPr>
                <w:sz w:val="25"/>
              </w:rPr>
            </w:pPr>
            <w:r>
              <w:rPr>
                <w:sz w:val="25"/>
              </w:rPr>
              <w:t>Temp</w:t>
            </w:r>
          </w:p>
        </w:tc>
        <w:tc>
          <w:tcPr>
            <w:tcW w:w="120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110"/>
              <w:rPr>
                <w:sz w:val="25"/>
              </w:rPr>
            </w:pPr>
            <w:r>
              <w:rPr>
                <w:sz w:val="25"/>
              </w:rPr>
              <w:t>θ2</w:t>
            </w:r>
          </w:p>
        </w:tc>
        <w:tc>
          <w:tcPr>
            <w:tcW w:w="216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16" w:val="left" w:leader="none"/>
              </w:tabs>
              <w:spacing w:line="289" w:lineRule="exact"/>
              <w:ind w:left="108"/>
              <w:rPr>
                <w:sz w:val="25"/>
              </w:rPr>
            </w:pPr>
            <w:r>
              <w:rPr>
                <w:sz w:val="25"/>
              </w:rPr>
              <w:t>catalyst</w:t>
              <w:tab/>
              <w:t>θ3</w:t>
            </w:r>
          </w:p>
        </w:tc>
      </w:tr>
      <w:tr>
        <w:trPr>
          <w:trHeight w:val="433" w:hRule="atLeast"/>
        </w:trPr>
        <w:tc>
          <w:tcPr>
            <w:tcW w:w="10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9" w:lineRule="exact"/>
              <w:ind w:left="108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578" w:hRule="atLeast"/>
        </w:trPr>
        <w:tc>
          <w:tcPr>
            <w:tcW w:w="1020" w:type="dxa"/>
          </w:tcPr>
          <w:p>
            <w:pPr>
              <w:pStyle w:val="TableParagraph"/>
              <w:spacing w:line="240" w:lineRule="auto" w:before="144"/>
              <w:ind w:left="108"/>
              <w:rPr>
                <w:sz w:val="24"/>
              </w:rPr>
            </w:pPr>
            <w:r>
              <w:rPr>
                <w:sz w:val="24"/>
              </w:rPr>
              <w:t>θ1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0.75092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144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6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579" w:hRule="atLeast"/>
        </w:trPr>
        <w:tc>
          <w:tcPr>
            <w:tcW w:w="1020" w:type="dxa"/>
          </w:tcPr>
          <w:p>
            <w:pPr>
              <w:pStyle w:val="TableParagraph"/>
              <w:spacing w:line="240" w:lineRule="auto" w:before="144"/>
              <w:ind w:left="108"/>
              <w:rPr>
                <w:sz w:val="24"/>
              </w:rPr>
            </w:pPr>
            <w:r>
              <w:rPr>
                <w:sz w:val="24"/>
              </w:rPr>
              <w:t>Temp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0.996546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144"/>
              <w:ind w:left="109"/>
              <w:rPr>
                <w:sz w:val="24"/>
              </w:rPr>
            </w:pPr>
            <w:r>
              <w:rPr>
                <w:sz w:val="24"/>
              </w:rPr>
              <w:t>0.78134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144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6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579" w:hRule="atLeast"/>
        </w:trPr>
        <w:tc>
          <w:tcPr>
            <w:tcW w:w="1020" w:type="dxa"/>
          </w:tcPr>
          <w:p>
            <w:pPr>
              <w:pStyle w:val="TableParagraph"/>
              <w:spacing w:line="240" w:lineRule="auto" w:before="146"/>
              <w:ind w:left="108"/>
              <w:rPr>
                <w:sz w:val="24"/>
              </w:rPr>
            </w:pPr>
            <w:r>
              <w:rPr>
                <w:sz w:val="24"/>
              </w:rPr>
              <w:t>θ2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146"/>
              <w:ind w:left="107"/>
              <w:rPr>
                <w:sz w:val="24"/>
              </w:rPr>
            </w:pPr>
            <w:r>
              <w:rPr>
                <w:sz w:val="24"/>
              </w:rPr>
              <w:t>0.943266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146"/>
              <w:ind w:left="109"/>
              <w:rPr>
                <w:sz w:val="24"/>
              </w:rPr>
            </w:pPr>
            <w:r>
              <w:rPr>
                <w:sz w:val="24"/>
              </w:rPr>
              <w:t>0.722872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146"/>
              <w:ind w:left="108"/>
              <w:rPr>
                <w:sz w:val="24"/>
              </w:rPr>
            </w:pPr>
            <w:r>
              <w:rPr>
                <w:sz w:val="24"/>
              </w:rPr>
              <w:t>0.953063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146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579" w:hRule="atLeast"/>
        </w:trPr>
        <w:tc>
          <w:tcPr>
            <w:tcW w:w="1020" w:type="dxa"/>
          </w:tcPr>
          <w:p>
            <w:pPr>
              <w:pStyle w:val="TableParagraph"/>
              <w:spacing w:line="240" w:lineRule="auto" w:before="144"/>
              <w:ind w:left="108"/>
              <w:rPr>
                <w:sz w:val="24"/>
              </w:rPr>
            </w:pPr>
            <w:r>
              <w:rPr>
                <w:sz w:val="24"/>
              </w:rPr>
              <w:t>catalyst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144"/>
              <w:ind w:left="109"/>
              <w:rPr>
                <w:sz w:val="24"/>
              </w:rPr>
            </w:pPr>
            <w:r>
              <w:rPr>
                <w:sz w:val="24"/>
              </w:rPr>
              <w:t>0.75092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144"/>
              <w:ind w:left="108"/>
              <w:rPr>
                <w:sz w:val="24"/>
              </w:rPr>
            </w:pPr>
            <w:r>
              <w:rPr>
                <w:sz w:val="24"/>
              </w:rPr>
              <w:t>0.996546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144"/>
              <w:ind w:left="110"/>
              <w:rPr>
                <w:sz w:val="24"/>
              </w:rPr>
            </w:pPr>
            <w:r>
              <w:rPr>
                <w:sz w:val="24"/>
              </w:rPr>
              <w:t>0.943266</w:t>
            </w:r>
          </w:p>
        </w:tc>
        <w:tc>
          <w:tcPr>
            <w:tcW w:w="2167" w:type="dxa"/>
          </w:tcPr>
          <w:p>
            <w:pPr>
              <w:pStyle w:val="TableParagraph"/>
              <w:spacing w:line="240" w:lineRule="auto" w:before="144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35" w:hRule="atLeast"/>
        </w:trPr>
        <w:tc>
          <w:tcPr>
            <w:tcW w:w="1020" w:type="dxa"/>
          </w:tcPr>
          <w:p>
            <w:pPr>
              <w:pStyle w:val="TableParagraph"/>
              <w:spacing w:line="270" w:lineRule="exact" w:before="145"/>
              <w:ind w:left="108"/>
              <w:rPr>
                <w:sz w:val="24"/>
              </w:rPr>
            </w:pPr>
            <w:r>
              <w:rPr>
                <w:sz w:val="24"/>
              </w:rPr>
              <w:t>θ3</w:t>
            </w:r>
          </w:p>
        </w:tc>
        <w:tc>
          <w:tcPr>
            <w:tcW w:w="1206" w:type="dxa"/>
          </w:tcPr>
          <w:p>
            <w:pPr>
              <w:pStyle w:val="TableParagraph"/>
              <w:spacing w:line="270" w:lineRule="exact" w:before="145"/>
              <w:ind w:left="107"/>
              <w:rPr>
                <w:sz w:val="24"/>
              </w:rPr>
            </w:pPr>
            <w:r>
              <w:rPr>
                <w:sz w:val="24"/>
              </w:rPr>
              <w:t>0.397173</w:t>
            </w:r>
          </w:p>
        </w:tc>
        <w:tc>
          <w:tcPr>
            <w:tcW w:w="1206" w:type="dxa"/>
          </w:tcPr>
          <w:p>
            <w:pPr>
              <w:pStyle w:val="TableParagraph"/>
              <w:spacing w:line="270" w:lineRule="exact" w:before="145"/>
              <w:ind w:left="109"/>
              <w:rPr>
                <w:sz w:val="24"/>
              </w:rPr>
            </w:pPr>
            <w:r>
              <w:rPr>
                <w:sz w:val="24"/>
              </w:rPr>
              <w:t>0.893849</w:t>
            </w:r>
          </w:p>
        </w:tc>
        <w:tc>
          <w:tcPr>
            <w:tcW w:w="1206" w:type="dxa"/>
          </w:tcPr>
          <w:p>
            <w:pPr>
              <w:pStyle w:val="TableParagraph"/>
              <w:spacing w:line="270" w:lineRule="exact" w:before="145"/>
              <w:ind w:left="108"/>
              <w:rPr>
                <w:sz w:val="24"/>
              </w:rPr>
            </w:pPr>
            <w:r>
              <w:rPr>
                <w:sz w:val="24"/>
              </w:rPr>
              <w:t>0.451352</w:t>
            </w:r>
          </w:p>
        </w:tc>
        <w:tc>
          <w:tcPr>
            <w:tcW w:w="1206" w:type="dxa"/>
          </w:tcPr>
          <w:p>
            <w:pPr>
              <w:pStyle w:val="TableParagraph"/>
              <w:spacing w:line="270" w:lineRule="exact" w:before="145"/>
              <w:ind w:left="110"/>
              <w:rPr>
                <w:sz w:val="24"/>
              </w:rPr>
            </w:pPr>
            <w:r>
              <w:rPr>
                <w:sz w:val="24"/>
              </w:rPr>
              <w:t>0.405505</w:t>
            </w:r>
          </w:p>
        </w:tc>
        <w:tc>
          <w:tcPr>
            <w:tcW w:w="2167" w:type="dxa"/>
          </w:tcPr>
          <w:p>
            <w:pPr>
              <w:pStyle w:val="TableParagraph"/>
              <w:tabs>
                <w:tab w:pos="1316" w:val="left" w:leader="none"/>
              </w:tabs>
              <w:spacing w:line="270" w:lineRule="exact" w:before="145"/>
              <w:ind w:left="108"/>
              <w:rPr>
                <w:sz w:val="24"/>
              </w:rPr>
            </w:pPr>
            <w:r>
              <w:rPr>
                <w:sz w:val="24"/>
              </w:rPr>
              <w:t>0.397173</w:t>
              <w:tab/>
              <w:t>1</w:t>
            </w:r>
          </w:p>
        </w:tc>
      </w:tr>
    </w:tbl>
    <w:p>
      <w:pPr>
        <w:pStyle w:val="BodyText"/>
        <w:spacing w:before="10"/>
        <w:rPr>
          <w:sz w:val="20"/>
        </w:rPr>
      </w:pPr>
      <w:r>
        <w:rPr/>
        <w:pict>
          <v:shape style="position:absolute;margin-left:79.464005pt;margin-top:14.521279pt;width:401.4pt;height:1pt;mso-position-horizontal-relative:page;mso-position-vertical-relative:paragraph;z-index:-15693312;mso-wrap-distance-left:0;mso-wrap-distance-right:0" coordorigin="1589,290" coordsize="8028,20" path="m2628,290l2624,290,2609,290,1589,290,1589,310,2609,310,2624,310,2628,310,2628,290xm3836,290l3831,290,3817,290,2628,290,2628,310,3817,310,3831,310,3836,310,3836,290xm6249,290l6244,290,6229,290,5041,290,5036,290,5022,290,3836,290,3836,310,5022,310,5036,310,5041,310,6229,310,6244,310,6249,310,6249,290xm7453,290l7449,290,7434,290,6249,290,6249,310,7434,310,7449,310,7453,310,7453,290xm8661,290l8656,290,8641,290,7453,290,7453,310,8641,310,8656,310,8661,310,8661,290xm9616,290l8661,290,8661,310,9616,310,9616,29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spacing w:line="480" w:lineRule="auto" w:before="75"/>
        <w:ind w:left="1198" w:right="578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catalyst,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acetylation</w:t>
      </w:r>
      <w:r>
        <w:rPr>
          <w:spacing w:val="36"/>
        </w:rPr>
        <w:t> </w:t>
      </w:r>
      <w:r>
        <w:rPr/>
        <w:t>were</w:t>
      </w:r>
      <w:r>
        <w:rPr>
          <w:spacing w:val="37"/>
        </w:rPr>
        <w:t> </w:t>
      </w:r>
      <w:r>
        <w:rPr/>
        <w:t>determined</w:t>
      </w:r>
      <w:r>
        <w:rPr>
          <w:spacing w:val="35"/>
        </w:rPr>
        <w:t> </w:t>
      </w:r>
      <w:r>
        <w:rPr/>
        <w:t>using</w:t>
      </w:r>
      <w:r>
        <w:rPr>
          <w:spacing w:val="37"/>
        </w:rPr>
        <w:t> </w:t>
      </w:r>
      <w:r>
        <w:rPr/>
        <w:t>a</w:t>
      </w:r>
      <w:r>
        <w:rPr>
          <w:spacing w:val="34"/>
        </w:rPr>
        <w:t> </w:t>
      </w:r>
      <w:r>
        <w:rPr/>
        <w:t>statistical</w:t>
      </w:r>
      <w:r>
        <w:rPr>
          <w:spacing w:val="36"/>
        </w:rPr>
        <w:t> </w:t>
      </w:r>
      <w:r>
        <w:rPr/>
        <w:t>predictive</w:t>
      </w:r>
      <w:r>
        <w:rPr>
          <w:spacing w:val="37"/>
        </w:rPr>
        <w:t> </w:t>
      </w:r>
      <w:r>
        <w:rPr/>
        <w:t>tool-regression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results</w:t>
      </w:r>
      <w:r>
        <w:rPr>
          <w:spacing w:val="-73"/>
        </w:rPr>
        <w:t> </w:t>
      </w:r>
      <w:r>
        <w:rPr/>
        <w:t>are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Table 3.12,</w:t>
      </w:r>
    </w:p>
    <w:p>
      <w:pPr>
        <w:pStyle w:val="BodyText"/>
        <w:spacing w:before="2"/>
        <w:ind w:left="1918"/>
        <w:jc w:val="both"/>
      </w:pPr>
      <w:r>
        <w:rPr/>
        <w:t>Table</w:t>
      </w:r>
      <w:r>
        <w:rPr>
          <w:spacing w:val="-4"/>
        </w:rPr>
        <w:t> </w:t>
      </w:r>
      <w:r>
        <w:rPr/>
        <w:t>3.12</w:t>
      </w:r>
      <w:r>
        <w:rPr>
          <w:spacing w:val="-2"/>
        </w:rPr>
        <w:t> </w:t>
      </w:r>
      <w:r>
        <w:rPr/>
        <w:t>Regression</w:t>
      </w:r>
      <w:r>
        <w:rPr>
          <w:spacing w:val="-6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catalyst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extent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acetylation</w:t>
      </w:r>
    </w:p>
    <w:p>
      <w:pPr>
        <w:pStyle w:val="BodyText"/>
        <w:spacing w:before="6"/>
      </w:pPr>
    </w:p>
    <w:tbl>
      <w:tblPr>
        <w:tblW w:w="0" w:type="auto"/>
        <w:jc w:val="left"/>
        <w:tblInd w:w="1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0"/>
        <w:gridCol w:w="1291"/>
        <w:gridCol w:w="1308"/>
        <w:gridCol w:w="1639"/>
        <w:gridCol w:w="1374"/>
        <w:gridCol w:w="1773"/>
      </w:tblGrid>
      <w:tr>
        <w:trPr>
          <w:trHeight w:val="530" w:hRule="atLeast"/>
        </w:trPr>
        <w:tc>
          <w:tcPr>
            <w:tcW w:w="14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Intercept</w:t>
            </w:r>
          </w:p>
        </w:tc>
        <w:tc>
          <w:tcPr>
            <w:tcW w:w="13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296"/>
              <w:rPr>
                <w:sz w:val="22"/>
              </w:rPr>
            </w:pPr>
            <w:r>
              <w:rPr>
                <w:sz w:val="22"/>
              </w:rPr>
              <w:t>Slope</w:t>
            </w:r>
          </w:p>
        </w:tc>
        <w:tc>
          <w:tcPr>
            <w:tcW w:w="16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64" w:right="282"/>
              <w:rPr>
                <w:sz w:val="22"/>
              </w:rPr>
            </w:pPr>
            <w:r>
              <w:rPr>
                <w:sz w:val="22"/>
              </w:rPr>
              <w:t>Standard</w:t>
            </w:r>
            <w:r>
              <w:rPr>
                <w:spacing w:val="-66"/>
                <w:sz w:val="22"/>
              </w:rPr>
              <w:t> </w:t>
            </w:r>
            <w:r>
              <w:rPr>
                <w:sz w:val="22"/>
              </w:rPr>
              <w:t>error</w:t>
            </w:r>
          </w:p>
        </w:tc>
        <w:tc>
          <w:tcPr>
            <w:tcW w:w="13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302"/>
              <w:rPr>
                <w:sz w:val="22"/>
              </w:rPr>
            </w:pPr>
            <w:r>
              <w:rPr>
                <w:sz w:val="22"/>
              </w:rPr>
              <w:t>t-stat</w:t>
            </w:r>
          </w:p>
        </w:tc>
        <w:tc>
          <w:tcPr>
            <w:tcW w:w="17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404"/>
              <w:rPr>
                <w:sz w:val="22"/>
              </w:rPr>
            </w:pPr>
            <w:r>
              <w:rPr>
                <w:sz w:val="22"/>
              </w:rPr>
              <w:t>P-value</w:t>
            </w:r>
          </w:p>
        </w:tc>
      </w:tr>
      <w:tr>
        <w:trPr>
          <w:trHeight w:val="262" w:hRule="atLeast"/>
        </w:trPr>
        <w:tc>
          <w:tcPr>
            <w:tcW w:w="14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/>
              <w:ind w:left="115"/>
              <w:rPr>
                <w:sz w:val="22"/>
              </w:rPr>
            </w:pPr>
            <w:r>
              <w:rPr>
                <w:sz w:val="22"/>
              </w:rPr>
              <w:t>Catalyst</w:t>
            </w:r>
          </w:p>
        </w:tc>
        <w:tc>
          <w:tcPr>
            <w:tcW w:w="12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/>
              <w:ind w:left="111"/>
              <w:rPr>
                <w:sz w:val="22"/>
              </w:rPr>
            </w:pPr>
            <w:r>
              <w:rPr>
                <w:sz w:val="22"/>
              </w:rPr>
              <w:t>1.156</w:t>
            </w:r>
          </w:p>
        </w:tc>
        <w:tc>
          <w:tcPr>
            <w:tcW w:w="13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/>
              <w:ind w:left="296"/>
              <w:rPr>
                <w:sz w:val="22"/>
              </w:rPr>
            </w:pPr>
            <w:r>
              <w:rPr>
                <w:sz w:val="22"/>
              </w:rPr>
              <w:t>0.095</w:t>
            </w:r>
          </w:p>
        </w:tc>
        <w:tc>
          <w:tcPr>
            <w:tcW w:w="16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/>
              <w:ind w:left="446" w:right="485"/>
              <w:jc w:val="center"/>
              <w:rPr>
                <w:sz w:val="22"/>
              </w:rPr>
            </w:pPr>
            <w:r>
              <w:rPr>
                <w:sz w:val="22"/>
              </w:rPr>
              <w:t>0.1267</w:t>
            </w:r>
          </w:p>
        </w:tc>
        <w:tc>
          <w:tcPr>
            <w:tcW w:w="13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/>
              <w:ind w:left="302"/>
              <w:rPr>
                <w:sz w:val="22"/>
              </w:rPr>
            </w:pPr>
            <w:r>
              <w:rPr>
                <w:sz w:val="22"/>
              </w:rPr>
              <w:t>0.7496</w:t>
            </w:r>
          </w:p>
        </w:tc>
        <w:tc>
          <w:tcPr>
            <w:tcW w:w="17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/>
              <w:ind w:left="404"/>
              <w:rPr>
                <w:sz w:val="22"/>
              </w:rPr>
            </w:pPr>
            <w:r>
              <w:rPr>
                <w:sz w:val="22"/>
              </w:rPr>
              <w:t>0.5079</w:t>
            </w:r>
          </w:p>
        </w:tc>
      </w:tr>
      <w:tr>
        <w:trPr>
          <w:trHeight w:val="265" w:hRule="atLeast"/>
        </w:trPr>
        <w:tc>
          <w:tcPr>
            <w:tcW w:w="1480" w:type="dxa"/>
          </w:tcPr>
          <w:p>
            <w:pPr>
              <w:pStyle w:val="TableParagraph"/>
              <w:spacing w:line="245" w:lineRule="exact"/>
              <w:ind w:left="115"/>
              <w:rPr>
                <w:sz w:val="22"/>
              </w:rPr>
            </w:pPr>
            <w:r>
              <w:rPr>
                <w:sz w:val="22"/>
              </w:rPr>
              <w:t>Temperature</w:t>
            </w:r>
          </w:p>
        </w:tc>
        <w:tc>
          <w:tcPr>
            <w:tcW w:w="1291" w:type="dxa"/>
          </w:tcPr>
          <w:p>
            <w:pPr>
              <w:pStyle w:val="TableParagraph"/>
              <w:spacing w:line="245" w:lineRule="exact"/>
              <w:ind w:left="111"/>
              <w:rPr>
                <w:sz w:val="22"/>
              </w:rPr>
            </w:pPr>
            <w:r>
              <w:rPr>
                <w:sz w:val="22"/>
              </w:rPr>
              <w:t>0.958</w:t>
            </w:r>
          </w:p>
        </w:tc>
        <w:tc>
          <w:tcPr>
            <w:tcW w:w="1308" w:type="dxa"/>
          </w:tcPr>
          <w:p>
            <w:pPr>
              <w:pStyle w:val="TableParagraph"/>
              <w:spacing w:line="245" w:lineRule="exact"/>
              <w:ind w:left="296"/>
              <w:rPr>
                <w:sz w:val="22"/>
              </w:rPr>
            </w:pPr>
            <w:r>
              <w:rPr>
                <w:sz w:val="22"/>
              </w:rPr>
              <w:t>0.006</w:t>
            </w:r>
          </w:p>
        </w:tc>
        <w:tc>
          <w:tcPr>
            <w:tcW w:w="1639" w:type="dxa"/>
          </w:tcPr>
          <w:p>
            <w:pPr>
              <w:pStyle w:val="TableParagraph"/>
              <w:spacing w:line="245" w:lineRule="exact"/>
              <w:ind w:left="446" w:right="485"/>
              <w:jc w:val="center"/>
              <w:rPr>
                <w:sz w:val="22"/>
              </w:rPr>
            </w:pPr>
            <w:r>
              <w:rPr>
                <w:sz w:val="22"/>
              </w:rPr>
              <w:t>0.0012</w:t>
            </w:r>
          </w:p>
        </w:tc>
        <w:tc>
          <w:tcPr>
            <w:tcW w:w="1374" w:type="dxa"/>
          </w:tcPr>
          <w:p>
            <w:pPr>
              <w:pStyle w:val="TableParagraph"/>
              <w:spacing w:line="245" w:lineRule="exact"/>
              <w:ind w:left="302"/>
              <w:rPr>
                <w:sz w:val="22"/>
              </w:rPr>
            </w:pPr>
            <w:r>
              <w:rPr>
                <w:sz w:val="22"/>
              </w:rPr>
              <w:t>5.4521</w:t>
            </w:r>
          </w:p>
        </w:tc>
        <w:tc>
          <w:tcPr>
            <w:tcW w:w="1773" w:type="dxa"/>
          </w:tcPr>
          <w:p>
            <w:pPr>
              <w:pStyle w:val="TableParagraph"/>
              <w:spacing w:line="245" w:lineRule="exact"/>
              <w:ind w:left="404"/>
              <w:rPr>
                <w:sz w:val="22"/>
              </w:rPr>
            </w:pPr>
            <w:r>
              <w:rPr>
                <w:sz w:val="22"/>
              </w:rPr>
              <w:t>0.0121</w:t>
            </w:r>
          </w:p>
        </w:tc>
      </w:tr>
      <w:tr>
        <w:trPr>
          <w:trHeight w:val="268" w:hRule="atLeast"/>
        </w:trPr>
        <w:tc>
          <w:tcPr>
            <w:tcW w:w="14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2"/>
              </w:rPr>
            </w:pPr>
            <w:r>
              <w:rPr>
                <w:sz w:val="22"/>
              </w:rPr>
              <w:t>Time</w:t>
            </w:r>
          </w:p>
        </w:tc>
        <w:tc>
          <w:tcPr>
            <w:tcW w:w="12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1.056</w:t>
            </w:r>
          </w:p>
        </w:tc>
        <w:tc>
          <w:tcPr>
            <w:tcW w:w="1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296"/>
              <w:rPr>
                <w:sz w:val="22"/>
              </w:rPr>
            </w:pPr>
            <w:r>
              <w:rPr>
                <w:sz w:val="22"/>
              </w:rPr>
              <w:t>0.005</w:t>
            </w:r>
          </w:p>
        </w:tc>
        <w:tc>
          <w:tcPr>
            <w:tcW w:w="16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446" w:right="485"/>
              <w:jc w:val="center"/>
              <w:rPr>
                <w:sz w:val="22"/>
              </w:rPr>
            </w:pPr>
            <w:r>
              <w:rPr>
                <w:sz w:val="22"/>
              </w:rPr>
              <w:t>0.0029</w:t>
            </w:r>
          </w:p>
        </w:tc>
        <w:tc>
          <w:tcPr>
            <w:tcW w:w="13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302"/>
              <w:rPr>
                <w:sz w:val="22"/>
              </w:rPr>
            </w:pPr>
            <w:r>
              <w:rPr>
                <w:sz w:val="22"/>
              </w:rPr>
              <w:t>1.9695</w:t>
            </w:r>
          </w:p>
        </w:tc>
        <w:tc>
          <w:tcPr>
            <w:tcW w:w="17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404"/>
              <w:rPr>
                <w:sz w:val="22"/>
              </w:rPr>
            </w:pPr>
            <w:r>
              <w:rPr>
                <w:sz w:val="22"/>
              </w:rPr>
              <w:t>0.1435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233"/>
        <w:ind w:left="1918"/>
        <w:jc w:val="both"/>
      </w:pPr>
      <w:r>
        <w:rPr/>
        <w:t>The</w:t>
      </w:r>
      <w:r>
        <w:rPr>
          <w:spacing w:val="5"/>
        </w:rPr>
        <w:t> </w:t>
      </w:r>
      <w:r>
        <w:rPr/>
        <w:t>following</w:t>
      </w:r>
      <w:r>
        <w:rPr>
          <w:spacing w:val="77"/>
        </w:rPr>
        <w:t> </w:t>
      </w:r>
      <w:r>
        <w:rPr/>
        <w:t>expressions</w:t>
      </w:r>
      <w:r>
        <w:rPr>
          <w:spacing w:val="78"/>
        </w:rPr>
        <w:t> </w:t>
      </w:r>
      <w:r>
        <w:rPr/>
        <w:t>(equation</w:t>
      </w:r>
      <w:r>
        <w:rPr>
          <w:spacing w:val="78"/>
        </w:rPr>
        <w:t> </w:t>
      </w:r>
      <w:r>
        <w:rPr/>
        <w:t>3.4,  3.5</w:t>
      </w:r>
      <w:r>
        <w:rPr>
          <w:spacing w:val="77"/>
        </w:rPr>
        <w:t> </w:t>
      </w:r>
      <w:r>
        <w:rPr/>
        <w:t>and</w:t>
      </w:r>
      <w:r>
        <w:rPr>
          <w:spacing w:val="78"/>
        </w:rPr>
        <w:t> </w:t>
      </w:r>
      <w:r>
        <w:rPr/>
        <w:t>3.6)</w:t>
      </w:r>
      <w:r>
        <w:rPr>
          <w:spacing w:val="77"/>
        </w:rPr>
        <w:t> </w:t>
      </w:r>
      <w:r>
        <w:rPr/>
        <w:t>were</w:t>
      </w:r>
      <w:r>
        <w:rPr>
          <w:spacing w:val="79"/>
        </w:rPr>
        <w:t> </w:t>
      </w:r>
      <w:r>
        <w:rPr/>
        <w:t>derived</w:t>
      </w:r>
      <w:r>
        <w:rPr>
          <w:spacing w:val="77"/>
        </w:rPr>
        <w:t> </w:t>
      </w:r>
      <w:r>
        <w:rPr/>
        <w:t>from</w:t>
      </w:r>
      <w:r>
        <w:rPr>
          <w:spacing w:val="76"/>
        </w:rPr>
        <w:t> </w:t>
      </w:r>
      <w:r>
        <w:rPr/>
        <w:t>the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100"/>
        <w:ind w:left="1198"/>
      </w:pPr>
      <w:r>
        <w:rPr/>
        <w:t>intercept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slope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-2"/>
        </w:rPr>
        <w:t> </w:t>
      </w:r>
      <w:r>
        <w:rPr/>
        <w:t>3.12.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337" w:val="left" w:leader="none"/>
        </w:tabs>
        <w:spacing w:line="240" w:lineRule="auto" w:before="1" w:after="0"/>
        <w:ind w:left="10175" w:right="1307" w:hanging="10176"/>
        <w:jc w:val="righ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1035069</wp:posOffset>
            </wp:positionH>
            <wp:positionV relativeFrom="paragraph">
              <wp:posOffset>42940</wp:posOffset>
            </wp:positionV>
            <wp:extent cx="1711285" cy="114502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285" cy="114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3</w:t>
      </w:r>
      <w:r>
        <w:rPr>
          <w:spacing w:val="-1"/>
          <w:sz w:val="24"/>
        </w:rPr>
        <w:t>.</w:t>
      </w:r>
      <w:r>
        <w:rPr>
          <w:sz w:val="24"/>
        </w:rPr>
        <w:t>4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9"/>
        </w:rPr>
      </w:pPr>
    </w:p>
    <w:p>
      <w:pPr>
        <w:pStyle w:val="ListParagraph"/>
        <w:numPr>
          <w:ilvl w:val="1"/>
          <w:numId w:val="10"/>
        </w:numPr>
        <w:tabs>
          <w:tab w:pos="337" w:val="left" w:leader="none"/>
        </w:tabs>
        <w:spacing w:line="240" w:lineRule="auto" w:before="1" w:after="0"/>
        <w:ind w:left="10175" w:right="1307" w:hanging="10176"/>
        <w:jc w:val="righ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1035069</wp:posOffset>
            </wp:positionH>
            <wp:positionV relativeFrom="paragraph">
              <wp:posOffset>42179</wp:posOffset>
            </wp:positionV>
            <wp:extent cx="1680726" cy="114502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726" cy="114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3</w:t>
      </w:r>
      <w:r>
        <w:rPr>
          <w:spacing w:val="-1"/>
          <w:sz w:val="24"/>
        </w:rPr>
        <w:t>.</w:t>
      </w:r>
      <w:r>
        <w:rPr>
          <w:sz w:val="24"/>
        </w:rPr>
        <w:t>5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9"/>
        </w:rPr>
      </w:pPr>
    </w:p>
    <w:p>
      <w:pPr>
        <w:pStyle w:val="ListParagraph"/>
        <w:numPr>
          <w:ilvl w:val="1"/>
          <w:numId w:val="10"/>
        </w:numPr>
        <w:tabs>
          <w:tab w:pos="337" w:val="left" w:leader="none"/>
        </w:tabs>
        <w:spacing w:line="240" w:lineRule="auto" w:before="0" w:after="0"/>
        <w:ind w:left="10175" w:right="1307" w:hanging="10176"/>
        <w:jc w:val="righ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1035053</wp:posOffset>
            </wp:positionH>
            <wp:positionV relativeFrom="paragraph">
              <wp:posOffset>42560</wp:posOffset>
            </wp:positionV>
            <wp:extent cx="1577957" cy="114502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957" cy="114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3</w:t>
      </w:r>
      <w:r>
        <w:rPr>
          <w:spacing w:val="-1"/>
          <w:sz w:val="24"/>
        </w:rPr>
        <w:t>.</w:t>
      </w:r>
      <w:r>
        <w:rPr>
          <w:sz w:val="24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480" w:lineRule="auto" w:before="100"/>
        <w:ind w:left="1198" w:right="580" w:firstLine="74"/>
        <w:jc w:val="both"/>
      </w:pPr>
      <w:r>
        <w:rPr/>
        <w:t>Eqs 3.4, 3.5 and 3.6 showed that, temperature rise by 1 Kel brought about 0.6% rise in</w:t>
      </w:r>
      <w:r>
        <w:rPr>
          <w:spacing w:val="1"/>
        </w:rPr>
        <w:t> </w:t>
      </w:r>
      <w:r>
        <w:rPr/>
        <w:t>EA, increasing time by 1 minute caused a 0.5% rise in EA and increasing the amount of</w:t>
      </w:r>
      <w:r>
        <w:rPr>
          <w:spacing w:val="1"/>
        </w:rPr>
        <w:t> </w:t>
      </w:r>
      <w:r>
        <w:rPr/>
        <w:t>catalyst</w:t>
      </w:r>
      <w:r>
        <w:rPr>
          <w:spacing w:val="-2"/>
        </w:rPr>
        <w:t> </w:t>
      </w:r>
      <w:r>
        <w:rPr/>
        <w:t>by 1%g/mL caused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9.5%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in EA.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numPr>
          <w:ilvl w:val="1"/>
          <w:numId w:val="11"/>
        </w:numPr>
        <w:tabs>
          <w:tab w:pos="1918" w:val="left" w:leader="none"/>
        </w:tabs>
        <w:spacing w:line="240" w:lineRule="auto" w:before="77" w:after="0"/>
        <w:ind w:left="1918" w:right="0" w:hanging="720"/>
        <w:jc w:val="both"/>
      </w:pPr>
      <w:r>
        <w:rPr/>
        <w:t>Kinetics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Acetylation</w:t>
      </w:r>
    </w:p>
    <w:p>
      <w:pPr>
        <w:pStyle w:val="ListParagraph"/>
        <w:numPr>
          <w:ilvl w:val="2"/>
          <w:numId w:val="11"/>
        </w:numPr>
        <w:tabs>
          <w:tab w:pos="1918" w:val="left" w:leader="none"/>
        </w:tabs>
        <w:spacing w:line="240" w:lineRule="auto" w:before="244" w:after="0"/>
        <w:ind w:left="1918" w:right="0" w:hanging="720"/>
        <w:jc w:val="both"/>
        <w:rPr>
          <w:b/>
          <w:sz w:val="24"/>
        </w:rPr>
      </w:pPr>
      <w:r>
        <w:rPr>
          <w:b/>
          <w:sz w:val="24"/>
        </w:rPr>
        <w:t>Kinetics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Corn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Acetylation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98" w:right="576"/>
        <w:jc w:val="both"/>
      </w:pPr>
      <w:r>
        <w:rPr/>
        <w:t>The kinetics of corn cob acetylation was studied by fitting obtained data in rate curves</w:t>
      </w:r>
      <w:r>
        <w:rPr>
          <w:spacing w:val="1"/>
        </w:rPr>
        <w:t> </w:t>
      </w:r>
      <w:r>
        <w:rPr/>
        <w:t>(Table 2.1). The predicted kinetics from the linear plots of derived pseudo first-order,</w:t>
      </w:r>
      <w:r>
        <w:rPr>
          <w:spacing w:val="1"/>
        </w:rPr>
        <w:t> </w:t>
      </w:r>
      <w:r>
        <w:rPr/>
        <w:t>lagergren first-order, second order model, pseudo second-order and intra-particle diffusion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are presented</w:t>
      </w:r>
      <w:r>
        <w:rPr>
          <w:spacing w:val="-1"/>
        </w:rPr>
        <w:t> </w:t>
      </w:r>
      <w:r>
        <w:rPr/>
        <w:t>in Figures 3.15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3.19</w:t>
      </w:r>
      <w:r>
        <w:rPr>
          <w:spacing w:val="-1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ind w:left="1252"/>
        <w:rPr>
          <w:sz w:val="20"/>
        </w:rPr>
      </w:pPr>
      <w:r>
        <w:rPr>
          <w:sz w:val="20"/>
        </w:rPr>
        <w:pict>
          <v:group style="width:462.2pt;height:499.5pt;mso-position-horizontal-relative:char;mso-position-vertical-relative:line" coordorigin="0,0" coordsize="9244,9990">
            <v:rect style="position:absolute;left:12;top:12;width:9219;height:9965" filled="false" stroked="true" strokeweight=".998415pt" strokecolor="#000000">
              <v:stroke dashstyle="solid"/>
            </v:rect>
            <v:shape style="position:absolute;left:1762;top:688;width:5056;height:7978" coordorigin="1763,689" coordsize="5056,7978" path="m1830,689l1830,8638m1763,8667l1817,8667m1763,7534l1817,7534m1763,6375l1817,6375m1763,5244l1817,5244m1763,4112l1817,4112m1763,2980l1817,2980m1763,1821l1817,1821m1763,689l1817,689m1830,6375l6805,6375m1830,6513l1830,6403m3074,6513l3074,6403m4331,6513l4331,6403m5575,6513l5575,6403m6818,6513l6818,6403e" filled="false" stroked="true" strokeweight="1.02566pt" strokecolor="#000000">
              <v:path arrowok="t"/>
              <v:stroke dashstyle="solid"/>
            </v:shape>
            <v:shape style="position:absolute;left:2411;top:1903;width:3826;height:4555" coordorigin="2412,1904" coordsize="3826,4555" path="m2452,1904l2493,1986,2452,2069,2412,1986,2452,1904xm3696,4609l3736,4691,3696,4774,3655,4691,3696,4609xm4953,2980l4993,3062,4953,3145,4912,3062,4953,2980xm6196,6293l6237,6375,6196,6458,6156,6375,6196,6293xe" filled="false" stroked="true" strokeweight="1.02566pt" strokecolor="#000000">
              <v:path arrowok="t"/>
              <v:stroke dashstyle="solid"/>
            </v:shape>
            <v:shape style="position:absolute;left:2425;top:6899;width:3799;height:1243" coordorigin="2425,6899" coordsize="3799,1243" path="m2452,6955l2425,6899m2452,6955l2479,7010m2452,6955l2425,7010m2452,6955l2479,6899m2452,6955l2452,6899m2452,6955l2452,7010m3696,8087l3669,8032m3696,8087l3723,8142m3696,8087l3669,8142m3696,8087l3723,8032m3696,8087l3696,8032m3696,8087l3696,8142m4953,7534l4926,7479m4953,7534l4980,7589m4953,7534l4926,7589m4953,7534l4980,7479m4953,7534l4953,7479m4953,7534l4953,7589m6196,7534l6169,7479m6196,7534l6223,7589m6196,7534l6169,7589m6196,7534l6223,7479m6196,7534l6196,7479m6196,7534l6196,7589e" filled="false" stroked="true" strokeweight="1.02566pt" strokecolor="#000000">
              <v:path arrowok="t"/>
              <v:stroke dashstyle="solid"/>
            </v:shape>
            <v:shape style="position:absolute;left:2404;top:1392;width:3826;height:5632" coordorigin="2405,1392" coordsize="3826,5632" path="m2486,5313l2445,5147,2405,5313,2486,5313xm3729,7024l3689,6858,3648,7024,3729,7024xm4986,5892l4946,5727,4905,5892,4986,5892xm6230,1559l6189,1392,6149,1559,6230,1559xe" filled="true" fillcolor="#000000" stroked="false">
              <v:path arrowok="t"/>
              <v:fill type="solid"/>
            </v:shape>
            <v:shape style="position:absolute;left:2445;top:2303;width:3745;height:5383" coordorigin="2445,2304" coordsize="3745,5383" path="m2445,6720l6190,2994m2445,2304l6190,5754m2445,7355l6190,7687e" filled="false" stroked="true" strokeweight="2.05132pt" strokecolor="#000000">
              <v:path arrowok="t"/>
              <v:stroke dashstyle="solid"/>
            </v:shape>
            <v:rect style="position:absolute;left:8122;top:3491;width:1096;height:1987" filled="false" stroked="true" strokeweight=".838359pt" strokecolor="#000000">
              <v:stroke dashstyle="solid"/>
            </v:rect>
            <v:shape style="position:absolute;left:8237;top:3807;width:81;height:167" coordorigin="8238,3808" coordsize="81,167" path="m8278,3808l8318,3891,8278,3974,8238,3891,8278,3808xe" filled="false" stroked="true" strokeweight=".809384pt" strokecolor="#000000">
              <v:path arrowok="t"/>
              <v:stroke dashstyle="solid"/>
            </v:shape>
            <v:shape style="position:absolute;left:8251;top:4497;width:54;height:112" coordorigin="8251,4498" coordsize="54,112" path="m8278,4554l8251,4498m8278,4554l8305,4609m8278,4554l8251,4609m8278,4554l8305,4498m8278,4554l8278,4498m8278,4554l8278,4609e" filled="false" stroked="true" strokeweight="1.02566pt" strokecolor="#000000">
              <v:path arrowok="t"/>
              <v:stroke dashstyle="solid"/>
            </v:shape>
            <v:shape style="position:absolute;left:8230;top:5119;width:81;height:166" coordorigin="8231,5119" coordsize="81,166" path="m8271,5119l8231,5285,8312,5285,8271,5119xe" filled="true" fillcolor="#000000" stroked="false">
              <v:path arrowok="t"/>
              <v:fill type="solid"/>
            </v:shape>
            <v:rect style="position:absolute;left:12;top:12;width:9219;height:9965" filled="false" stroked="true" strokeweight=".998415pt" strokecolor="#000000">
              <v:stroke dashstyle="solid"/>
            </v:rect>
            <v:shape style="position:absolute;left:1228;top:441;width:438;height:2784" type="#_x0000_t202" filled="false" stroked="false">
              <v:textbox inset="0,0,0,0">
                <w:txbxContent>
                  <w:p>
                    <w:pPr>
                      <w:spacing w:line="493" w:lineRule="exact" w:before="0"/>
                      <w:ind w:left="121" w:right="0" w:firstLine="0"/>
                      <w:jc w:val="left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4"/>
                      </w:rPr>
                      <w:t>0.1</w:t>
                    </w:r>
                  </w:p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5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4"/>
                      </w:rPr>
                      <w:t>0.08</w:t>
                    </w:r>
                  </w:p>
                  <w:p>
                    <w:pPr>
                      <w:spacing w:line="240" w:lineRule="auto" w:before="9"/>
                      <w:rPr>
                        <w:rFonts w:ascii="Arial"/>
                        <w:b/>
                        <w:sz w:val="5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4"/>
                      </w:rPr>
                      <w:t>0.06</w:t>
                    </w:r>
                  </w:p>
                </w:txbxContent>
              </v:textbox>
              <w10:wrap type="none"/>
            </v:shape>
            <v:shape style="position:absolute;left:7284;top:162;width:1942;height:3306" type="#_x0000_t202" filled="false" stroked="false">
              <v:textbox inset="0,0,0,0">
                <w:txbxContent>
                  <w:p>
                    <w:pPr>
                      <w:spacing w:line="46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45"/>
                        <w:sz w:val="41"/>
                      </w:rPr>
                      <w:t>y =</w:t>
                    </w:r>
                    <w:r>
                      <w:rPr>
                        <w:rFonts w:ascii="Arial"/>
                        <w:b/>
                        <w:spacing w:val="33"/>
                        <w:w w:val="45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</w:rPr>
                      <w:t>-0.0202x</w:t>
                    </w:r>
                    <w:r>
                      <w:rPr>
                        <w:rFonts w:ascii="Arial"/>
                        <w:b/>
                        <w:spacing w:val="21"/>
                        <w:w w:val="45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</w:rPr>
                      <w:t>+</w:t>
                    </w:r>
                    <w:r>
                      <w:rPr>
                        <w:rFonts w:ascii="Arial"/>
                        <w:b/>
                        <w:spacing w:val="33"/>
                        <w:w w:val="45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</w:rPr>
                      <w:t>0.0918</w:t>
                    </w:r>
                  </w:p>
                  <w:p>
                    <w:pPr>
                      <w:spacing w:before="163"/>
                      <w:ind w:left="432" w:right="0" w:firstLine="0"/>
                      <w:jc w:val="lef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45"/>
                        <w:sz w:val="41"/>
                      </w:rPr>
                      <w:t>R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  <w:vertAlign w:val="superscript"/>
                      </w:rPr>
                      <w:t>2</w:t>
                    </w:r>
                    <w:r>
                      <w:rPr>
                        <w:rFonts w:ascii="Arial"/>
                        <w:b/>
                        <w:spacing w:val="23"/>
                        <w:w w:val="45"/>
                        <w:sz w:val="41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  <w:vertAlign w:val="baseline"/>
                      </w:rPr>
                      <w:t>=</w:t>
                    </w:r>
                    <w:r>
                      <w:rPr>
                        <w:rFonts w:ascii="Arial"/>
                        <w:b/>
                        <w:spacing w:val="20"/>
                        <w:w w:val="45"/>
                        <w:sz w:val="41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  <w:vertAlign w:val="baseline"/>
                      </w:rPr>
                      <w:t>0.6008</w:t>
                    </w:r>
                  </w:p>
                  <w:p>
                    <w:pPr>
                      <w:spacing w:before="25"/>
                      <w:ind w:left="270" w:right="0" w:firstLine="0"/>
                      <w:jc w:val="lef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45"/>
                        <w:sz w:val="41"/>
                      </w:rPr>
                      <w:t>y</w:t>
                    </w:r>
                    <w:r>
                      <w:rPr>
                        <w:rFonts w:ascii="Arial"/>
                        <w:b/>
                        <w:spacing w:val="-2"/>
                        <w:w w:val="45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</w:rPr>
                      <w:t>=</w:t>
                    </w:r>
                    <w:r>
                      <w:rPr>
                        <w:rFonts w:ascii="Arial"/>
                        <w:b/>
                        <w:spacing w:val="29"/>
                        <w:w w:val="45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</w:rPr>
                      <w:t>-0.002x</w:t>
                    </w:r>
                    <w:r>
                      <w:rPr>
                        <w:rFonts w:ascii="Arial"/>
                        <w:b/>
                        <w:spacing w:val="19"/>
                        <w:w w:val="45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</w:rPr>
                      <w:t>-</w:t>
                    </w:r>
                    <w:r>
                      <w:rPr>
                        <w:rFonts w:ascii="Arial"/>
                        <w:b/>
                        <w:spacing w:val="26"/>
                        <w:w w:val="45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</w:rPr>
                      <w:t>0.015</w:t>
                    </w:r>
                  </w:p>
                  <w:p>
                    <w:pPr>
                      <w:spacing w:line="456" w:lineRule="exact" w:before="164"/>
                      <w:ind w:left="279" w:right="28" w:firstLine="0"/>
                      <w:jc w:val="center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45"/>
                        <w:sz w:val="41"/>
                      </w:rPr>
                      <w:t>R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  <w:vertAlign w:val="superscript"/>
                      </w:rPr>
                      <w:t>2</w:t>
                    </w:r>
                    <w:r>
                      <w:rPr>
                        <w:rFonts w:ascii="Arial"/>
                        <w:b/>
                        <w:spacing w:val="20"/>
                        <w:w w:val="45"/>
                        <w:sz w:val="41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  <w:vertAlign w:val="baseline"/>
                      </w:rPr>
                      <w:t>=</w:t>
                    </w:r>
                    <w:r>
                      <w:rPr>
                        <w:rFonts w:ascii="Arial"/>
                        <w:b/>
                        <w:spacing w:val="16"/>
                        <w:w w:val="45"/>
                        <w:sz w:val="41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  <w:vertAlign w:val="baseline"/>
                      </w:rPr>
                      <w:t>0.1</w:t>
                    </w:r>
                  </w:p>
                  <w:p>
                    <w:pPr>
                      <w:spacing w:line="456" w:lineRule="exact" w:before="0"/>
                      <w:ind w:left="236" w:right="28" w:firstLine="0"/>
                      <w:jc w:val="center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40"/>
                        <w:sz w:val="41"/>
                      </w:rPr>
                      <w:t>y</w:t>
                    </w:r>
                    <w:r>
                      <w:rPr>
                        <w:rFonts w:ascii="Arial"/>
                        <w:b/>
                        <w:spacing w:val="25"/>
                        <w:w w:val="40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40"/>
                        <w:sz w:val="41"/>
                      </w:rPr>
                      <w:t>=</w:t>
                    </w:r>
                    <w:r>
                      <w:rPr>
                        <w:rFonts w:ascii="Arial"/>
                        <w:b/>
                        <w:spacing w:val="-1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40"/>
                        <w:sz w:val="41"/>
                      </w:rPr>
                      <w:t>0.0218x</w:t>
                    </w:r>
                    <w:r>
                      <w:rPr>
                        <w:rFonts w:ascii="Arial"/>
                        <w:b/>
                        <w:spacing w:val="-14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40"/>
                        <w:sz w:val="41"/>
                      </w:rPr>
                      <w:t>-</w:t>
                    </w:r>
                    <w:r>
                      <w:rPr>
                        <w:rFonts w:ascii="Arial"/>
                        <w:b/>
                        <w:spacing w:val="-5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40"/>
                        <w:sz w:val="41"/>
                      </w:rPr>
                      <w:t>0.028</w:t>
                    </w:r>
                  </w:p>
                  <w:p>
                    <w:pPr>
                      <w:spacing w:before="163"/>
                      <w:ind w:left="251" w:right="28" w:firstLine="0"/>
                      <w:jc w:val="center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45"/>
                        <w:sz w:val="41"/>
                      </w:rPr>
                      <w:t>R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  <w:vertAlign w:val="superscript"/>
                      </w:rPr>
                      <w:t>2</w:t>
                    </w:r>
                    <w:r>
                      <w:rPr>
                        <w:rFonts w:ascii="Arial"/>
                        <w:b/>
                        <w:spacing w:val="23"/>
                        <w:w w:val="45"/>
                        <w:sz w:val="41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  <w:vertAlign w:val="baseline"/>
                      </w:rPr>
                      <w:t>=</w:t>
                    </w:r>
                    <w:r>
                      <w:rPr>
                        <w:rFonts w:ascii="Arial"/>
                        <w:b/>
                        <w:spacing w:val="20"/>
                        <w:w w:val="45"/>
                        <w:sz w:val="41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  <w:vertAlign w:val="baseline"/>
                      </w:rPr>
                      <w:t>0.4581</w:t>
                    </w:r>
                  </w:p>
                </w:txbxContent>
              </v:textbox>
              <w10:wrap type="none"/>
            </v:shape>
            <v:shape style="position:absolute;left:66;top:4050;width:773;height:741" type="#_x0000_t202" filled="false" stroked="false">
              <v:textbox inset="0,0,0,0">
                <w:txbxContent>
                  <w:p>
                    <w:pPr>
                      <w:spacing w:line="74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66"/>
                      </w:rPr>
                    </w:pPr>
                    <w:r>
                      <w:rPr>
                        <w:rFonts w:ascii="Arial"/>
                        <w:b/>
                        <w:w w:val="45"/>
                        <w:sz w:val="66"/>
                      </w:rPr>
                      <w:t>Ln</w:t>
                    </w:r>
                    <w:r>
                      <w:rPr>
                        <w:rFonts w:ascii="Arial"/>
                        <w:b/>
                        <w:spacing w:val="64"/>
                        <w:w w:val="45"/>
                        <w:sz w:val="66"/>
                      </w:rPr>
                      <w:t> </w:t>
                    </w:r>
                    <w:r>
                      <w:rPr>
                        <w:rFonts w:ascii="Arial"/>
                        <w:b/>
                        <w:strike/>
                        <w:w w:val="45"/>
                        <w:sz w:val="66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228;top:3864;width:437;height:494" type="#_x0000_t202" filled="false" stroked="false">
              <v:textbox inset="0,0,0,0">
                <w:txbxContent>
                  <w:p>
                    <w:pPr>
                      <w:spacing w:line="4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4"/>
                      </w:rPr>
                      <w:t>0.04</w:t>
                    </w:r>
                  </w:p>
                </w:txbxContent>
              </v:textbox>
              <w10:wrap type="none"/>
            </v:shape>
            <v:shape style="position:absolute;left:1228;top:4995;width:437;height:494" type="#_x0000_t202" filled="false" stroked="false">
              <v:textbox inset="0,0,0,0">
                <w:txbxContent>
                  <w:p>
                    <w:pPr>
                      <w:spacing w:line="4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4"/>
                      </w:rPr>
                      <w:t>0.02</w:t>
                    </w:r>
                  </w:p>
                </w:txbxContent>
              </v:textbox>
              <w10:wrap type="none"/>
            </v:shape>
            <v:shape style="position:absolute;left:1526;top:6127;width:141;height:494" type="#_x0000_t202" filled="false" stroked="false">
              <v:textbox inset="0,0,0,0">
                <w:txbxContent>
                  <w:p>
                    <w:pPr>
                      <w:spacing w:line="4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w w:val="49"/>
                        <w:sz w:val="4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23;top:6789;width:263;height:494" type="#_x0000_t202" filled="false" stroked="false">
              <v:textbox inset="0,0,0,0">
                <w:txbxContent>
                  <w:p>
                    <w:pPr>
                      <w:spacing w:line="4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4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567;top:6789;width:263;height:494" type="#_x0000_t202" filled="false" stroked="false">
              <v:textbox inset="0,0,0,0">
                <w:txbxContent>
                  <w:p>
                    <w:pPr>
                      <w:spacing w:line="4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4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4770;top:6789;width:385;height:494" type="#_x0000_t202" filled="false" stroked="false">
              <v:textbox inset="0,0,0,0">
                <w:txbxContent>
                  <w:p>
                    <w:pPr>
                      <w:spacing w:line="4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4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6014;top:6789;width:385;height:494" type="#_x0000_t202" filled="false" stroked="false">
              <v:textbox inset="0,0,0,0">
                <w:txbxContent>
                  <w:p>
                    <w:pPr>
                      <w:spacing w:line="4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4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161;top:7287;width:505;height:494" type="#_x0000_t202" filled="false" stroked="false">
              <v:textbox inset="0,0,0,0">
                <w:txbxContent>
                  <w:p>
                    <w:pPr>
                      <w:spacing w:line="4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4"/>
                      </w:rPr>
                      <w:t>-0.02</w:t>
                    </w:r>
                  </w:p>
                </w:txbxContent>
              </v:textbox>
              <w10:wrap type="none"/>
            </v:shape>
            <v:shape style="position:absolute;left:1161;top:8418;width:505;height:494" type="#_x0000_t202" filled="false" stroked="false">
              <v:textbox inset="0,0,0,0">
                <w:txbxContent>
                  <w:p>
                    <w:pPr>
                      <w:spacing w:line="49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4"/>
                      </w:rPr>
                      <w:t>-0.04</w:t>
                    </w:r>
                  </w:p>
                </w:txbxContent>
              </v:textbox>
              <w10:wrap type="none"/>
            </v:shape>
            <v:shape style="position:absolute;left:3485;top:9018;width:1668;height:741" type="#_x0000_t202" filled="false" stroked="false">
              <v:textbox inset="0,0,0,0">
                <w:txbxContent>
                  <w:p>
                    <w:pPr>
                      <w:spacing w:line="74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66"/>
                      </w:rPr>
                    </w:pPr>
                    <w:r>
                      <w:rPr>
                        <w:rFonts w:ascii="Arial"/>
                        <w:b/>
                        <w:w w:val="45"/>
                        <w:sz w:val="66"/>
                      </w:rPr>
                      <w:t>Time</w:t>
                    </w:r>
                    <w:r>
                      <w:rPr>
                        <w:rFonts w:ascii="Arial"/>
                        <w:b/>
                        <w:spacing w:val="18"/>
                        <w:sz w:val="66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66"/>
                      </w:rPr>
                      <w:t>(min)</w:t>
                    </w:r>
                  </w:p>
                </w:txbxContent>
              </v:textbox>
              <w10:wrap type="none"/>
            </v:shape>
            <v:shape style="position:absolute;left:8133;top:3501;width:1080;height:1966" type="#_x0000_t202" filled="false" stroked="false">
              <v:textbox inset="0,0,0,0">
                <w:txbxContent>
                  <w:p>
                    <w:pPr>
                      <w:spacing w:before="100"/>
                      <w:ind w:left="259" w:right="0" w:firstLine="0"/>
                      <w:jc w:val="left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w w:val="45"/>
                        <w:sz w:val="44"/>
                      </w:rPr>
                      <w:t>373</w:t>
                    </w:r>
                    <w:r>
                      <w:rPr>
                        <w:rFonts w:ascii="Arial"/>
                        <w:b/>
                        <w:spacing w:val="-4"/>
                        <w:sz w:val="44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4"/>
                      </w:rPr>
                      <w:t>Kel</w:t>
                    </w:r>
                  </w:p>
                  <w:p>
                    <w:pPr>
                      <w:spacing w:before="157"/>
                      <w:ind w:left="259" w:right="0" w:firstLine="0"/>
                      <w:jc w:val="left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w w:val="45"/>
                        <w:sz w:val="44"/>
                      </w:rPr>
                      <w:t>333</w:t>
                    </w:r>
                    <w:r>
                      <w:rPr>
                        <w:rFonts w:ascii="Arial"/>
                        <w:b/>
                        <w:spacing w:val="-4"/>
                        <w:sz w:val="44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4"/>
                      </w:rPr>
                      <w:t>Kel</w:t>
                    </w:r>
                  </w:p>
                  <w:p>
                    <w:pPr>
                      <w:spacing w:before="156"/>
                      <w:ind w:left="259" w:right="0" w:firstLine="0"/>
                      <w:jc w:val="left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w w:val="45"/>
                        <w:sz w:val="44"/>
                      </w:rPr>
                      <w:t>303</w:t>
                    </w:r>
                    <w:r>
                      <w:rPr>
                        <w:rFonts w:ascii="Arial"/>
                        <w:b/>
                        <w:spacing w:val="-4"/>
                        <w:sz w:val="44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4"/>
                      </w:rPr>
                      <w:t>Kel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23"/>
        </w:rPr>
      </w:pPr>
    </w:p>
    <w:p>
      <w:pPr>
        <w:pStyle w:val="Heading3"/>
        <w:spacing w:before="100"/>
      </w:pPr>
      <w:r>
        <w:rPr/>
        <w:t>Figure</w:t>
      </w:r>
      <w:r>
        <w:rPr>
          <w:spacing w:val="-5"/>
        </w:rPr>
        <w:t> </w:t>
      </w:r>
      <w:r>
        <w:rPr/>
        <w:t>3.15:</w:t>
      </w:r>
      <w:r>
        <w:rPr>
          <w:spacing w:val="-4"/>
        </w:rPr>
        <w:t> </w:t>
      </w:r>
      <w:r>
        <w:rPr/>
        <w:t>Pseudo-first</w:t>
      </w:r>
      <w:r>
        <w:rPr>
          <w:spacing w:val="-2"/>
        </w:rPr>
        <w:t> </w:t>
      </w:r>
      <w:r>
        <w:rPr/>
        <w:t>order</w:t>
      </w:r>
      <w:r>
        <w:rPr>
          <w:spacing w:val="-3"/>
        </w:rPr>
        <w:t> </w:t>
      </w:r>
      <w:r>
        <w:rPr/>
        <w:t>kinetics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acetylation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corn</w:t>
      </w:r>
      <w:r>
        <w:rPr>
          <w:spacing w:val="-3"/>
        </w:rPr>
        <w:t> </w:t>
      </w:r>
      <w:r>
        <w:rPr/>
        <w:t>cob</w:t>
      </w:r>
    </w:p>
    <w:p>
      <w:pPr>
        <w:spacing w:after="0"/>
        <w:sectPr>
          <w:pgSz w:w="11910" w:h="16840"/>
          <w:pgMar w:header="0" w:footer="987" w:top="1340" w:bottom="1260" w:left="420" w:right="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3.68pt;margin-top:201.620102pt;width:12pt;height:41.4pt;mso-position-horizontal-relative:page;mso-position-vertical-relative:page;z-index:157670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  <w:t>ln(ϴo-ϴt)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spacing w:before="0"/>
        <w:ind w:left="1198" w:right="0" w:firstLine="0"/>
        <w:jc w:val="left"/>
        <w:rPr>
          <w:b/>
          <w:sz w:val="24"/>
        </w:rPr>
      </w:pPr>
      <w:r>
        <w:rPr/>
        <w:pict>
          <v:group style="position:absolute;margin-left:89.775002pt;margin-top:-339.649139pt;width:438.1pt;height:319.7pt;mso-position-horizontal-relative:page;mso-position-vertical-relative:paragraph;z-index:15766528" coordorigin="1796,-6793" coordsize="8762,6394">
            <v:shape style="position:absolute;left:2793;top:-6563;width:5693;height:5633" coordorigin="2794,-6563" coordsize="5693,5633" path="m2856,-930l2856,-6563m2794,-930l2856,-930m2794,-1494l2856,-1494m2794,-2058l2856,-2058m2794,-2622l2856,-2622m2794,-3184l2856,-3184m2794,-3748l2856,-3748m2794,-4312l2856,-4312m2794,-4873l2856,-4873m2794,-5437l2856,-5437m2794,-6001l2856,-6001m2794,-6563l2856,-6563m2856,-6563l8486,-6563m2856,-6563l2856,-6500m3559,-6563l3559,-6500m4265,-6563l4265,-6500m4968,-6563l4968,-6500m5671,-6563l5671,-6500m6374,-6563l6374,-6500m7080,-6563l7080,-6500m7783,-6563l7783,-6500m8486,-6563l8486,-6500e" filled="false" stroked="true" strokeweight=".72pt" strokecolor="#858585">
              <v:path arrowok="t"/>
              <v:stroke dashstyle="solid"/>
            </v:shape>
            <v:shape style="position:absolute;left:4890;top:-3645;width:155;height:155" type="#_x0000_t75" stroked="false">
              <v:imagedata r:id="rId26" o:title=""/>
            </v:shape>
            <v:shape style="position:absolute;left:5946;top:-4050;width:155;height:155" type="#_x0000_t75" stroked="false">
              <v:imagedata r:id="rId26" o:title=""/>
            </v:shape>
            <v:shape style="position:absolute;left:7002;top:-3814;width:155;height:155" type="#_x0000_t75" stroked="false">
              <v:imagedata r:id="rId27" o:title=""/>
            </v:shape>
            <v:rect style="position:absolute;left:5954;top:-2229;width:140;height:140" filled="true" fillcolor="#c0504d" stroked="false">
              <v:fill type="solid"/>
            </v:rect>
            <v:rect style="position:absolute;left:5954;top:-2229;width:140;height:140" filled="false" stroked="true" strokeweight=".75pt" strokecolor="#bd4a47">
              <v:stroke dashstyle="solid"/>
            </v:rect>
            <v:rect style="position:absolute;left:7009;top:-1440;width:140;height:140" filled="true" fillcolor="#c0504d" stroked="false">
              <v:fill type="solid"/>
            </v:rect>
            <v:rect style="position:absolute;left:7009;top:-1440;width:140;height:140" filled="false" stroked="true" strokeweight=".75pt" strokecolor="#bd4a47">
              <v:stroke dashstyle="solid"/>
            </v:rect>
            <v:rect style="position:absolute;left:8065;top:-1440;width:140;height:140" filled="true" fillcolor="#c0504d" stroked="false">
              <v:fill type="solid"/>
            </v:rect>
            <v:rect style="position:absolute;left:8065;top:-1440;width:140;height:140" filled="false" stroked="true" strokeweight=".75pt" strokecolor="#bd4a47">
              <v:stroke dashstyle="solid"/>
            </v:rect>
            <v:shape style="position:absolute;left:5946;top:-3262;width:155;height:155" type="#_x0000_t75" stroked="false">
              <v:imagedata r:id="rId28" o:title=""/>
            </v:shape>
            <v:shape style="position:absolute;left:7002;top:-2236;width:155;height:155" type="#_x0000_t75" stroked="false">
              <v:imagedata r:id="rId29" o:title=""/>
            </v:shape>
            <v:shape style="position:absolute;left:8057;top:-3791;width:155;height:155" type="#_x0000_t75" stroked="false">
              <v:imagedata r:id="rId30" o:title=""/>
            </v:shape>
            <v:shape style="position:absolute;left:4968;top:-3928;width:3166;height:2688" coordorigin="4968,-3928" coordsize="3166,2688" path="m4968,-3673l8134,-3928m4968,-3673l8134,-3928m4968,-3673l8134,-3928m4968,-2423l8134,-1240m4968,-2423l8134,-1240m4968,-2423l8134,-1240m4968,-2490l8134,-3284m4968,-2490l8134,-3284m4968,-2490l8134,-3284e" filled="false" stroked="true" strokeweight=".72pt" strokecolor="#000000">
              <v:path arrowok="t"/>
              <v:stroke dashstyle="solid"/>
            </v:shape>
            <v:shape style="position:absolute;left:8968;top:-3671;width:135;height:135" type="#_x0000_t75" stroked="false">
              <v:imagedata r:id="rId31" o:title=""/>
            </v:shape>
            <v:rect style="position:absolute;left:8976;top:-3129;width:120;height:120" filled="true" fillcolor="#c0504d" stroked="false">
              <v:fill type="solid"/>
            </v:rect>
            <v:rect style="position:absolute;left:8976;top:-3129;width:120;height:120" filled="false" stroked="true" strokeweight=".72pt" strokecolor="#bd4a47">
              <v:stroke dashstyle="solid"/>
            </v:rect>
            <v:shape style="position:absolute;left:8968;top:-2603;width:135;height:135" type="#_x0000_t75" stroked="false">
              <v:imagedata r:id="rId32" o:title=""/>
            </v:shape>
            <v:shape style="position:absolute;left:8844;top:-2001;width:384;height:1068" coordorigin="8844,-2000" coordsize="384,1068" path="m8844,-2000l9228,-2000m8844,-1468l9228,-1468m8844,-932l9228,-932e" filled="false" stroked="true" strokeweight=".72pt" strokecolor="#000000">
              <v:path arrowok="t"/>
              <v:stroke dashstyle="solid"/>
            </v:shape>
            <v:rect style="position:absolute;left:1803;top:-6786;width:8747;height:6379" filled="false" stroked="true" strokeweight=".75pt" strokecolor="#858585">
              <v:stroke dashstyle="solid"/>
            </v:rect>
            <v:shape style="position:absolute;left:2570;top:-665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06;top:-639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59;top:-639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164;top:-639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4867;top:-639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571;top:-639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6225;top:-639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929;top:-639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7633;top:-639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8337;top:-639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160</w:t>
                    </w:r>
                  </w:p>
                </w:txbxContent>
              </v:textbox>
              <w10:wrap type="none"/>
            </v:shape>
            <v:shape style="position:absolute;left:2358;top:-6093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-0.5</w:t>
                    </w:r>
                  </w:p>
                </w:txbxContent>
              </v:textbox>
              <w10:wrap type="none"/>
            </v:shape>
            <v:shape style="position:absolute;left:8962;top:-6436;width:1548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0.0025x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2.715</w:t>
                    </w:r>
                  </w:p>
                  <w:p>
                    <w:pPr>
                      <w:spacing w:line="240" w:lineRule="exact" w:before="0"/>
                      <w:ind w:left="0" w:right="19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0.172</w:t>
                    </w:r>
                  </w:p>
                </w:txbxContent>
              </v:textbox>
              <w10:wrap type="none"/>
            </v:shape>
            <v:shape style="position:absolute;left:2358;top:-5530;width:334;height:76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line="240" w:lineRule="exact" w:before="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-1.5</w:t>
                    </w:r>
                  </w:p>
                </w:txbxContent>
              </v:textbox>
              <w10:wrap type="none"/>
            </v:shape>
            <v:shape style="position:absolute;left:8799;top:-5234;width:1711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-0.0117x -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2.9767</w:t>
                    </w:r>
                  </w:p>
                  <w:p>
                    <w:pPr>
                      <w:spacing w:line="240" w:lineRule="exact" w:before="0"/>
                      <w:ind w:left="0" w:right="19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0.75</w:t>
                    </w:r>
                  </w:p>
                </w:txbxContent>
              </v:textbox>
              <w10:wrap type="none"/>
            </v:shape>
            <v:shape style="position:absolute;left:2510;top:-4403;width:1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8861;top:-4593;width:164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0.0078x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4.0867</w:t>
                    </w:r>
                  </w:p>
                  <w:p>
                    <w:pPr>
                      <w:spacing w:line="240" w:lineRule="exact" w:before="0"/>
                      <w:ind w:left="336" w:right="354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0.1122</w:t>
                    </w:r>
                  </w:p>
                </w:txbxContent>
              </v:textbox>
              <w10:wrap type="none"/>
            </v:shape>
            <v:shape style="position:absolute;left:2358;top:-3840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-2.5</w:t>
                    </w:r>
                  </w:p>
                </w:txbxContent>
              </v:textbox>
              <w10:wrap type="none"/>
            </v:shape>
            <v:shape style="position:absolute;left:9272;top:-3695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303</w:t>
                    </w:r>
                  </w:p>
                </w:txbxContent>
              </v:textbox>
              <w10:wrap type="none"/>
            </v:shape>
            <v:shape style="position:absolute;left:2510;top:-3276;width:1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-3</w:t>
                    </w:r>
                  </w:p>
                </w:txbxContent>
              </v:textbox>
              <w10:wrap type="none"/>
            </v:shape>
            <v:shape style="position:absolute;left:9272;top:-3161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333</w:t>
                    </w:r>
                  </w:p>
                </w:txbxContent>
              </v:textbox>
              <w10:wrap type="none"/>
            </v:shape>
            <v:shape style="position:absolute;left:2358;top:-2713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-3.5</w:t>
                    </w:r>
                  </w:p>
                </w:txbxContent>
              </v:textbox>
              <w10:wrap type="none"/>
            </v:shape>
            <v:shape style="position:absolute;left:9272;top:-2627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373</w:t>
                    </w:r>
                  </w:p>
                </w:txbxContent>
              </v:textbox>
              <w10:wrap type="none"/>
            </v:shape>
            <v:shape style="position:absolute;left:2510;top:-2149;width:1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-4</w:t>
                    </w:r>
                  </w:p>
                </w:txbxContent>
              </v:textbox>
              <w10:wrap type="none"/>
            </v:shape>
            <v:shape style="position:absolute;left:9272;top:-2092;width:98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(303)</w:t>
                    </w:r>
                  </w:p>
                </w:txbxContent>
              </v:textbox>
              <w10:wrap type="none"/>
            </v:shape>
            <v:shape style="position:absolute;left:2358;top:-1586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-4.5</w:t>
                    </w:r>
                  </w:p>
                </w:txbxContent>
              </v:textbox>
              <w10:wrap type="none"/>
            </v:shape>
            <v:shape style="position:absolute;left:9272;top:-1559;width:98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(303)</w:t>
                    </w:r>
                  </w:p>
                </w:txbxContent>
              </v:textbox>
              <w10:wrap type="none"/>
            </v:shape>
            <v:shape style="position:absolute;left:2510;top:-1023;width:1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-5</w:t>
                    </w:r>
                  </w:p>
                </w:txbxContent>
              </v:textbox>
              <w10:wrap type="none"/>
            </v:shape>
            <v:shape style="position:absolute;left:9272;top:-1024;width:98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(373)</w:t>
                    </w:r>
                  </w:p>
                </w:txbxContent>
              </v:textbox>
              <w10:wrap type="none"/>
            </v:shape>
            <v:shape style="position:absolute;left:5198;top:-860;width:96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Figure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3.16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Lagergren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pseudo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first-order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kinetics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corn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cob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acetylation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380" w:bottom="1260" w:left="420" w:right="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98.279999pt;margin-top:243.381668pt;width:12pt;height:18.1pt;mso-position-horizontal-relative:page;mso-position-vertical-relative:page;z-index:157680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  <w:t>1/ϴ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before="100"/>
        <w:ind w:left="1198"/>
      </w:pPr>
      <w:r>
        <w:rPr/>
        <w:pict>
          <v:group style="position:absolute;margin-left:84.375pt;margin-top:-348.37912pt;width:447.55pt;height:343.25pt;mso-position-horizontal-relative:page;mso-position-vertical-relative:paragraph;z-index:15767552" coordorigin="1688,-6968" coordsize="8951,6865">
            <v:shape style="position:absolute;left:2788;top:-6737;width:5780;height:5703" coordorigin="2789,-6736" coordsize="5780,5703" path="m2789,-1034l2789,-6736m2789,-1034l8568,-1034e" filled="false" stroked="true" strokeweight=".72pt" strokecolor="#858585">
              <v:path arrowok="t"/>
              <v:stroke dashstyle="solid"/>
            </v:shape>
            <v:shape style="position:absolute;left:4878;top:-4372;width:155;height:155" type="#_x0000_t75" stroked="false">
              <v:imagedata r:id="rId33" o:title=""/>
            </v:shape>
            <v:shape style="position:absolute;left:5962;top:-5594;width:155;height:155" type="#_x0000_t75" stroked="false">
              <v:imagedata r:id="rId26" o:title=""/>
            </v:shape>
            <v:shape style="position:absolute;left:7046;top:-4779;width:155;height:155" type="#_x0000_t75" stroked="false">
              <v:imagedata r:id="rId34" o:title=""/>
            </v:shape>
            <v:shape style="position:absolute;left:8129;top:-1928;width:155;height:155" type="#_x0000_t75" stroked="false">
              <v:imagedata r:id="rId26" o:title=""/>
            </v:shape>
            <v:rect style="position:absolute;left:4886;top:-5587;width:140;height:140" filled="true" fillcolor="#c0504d" stroked="false">
              <v:fill type="solid"/>
            </v:rect>
            <v:rect style="position:absolute;left:4886;top:-5587;width:140;height:140" filled="false" stroked="true" strokeweight=".75pt" strokecolor="#bd4a47">
              <v:stroke dashstyle="solid"/>
            </v:rect>
            <v:rect style="position:absolute;left:5970;top:-6401;width:140;height:140" filled="true" fillcolor="#c0504d" stroked="false">
              <v:fill type="solid"/>
            </v:rect>
            <v:rect style="position:absolute;left:5970;top:-6401;width:140;height:140" filled="false" stroked="true" strokeweight=".75pt" strokecolor="#bd4a47">
              <v:stroke dashstyle="solid"/>
            </v:rect>
            <v:rect style="position:absolute;left:7053;top:-5994;width:140;height:140" filled="true" fillcolor="#c0504d" stroked="false">
              <v:fill type="solid"/>
            </v:rect>
            <v:rect style="position:absolute;left:7053;top:-5994;width:140;height:140" filled="false" stroked="true" strokeweight=".75pt" strokecolor="#bd4a47">
              <v:stroke dashstyle="solid"/>
            </v:rect>
            <v:rect style="position:absolute;left:8137;top:-5994;width:140;height:140" filled="true" fillcolor="#c0504d" stroked="false">
              <v:fill type="solid"/>
            </v:rect>
            <v:rect style="position:absolute;left:8137;top:-5994;width:140;height:140" filled="false" stroked="true" strokeweight=".75pt" strokecolor="#bd4a47">
              <v:stroke dashstyle="solid"/>
            </v:rect>
            <v:shape style="position:absolute;left:4878;top:-2335;width:155;height:155" type="#_x0000_t75" stroked="false">
              <v:imagedata r:id="rId35" o:title=""/>
            </v:shape>
            <v:shape style="position:absolute;left:5962;top:-3965;width:155;height:155" type="#_x0000_t75" stroked="false">
              <v:imagedata r:id="rId28" o:title=""/>
            </v:shape>
            <v:shape style="position:absolute;left:7046;top:-2743;width:155;height:155" type="#_x0000_t75" stroked="false">
              <v:imagedata r:id="rId28" o:title=""/>
            </v:shape>
            <v:shape style="position:absolute;left:8129;top:-5594;width:155;height:155" type="#_x0000_t75" stroked="false">
              <v:imagedata r:id="rId28" o:title=""/>
            </v:shape>
            <v:shape style="position:absolute;left:4956;top:-6046;width:3250;height:3749" coordorigin="4956,-6045" coordsize="3250,3749" path="m4956,-5311l8206,-2868m4956,-5800l8206,-6045m4956,-2296l8206,-4864e" filled="false" stroked="true" strokeweight=".72pt" strokecolor="#000000">
              <v:path arrowok="t"/>
              <v:stroke dashstyle="solid"/>
            </v:shape>
            <v:shape style="position:absolute;left:8978;top:-2784;width:135;height:135" type="#_x0000_t75" stroked="false">
              <v:imagedata r:id="rId31" o:title=""/>
            </v:shape>
            <v:rect style="position:absolute;left:8985;top:-2304;width:120;height:120" filled="true" fillcolor="#c0504d" stroked="false">
              <v:fill type="solid"/>
            </v:rect>
            <v:rect style="position:absolute;left:8985;top:-2304;width:120;height:120" filled="false" stroked="true" strokeweight=".72pt" strokecolor="#bd4a47">
              <v:stroke dashstyle="solid"/>
            </v:rect>
            <v:shape style="position:absolute;left:8978;top:-1836;width:135;height:135" type="#_x0000_t75" stroked="false">
              <v:imagedata r:id="rId32" o:title=""/>
            </v:shape>
            <v:shape style="position:absolute;left:8853;top:-1296;width:384;height:948" coordorigin="8854,-1296" coordsize="384,948" path="m8854,-1296l9238,-1296m8854,-820l9238,-820m8854,-348l9238,-348e" filled="false" stroked="true" strokeweight=".72pt" strokecolor="#000000">
              <v:path arrowok="t"/>
              <v:stroke dashstyle="solid"/>
            </v:shape>
            <v:rect style="position:absolute;left:1695;top:-6961;width:8936;height:6850" filled="false" stroked="true" strokeweight=".75pt" strokecolor="#858585">
              <v:stroke dashstyle="solid"/>
            </v:rect>
            <v:shape style="position:absolute;left:2250;top:-6831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1.04</w:t>
                    </w:r>
                  </w:p>
                </w:txbxContent>
              </v:textbox>
              <w10:wrap type="none"/>
            </v:shape>
            <v:shape style="position:absolute;left:2250;top:-6016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1.02</w:t>
                    </w:r>
                  </w:p>
                </w:txbxContent>
              </v:textbox>
              <w10:wrap type="none"/>
            </v:shape>
            <v:shape style="position:absolute;left:8943;top:-6434;width:1648;height:87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-0.0007x +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1.045</w:t>
                    </w:r>
                  </w:p>
                  <w:p>
                    <w:pPr>
                      <w:spacing w:line="217" w:lineRule="exact" w:before="0"/>
                      <w:ind w:left="0" w:right="17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0.4444</w:t>
                    </w:r>
                  </w:p>
                  <w:p>
                    <w:pPr>
                      <w:spacing w:line="217" w:lineRule="exact" w:before="0"/>
                      <w:ind w:left="135" w:right="2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7E-05x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1.013</w:t>
                    </w:r>
                  </w:p>
                  <w:p>
                    <w:pPr>
                      <w:spacing w:line="240" w:lineRule="exact" w:before="1"/>
                      <w:ind w:left="135" w:right="0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2501;top:-520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005;top:-4793;width:1586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0.0007x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0.889</w:t>
                    </w:r>
                  </w:p>
                  <w:p>
                    <w:pPr>
                      <w:spacing w:line="240" w:lineRule="exact" w:before="0"/>
                      <w:ind w:left="304" w:right="322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0.569</w:t>
                    </w:r>
                  </w:p>
                </w:txbxContent>
              </v:textbox>
              <w10:wrap type="none"/>
            </v:shape>
            <v:shape style="position:absolute;left:2250;top:-438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0.98</w:t>
                    </w:r>
                  </w:p>
                </w:txbxContent>
              </v:textbox>
              <w10:wrap type="none"/>
            </v:shape>
            <v:shape style="position:absolute;left:2250;top:-3572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0.96</w:t>
                    </w:r>
                  </w:p>
                </w:txbxContent>
              </v:textbox>
              <w10:wrap type="none"/>
            </v:shape>
            <v:shape style="position:absolute;left:2250;top:-275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0.94</w:t>
                    </w:r>
                  </w:p>
                </w:txbxContent>
              </v:textbox>
              <w10:wrap type="none"/>
            </v:shape>
            <v:shape style="position:absolute;left:9281;top:-2810;width:323;height:67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303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333</w:t>
                    </w:r>
                  </w:p>
                </w:txbxContent>
              </v:textbox>
              <w10:wrap type="none"/>
            </v:shape>
            <v:shape style="position:absolute;left:2250;top:-1942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0.92</w:t>
                    </w:r>
                  </w:p>
                </w:txbxContent>
              </v:textbox>
              <w10:wrap type="none"/>
            </v:shape>
            <v:shape style="position:absolute;left:9281;top:-1861;width:985;height:67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373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(303)</w:t>
                    </w:r>
                  </w:p>
                </w:txbxContent>
              </v:textbox>
              <w10:wrap type="none"/>
            </v:shape>
            <v:shape style="position:absolute;left:2351;top:-112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</w:t>
                    </w:r>
                  </w:p>
                </w:txbxContent>
              </v:textbox>
              <w10:wrap type="none"/>
            </v:shape>
            <v:shape style="position:absolute;left:2738;top:-86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10;top:-86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132;top:-86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4855;top:-86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487;top:-868;width:402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9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40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</w:p>
                </w:txbxContent>
              </v:textbox>
              <w10:wrap type="none"/>
            </v:shape>
            <v:shape style="position:absolute;left:6249;top:-868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972;top:-868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7694;top:-868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8417;top:-868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160</w:t>
                    </w:r>
                  </w:p>
                </w:txbxContent>
              </v:textbox>
              <w10:wrap type="none"/>
            </v:shape>
            <v:shape style="position:absolute;left:9281;top:-913;width:98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(333)</w:t>
                    </w:r>
                  </w:p>
                </w:txbxContent>
              </v:textbox>
              <w10:wrap type="none"/>
            </v:shape>
            <v:shape style="position:absolute;left:9281;top:-439;width:98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(373)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4"/>
        </w:rPr>
        <w:t> </w:t>
      </w:r>
      <w:r>
        <w:rPr/>
        <w:t>3.17:second</w:t>
      </w:r>
      <w:r>
        <w:rPr>
          <w:spacing w:val="-4"/>
        </w:rPr>
        <w:t> </w:t>
      </w:r>
      <w:r>
        <w:rPr/>
        <w:t>order</w:t>
      </w:r>
      <w:r>
        <w:rPr>
          <w:spacing w:val="-4"/>
        </w:rPr>
        <w:t> </w:t>
      </w:r>
      <w:r>
        <w:rPr/>
        <w:t>kinetics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corn</w:t>
      </w:r>
      <w:r>
        <w:rPr>
          <w:spacing w:val="-4"/>
        </w:rPr>
        <w:t> </w:t>
      </w:r>
      <w:r>
        <w:rPr/>
        <w:t>cob</w:t>
      </w:r>
      <w:r>
        <w:rPr>
          <w:spacing w:val="-2"/>
        </w:rPr>
        <w:t> </w:t>
      </w:r>
      <w:r>
        <w:rPr/>
        <w:t>acetylation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1.634514pt;margin-top:149.62706pt;width:13.4pt;height:21.1pt;mso-position-horizontal-relative:page;mso-position-vertical-relative:page;z-index:15769600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  <w:t>t/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0"/>
                      <w:szCs w:val="20"/>
                    </w:rPr>
                    <w:t>ϴ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  <w:t>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0"/>
        <w:ind w:left="1198"/>
      </w:pPr>
      <w:r>
        <w:rPr/>
        <w:pict>
          <v:shape style="position:absolute;margin-left:145.100006pt;margin-top:-35.074112pt;width:37.8pt;height:11.05pt;mso-position-horizontal-relative:page;mso-position-vertical-relative:paragraph;z-index:-2443520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ist</w:t>
                  </w:r>
                  <w:r>
                    <w:rPr>
                      <w:rFonts w:ascii="Calibri"/>
                      <w:spacing w:val="-1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order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99.125pt;margin-top:-233.209106pt;width:361.95pt;height:217.95pt;mso-position-horizontal-relative:page;mso-position-vertical-relative:paragraph;z-index:15769088" coordorigin="1983,-4664" coordsize="7239,4359">
            <v:rect style="position:absolute;left:1989;top:-4658;width:7227;height:4347" filled="true" fillcolor="#ffffff" stroked="false">
              <v:fill type="solid"/>
            </v:rect>
            <v:shape style="position:absolute;left:2968;top:-4435;width:4184;height:3260" coordorigin="2969,-4434" coordsize="4184,3260" path="m3034,-1238l3034,-4434m2969,-1238l3034,-1238m2969,-1593l3034,-1593m2969,-1948l3034,-1948m2969,-2303l3034,-2303m2969,-2658l3034,-2658m2969,-3014l3034,-3014m2969,-3369l3034,-3369m2969,-3724l3034,-3724m2969,-4079l3034,-4079m2969,-4434l3034,-4434m3034,-1238l7152,-1238m3034,-1238l3034,-1175m4063,-1238l4063,-1175m5093,-1238l5093,-1175m6122,-1238l6122,-1175m7152,-1238l7152,-1175e" filled="false" stroked="true" strokeweight=".72pt" strokecolor="#858585">
              <v:path arrowok="t"/>
              <v:stroke dashstyle="solid"/>
            </v:shape>
            <v:shape style="position:absolute;left:4199;top:-2295;width:140;height:140" coordorigin="4199,-2294" coordsize="140,140" path="m4269,-2294l4199,-2224,4269,-2154,4339,-2224,4269,-2294xe" filled="true" fillcolor="#4f81bc" stroked="false">
              <v:path arrowok="t"/>
              <v:fill type="solid"/>
            </v:shape>
            <v:shape style="position:absolute;left:4199;top:-2295;width:140;height:140" coordorigin="4199,-2294" coordsize="140,140" path="m4269,-2154l4199,-2224,4269,-2294,4339,-2224,4269,-2154xe" filled="false" stroked="true" strokeweight=".75pt" strokecolor="#497dba">
              <v:path arrowok="t"/>
              <v:stroke dashstyle="solid"/>
            </v:shape>
            <v:shape style="position:absolute;left:4816;top:-2860;width:140;height:140" coordorigin="4817,-2860" coordsize="140,140" path="m4887,-2860l4817,-2790,4887,-2720,4957,-2790,4887,-2860xe" filled="true" fillcolor="#4f81bc" stroked="false">
              <v:path arrowok="t"/>
              <v:fill type="solid"/>
            </v:shape>
            <v:shape style="position:absolute;left:4816;top:-2860;width:140;height:140" coordorigin="4817,-2860" coordsize="140,140" path="m4887,-2720l4817,-2790,4887,-2860,4957,-2790,4887,-2720xe" filled="false" stroked="true" strokeweight=".75pt" strokecolor="#497dba">
              <v:path arrowok="t"/>
              <v:stroke dashstyle="solid"/>
            </v:shape>
            <v:shape style="position:absolute;left:5434;top:-3319;width:140;height:140" coordorigin="5434,-3318" coordsize="140,140" path="m5504,-3318l5434,-3248,5504,-3178,5574,-3248,5504,-3318xe" filled="true" fillcolor="#4f81bc" stroked="false">
              <v:path arrowok="t"/>
              <v:fill type="solid"/>
            </v:shape>
            <v:shape style="position:absolute;left:5434;top:-3319;width:140;height:140" coordorigin="5434,-3318" coordsize="140,140" path="m5504,-3178l5434,-3248,5504,-3318,5574,-3248,5504,-3178xe" filled="false" stroked="true" strokeweight=".75pt" strokecolor="#497dba">
              <v:path arrowok="t"/>
              <v:stroke dashstyle="solid"/>
            </v:shape>
            <v:shape style="position:absolute;left:6051;top:-3972;width:140;height:140" coordorigin="6052,-3972" coordsize="140,140" path="m6122,-3972l6052,-3902,6122,-3832,6192,-3902,6122,-3972xe" filled="true" fillcolor="#4f81bc" stroked="false">
              <v:path arrowok="t"/>
              <v:fill type="solid"/>
            </v:shape>
            <v:shape style="position:absolute;left:6051;top:-3972;width:140;height:140" coordorigin="6052,-3972" coordsize="140,140" path="m6122,-3832l6052,-3902,6122,-3972,6192,-3902,6122,-3832xe" filled="false" stroked="true" strokeweight=".75pt" strokecolor="#497dba">
              <v:path arrowok="t"/>
              <v:stroke dashstyle="solid"/>
            </v:shape>
            <v:rect style="position:absolute;left:4199;top:-2385;width:140;height:140" filled="true" fillcolor="#c0504d" stroked="false">
              <v:fill type="solid"/>
            </v:rect>
            <v:rect style="position:absolute;left:4199;top:-2385;width:140;height:140" filled="false" stroked="true" strokeweight=".75pt" strokecolor="#bd4a47">
              <v:stroke dashstyle="solid"/>
            </v:rect>
            <v:rect style="position:absolute;left:4816;top:-2956;width:140;height:140" filled="true" fillcolor="#c0504d" stroked="false">
              <v:fill type="solid"/>
            </v:rect>
            <v:rect style="position:absolute;left:4816;top:-2956;width:140;height:140" filled="false" stroked="true" strokeweight=".75pt" strokecolor="#bd4a47">
              <v:stroke dashstyle="solid"/>
            </v:rect>
            <v:rect style="position:absolute;left:5434;top:-3483;width:140;height:140" filled="true" fillcolor="#c0504d" stroked="false">
              <v:fill type="solid"/>
            </v:rect>
            <v:rect style="position:absolute;left:5434;top:-3483;width:140;height:140" filled="false" stroked="true" strokeweight=".75pt" strokecolor="#bd4a47">
              <v:stroke dashstyle="solid"/>
            </v:rect>
            <v:rect style="position:absolute;left:6051;top:-4027;width:140;height:140" filled="true" fillcolor="#c0504d" stroked="false">
              <v:fill type="solid"/>
            </v:rect>
            <v:rect style="position:absolute;left:6051;top:-4027;width:140;height:140" filled="false" stroked="true" strokeweight=".75pt" strokecolor="#bd4a47">
              <v:stroke dashstyle="solid"/>
            </v:rect>
            <v:shape style="position:absolute;left:4199;top:-2353;width:140;height:140" coordorigin="4199,-2352" coordsize="140,140" path="m4269,-2352l4199,-2212,4339,-2212,4269,-2352xe" filled="true" fillcolor="#9bba58" stroked="false">
              <v:path arrowok="t"/>
              <v:fill type="solid"/>
            </v:shape>
            <v:shape style="position:absolute;left:4199;top:-2353;width:140;height:140" coordorigin="4199,-2352" coordsize="140,140" path="m4269,-2352l4339,-2212,4199,-2212,4269,-2352xe" filled="false" stroked="true" strokeweight=".75pt" strokecolor="#97b853">
              <v:path arrowok="t"/>
              <v:stroke dashstyle="solid"/>
            </v:shape>
            <v:shape style="position:absolute;left:4816;top:-2923;width:140;height:140" coordorigin="4817,-2922" coordsize="140,140" path="m4887,-2922l4817,-2782,4957,-2782,4887,-2922xe" filled="true" fillcolor="#9bba58" stroked="false">
              <v:path arrowok="t"/>
              <v:fill type="solid"/>
            </v:shape>
            <v:shape style="position:absolute;left:4816;top:-2923;width:140;height:140" coordorigin="4817,-2922" coordsize="140,140" path="m4887,-2922l4957,-2782,4817,-2782,4887,-2922xe" filled="false" stroked="true" strokeweight=".75pt" strokecolor="#97b853">
              <v:path arrowok="t"/>
              <v:stroke dashstyle="solid"/>
            </v:shape>
            <v:shape style="position:absolute;left:5434;top:-3418;width:140;height:140" coordorigin="5434,-3418" coordsize="140,140" path="m5504,-3418l5434,-3278,5574,-3278,5504,-3418xe" filled="true" fillcolor="#9bba58" stroked="false">
              <v:path arrowok="t"/>
              <v:fill type="solid"/>
            </v:shape>
            <v:shape style="position:absolute;left:5434;top:-3418;width:140;height:140" coordorigin="5434,-3418" coordsize="140,140" path="m5504,-3418l5574,-3278,5434,-3278,5504,-3418xe" filled="false" stroked="true" strokeweight=".75pt" strokecolor="#97b853">
              <v:path arrowok="t"/>
              <v:stroke dashstyle="solid"/>
            </v:shape>
            <v:shape style="position:absolute;left:6044;top:-3760;width:155;height:155" type="#_x0000_t75" stroked="false">
              <v:imagedata r:id="rId30" o:title=""/>
            </v:shape>
            <v:shape style="position:absolute;left:4269;top:-3962;width:1853;height:1743" coordorigin="4270,-3962" coordsize="1853,1743" path="m4270,-2219l6122,-3866m4270,-2219l6122,-3866m4270,-2219l6122,-3866m4270,-2325l6122,-3962m4270,-2325l6122,-3962m4270,-2325l6122,-3962m4270,-2337l6122,-3746m4270,-2337l6122,-3746m4270,-2337l6122,-3746e" filled="false" stroked="true" strokeweight=".72pt" strokecolor="#000000">
              <v:path arrowok="t"/>
              <v:stroke dashstyle="solid"/>
            </v:shape>
            <v:shape style="position:absolute;left:7833;top:-2558;width:135;height:135" type="#_x0000_t75" stroked="false">
              <v:imagedata r:id="rId31" o:title=""/>
            </v:shape>
            <v:rect style="position:absolute;left:7840;top:-2189;width:120;height:120" filled="true" fillcolor="#c0504d" stroked="false">
              <v:fill type="solid"/>
            </v:rect>
            <v:rect style="position:absolute;left:7840;top:-2189;width:120;height:120" filled="false" stroked="true" strokeweight=".72pt" strokecolor="#bd4a47">
              <v:stroke dashstyle="solid"/>
            </v:rect>
            <v:shape style="position:absolute;left:7833;top:-1831;width:135;height:135" type="#_x0000_t75" stroked="false">
              <v:imagedata r:id="rId32" o:title=""/>
            </v:shape>
            <v:shape style="position:absolute;left:7708;top:-1401;width:384;height:730" coordorigin="7709,-1401" coordsize="384,730" path="m7709,-1401l8093,-1401m7709,-1036l8093,-1036m7709,-671l8093,-671e" filled="false" stroked="true" strokeweight=".72pt" strokecolor="#000000">
              <v:path arrowok="t"/>
              <v:stroke dashstyle="solid"/>
            </v:shape>
            <v:rect style="position:absolute;left:1990;top:-4657;width:7224;height:4344" filled="false" stroked="true" strokeweight=".75pt" strokecolor="#858585">
              <v:stroke dashstyle="solid"/>
            </v:rect>
            <v:shape style="position:absolute;left:2545;top:-4528;width:324;height:339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180</w:t>
                    </w:r>
                  </w:p>
                  <w:p>
                    <w:pPr>
                      <w:spacing w:before="11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160</w:t>
                    </w:r>
                  </w:p>
                  <w:p>
                    <w:pPr>
                      <w:spacing w:before="11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140</w:t>
                    </w:r>
                  </w:p>
                  <w:p>
                    <w:pPr>
                      <w:spacing w:before="11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120</w:t>
                    </w:r>
                  </w:p>
                  <w:p>
                    <w:pPr>
                      <w:spacing w:before="11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</w:t>
                    </w:r>
                  </w:p>
                  <w:p>
                    <w:pPr>
                      <w:spacing w:before="11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before="11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before="11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before="11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exact" w:before="11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501;top:-4445;width:1628;height:315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61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1.0305x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6.664</w:t>
                    </w:r>
                  </w:p>
                  <w:p>
                    <w:pPr>
                      <w:spacing w:before="0"/>
                      <w:ind w:left="61" w:right="1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0.9957</w:t>
                    </w:r>
                  </w:p>
                  <w:p>
                    <w:pPr>
                      <w:spacing w:before="115"/>
                      <w:ind w:left="0" w:right="9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1.0235x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0.245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0.9997</w:t>
                    </w:r>
                  </w:p>
                  <w:p>
                    <w:pPr>
                      <w:spacing w:before="136"/>
                      <w:ind w:left="61" w:right="23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0.881x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+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9.035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0.9872</w:t>
                    </w:r>
                  </w:p>
                  <w:p>
                    <w:pPr>
                      <w:spacing w:before="146"/>
                      <w:ind w:left="6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373</w:t>
                    </w:r>
                  </w:p>
                  <w:p>
                    <w:pPr>
                      <w:spacing w:before="120"/>
                      <w:ind w:left="6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333</w:t>
                    </w:r>
                  </w:p>
                  <w:p>
                    <w:pPr>
                      <w:spacing w:before="119"/>
                      <w:ind w:left="6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303</w:t>
                    </w:r>
                  </w:p>
                  <w:p>
                    <w:pPr>
                      <w:spacing w:line="240" w:lineRule="exact" w:before="120"/>
                      <w:ind w:left="6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(373)</w:t>
                    </w:r>
                  </w:p>
                </w:txbxContent>
              </v:textbox>
              <w10:wrap type="none"/>
            </v:shape>
            <v:shape style="position:absolute;left:2984;top:-1070;width:1201;height:200" type="#_x0000_t202" filled="false" stroked="false">
              <v:textbox inset="0,0,0,0">
                <w:txbxContent>
                  <w:p>
                    <w:pPr>
                      <w:tabs>
                        <w:tab w:pos="979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50</w:t>
                    </w:r>
                  </w:p>
                </w:txbxContent>
              </v:textbox>
              <w10:wrap type="none"/>
            </v:shape>
            <v:shape style="position:absolute;left:4618;top:-1070;width:968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5971;top:-1070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7001;top:-1070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8134;top:-1128;width:985;height:56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(373)</w:t>
                    </w:r>
                  </w:p>
                  <w:p>
                    <w:pPr>
                      <w:spacing w:line="240" w:lineRule="exact" w:before="12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(373)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2"/>
        </w:rPr>
        <w:t> </w:t>
      </w:r>
      <w:r>
        <w:rPr/>
        <w:t>3.18</w:t>
      </w:r>
      <w:r>
        <w:rPr>
          <w:spacing w:val="-3"/>
        </w:rPr>
        <w:t> </w:t>
      </w:r>
      <w:r>
        <w:rPr/>
        <w:t>Ho</w:t>
      </w:r>
      <w:r>
        <w:rPr>
          <w:spacing w:val="-4"/>
        </w:rPr>
        <w:t> </w:t>
      </w:r>
      <w:r>
        <w:rPr/>
        <w:t>Pseudo</w:t>
      </w:r>
      <w:r>
        <w:rPr>
          <w:spacing w:val="-7"/>
        </w:rPr>
        <w:t> </w:t>
      </w:r>
      <w:r>
        <w:rPr/>
        <w:t>second-order</w:t>
      </w:r>
      <w:r>
        <w:rPr>
          <w:spacing w:val="-3"/>
        </w:rPr>
        <w:t> </w:t>
      </w:r>
      <w:r>
        <w:rPr/>
        <w:t>kinetics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corn</w:t>
      </w:r>
      <w:r>
        <w:rPr>
          <w:spacing w:val="-4"/>
        </w:rPr>
        <w:t> </w:t>
      </w:r>
      <w:r>
        <w:rPr/>
        <w:t>cob</w:t>
      </w:r>
      <w:r>
        <w:rPr>
          <w:spacing w:val="-4"/>
        </w:rPr>
        <w:t> </w:t>
      </w:r>
      <w:r>
        <w:rPr/>
        <w:t>acetylation</w:t>
      </w:r>
    </w:p>
    <w:p>
      <w:pPr>
        <w:spacing w:after="0"/>
        <w:sectPr>
          <w:pgSz w:w="11910" w:h="16840"/>
          <w:pgMar w:header="0" w:footer="987" w:top="1360" w:bottom="1260" w:left="420" w:right="0"/>
        </w:sectPr>
      </w:pPr>
    </w:p>
    <w:p>
      <w:pPr>
        <w:pStyle w:val="BodyText"/>
        <w:ind w:left="1252"/>
        <w:rPr>
          <w:sz w:val="20"/>
        </w:rPr>
      </w:pPr>
      <w:r>
        <w:rPr>
          <w:sz w:val="20"/>
        </w:rPr>
        <w:pict>
          <v:group style="width:462.25pt;height:489.5pt;mso-position-horizontal-relative:char;mso-position-vertical-relative:line" coordorigin="0,0" coordsize="9245,9790">
            <v:rect style="position:absolute;left:11;top:11;width:9222;height:9767" filled="false" stroked="true" strokeweight=".962841pt" strokecolor="#000000">
              <v:stroke dashstyle="solid"/>
            </v:rect>
            <v:shape style="position:absolute;left:1134;top:389;width:6352;height:7371" coordorigin="1134,389" coordsize="6352,7371" path="m1201,389l1201,7603m1134,7629l1188,7629m1134,6900l1188,6900m1134,6171l1188,6171m1134,5468l1188,5468m1134,4739l1188,4739m1134,4009l1188,4009m1134,3280l1188,3280m1134,2551l1188,2551m1134,1848l1188,1848m1134,1119l1188,1119m1134,389l1188,389m1201,7629l7472,7629m1201,7760l1201,7655m2769,7760l2769,7655m4350,7760l4350,7655m5918,7760l5918,7655m7486,7760l7486,7655e" filled="false" stroked="true" strokeweight=".981067pt" strokecolor="#000000">
              <v:path arrowok="t"/>
              <v:stroke dashstyle="solid"/>
            </v:shape>
            <v:shape style="position:absolute;left:1944;top:1040;width:4798;height:3048" coordorigin="1945,1040" coordsize="4798,3048" path="m1985,1040l2025,1119,1985,1197,1945,1119,1985,1040xm3553,2838l3593,2916,3553,2994,3513,2916,3553,2838xm5134,1770l5174,1848,5134,1926,5094,1848,5134,1770xm6702,3931l6742,4009,6702,4088,6662,4009,6702,3931xe" filled="false" stroked="true" strokeweight=".981067pt" strokecolor="#000000">
              <v:path arrowok="t"/>
              <v:stroke dashstyle="solid"/>
            </v:shape>
            <v:shape style="position:absolute;left:1957;top:4321;width:4771;height:834" coordorigin="1958,4322" coordsize="4771,834" path="m1985,4374l1958,4322m1985,4374l2011,4426m1985,4374l1958,4426m1985,4374l2011,4322m1985,4374l1985,4322m1985,4374l1985,4426m3553,5103l3526,5051m3553,5103l3579,5155m3553,5103l3526,5155m3553,5103l3579,5051m3553,5103l3553,5051m3553,5103l3553,5155m5134,4739l5107,4686m5134,4739l5160,4791m5134,4739l5107,4791m5134,4739l5160,4686m5134,4739l5134,4686m5134,4739l5134,4791m6702,4739l6675,4686m6702,4739l6728,4791m6702,4739l6675,4791m6702,4739l6728,4686m6702,4739l6702,4686m6702,4739l6702,4791e" filled="false" stroked="true" strokeweight=".981067pt" strokecolor="#000000">
              <v:path arrowok="t"/>
              <v:stroke dashstyle="solid"/>
            </v:shape>
            <v:shape style="position:absolute;left:1938;top:662;width:4797;height:3777" coordorigin="1938,663" coordsize="4797,3777" path="m2018,3345l1978,3189,1938,3345,2018,3345xm3586,4440l3546,4283,3506,4440,3586,4440xm5167,3710l5127,3554,5088,3710,5167,3710xm6735,819l6695,663,6655,819,6735,819xe" filled="true" fillcolor="#000000" stroked="false">
              <v:path arrowok="t"/>
              <v:fill type="solid"/>
            </v:shape>
            <v:shape style="position:absolute;left:1978;top:1313;width:4717;height:3516" coordorigin="1978,1314" coordsize="4717,3516" path="m1978,1314l6695,3606m1978,4257l6695,1757m1978,4621l6695,4830e" filled="false" stroked="true" strokeweight="1.962135pt" strokecolor="#000000">
              <v:path arrowok="t"/>
              <v:stroke dashstyle="solid"/>
            </v:shape>
            <v:rect style="position:absolute;left:7731;top:3527;width:1489;height:4037" filled="true" fillcolor="#ffffff" stroked="false">
              <v:fill type="solid"/>
            </v:rect>
            <v:rect style="position:absolute;left:7731;top:3527;width:1489;height:4037" filled="false" stroked="true" strokeweight=".739432pt" strokecolor="#000000">
              <v:stroke dashstyle="solid"/>
            </v:rect>
            <v:shape style="position:absolute;left:8070;top:4165;width:80;height:156" coordorigin="8070,4166" coordsize="80,156" path="m8110,4166l8150,4244,8110,4322,8070,4244,8110,4166xe" filled="false" stroked="true" strokeweight=".794872pt" strokecolor="#000000">
              <v:path arrowok="t"/>
              <v:stroke dashstyle="solid"/>
            </v:shape>
            <v:shape style="position:absolute;left:8083;top:5520;width:54;height:104" coordorigin="8083,5520" coordsize="54,104" path="m8110,5572l8083,5520m8110,5572l8136,5624m8110,5572l8083,5624m8110,5572l8136,5520m8110,5572l8110,5520m8110,5572l8110,5624e" filled="false" stroked="true" strokeweight=".981067pt" strokecolor="#000000">
              <v:path arrowok="t"/>
              <v:stroke dashstyle="solid"/>
            </v:shape>
            <v:shape style="position:absolute;left:8063;top:6809;width:80;height:156" coordorigin="8063,6809" coordsize="80,156" path="m8103,6809l8063,6965,8143,6965,8103,6809xe" filled="true" fillcolor="#000000" stroked="false">
              <v:path arrowok="t"/>
              <v:fill type="solid"/>
            </v:shape>
            <v:rect style="position:absolute;left:11;top:11;width:9222;height:9767" filled="false" stroked="true" strokeweight=".962841pt" strokecolor="#000000">
              <v:stroke dashstyle="solid"/>
            </v:rect>
            <v:shape style="position:absolute;left:64;top:3620;width:300;height:786" type="#_x0000_t202" filled="false" stroked="false">
              <v:textbox inset="0,0,0,0">
                <w:txbxContent>
                  <w:p>
                    <w:pPr>
                      <w:spacing w:line="78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70"/>
                      </w:rPr>
                    </w:pPr>
                    <w:r>
                      <w:rPr>
                        <w:rFonts w:ascii="Arial"/>
                        <w:b/>
                        <w:strike/>
                        <w:w w:val="51"/>
                        <w:sz w:val="70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09;top:155;width:431;height:7706" type="#_x0000_t202" filled="false" stroked="false">
              <v:textbox inset="0,0,0,0">
                <w:txbxContent>
                  <w:p>
                    <w:pPr>
                      <w:spacing w:line="464" w:lineRule="exact" w:before="0"/>
                      <w:ind w:left="119" w:right="0" w:firstLine="0"/>
                      <w:jc w:val="lef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1.1</w:t>
                    </w:r>
                  </w:p>
                  <w:p>
                    <w:pPr>
                      <w:spacing w:before="257"/>
                      <w:ind w:left="0" w:right="0" w:firstLine="0"/>
                      <w:jc w:val="lef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1.08</w:t>
                    </w:r>
                  </w:p>
                  <w:p>
                    <w:pPr>
                      <w:spacing w:before="258"/>
                      <w:ind w:left="0" w:right="0" w:firstLine="0"/>
                      <w:jc w:val="lef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1.06</w:t>
                    </w:r>
                  </w:p>
                  <w:p>
                    <w:pPr>
                      <w:spacing w:before="231"/>
                      <w:ind w:left="0" w:right="0" w:firstLine="0"/>
                      <w:jc w:val="lef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1.04</w:t>
                    </w:r>
                  </w:p>
                  <w:p>
                    <w:pPr>
                      <w:spacing w:before="259"/>
                      <w:ind w:left="0" w:right="0" w:firstLine="0"/>
                      <w:jc w:val="lef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1.02</w:t>
                    </w:r>
                  </w:p>
                  <w:p>
                    <w:pPr>
                      <w:spacing w:before="257"/>
                      <w:ind w:left="0" w:right="18" w:firstLine="0"/>
                      <w:jc w:val="righ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51"/>
                        <w:sz w:val="41"/>
                      </w:rPr>
                      <w:t>1</w:t>
                    </w:r>
                  </w:p>
                  <w:p>
                    <w:pPr>
                      <w:spacing w:before="258"/>
                      <w:ind w:left="0" w:right="19" w:firstLine="0"/>
                      <w:jc w:val="righ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0.98</w:t>
                    </w:r>
                  </w:p>
                  <w:p>
                    <w:pPr>
                      <w:spacing w:before="257"/>
                      <w:ind w:left="0" w:right="0" w:firstLine="0"/>
                      <w:jc w:val="lef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0.96</w:t>
                    </w:r>
                  </w:p>
                  <w:p>
                    <w:pPr>
                      <w:spacing w:before="232"/>
                      <w:ind w:left="0" w:right="0" w:firstLine="0"/>
                      <w:jc w:val="lef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0.94</w:t>
                    </w:r>
                  </w:p>
                  <w:p>
                    <w:pPr>
                      <w:spacing w:before="258"/>
                      <w:ind w:left="0" w:right="19" w:firstLine="0"/>
                      <w:jc w:val="righ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0.92</w:t>
                    </w:r>
                  </w:p>
                  <w:p>
                    <w:pPr>
                      <w:spacing w:before="258"/>
                      <w:ind w:left="0" w:right="18" w:firstLine="0"/>
                      <w:jc w:val="righ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65"/>
                        <w:sz w:val="41"/>
                      </w:rPr>
                      <w:t>0.9</w:t>
                    </w:r>
                  </w:p>
                </w:txbxContent>
              </v:textbox>
              <w10:wrap type="none"/>
            </v:shape>
            <v:shape style="position:absolute;left:7372;top:155;width:1835;height:3409" type="#_x0000_t202" filled="false" stroked="false">
              <v:textbox inset="0,0,0,0">
                <w:txbxContent>
                  <w:p>
                    <w:pPr>
                      <w:spacing w:line="464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y</w:t>
                    </w:r>
                    <w:r>
                      <w:rPr>
                        <w:rFonts w:ascii="Arial"/>
                        <w:b/>
                        <w:spacing w:val="5"/>
                        <w:w w:val="50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= -0.021x</w:t>
                    </w:r>
                    <w:r>
                      <w:rPr>
                        <w:rFonts w:ascii="Arial"/>
                        <w:b/>
                        <w:spacing w:val="6"/>
                        <w:w w:val="50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+</w:t>
                    </w:r>
                    <w:r>
                      <w:rPr>
                        <w:rFonts w:ascii="Arial"/>
                        <w:b/>
                        <w:spacing w:val="-1"/>
                        <w:w w:val="50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1.095</w:t>
                    </w:r>
                  </w:p>
                  <w:p>
                    <w:pPr>
                      <w:spacing w:before="179"/>
                      <w:ind w:left="0" w:right="14" w:firstLine="0"/>
                      <w:jc w:val="center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R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  <w:vertAlign w:val="superscript"/>
                      </w:rPr>
                      <w:t>2</w:t>
                    </w:r>
                    <w:r>
                      <w:rPr>
                        <w:rFonts w:ascii="Arial"/>
                        <w:b/>
                        <w:spacing w:val="-1"/>
                        <w:w w:val="50"/>
                        <w:sz w:val="41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  <w:vertAlign w:val="baseline"/>
                      </w:rPr>
                      <w:t>=</w:t>
                    </w:r>
                    <w:r>
                      <w:rPr>
                        <w:rFonts w:ascii="Arial"/>
                        <w:b/>
                        <w:spacing w:val="-3"/>
                        <w:w w:val="50"/>
                        <w:sz w:val="41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  <w:vertAlign w:val="baseline"/>
                      </w:rPr>
                      <w:t>0.6</w:t>
                    </w:r>
                  </w:p>
                  <w:p>
                    <w:pPr>
                      <w:spacing w:before="23"/>
                      <w:ind w:left="0" w:right="18" w:firstLine="0"/>
                      <w:jc w:val="center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y</w:t>
                    </w:r>
                    <w:r>
                      <w:rPr>
                        <w:rFonts w:ascii="Arial"/>
                        <w:b/>
                        <w:spacing w:val="5"/>
                        <w:w w:val="50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= -0.002x</w:t>
                    </w:r>
                    <w:r>
                      <w:rPr>
                        <w:rFonts w:ascii="Arial"/>
                        <w:b/>
                        <w:spacing w:val="6"/>
                        <w:w w:val="50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+</w:t>
                    </w:r>
                    <w:r>
                      <w:rPr>
                        <w:rFonts w:ascii="Arial"/>
                        <w:b/>
                        <w:spacing w:val="-1"/>
                        <w:w w:val="50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0.985</w:t>
                    </w:r>
                  </w:p>
                  <w:p>
                    <w:pPr>
                      <w:spacing w:before="180"/>
                      <w:ind w:left="0" w:right="14" w:firstLine="0"/>
                      <w:jc w:val="center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R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  <w:vertAlign w:val="superscript"/>
                      </w:rPr>
                      <w:t>2</w:t>
                    </w:r>
                    <w:r>
                      <w:rPr>
                        <w:rFonts w:ascii="Arial"/>
                        <w:b/>
                        <w:spacing w:val="-1"/>
                        <w:w w:val="50"/>
                        <w:sz w:val="41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  <w:vertAlign w:val="baseline"/>
                      </w:rPr>
                      <w:t>=</w:t>
                    </w:r>
                    <w:r>
                      <w:rPr>
                        <w:rFonts w:ascii="Arial"/>
                        <w:b/>
                        <w:spacing w:val="-3"/>
                        <w:w w:val="50"/>
                        <w:sz w:val="41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  <w:vertAlign w:val="baseline"/>
                      </w:rPr>
                      <w:t>0.1</w:t>
                    </w:r>
                  </w:p>
                  <w:p>
                    <w:pPr>
                      <w:spacing w:before="24"/>
                      <w:ind w:left="174" w:right="8" w:firstLine="0"/>
                      <w:jc w:val="center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y</w:t>
                    </w:r>
                    <w:r>
                      <w:rPr>
                        <w:rFonts w:ascii="Arial"/>
                        <w:b/>
                        <w:spacing w:val="3"/>
                        <w:w w:val="50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=</w:t>
                    </w:r>
                    <w:r>
                      <w:rPr>
                        <w:rFonts w:ascii="Arial"/>
                        <w:b/>
                        <w:spacing w:val="-1"/>
                        <w:w w:val="50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0.023x</w:t>
                    </w:r>
                    <w:r>
                      <w:rPr>
                        <w:rFonts w:ascii="Arial"/>
                        <w:b/>
                        <w:spacing w:val="3"/>
                        <w:w w:val="50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+</w:t>
                    </w:r>
                    <w:r>
                      <w:rPr>
                        <w:rFonts w:ascii="Arial"/>
                        <w:b/>
                        <w:spacing w:val="-1"/>
                        <w:w w:val="50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0.97</w:t>
                    </w:r>
                  </w:p>
                  <w:p>
                    <w:pPr>
                      <w:spacing w:before="179"/>
                      <w:ind w:left="199" w:right="18" w:firstLine="0"/>
                      <w:jc w:val="center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R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  <w:vertAlign w:val="superscript"/>
                      </w:rPr>
                      <w:t>2</w:t>
                    </w:r>
                    <w:r>
                      <w:rPr>
                        <w:rFonts w:ascii="Arial"/>
                        <w:b/>
                        <w:spacing w:val="2"/>
                        <w:w w:val="50"/>
                        <w:sz w:val="41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  <w:vertAlign w:val="baseline"/>
                      </w:rPr>
                      <w:t>=</w:t>
                    </w:r>
                    <w:r>
                      <w:rPr>
                        <w:rFonts w:ascii="Arial"/>
                        <w:b/>
                        <w:spacing w:val="-1"/>
                        <w:w w:val="50"/>
                        <w:sz w:val="41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w w:val="50"/>
                        <w:sz w:val="41"/>
                        <w:vertAlign w:val="baseline"/>
                      </w:rPr>
                      <w:t>0.4661</w:t>
                    </w:r>
                  </w:p>
                </w:txbxContent>
              </v:textbox>
              <w10:wrap type="none"/>
            </v:shape>
            <v:shape style="position:absolute;left:1712;top:8020;width:5332;height:1563" type="#_x0000_t202" filled="false" stroked="false">
              <v:textbox inset="0,0,0,0">
                <w:txbxContent>
                  <w:p>
                    <w:pPr>
                      <w:tabs>
                        <w:tab w:pos="1567" w:val="left" w:leader="none"/>
                        <w:tab w:pos="3095" w:val="left" w:leader="none"/>
                        <w:tab w:pos="4663" w:val="left" w:leader="none"/>
                      </w:tabs>
                      <w:spacing w:line="46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70"/>
                        <w:sz w:val="41"/>
                      </w:rPr>
                      <w:t>7.746</w:t>
                      <w:tab/>
                      <w:t>9.487</w:t>
                      <w:tab/>
                      <w:t>10.954</w:t>
                      <w:tab/>
                    </w:r>
                    <w:r>
                      <w:rPr>
                        <w:rFonts w:ascii="Arial"/>
                        <w:b/>
                        <w:w w:val="50"/>
                        <w:sz w:val="41"/>
                      </w:rPr>
                      <w:t>12.247</w:t>
                    </w:r>
                  </w:p>
                  <w:p>
                    <w:pPr>
                      <w:spacing w:before="325"/>
                      <w:ind w:left="1979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w w:val="45"/>
                        <w:position w:val="-25"/>
                        <w:sz w:val="67"/>
                      </w:rPr>
                      <w:t>t</w:t>
                    </w:r>
                    <w:r>
                      <w:rPr>
                        <w:rFonts w:ascii="Arial"/>
                        <w:b/>
                        <w:w w:val="45"/>
                        <w:sz w:val="36"/>
                      </w:rPr>
                      <w:t>1/2</w:t>
                    </w:r>
                    <w:r>
                      <w:rPr>
                        <w:rFonts w:ascii="Arial"/>
                        <w:b/>
                        <w:spacing w:val="17"/>
                        <w:w w:val="45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position w:val="-25"/>
                        <w:sz w:val="67"/>
                      </w:rPr>
                      <w:t>(min)</w:t>
                    </w:r>
                    <w:r>
                      <w:rPr>
                        <w:rFonts w:ascii="Arial"/>
                        <w:b/>
                        <w:w w:val="45"/>
                        <w:sz w:val="36"/>
                      </w:rPr>
                      <w:t>1/2</w:t>
                    </w:r>
                  </w:p>
                </w:txbxContent>
              </v:textbox>
              <w10:wrap type="none"/>
            </v:shape>
            <v:shape style="position:absolute;left:8223;top:6640;width:769;height:466" type="#_x0000_t202" filled="false" stroked="false">
              <v:textbox inset="0,0,0,0">
                <w:txbxContent>
                  <w:p>
                    <w:pPr>
                      <w:spacing w:line="46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45"/>
                        <w:sz w:val="41"/>
                      </w:rPr>
                      <w:t>303</w:t>
                    </w:r>
                    <w:r>
                      <w:rPr>
                        <w:rFonts w:ascii="Arial"/>
                        <w:b/>
                        <w:spacing w:val="3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</w:rPr>
                      <w:t>Kel</w:t>
                    </w:r>
                  </w:p>
                </w:txbxContent>
              </v:textbox>
              <w10:wrap type="none"/>
            </v:shape>
            <v:shape style="position:absolute;left:8223;top:5312;width:769;height:466" type="#_x0000_t202" filled="false" stroked="false">
              <v:textbox inset="0,0,0,0">
                <w:txbxContent>
                  <w:p>
                    <w:pPr>
                      <w:spacing w:line="46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45"/>
                        <w:sz w:val="41"/>
                      </w:rPr>
                      <w:t>333</w:t>
                    </w:r>
                    <w:r>
                      <w:rPr>
                        <w:rFonts w:ascii="Arial"/>
                        <w:b/>
                        <w:spacing w:val="3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</w:rPr>
                      <w:t>Kel</w:t>
                    </w:r>
                  </w:p>
                </w:txbxContent>
              </v:textbox>
              <w10:wrap type="none"/>
            </v:shape>
            <v:shape style="position:absolute;left:8223;top:3984;width:769;height:466" type="#_x0000_t202" filled="false" stroked="false">
              <v:textbox inset="0,0,0,0">
                <w:txbxContent>
                  <w:p>
                    <w:pPr>
                      <w:spacing w:line="46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w w:val="45"/>
                        <w:sz w:val="41"/>
                      </w:rPr>
                      <w:t>373</w:t>
                    </w:r>
                    <w:r>
                      <w:rPr>
                        <w:rFonts w:ascii="Arial"/>
                        <w:b/>
                        <w:spacing w:val="3"/>
                        <w:sz w:val="41"/>
                      </w:rPr>
                      <w:t> </w:t>
                    </w:r>
                    <w:r>
                      <w:rPr>
                        <w:rFonts w:ascii="Arial"/>
                        <w:b/>
                        <w:w w:val="45"/>
                        <w:sz w:val="41"/>
                      </w:rPr>
                      <w:t>Kel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3"/>
        </w:rPr>
      </w:pPr>
    </w:p>
    <w:p>
      <w:pPr>
        <w:pStyle w:val="Heading3"/>
        <w:spacing w:before="100"/>
      </w:pPr>
      <w:r>
        <w:rPr/>
        <w:t>Figure</w:t>
      </w:r>
      <w:r>
        <w:rPr>
          <w:spacing w:val="-5"/>
        </w:rPr>
        <w:t> </w:t>
      </w:r>
      <w:r>
        <w:rPr/>
        <w:t>3.19:</w:t>
      </w:r>
      <w:r>
        <w:rPr>
          <w:spacing w:val="-3"/>
        </w:rPr>
        <w:t> </w:t>
      </w:r>
      <w:r>
        <w:rPr/>
        <w:t>Intra-particle</w:t>
      </w:r>
      <w:r>
        <w:rPr>
          <w:spacing w:val="-5"/>
        </w:rPr>
        <w:t> </w:t>
      </w:r>
      <w:r>
        <w:rPr/>
        <w:t>diffusion</w:t>
      </w:r>
      <w:r>
        <w:rPr>
          <w:spacing w:val="-3"/>
        </w:rPr>
        <w:t> </w:t>
      </w:r>
      <w:r>
        <w:rPr/>
        <w:t>kinetics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acetylation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corn</w:t>
      </w:r>
      <w:r>
        <w:rPr>
          <w:spacing w:val="-4"/>
        </w:rPr>
        <w:t> </w:t>
      </w:r>
      <w:r>
        <w:rPr/>
        <w:t>cob</w:t>
      </w:r>
    </w:p>
    <w:p>
      <w:pPr>
        <w:spacing w:after="0"/>
        <w:sectPr>
          <w:pgSz w:w="11910" w:h="16840"/>
          <w:pgMar w:header="0" w:footer="987" w:top="1340" w:bottom="1260" w:left="420" w:right="0"/>
        </w:sectPr>
      </w:pPr>
    </w:p>
    <w:p>
      <w:pPr>
        <w:tabs>
          <w:tab w:pos="2637" w:val="left" w:leader="none"/>
        </w:tabs>
        <w:spacing w:before="76"/>
        <w:ind w:left="1198" w:right="0" w:firstLine="0"/>
        <w:jc w:val="left"/>
        <w:rPr>
          <w:sz w:val="20"/>
        </w:rPr>
      </w:pPr>
      <w:r>
        <w:rPr>
          <w:sz w:val="20"/>
        </w:rPr>
        <w:t>Table</w:t>
      </w:r>
      <w:r>
        <w:rPr>
          <w:spacing w:val="-3"/>
          <w:sz w:val="20"/>
        </w:rPr>
        <w:t> </w:t>
      </w:r>
      <w:r>
        <w:rPr>
          <w:sz w:val="20"/>
        </w:rPr>
        <w:t>3.13</w:t>
        <w:tab/>
        <w:t>summary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kinetics</w:t>
      </w:r>
      <w:r>
        <w:rPr>
          <w:spacing w:val="-3"/>
          <w:sz w:val="20"/>
        </w:rPr>
        <w:t> </w:t>
      </w:r>
      <w:r>
        <w:rPr>
          <w:sz w:val="20"/>
        </w:rPr>
        <w:t>derived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plots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corn</w:t>
      </w:r>
      <w:r>
        <w:rPr>
          <w:spacing w:val="-3"/>
          <w:sz w:val="20"/>
        </w:rPr>
        <w:t> </w:t>
      </w:r>
      <w:r>
        <w:rPr>
          <w:sz w:val="20"/>
        </w:rPr>
        <w:t>cob</w:t>
      </w:r>
      <w:r>
        <w:rPr>
          <w:spacing w:val="2"/>
          <w:sz w:val="20"/>
        </w:rPr>
        <w:t> </w:t>
      </w:r>
      <w:r>
        <w:rPr>
          <w:sz w:val="20"/>
        </w:rPr>
        <w:t>acetylation</w:t>
      </w: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spacing w:before="0"/>
        <w:ind w:left="1198" w:right="0" w:firstLine="0"/>
        <w:jc w:val="left"/>
        <w:rPr>
          <w:sz w:val="20"/>
          <w:szCs w:val="20"/>
        </w:rPr>
      </w:pPr>
      <w:r>
        <w:rPr>
          <w:sz w:val="20"/>
          <w:szCs w:val="20"/>
        </w:rPr>
        <w:t>ϴ</w:t>
      </w:r>
      <w:r>
        <w:rPr>
          <w:sz w:val="20"/>
          <w:szCs w:val="20"/>
          <w:vertAlign w:val="subscript"/>
        </w:rPr>
        <w:t>o</w:t>
      </w:r>
      <w:r>
        <w:rPr>
          <w:sz w:val="20"/>
          <w:szCs w:val="20"/>
          <w:vertAlign w:val="baseline"/>
        </w:rPr>
        <w:t>exp</w:t>
      </w:r>
    </w:p>
    <w:p>
      <w:pPr>
        <w:pStyle w:val="BodyText"/>
        <w:spacing w:before="9"/>
        <w:rPr>
          <w:sz w:val="20"/>
        </w:rPr>
      </w:pPr>
    </w:p>
    <w:p>
      <w:pPr>
        <w:tabs>
          <w:tab w:pos="2096" w:val="left" w:leader="none"/>
          <w:tab w:pos="2962" w:val="left" w:leader="none"/>
        </w:tabs>
        <w:spacing w:line="480" w:lineRule="auto" w:before="0"/>
        <w:ind w:left="1198" w:right="0" w:firstLine="0"/>
        <w:jc w:val="left"/>
        <w:rPr>
          <w:sz w:val="20"/>
        </w:rPr>
      </w:pPr>
      <w:r>
        <w:rPr/>
        <w:pict>
          <v:shape style="position:absolute;margin-left:75.504005pt;margin-top:-.435139pt;width:478.9pt;height:.5pt;mso-position-horizontal-relative:page;mso-position-vertical-relative:paragraph;z-index:15771648" coordorigin="1510,-9" coordsize="9578,10" path="m3906,-9l1510,-9,1510,1,3906,1,3906,-9xm8695,-9l6309,-9,6299,-9,3915,-9,3906,-9,3906,1,3915,1,6299,1,6309,1,8695,1,8695,-9xm11088,-9l8704,-9,8695,-9,8695,1,8704,1,11088,1,11088,-9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Derived</w:t>
        <w:tab/>
        <w:t>pseudo</w:t>
        <w:tab/>
      </w:r>
      <w:r>
        <w:rPr>
          <w:spacing w:val="-1"/>
          <w:sz w:val="20"/>
        </w:rPr>
        <w:t>first-</w:t>
      </w:r>
      <w:r>
        <w:rPr>
          <w:spacing w:val="-60"/>
          <w:sz w:val="20"/>
        </w:rPr>
        <w:t> </w:t>
      </w:r>
      <w:r>
        <w:rPr>
          <w:sz w:val="20"/>
        </w:rPr>
        <w:t>order</w:t>
      </w:r>
    </w:p>
    <w:p>
      <w:pPr>
        <w:spacing w:before="121"/>
        <w:ind w:left="178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100</w:t>
      </w:r>
      <w:r>
        <w:rPr>
          <w:sz w:val="20"/>
          <w:vertAlign w:val="superscript"/>
        </w:rPr>
        <w:t>o</w:t>
      </w:r>
      <w:r>
        <w:rPr>
          <w:sz w:val="20"/>
          <w:vertAlign w:val="baseline"/>
        </w:rPr>
        <w:t>C</w:t>
      </w:r>
    </w:p>
    <w:p>
      <w:pPr>
        <w:pStyle w:val="BodyText"/>
        <w:spacing w:before="11"/>
        <w:rPr>
          <w:sz w:val="19"/>
        </w:rPr>
      </w:pPr>
    </w:p>
    <w:p>
      <w:pPr>
        <w:spacing w:before="1"/>
        <w:ind w:left="178" w:right="0" w:firstLine="0"/>
        <w:jc w:val="left"/>
        <w:rPr>
          <w:sz w:val="20"/>
        </w:rPr>
      </w:pPr>
      <w:r>
        <w:rPr/>
        <w:pict>
          <v:shape style="position:absolute;margin-left:75.504005pt;margin-top:-24.505165pt;width:478.9pt;height:.5pt;mso-position-horizontal-relative:page;mso-position-vertical-relative:paragraph;z-index:15771136" coordorigin="1510,-490" coordsize="9578,10" path="m3906,-490l1510,-490,1510,-481,3906,-481,3906,-490xm8695,-490l6309,-490,6299,-490,3915,-490,3906,-490,3906,-481,3915,-481,6299,-481,6309,-481,8695,-481,8695,-490xm11088,-490l8704,-490,8695,-490,8695,-481,8704,-481,11088,-481,11088,-490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1.08</w:t>
      </w:r>
    </w:p>
    <w:p>
      <w:pPr>
        <w:spacing w:before="121"/>
        <w:ind w:left="0" w:right="38" w:firstLine="0"/>
        <w:jc w:val="right"/>
        <w:rPr>
          <w:sz w:val="20"/>
        </w:rPr>
      </w:pPr>
      <w:r>
        <w:rPr/>
        <w:br w:type="column"/>
      </w:r>
      <w:r>
        <w:rPr>
          <w:sz w:val="20"/>
        </w:rPr>
        <w:t>60</w:t>
      </w:r>
      <w:r>
        <w:rPr>
          <w:sz w:val="20"/>
          <w:vertAlign w:val="superscript"/>
        </w:rPr>
        <w:t>o</w:t>
      </w:r>
      <w:r>
        <w:rPr>
          <w:sz w:val="20"/>
          <w:vertAlign w:val="baseline"/>
        </w:rPr>
        <w:t>C</w:t>
      </w:r>
    </w:p>
    <w:p>
      <w:pPr>
        <w:pStyle w:val="BodyText"/>
        <w:spacing w:before="11"/>
        <w:rPr>
          <w:sz w:val="19"/>
        </w:rPr>
      </w:pPr>
    </w:p>
    <w:p>
      <w:pPr>
        <w:spacing w:before="1"/>
        <w:ind w:left="0" w:right="56" w:firstLine="0"/>
        <w:jc w:val="right"/>
        <w:rPr>
          <w:sz w:val="20"/>
        </w:rPr>
      </w:pPr>
      <w:r>
        <w:rPr>
          <w:sz w:val="20"/>
        </w:rPr>
        <w:t>0.99</w:t>
      </w:r>
    </w:p>
    <w:p>
      <w:pPr>
        <w:spacing w:before="121"/>
        <w:ind w:left="1198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30</w:t>
      </w:r>
      <w:r>
        <w:rPr>
          <w:sz w:val="20"/>
          <w:vertAlign w:val="superscript"/>
        </w:rPr>
        <w:t>o</w:t>
      </w:r>
      <w:r>
        <w:rPr>
          <w:sz w:val="20"/>
          <w:vertAlign w:val="baseline"/>
        </w:rPr>
        <w:t>C</w:t>
      </w:r>
    </w:p>
    <w:p>
      <w:pPr>
        <w:pStyle w:val="BodyText"/>
        <w:spacing w:before="11"/>
        <w:rPr>
          <w:sz w:val="19"/>
        </w:rPr>
      </w:pPr>
    </w:p>
    <w:p>
      <w:pPr>
        <w:spacing w:before="1"/>
        <w:ind w:left="1198" w:right="0" w:firstLine="0"/>
        <w:jc w:val="left"/>
        <w:rPr>
          <w:sz w:val="20"/>
        </w:rPr>
      </w:pPr>
      <w:r>
        <w:rPr>
          <w:sz w:val="20"/>
        </w:rPr>
        <w:t>1.09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1180" w:left="420" w:right="0"/>
          <w:cols w:num="4" w:equalWidth="0">
            <w:col w:w="3376" w:space="40"/>
            <w:col w:w="734" w:space="639"/>
            <w:col w:w="1644" w:space="752"/>
            <w:col w:w="4305"/>
          </w:cols>
        </w:sectPr>
      </w:pPr>
    </w:p>
    <w:tbl>
      <w:tblPr>
        <w:tblW w:w="0" w:type="auto"/>
        <w:jc w:val="left"/>
        <w:tblInd w:w="1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756"/>
        <w:gridCol w:w="583"/>
        <w:gridCol w:w="1771"/>
        <w:gridCol w:w="2388"/>
        <w:gridCol w:w="1633"/>
      </w:tblGrid>
      <w:tr>
        <w:trPr>
          <w:trHeight w:val="359" w:hRule="atLeast"/>
        </w:trPr>
        <w:tc>
          <w:tcPr>
            <w:tcW w:w="1000" w:type="dxa"/>
          </w:tcPr>
          <w:p>
            <w:pPr>
              <w:pStyle w:val="TableParagraph"/>
              <w:spacing w:line="241" w:lineRule="exact"/>
              <w:ind w:left="5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ϴ</w:t>
            </w:r>
            <w:r>
              <w:rPr>
                <w:sz w:val="20"/>
                <w:szCs w:val="20"/>
                <w:vertAlign w:val="subscript"/>
              </w:rPr>
              <w:t>o</w:t>
            </w:r>
            <w:r>
              <w:rPr>
                <w:spacing w:val="-3"/>
                <w:sz w:val="20"/>
                <w:szCs w:val="20"/>
                <w:vertAlign w:val="baseline"/>
              </w:rPr>
              <w:t> </w:t>
            </w:r>
            <w:r>
              <w:rPr>
                <w:sz w:val="20"/>
                <w:szCs w:val="20"/>
                <w:vertAlign w:val="baseline"/>
              </w:rPr>
              <w:t>theo</w:t>
            </w:r>
          </w:p>
        </w:tc>
        <w:tc>
          <w:tcPr>
            <w:tcW w:w="3110" w:type="dxa"/>
            <w:gridSpan w:val="3"/>
          </w:tcPr>
          <w:p>
            <w:pPr>
              <w:pStyle w:val="TableParagraph"/>
              <w:spacing w:line="241" w:lineRule="exact"/>
              <w:ind w:left="1206" w:right="1038"/>
              <w:jc w:val="center"/>
              <w:rPr>
                <w:sz w:val="20"/>
              </w:rPr>
            </w:pPr>
            <w:r>
              <w:rPr>
                <w:sz w:val="20"/>
              </w:rPr>
              <w:t>1.10</w:t>
            </w:r>
          </w:p>
        </w:tc>
        <w:tc>
          <w:tcPr>
            <w:tcW w:w="2388" w:type="dxa"/>
          </w:tcPr>
          <w:p>
            <w:pPr>
              <w:pStyle w:val="TableParagraph"/>
              <w:spacing w:line="241" w:lineRule="exact"/>
              <w:ind w:left="728"/>
              <w:rPr>
                <w:sz w:val="20"/>
              </w:rPr>
            </w:pPr>
            <w:r>
              <w:rPr>
                <w:sz w:val="20"/>
              </w:rPr>
              <w:t>0.99</w:t>
            </w:r>
          </w:p>
        </w:tc>
        <w:tc>
          <w:tcPr>
            <w:tcW w:w="1633" w:type="dxa"/>
          </w:tcPr>
          <w:p>
            <w:pPr>
              <w:pStyle w:val="TableParagraph"/>
              <w:spacing w:line="241" w:lineRule="exact"/>
              <w:ind w:left="736"/>
              <w:rPr>
                <w:sz w:val="20"/>
              </w:rPr>
            </w:pPr>
            <w:r>
              <w:rPr>
                <w:sz w:val="20"/>
              </w:rPr>
              <w:t>0.97</w:t>
            </w:r>
          </w:p>
        </w:tc>
      </w:tr>
      <w:tr>
        <w:trPr>
          <w:trHeight w:val="363" w:hRule="atLeast"/>
        </w:trPr>
        <w:tc>
          <w:tcPr>
            <w:tcW w:w="1000" w:type="dxa"/>
          </w:tcPr>
          <w:p>
            <w:pPr>
              <w:pStyle w:val="TableParagraph"/>
              <w:spacing w:line="156" w:lineRule="auto" w:before="140"/>
              <w:ind w:left="50"/>
              <w:rPr>
                <w:sz w:val="13"/>
              </w:rPr>
            </w:pPr>
            <w:r>
              <w:rPr>
                <w:position w:val="-8"/>
                <w:sz w:val="20"/>
              </w:rPr>
              <w:t>R</w:t>
            </w:r>
            <w:r>
              <w:rPr>
                <w:sz w:val="13"/>
              </w:rPr>
              <w:t>2</w:t>
            </w:r>
          </w:p>
        </w:tc>
        <w:tc>
          <w:tcPr>
            <w:tcW w:w="3110" w:type="dxa"/>
            <w:gridSpan w:val="3"/>
          </w:tcPr>
          <w:p>
            <w:pPr>
              <w:pStyle w:val="TableParagraph"/>
              <w:spacing w:line="221" w:lineRule="exact" w:before="122"/>
              <w:ind w:left="1424" w:right="1038"/>
              <w:jc w:val="center"/>
              <w:rPr>
                <w:sz w:val="20"/>
              </w:rPr>
            </w:pPr>
            <w:r>
              <w:rPr>
                <w:sz w:val="20"/>
              </w:rPr>
              <w:t>0.6008</w:t>
            </w:r>
          </w:p>
        </w:tc>
        <w:tc>
          <w:tcPr>
            <w:tcW w:w="2388" w:type="dxa"/>
          </w:tcPr>
          <w:p>
            <w:pPr>
              <w:pStyle w:val="TableParagraph"/>
              <w:spacing w:line="221" w:lineRule="exact" w:before="122"/>
              <w:ind w:left="728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33" w:type="dxa"/>
          </w:tcPr>
          <w:p>
            <w:pPr>
              <w:pStyle w:val="TableParagraph"/>
              <w:spacing w:line="221" w:lineRule="exact" w:before="122"/>
              <w:ind w:left="736"/>
              <w:rPr>
                <w:sz w:val="20"/>
              </w:rPr>
            </w:pPr>
            <w:r>
              <w:rPr>
                <w:sz w:val="20"/>
              </w:rPr>
              <w:t>0.4581</w:t>
            </w:r>
          </w:p>
        </w:tc>
      </w:tr>
      <w:tr>
        <w:trPr>
          <w:trHeight w:val="612" w:hRule="atLeast"/>
        </w:trPr>
        <w:tc>
          <w:tcPr>
            <w:tcW w:w="1000" w:type="dxa"/>
          </w:tcPr>
          <w:p>
            <w:pPr>
              <w:pStyle w:val="TableParagraph"/>
              <w:spacing w:line="240" w:lineRule="auto"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50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z w:val="20"/>
                <w:vertAlign w:val="subscript"/>
              </w:rPr>
              <w:t>1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spacing w:line="240" w:lineRule="auto"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106"/>
              <w:rPr>
                <w:sz w:val="20"/>
              </w:rPr>
            </w:pPr>
            <w:r>
              <w:rPr>
                <w:sz w:val="20"/>
              </w:rPr>
              <w:t>-2.0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-2</w:t>
            </w:r>
          </w:p>
        </w:tc>
        <w:tc>
          <w:tcPr>
            <w:tcW w:w="2388" w:type="dxa"/>
          </w:tcPr>
          <w:p>
            <w:pPr>
              <w:pStyle w:val="TableParagraph"/>
              <w:spacing w:line="240" w:lineRule="auto"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728"/>
              <w:rPr>
                <w:sz w:val="20"/>
              </w:rPr>
            </w:pPr>
            <w:r>
              <w:rPr>
                <w:sz w:val="20"/>
              </w:rPr>
              <w:t>-2.0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633" w:type="dxa"/>
          </w:tcPr>
          <w:p>
            <w:pPr>
              <w:pStyle w:val="TableParagraph"/>
              <w:spacing w:line="240" w:lineRule="auto"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736"/>
              <w:rPr>
                <w:sz w:val="20"/>
              </w:rPr>
            </w:pPr>
            <w:r>
              <w:rPr>
                <w:sz w:val="20"/>
              </w:rPr>
              <w:t>2.2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-2</w:t>
            </w:r>
          </w:p>
        </w:tc>
      </w:tr>
      <w:tr>
        <w:trPr>
          <w:trHeight w:val="474" w:hRule="atLeast"/>
        </w:trPr>
        <w:tc>
          <w:tcPr>
            <w:tcW w:w="1000" w:type="dxa"/>
          </w:tcPr>
          <w:p>
            <w:pPr>
              <w:pStyle w:val="TableParagraph"/>
              <w:spacing w:line="240" w:lineRule="auto" w:before="112"/>
              <w:ind w:left="50"/>
              <w:rPr>
                <w:sz w:val="20"/>
              </w:rPr>
            </w:pPr>
            <w:r>
              <w:rPr>
                <w:sz w:val="20"/>
              </w:rPr>
              <w:t>Lagergren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112"/>
              <w:ind w:left="59"/>
              <w:rPr>
                <w:sz w:val="20"/>
              </w:rPr>
            </w:pPr>
            <w:r>
              <w:rPr>
                <w:sz w:val="20"/>
              </w:rPr>
              <w:t>pseudo</w:t>
            </w:r>
          </w:p>
        </w:tc>
        <w:tc>
          <w:tcPr>
            <w:tcW w:w="583" w:type="dxa"/>
          </w:tcPr>
          <w:p>
            <w:pPr>
              <w:pStyle w:val="TableParagraph"/>
              <w:spacing w:line="240" w:lineRule="auto" w:before="112"/>
              <w:ind w:left="58"/>
              <w:rPr>
                <w:sz w:val="20"/>
              </w:rPr>
            </w:pPr>
            <w:r>
              <w:rPr>
                <w:sz w:val="20"/>
              </w:rPr>
              <w:t>first-</w:t>
            </w:r>
          </w:p>
        </w:tc>
        <w:tc>
          <w:tcPr>
            <w:tcW w:w="177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1000" w:type="dxa"/>
          </w:tcPr>
          <w:p>
            <w:pPr>
              <w:pStyle w:val="TableParagraph"/>
              <w:spacing w:line="240" w:lineRule="auto" w:before="120"/>
              <w:ind w:left="50"/>
              <w:rPr>
                <w:sz w:val="20"/>
              </w:rPr>
            </w:pPr>
            <w:r>
              <w:rPr>
                <w:sz w:val="20"/>
              </w:rPr>
              <w:t>order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1000" w:type="dxa"/>
          </w:tcPr>
          <w:p>
            <w:pPr>
              <w:pStyle w:val="TableParagraph"/>
              <w:spacing w:line="240" w:lineRule="auto" w:before="120"/>
              <w:ind w:left="5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ϴ</w:t>
            </w:r>
            <w:r>
              <w:rPr>
                <w:sz w:val="20"/>
                <w:szCs w:val="20"/>
                <w:vertAlign w:val="subscript"/>
              </w:rPr>
              <w:t>o</w:t>
            </w:r>
            <w:r>
              <w:rPr>
                <w:sz w:val="20"/>
                <w:szCs w:val="20"/>
                <w:vertAlign w:val="baseline"/>
              </w:rPr>
              <w:t>theo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spacing w:line="240" w:lineRule="auto" w:before="120"/>
              <w:ind w:left="106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2388" w:type="dxa"/>
          </w:tcPr>
          <w:p>
            <w:pPr>
              <w:pStyle w:val="TableParagraph"/>
              <w:spacing w:line="240" w:lineRule="auto" w:before="120"/>
              <w:ind w:left="728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1633" w:type="dxa"/>
          </w:tcPr>
          <w:p>
            <w:pPr>
              <w:pStyle w:val="TableParagraph"/>
              <w:spacing w:line="240" w:lineRule="auto" w:before="120"/>
              <w:ind w:left="736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</w:tr>
      <w:tr>
        <w:trPr>
          <w:trHeight w:val="475" w:hRule="atLeast"/>
        </w:trPr>
        <w:tc>
          <w:tcPr>
            <w:tcW w:w="1000" w:type="dxa"/>
          </w:tcPr>
          <w:p>
            <w:pPr>
              <w:pStyle w:val="TableParagraph"/>
              <w:spacing w:line="240" w:lineRule="auto" w:before="102"/>
              <w:ind w:left="50"/>
              <w:rPr>
                <w:sz w:val="13"/>
              </w:rPr>
            </w:pPr>
            <w:r>
              <w:rPr>
                <w:position w:val="-8"/>
                <w:sz w:val="20"/>
              </w:rPr>
              <w:t>R</w:t>
            </w:r>
            <w:r>
              <w:rPr>
                <w:sz w:val="13"/>
              </w:rPr>
              <w:t>2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spacing w:line="240" w:lineRule="auto" w:before="123"/>
              <w:ind w:left="106"/>
              <w:rPr>
                <w:sz w:val="20"/>
              </w:rPr>
            </w:pPr>
            <w:r>
              <w:rPr>
                <w:sz w:val="20"/>
              </w:rPr>
              <w:t>0.1122</w:t>
            </w:r>
          </w:p>
        </w:tc>
        <w:tc>
          <w:tcPr>
            <w:tcW w:w="2388" w:type="dxa"/>
          </w:tcPr>
          <w:p>
            <w:pPr>
              <w:pStyle w:val="TableParagraph"/>
              <w:spacing w:line="240" w:lineRule="auto" w:before="123"/>
              <w:ind w:left="728"/>
              <w:rPr>
                <w:sz w:val="20"/>
              </w:rPr>
            </w:pPr>
            <w:r>
              <w:rPr>
                <w:sz w:val="20"/>
              </w:rPr>
              <w:t>0.75</w:t>
            </w:r>
          </w:p>
        </w:tc>
        <w:tc>
          <w:tcPr>
            <w:tcW w:w="1633" w:type="dxa"/>
          </w:tcPr>
          <w:p>
            <w:pPr>
              <w:pStyle w:val="TableParagraph"/>
              <w:spacing w:line="240" w:lineRule="auto" w:before="123"/>
              <w:ind w:left="736"/>
              <w:rPr>
                <w:sz w:val="20"/>
              </w:rPr>
            </w:pPr>
            <w:r>
              <w:rPr>
                <w:sz w:val="20"/>
              </w:rPr>
              <w:t>0.172</w:t>
            </w:r>
          </w:p>
        </w:tc>
      </w:tr>
      <w:tr>
        <w:trPr>
          <w:trHeight w:val="372" w:hRule="atLeast"/>
        </w:trPr>
        <w:tc>
          <w:tcPr>
            <w:tcW w:w="1000" w:type="dxa"/>
          </w:tcPr>
          <w:p>
            <w:pPr>
              <w:pStyle w:val="TableParagraph"/>
              <w:spacing w:line="156" w:lineRule="auto" w:before="148"/>
              <w:ind w:left="50"/>
              <w:rPr>
                <w:sz w:val="13"/>
              </w:rPr>
            </w:pPr>
            <w:r>
              <w:rPr>
                <w:position w:val="-8"/>
                <w:sz w:val="20"/>
              </w:rPr>
              <w:t>K</w:t>
            </w:r>
            <w:r>
              <w:rPr>
                <w:sz w:val="13"/>
              </w:rPr>
              <w:t>1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spacing w:line="221" w:lineRule="exact" w:before="131"/>
              <w:ind w:left="106"/>
              <w:rPr>
                <w:sz w:val="20"/>
              </w:rPr>
            </w:pPr>
            <w:r>
              <w:rPr>
                <w:sz w:val="20"/>
              </w:rPr>
              <w:t>7.8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2388" w:type="dxa"/>
          </w:tcPr>
          <w:p>
            <w:pPr>
              <w:pStyle w:val="TableParagraph"/>
              <w:spacing w:line="221" w:lineRule="exact" w:before="131"/>
              <w:ind w:left="728"/>
              <w:rPr>
                <w:sz w:val="20"/>
              </w:rPr>
            </w:pPr>
            <w:r>
              <w:rPr>
                <w:sz w:val="20"/>
              </w:rPr>
              <w:t>1.1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-2</w:t>
            </w:r>
          </w:p>
        </w:tc>
        <w:tc>
          <w:tcPr>
            <w:tcW w:w="1633" w:type="dxa"/>
          </w:tcPr>
          <w:p>
            <w:pPr>
              <w:pStyle w:val="TableParagraph"/>
              <w:spacing w:line="221" w:lineRule="exact" w:before="131"/>
              <w:ind w:left="736"/>
              <w:rPr>
                <w:sz w:val="20"/>
              </w:rPr>
            </w:pPr>
            <w:r>
              <w:rPr>
                <w:sz w:val="20"/>
              </w:rPr>
              <w:t>2.5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-3</w:t>
            </w:r>
          </w:p>
        </w:tc>
      </w:tr>
      <w:tr>
        <w:trPr>
          <w:trHeight w:val="603" w:hRule="atLeast"/>
        </w:trPr>
        <w:tc>
          <w:tcPr>
            <w:tcW w:w="1756" w:type="dxa"/>
            <w:gridSpan w:val="2"/>
          </w:tcPr>
          <w:p>
            <w:pPr>
              <w:pStyle w:val="TableParagraph"/>
              <w:spacing w:line="240" w:lineRule="auto"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50"/>
              <w:rPr>
                <w:sz w:val="20"/>
              </w:rPr>
            </w:pPr>
            <w:r>
              <w:rPr>
                <w:sz w:val="20"/>
              </w:rPr>
              <w:t>Hill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second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order</w:t>
            </w:r>
          </w:p>
        </w:tc>
        <w:tc>
          <w:tcPr>
            <w:tcW w:w="2354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78" w:hRule="atLeast"/>
        </w:trPr>
        <w:tc>
          <w:tcPr>
            <w:tcW w:w="1756" w:type="dxa"/>
            <w:gridSpan w:val="2"/>
          </w:tcPr>
          <w:p>
            <w:pPr>
              <w:pStyle w:val="TableParagraph"/>
              <w:spacing w:line="237" w:lineRule="exact" w:before="121"/>
              <w:ind w:left="50"/>
              <w:rPr>
                <w:sz w:val="13"/>
                <w:szCs w:val="13"/>
              </w:rPr>
            </w:pPr>
            <w:r>
              <w:rPr>
                <w:w w:val="95"/>
                <w:position w:val="3"/>
                <w:sz w:val="20"/>
                <w:szCs w:val="20"/>
              </w:rPr>
              <w:t>ϴ</w:t>
            </w:r>
            <w:r>
              <w:rPr>
                <w:spacing w:val="-14"/>
                <w:w w:val="95"/>
                <w:position w:val="3"/>
                <w:sz w:val="20"/>
                <w:szCs w:val="20"/>
              </w:rPr>
              <w:t> </w:t>
            </w:r>
            <w:r>
              <w:rPr>
                <w:w w:val="95"/>
                <w:sz w:val="13"/>
                <w:szCs w:val="13"/>
              </w:rPr>
              <w:t>theo</w:t>
            </w:r>
          </w:p>
        </w:tc>
        <w:tc>
          <w:tcPr>
            <w:tcW w:w="2354" w:type="dxa"/>
            <w:gridSpan w:val="2"/>
          </w:tcPr>
          <w:p>
            <w:pPr>
              <w:pStyle w:val="TableParagraph"/>
              <w:spacing w:line="238" w:lineRule="exact" w:before="120"/>
              <w:ind w:left="689"/>
              <w:rPr>
                <w:sz w:val="20"/>
              </w:rPr>
            </w:pPr>
            <w:r>
              <w:rPr>
                <w:sz w:val="20"/>
              </w:rPr>
              <w:t>1.13</w:t>
            </w:r>
          </w:p>
        </w:tc>
        <w:tc>
          <w:tcPr>
            <w:tcW w:w="2388" w:type="dxa"/>
          </w:tcPr>
          <w:p>
            <w:pPr>
              <w:pStyle w:val="TableParagraph"/>
              <w:spacing w:line="238" w:lineRule="exact" w:before="120"/>
              <w:ind w:left="728"/>
              <w:rPr>
                <w:sz w:val="20"/>
              </w:rPr>
            </w:pPr>
            <w:r>
              <w:rPr>
                <w:sz w:val="20"/>
              </w:rPr>
              <w:t>0.99</w:t>
            </w:r>
          </w:p>
        </w:tc>
        <w:tc>
          <w:tcPr>
            <w:tcW w:w="1633" w:type="dxa"/>
          </w:tcPr>
          <w:p>
            <w:pPr>
              <w:pStyle w:val="TableParagraph"/>
              <w:spacing w:line="238" w:lineRule="exact" w:before="120"/>
              <w:ind w:left="736"/>
              <w:rPr>
                <w:sz w:val="20"/>
              </w:rPr>
            </w:pPr>
            <w:r>
              <w:rPr>
                <w:sz w:val="20"/>
              </w:rPr>
              <w:t>0.96</w:t>
            </w:r>
          </w:p>
        </w:tc>
      </w:tr>
    </w:tbl>
    <w:p>
      <w:pPr>
        <w:pStyle w:val="BodyText"/>
        <w:spacing w:before="10"/>
        <w:rPr>
          <w:sz w:val="8"/>
        </w:rPr>
      </w:pPr>
    </w:p>
    <w:p>
      <w:pPr>
        <w:tabs>
          <w:tab w:pos="3593" w:val="left" w:leader="none"/>
          <w:tab w:pos="5986" w:val="left" w:leader="none"/>
          <w:tab w:pos="8987" w:val="right" w:leader="none"/>
        </w:tabs>
        <w:spacing w:before="121"/>
        <w:ind w:left="1198" w:right="0" w:firstLine="0"/>
        <w:jc w:val="left"/>
        <w:rPr>
          <w:sz w:val="20"/>
        </w:rPr>
      </w:pPr>
      <w:r>
        <w:rPr>
          <w:sz w:val="20"/>
        </w:rPr>
        <w:t>R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ab/>
        <w:t>0.569</w:t>
        <w:tab/>
        <w:t>0.1</w:t>
        <w:tab/>
        <w:t>0.4444</w:t>
      </w:r>
    </w:p>
    <w:p>
      <w:pPr>
        <w:tabs>
          <w:tab w:pos="3593" w:val="left" w:leader="none"/>
          <w:tab w:pos="5986" w:val="left" w:leader="none"/>
          <w:tab w:pos="8382" w:val="left" w:leader="none"/>
        </w:tabs>
        <w:spacing w:before="243"/>
        <w:ind w:left="1198" w:right="0" w:firstLine="0"/>
        <w:jc w:val="left"/>
        <w:rPr>
          <w:sz w:val="20"/>
        </w:rPr>
      </w:pPr>
      <w:r>
        <w:rPr>
          <w:sz w:val="20"/>
        </w:rPr>
        <w:t>K</w:t>
      </w:r>
      <w:r>
        <w:rPr>
          <w:sz w:val="20"/>
          <w:vertAlign w:val="subscript"/>
        </w:rPr>
        <w:t>2</w:t>
      </w:r>
      <w:r>
        <w:rPr>
          <w:sz w:val="20"/>
          <w:vertAlign w:val="baseline"/>
        </w:rPr>
        <w:tab/>
        <w:t>7.0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-4</w:t>
      </w:r>
      <w:r>
        <w:rPr>
          <w:sz w:val="20"/>
          <w:vertAlign w:val="baseline"/>
        </w:rPr>
        <w:tab/>
        <w:t>7.0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x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-5</w:t>
      </w:r>
      <w:r>
        <w:rPr>
          <w:sz w:val="20"/>
          <w:vertAlign w:val="baseline"/>
        </w:rPr>
        <w:tab/>
        <w:t>-7.0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X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-4</w:t>
      </w:r>
    </w:p>
    <w:p>
      <w:pPr>
        <w:spacing w:before="241"/>
        <w:ind w:left="1198" w:right="0" w:firstLine="0"/>
        <w:jc w:val="left"/>
        <w:rPr>
          <w:sz w:val="20"/>
        </w:rPr>
      </w:pPr>
      <w:r>
        <w:rPr>
          <w:sz w:val="20"/>
        </w:rPr>
        <w:t>Ho</w:t>
      </w:r>
      <w:r>
        <w:rPr>
          <w:spacing w:val="-4"/>
          <w:sz w:val="20"/>
        </w:rPr>
        <w:t> </w:t>
      </w:r>
      <w:r>
        <w:rPr>
          <w:sz w:val="20"/>
        </w:rPr>
        <w:t>pseudo</w:t>
      </w:r>
      <w:r>
        <w:rPr>
          <w:spacing w:val="-1"/>
          <w:sz w:val="20"/>
        </w:rPr>
        <w:t> </w:t>
      </w:r>
      <w:r>
        <w:rPr>
          <w:sz w:val="20"/>
        </w:rPr>
        <w:t>second</w:t>
      </w:r>
      <w:r>
        <w:rPr>
          <w:spacing w:val="-4"/>
          <w:sz w:val="20"/>
        </w:rPr>
        <w:t> </w:t>
      </w:r>
      <w:r>
        <w:rPr>
          <w:sz w:val="20"/>
        </w:rPr>
        <w:t>order</w:t>
      </w:r>
    </w:p>
    <w:p>
      <w:pPr>
        <w:tabs>
          <w:tab w:pos="3593" w:val="left" w:leader="none"/>
          <w:tab w:pos="5986" w:val="left" w:leader="none"/>
          <w:tab w:pos="8769" w:val="right" w:leader="none"/>
        </w:tabs>
        <w:spacing w:before="241"/>
        <w:ind w:left="1198" w:right="0" w:firstLine="0"/>
        <w:jc w:val="left"/>
        <w:rPr>
          <w:sz w:val="20"/>
          <w:szCs w:val="20"/>
        </w:rPr>
      </w:pPr>
      <w:r>
        <w:rPr>
          <w:spacing w:val="-1"/>
          <w:sz w:val="20"/>
          <w:szCs w:val="20"/>
        </w:rPr>
        <w:t>ϴ</w:t>
      </w:r>
      <w:r>
        <w:rPr>
          <w:spacing w:val="-1"/>
          <w:sz w:val="20"/>
          <w:szCs w:val="20"/>
          <w:vertAlign w:val="subscript"/>
        </w:rPr>
        <w:t>o</w:t>
      </w:r>
      <w:r>
        <w:rPr>
          <w:spacing w:val="-23"/>
          <w:sz w:val="20"/>
          <w:szCs w:val="20"/>
          <w:vertAlign w:val="baseline"/>
        </w:rPr>
        <w:t> </w:t>
      </w:r>
      <w:r>
        <w:rPr>
          <w:spacing w:val="-1"/>
          <w:sz w:val="20"/>
          <w:szCs w:val="20"/>
          <w:vertAlign w:val="subscript"/>
        </w:rPr>
        <w:t>theo</w:t>
      </w:r>
      <w:r>
        <w:rPr>
          <w:spacing w:val="-1"/>
          <w:sz w:val="20"/>
          <w:szCs w:val="20"/>
          <w:vertAlign w:val="baseline"/>
        </w:rPr>
        <w:tab/>
      </w:r>
      <w:r>
        <w:rPr>
          <w:sz w:val="20"/>
          <w:szCs w:val="20"/>
          <w:vertAlign w:val="baseline"/>
        </w:rPr>
        <w:t>0.97</w:t>
        <w:tab/>
        <w:t>0.98</w:t>
        <w:tab/>
        <w:t>1.14</w:t>
      </w:r>
    </w:p>
    <w:p>
      <w:pPr>
        <w:spacing w:line="460" w:lineRule="auto" w:before="220" w:after="20"/>
        <w:ind w:left="1198" w:right="10076" w:firstLine="0"/>
        <w:jc w:val="left"/>
        <w:rPr>
          <w:sz w:val="13"/>
        </w:rPr>
      </w:pPr>
      <w:r>
        <w:rPr/>
        <w:pict>
          <v:shape style="position:absolute;margin-left:198.190002pt;margin-top:11.020002pt;width:274.7pt;height:37.25pt;mso-position-horizontal-relative:page;mso-position-vertical-relative:paragraph;z-index:15772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11"/>
                    <w:gridCol w:w="2132"/>
                    <w:gridCol w:w="1550"/>
                  </w:tblGrid>
                  <w:tr>
                    <w:trPr>
                      <w:trHeight w:val="382" w:hRule="atLeast"/>
                    </w:trPr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-1.594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10</w:t>
                        </w:r>
                        <w:r>
                          <w:rPr>
                            <w:sz w:val="20"/>
                            <w:vertAlign w:val="superscript"/>
                          </w:rPr>
                          <w:t>-1</w:t>
                        </w:r>
                      </w:p>
                    </w:tc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6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-4.276</w:t>
                        </w:r>
                      </w:p>
                    </w:tc>
                    <w:tc>
                      <w:tcPr>
                        <w:tcW w:w="1550" w:type="dxa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8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0.086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spacing w:line="221" w:lineRule="exact" w:before="12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0.9957</w:t>
                        </w:r>
                      </w:p>
                    </w:tc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spacing w:line="221" w:lineRule="exact" w:before="120"/>
                          <w:ind w:left="6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0.9997</w:t>
                        </w:r>
                      </w:p>
                    </w:tc>
                    <w:tc>
                      <w:tcPr>
                        <w:tcW w:w="1550" w:type="dxa"/>
                      </w:tcPr>
                      <w:p>
                        <w:pPr>
                          <w:pStyle w:val="TableParagraph"/>
                          <w:spacing w:line="221" w:lineRule="exact" w:before="120"/>
                          <w:ind w:left="8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0.9872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8"/>
          <w:sz w:val="20"/>
        </w:rPr>
        <w:t>K</w:t>
      </w:r>
      <w:r>
        <w:rPr>
          <w:sz w:val="13"/>
        </w:rPr>
        <w:t>2</w:t>
      </w:r>
      <w:r>
        <w:rPr>
          <w:spacing w:val="-38"/>
          <w:sz w:val="13"/>
        </w:rPr>
        <w:t> </w:t>
      </w:r>
      <w:r>
        <w:rPr>
          <w:position w:val="-8"/>
          <w:sz w:val="20"/>
        </w:rPr>
        <w:t>R</w:t>
      </w:r>
      <w:r>
        <w:rPr>
          <w:sz w:val="13"/>
        </w:rPr>
        <w:t>2</w:t>
      </w:r>
    </w:p>
    <w:tbl>
      <w:tblPr>
        <w:tblW w:w="0" w:type="auto"/>
        <w:jc w:val="left"/>
        <w:tblInd w:w="1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6"/>
        <w:gridCol w:w="1700"/>
        <w:gridCol w:w="2414"/>
        <w:gridCol w:w="1551"/>
      </w:tblGrid>
      <w:tr>
        <w:trPr>
          <w:trHeight w:val="362" w:hRule="atLeast"/>
        </w:trPr>
        <w:tc>
          <w:tcPr>
            <w:tcW w:w="2226" w:type="dxa"/>
          </w:tcPr>
          <w:p>
            <w:pPr>
              <w:pStyle w:val="TableParagraph"/>
              <w:spacing w:line="241" w:lineRule="exact"/>
              <w:ind w:left="50"/>
              <w:rPr>
                <w:sz w:val="20"/>
              </w:rPr>
            </w:pPr>
            <w:r>
              <w:rPr>
                <w:sz w:val="20"/>
              </w:rPr>
              <w:t>Intra-particle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diffusion</w:t>
            </w:r>
          </w:p>
        </w:tc>
        <w:tc>
          <w:tcPr>
            <w:tcW w:w="566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92" w:hRule="atLeast"/>
        </w:trPr>
        <w:tc>
          <w:tcPr>
            <w:tcW w:w="2226" w:type="dxa"/>
          </w:tcPr>
          <w:p>
            <w:pPr>
              <w:pStyle w:val="TableParagraph"/>
              <w:spacing w:line="240" w:lineRule="auto" w:before="121"/>
              <w:ind w:left="50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z w:val="20"/>
                <w:vertAlign w:val="subscript"/>
              </w:rPr>
              <w:t>d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121"/>
              <w:ind w:left="219"/>
              <w:rPr>
                <w:sz w:val="20"/>
              </w:rPr>
            </w:pPr>
            <w:r>
              <w:rPr>
                <w:sz w:val="20"/>
              </w:rPr>
              <w:t>-0.021</w:t>
            </w:r>
          </w:p>
        </w:tc>
        <w:tc>
          <w:tcPr>
            <w:tcW w:w="2414" w:type="dxa"/>
          </w:tcPr>
          <w:p>
            <w:pPr>
              <w:pStyle w:val="TableParagraph"/>
              <w:spacing w:line="240" w:lineRule="auto" w:before="121"/>
              <w:ind w:left="912"/>
              <w:rPr>
                <w:sz w:val="20"/>
              </w:rPr>
            </w:pPr>
            <w:r>
              <w:rPr>
                <w:sz w:val="20"/>
              </w:rPr>
              <w:t>-0.002</w:t>
            </w:r>
          </w:p>
        </w:tc>
        <w:tc>
          <w:tcPr>
            <w:tcW w:w="1551" w:type="dxa"/>
          </w:tcPr>
          <w:p>
            <w:pPr>
              <w:pStyle w:val="TableParagraph"/>
              <w:spacing w:line="240" w:lineRule="auto" w:before="121"/>
              <w:ind w:left="894"/>
              <w:rPr>
                <w:sz w:val="20"/>
              </w:rPr>
            </w:pPr>
            <w:r>
              <w:rPr>
                <w:sz w:val="20"/>
              </w:rPr>
              <w:t>0.023</w:t>
            </w:r>
          </w:p>
        </w:tc>
      </w:tr>
      <w:tr>
        <w:trPr>
          <w:trHeight w:val="482" w:hRule="atLeast"/>
        </w:trPr>
        <w:tc>
          <w:tcPr>
            <w:tcW w:w="2226" w:type="dxa"/>
          </w:tcPr>
          <w:p>
            <w:pPr>
              <w:pStyle w:val="TableParagraph"/>
              <w:spacing w:line="240" w:lineRule="auto" w:before="111"/>
              <w:ind w:left="50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111"/>
              <w:ind w:left="219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2414" w:type="dxa"/>
          </w:tcPr>
          <w:p>
            <w:pPr>
              <w:pStyle w:val="TableParagraph"/>
              <w:spacing w:line="240" w:lineRule="auto" w:before="111"/>
              <w:ind w:left="912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551" w:type="dxa"/>
          </w:tcPr>
          <w:p>
            <w:pPr>
              <w:pStyle w:val="TableParagraph"/>
              <w:spacing w:line="240" w:lineRule="auto" w:before="111"/>
              <w:ind w:left="894"/>
              <w:rPr>
                <w:sz w:val="20"/>
              </w:rPr>
            </w:pPr>
            <w:r>
              <w:rPr>
                <w:sz w:val="20"/>
              </w:rPr>
              <w:t>0.4661</w:t>
            </w:r>
          </w:p>
        </w:tc>
      </w:tr>
      <w:tr>
        <w:trPr>
          <w:trHeight w:val="353" w:hRule="atLeast"/>
        </w:trPr>
        <w:tc>
          <w:tcPr>
            <w:tcW w:w="2226" w:type="dxa"/>
          </w:tcPr>
          <w:p>
            <w:pPr>
              <w:pStyle w:val="TableParagraph"/>
              <w:spacing w:line="221" w:lineRule="exact" w:before="111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700" w:type="dxa"/>
          </w:tcPr>
          <w:p>
            <w:pPr>
              <w:pStyle w:val="TableParagraph"/>
              <w:spacing w:line="221" w:lineRule="exact" w:before="111"/>
              <w:ind w:left="219"/>
              <w:rPr>
                <w:sz w:val="20"/>
              </w:rPr>
            </w:pPr>
            <w:r>
              <w:rPr>
                <w:sz w:val="20"/>
              </w:rPr>
              <w:t>1.095</w:t>
            </w:r>
          </w:p>
        </w:tc>
        <w:tc>
          <w:tcPr>
            <w:tcW w:w="2414" w:type="dxa"/>
          </w:tcPr>
          <w:p>
            <w:pPr>
              <w:pStyle w:val="TableParagraph"/>
              <w:spacing w:line="221" w:lineRule="exact" w:before="111"/>
              <w:ind w:left="912"/>
              <w:rPr>
                <w:sz w:val="20"/>
              </w:rPr>
            </w:pPr>
            <w:r>
              <w:rPr>
                <w:sz w:val="20"/>
              </w:rPr>
              <w:t>0.4661</w:t>
            </w:r>
          </w:p>
        </w:tc>
        <w:tc>
          <w:tcPr>
            <w:tcW w:w="1551" w:type="dxa"/>
          </w:tcPr>
          <w:p>
            <w:pPr>
              <w:pStyle w:val="TableParagraph"/>
              <w:spacing w:line="221" w:lineRule="exact" w:before="111"/>
              <w:ind w:left="894"/>
              <w:rPr>
                <w:sz w:val="20"/>
              </w:rPr>
            </w:pPr>
            <w:r>
              <w:rPr>
                <w:sz w:val="20"/>
              </w:rPr>
              <w:t>0.97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pict>
          <v:rect style="position:absolute;margin-left:74.784004pt;margin-top:16.834408pt;width:479.596023pt;height:.48pt;mso-position-horizontal-relative:page;mso-position-vertical-relative:paragraph;z-index:-15686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spacing w:line="480" w:lineRule="auto" w:before="75"/>
        <w:ind w:left="1198" w:right="575"/>
      </w:pPr>
      <w:r>
        <w:rPr/>
        <w:t>The</w:t>
      </w:r>
      <w:r>
        <w:rPr>
          <w:spacing w:val="15"/>
        </w:rPr>
        <w:t> </w:t>
      </w:r>
      <w:r>
        <w:rPr/>
        <w:t>calculated</w:t>
      </w:r>
      <w:r>
        <w:rPr>
          <w:spacing w:val="13"/>
        </w:rPr>
        <w:t> </w:t>
      </w:r>
      <w:r>
        <w:rPr/>
        <w:t>kinetics</w:t>
      </w:r>
      <w:r>
        <w:rPr>
          <w:spacing w:val="16"/>
        </w:rPr>
        <w:t> </w:t>
      </w:r>
      <w:r>
        <w:rPr/>
        <w:t>derived</w:t>
      </w:r>
      <w:r>
        <w:rPr>
          <w:spacing w:val="13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constants</w:t>
      </w:r>
      <w:r>
        <w:rPr>
          <w:spacing w:val="15"/>
        </w:rPr>
        <w:t> </w:t>
      </w:r>
      <w:r>
        <w:rPr/>
        <w:t>are</w:t>
      </w:r>
      <w:r>
        <w:rPr>
          <w:spacing w:val="18"/>
        </w:rPr>
        <w:t> </w:t>
      </w:r>
      <w:r>
        <w:rPr/>
        <w:t>shown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Table</w:t>
      </w:r>
      <w:r>
        <w:rPr>
          <w:spacing w:val="15"/>
        </w:rPr>
        <w:t> </w:t>
      </w:r>
      <w:r>
        <w:rPr/>
        <w:t>3.13.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very</w:t>
      </w:r>
      <w:r>
        <w:rPr>
          <w:spacing w:val="14"/>
        </w:rPr>
        <w:t> </w:t>
      </w:r>
      <w:r>
        <w:rPr/>
        <w:t>low</w:t>
      </w:r>
      <w:r>
        <w:rPr>
          <w:spacing w:val="-72"/>
        </w:rPr>
        <w:t> </w:t>
      </w:r>
      <w:r>
        <w:rPr/>
        <w:t>values</w:t>
      </w:r>
      <w:r>
        <w:rPr>
          <w:spacing w:val="2"/>
        </w:rPr>
        <w:t> </w:t>
      </w:r>
      <w:r>
        <w:rPr/>
        <w:t>for</w:t>
      </w:r>
      <w:r>
        <w:rPr>
          <w:spacing w:val="74"/>
        </w:rPr>
        <w:t> </w:t>
      </w:r>
      <w:r>
        <w:rPr/>
        <w:t>the</w:t>
      </w:r>
      <w:r>
        <w:rPr>
          <w:spacing w:val="2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(R</w:t>
      </w:r>
      <w:r>
        <w:rPr>
          <w:vertAlign w:val="superscript"/>
        </w:rPr>
        <w:t>2</w:t>
      </w:r>
      <w:r>
        <w:rPr>
          <w:vertAlign w:val="baseline"/>
        </w:rPr>
        <w:t>)  for</w:t>
      </w:r>
      <w:r>
        <w:rPr>
          <w:spacing w:val="72"/>
          <w:vertAlign w:val="baseline"/>
        </w:rPr>
        <w:t> </w:t>
      </w:r>
      <w:r>
        <w:rPr>
          <w:vertAlign w:val="baseline"/>
        </w:rPr>
        <w:t>lagergren</w:t>
      </w:r>
      <w:r>
        <w:rPr>
          <w:spacing w:val="2"/>
          <w:vertAlign w:val="baseline"/>
        </w:rPr>
        <w:t> </w:t>
      </w:r>
      <w:r>
        <w:rPr>
          <w:vertAlign w:val="baseline"/>
        </w:rPr>
        <w:t>pseudo  first-order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expression</w:t>
      </w:r>
      <w:r>
        <w:rPr>
          <w:spacing w:val="74"/>
          <w:vertAlign w:val="baseline"/>
        </w:rPr>
        <w:t> </w:t>
      </w:r>
      <w:r>
        <w:rPr>
          <w:vertAlign w:val="baseline"/>
        </w:rPr>
        <w:t>at</w:t>
      </w:r>
      <w:r>
        <w:rPr>
          <w:spacing w:val="2"/>
          <w:vertAlign w:val="baseline"/>
        </w:rPr>
        <w:t> </w:t>
      </w:r>
      <w:r>
        <w:rPr>
          <w:vertAlign w:val="baseline"/>
        </w:rPr>
        <w:t>studied</w:t>
      </w:r>
      <w:r>
        <w:rPr>
          <w:spacing w:val="-72"/>
          <w:vertAlign w:val="baseline"/>
        </w:rPr>
        <w:t> </w:t>
      </w:r>
      <w:r>
        <w:rPr>
          <w:vertAlign w:val="baseline"/>
        </w:rPr>
        <w:t>temperature and the great difference between the theoretical and experimental active sites</w:t>
      </w:r>
      <w:r>
        <w:rPr>
          <w:spacing w:val="-72"/>
          <w:vertAlign w:val="baseline"/>
        </w:rPr>
        <w:t> </w:t>
      </w:r>
      <w:r>
        <w:rPr>
          <w:vertAlign w:val="baseline"/>
        </w:rPr>
        <w:t>occupied suggests that it is inappropriate to use this kinetics to represent the acetylation of</w:t>
      </w:r>
      <w:r>
        <w:rPr>
          <w:spacing w:val="-72"/>
          <w:vertAlign w:val="baseline"/>
        </w:rPr>
        <w:t> </w:t>
      </w:r>
      <w:r>
        <w:rPr>
          <w:vertAlign w:val="baseline"/>
        </w:rPr>
        <w:t>corn</w:t>
      </w:r>
      <w:r>
        <w:rPr>
          <w:spacing w:val="26"/>
          <w:vertAlign w:val="baseline"/>
        </w:rPr>
        <w:t> </w:t>
      </w:r>
      <w:r>
        <w:rPr>
          <w:vertAlign w:val="baseline"/>
        </w:rPr>
        <w:t>cob.</w:t>
      </w:r>
      <w:r>
        <w:rPr>
          <w:spacing w:val="26"/>
          <w:vertAlign w:val="baseline"/>
        </w:rPr>
        <w:t> </w:t>
      </w:r>
      <w:r>
        <w:rPr>
          <w:vertAlign w:val="baseline"/>
        </w:rPr>
        <w:t>From</w:t>
      </w:r>
      <w:r>
        <w:rPr>
          <w:spacing w:val="28"/>
          <w:vertAlign w:val="baseline"/>
        </w:rPr>
        <w:t> </w:t>
      </w:r>
      <w:r>
        <w:rPr>
          <w:vertAlign w:val="baseline"/>
        </w:rPr>
        <w:t>Table</w:t>
      </w:r>
      <w:r>
        <w:rPr>
          <w:spacing w:val="28"/>
          <w:vertAlign w:val="baseline"/>
        </w:rPr>
        <w:t> </w:t>
      </w:r>
      <w:r>
        <w:rPr>
          <w:vertAlign w:val="baseline"/>
        </w:rPr>
        <w:t>3.13,</w:t>
      </w:r>
      <w:r>
        <w:rPr>
          <w:spacing w:val="26"/>
          <w:vertAlign w:val="baseline"/>
        </w:rPr>
        <w:t> </w:t>
      </w:r>
      <w:r>
        <w:rPr>
          <w:vertAlign w:val="baseline"/>
        </w:rPr>
        <w:t>it</w:t>
      </w:r>
      <w:r>
        <w:rPr>
          <w:spacing w:val="26"/>
          <w:vertAlign w:val="baseline"/>
        </w:rPr>
        <w:t> </w:t>
      </w:r>
      <w:r>
        <w:rPr>
          <w:vertAlign w:val="baseline"/>
        </w:rPr>
        <w:t>was</w:t>
      </w:r>
      <w:r>
        <w:rPr>
          <w:spacing w:val="29"/>
          <w:vertAlign w:val="baseline"/>
        </w:rPr>
        <w:t> </w:t>
      </w:r>
      <w:r>
        <w:rPr>
          <w:vertAlign w:val="baseline"/>
        </w:rPr>
        <w:t>also</w:t>
      </w:r>
      <w:r>
        <w:rPr>
          <w:spacing w:val="26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26"/>
          <w:vertAlign w:val="baseline"/>
        </w:rPr>
        <w:t> </w:t>
      </w:r>
      <w:r>
        <w:rPr>
          <w:vertAlign w:val="baseline"/>
        </w:rPr>
        <w:t>that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derived</w:t>
      </w:r>
      <w:r>
        <w:rPr>
          <w:spacing w:val="28"/>
          <w:vertAlign w:val="baseline"/>
        </w:rPr>
        <w:t> </w:t>
      </w:r>
      <w:r>
        <w:rPr>
          <w:vertAlign w:val="baseline"/>
        </w:rPr>
        <w:t>pseudo</w:t>
      </w:r>
      <w:r>
        <w:rPr>
          <w:spacing w:val="25"/>
          <w:vertAlign w:val="baseline"/>
        </w:rPr>
        <w:t> </w:t>
      </w:r>
      <w:r>
        <w:rPr>
          <w:vertAlign w:val="baseline"/>
        </w:rPr>
        <w:t>first-order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-72"/>
          <w:vertAlign w:val="baseline"/>
        </w:rPr>
        <w:t> </w:t>
      </w:r>
      <w:r>
        <w:rPr>
          <w:vertAlign w:val="baseline"/>
        </w:rPr>
        <w:t>second</w:t>
      </w:r>
      <w:r>
        <w:rPr>
          <w:spacing w:val="-1"/>
          <w:vertAlign w:val="baseline"/>
        </w:rPr>
        <w:t> </w:t>
      </w:r>
      <w:r>
        <w:rPr>
          <w:vertAlign w:val="baseline"/>
        </w:rPr>
        <w:t>order kinetics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produced a</w:t>
      </w:r>
      <w:r>
        <w:rPr>
          <w:spacing w:val="-1"/>
          <w:vertAlign w:val="baseline"/>
        </w:rPr>
        <w:t> </w:t>
      </w:r>
      <w:r>
        <w:rPr>
          <w:vertAlign w:val="baseline"/>
        </w:rPr>
        <w:t>theoretical</w:t>
      </w:r>
      <w:r>
        <w:rPr>
          <w:spacing w:val="3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close</w:t>
      </w:r>
      <w:r>
        <w:rPr>
          <w:spacing w:val="1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value, and the</w:t>
      </w:r>
      <w:r>
        <w:rPr>
          <w:spacing w:val="-72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-3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9"/>
          <w:vertAlign w:val="baseline"/>
        </w:rPr>
        <w:t> </w:t>
      </w:r>
      <w:r>
        <w:rPr>
          <w:vertAlign w:val="baseline"/>
        </w:rPr>
        <w:t>for</w:t>
      </w:r>
      <w:r>
        <w:rPr>
          <w:spacing w:val="19"/>
          <w:vertAlign w:val="baseline"/>
        </w:rPr>
        <w:t> </w:t>
      </w:r>
      <w:r>
        <w:rPr>
          <w:vertAlign w:val="baseline"/>
        </w:rPr>
        <w:t>100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9"/>
          <w:vertAlign w:val="baseline"/>
        </w:rPr>
        <w:t> </w:t>
      </w:r>
      <w:r>
        <w:rPr>
          <w:vertAlign w:val="baseline"/>
        </w:rPr>
        <w:t>were</w:t>
      </w:r>
      <w:r>
        <w:rPr>
          <w:spacing w:val="20"/>
          <w:vertAlign w:val="baseline"/>
        </w:rPr>
        <w:t> </w:t>
      </w:r>
      <w:r>
        <w:rPr>
          <w:vertAlign w:val="baseline"/>
        </w:rPr>
        <w:t>(0.6008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  <w:r>
        <w:rPr>
          <w:spacing w:val="19"/>
          <w:vertAlign w:val="baseline"/>
        </w:rPr>
        <w:t> </w:t>
      </w:r>
      <w:r>
        <w:rPr>
          <w:vertAlign w:val="baseline"/>
        </w:rPr>
        <w:t>0.4581),</w:t>
      </w:r>
      <w:r>
        <w:rPr>
          <w:spacing w:val="18"/>
          <w:vertAlign w:val="baseline"/>
        </w:rPr>
        <w:t> </w:t>
      </w:r>
      <w:r>
        <w:rPr>
          <w:vertAlign w:val="baseline"/>
        </w:rPr>
        <w:t>(0.596</w:t>
      </w:r>
      <w:r>
        <w:rPr>
          <w:spacing w:val="23"/>
          <w:vertAlign w:val="baseline"/>
        </w:rPr>
        <w:t> </w:t>
      </w:r>
      <w:r>
        <w:rPr>
          <w:vertAlign w:val="baseline"/>
        </w:rPr>
        <w:t>and</w:t>
      </w:r>
      <w:r>
        <w:rPr>
          <w:spacing w:val="19"/>
          <w:vertAlign w:val="baseline"/>
        </w:rPr>
        <w:t> </w:t>
      </w:r>
      <w:r>
        <w:rPr>
          <w:vertAlign w:val="baseline"/>
        </w:rPr>
        <w:t>0.4444)</w:t>
      </w:r>
      <w:r>
        <w:rPr>
          <w:spacing w:val="19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-72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 derived</w:t>
      </w:r>
      <w:r>
        <w:rPr>
          <w:spacing w:val="-1"/>
          <w:vertAlign w:val="baseline"/>
        </w:rPr>
        <w:t> </w:t>
      </w:r>
      <w:r>
        <w:rPr>
          <w:vertAlign w:val="baseline"/>
        </w:rPr>
        <w:t>pseudo first-order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second</w:t>
      </w:r>
      <w:r>
        <w:rPr>
          <w:spacing w:val="2"/>
          <w:vertAlign w:val="baseline"/>
        </w:rPr>
        <w:t> </w:t>
      </w:r>
      <w:r>
        <w:rPr>
          <w:vertAlign w:val="baseline"/>
        </w:rPr>
        <w:t>order</w:t>
      </w:r>
      <w:r>
        <w:rPr>
          <w:spacing w:val="-1"/>
          <w:vertAlign w:val="baseline"/>
        </w:rPr>
        <w:t> </w:t>
      </w:r>
      <w:r>
        <w:rPr>
          <w:vertAlign w:val="baseline"/>
        </w:rPr>
        <w:t>expression.</w:t>
      </w:r>
      <w:r>
        <w:rPr>
          <w:spacing w:val="-1"/>
          <w:vertAlign w:val="baseline"/>
        </w:rPr>
        <w:t> </w:t>
      </w:r>
      <w:r>
        <w:rPr>
          <w:vertAlign w:val="baseline"/>
        </w:rPr>
        <w:t>These</w:t>
      </w:r>
      <w:r>
        <w:rPr>
          <w:spacing w:val="2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are moderate</w:t>
      </w:r>
      <w:r>
        <w:rPr>
          <w:spacing w:val="-72"/>
          <w:vertAlign w:val="baseline"/>
        </w:rPr>
        <w:t> </w:t>
      </w:r>
      <w:r>
        <w:rPr>
          <w:vertAlign w:val="baseline"/>
        </w:rPr>
        <w:t>and</w:t>
      </w:r>
      <w:r>
        <w:rPr>
          <w:spacing w:val="36"/>
          <w:vertAlign w:val="baseline"/>
        </w:rPr>
        <w:t> </w:t>
      </w:r>
      <w:r>
        <w:rPr>
          <w:vertAlign w:val="baseline"/>
        </w:rPr>
        <w:t>high</w:t>
      </w:r>
      <w:r>
        <w:rPr>
          <w:spacing w:val="37"/>
          <w:vertAlign w:val="baseline"/>
        </w:rPr>
        <w:t> </w:t>
      </w:r>
      <w:r>
        <w:rPr>
          <w:vertAlign w:val="baseline"/>
        </w:rPr>
        <w:t>(Dowine</w:t>
      </w:r>
      <w:r>
        <w:rPr>
          <w:spacing w:val="38"/>
          <w:vertAlign w:val="baseline"/>
        </w:rPr>
        <w:t> </w:t>
      </w:r>
      <w:r>
        <w:rPr>
          <w:vertAlign w:val="baseline"/>
        </w:rPr>
        <w:t>and</w:t>
      </w:r>
      <w:r>
        <w:rPr>
          <w:spacing w:val="35"/>
          <w:vertAlign w:val="baseline"/>
        </w:rPr>
        <w:t> </w:t>
      </w:r>
      <w:r>
        <w:rPr>
          <w:vertAlign w:val="baseline"/>
        </w:rPr>
        <w:t>Heath,</w:t>
      </w:r>
      <w:r>
        <w:rPr>
          <w:spacing w:val="36"/>
          <w:vertAlign w:val="baseline"/>
        </w:rPr>
        <w:t> </w:t>
      </w:r>
      <w:r>
        <w:rPr>
          <w:vertAlign w:val="baseline"/>
        </w:rPr>
        <w:t>1974).</w:t>
      </w:r>
      <w:r>
        <w:rPr>
          <w:spacing w:val="35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very</w:t>
      </w:r>
      <w:r>
        <w:rPr>
          <w:spacing w:val="36"/>
          <w:vertAlign w:val="baseline"/>
        </w:rPr>
        <w:t> </w:t>
      </w:r>
      <w:r>
        <w:rPr>
          <w:vertAlign w:val="baseline"/>
        </w:rPr>
        <w:t>higher</w:t>
      </w:r>
      <w:r>
        <w:rPr>
          <w:spacing w:val="34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13"/>
          <w:vertAlign w:val="baseline"/>
        </w:rPr>
        <w:t> </w:t>
      </w:r>
      <w:r>
        <w:rPr>
          <w:vertAlign w:val="baseline"/>
        </w:rPr>
        <w:t>values</w:t>
      </w:r>
      <w:r>
        <w:rPr>
          <w:spacing w:val="37"/>
          <w:vertAlign w:val="baseline"/>
        </w:rPr>
        <w:t> </w:t>
      </w:r>
      <w:r>
        <w:rPr>
          <w:vertAlign w:val="baseline"/>
        </w:rPr>
        <w:t>(&gt;</w:t>
      </w:r>
      <w:r>
        <w:rPr>
          <w:spacing w:val="36"/>
          <w:vertAlign w:val="baseline"/>
        </w:rPr>
        <w:t> </w:t>
      </w:r>
      <w:r>
        <w:rPr>
          <w:vertAlign w:val="baseline"/>
        </w:rPr>
        <w:t>0.98</w:t>
      </w:r>
      <w:r>
        <w:rPr>
          <w:spacing w:val="38"/>
          <w:vertAlign w:val="baseline"/>
        </w:rPr>
        <w:t> </w:t>
      </w:r>
      <w:r>
        <w:rPr>
          <w:vertAlign w:val="baseline"/>
        </w:rPr>
        <w:t>in</w:t>
      </w:r>
      <w:r>
        <w:rPr>
          <w:spacing w:val="35"/>
          <w:vertAlign w:val="baseline"/>
        </w:rPr>
        <w:t> </w:t>
      </w:r>
      <w:r>
        <w:rPr>
          <w:vertAlign w:val="baseline"/>
        </w:rPr>
        <w:t>all</w:t>
      </w:r>
      <w:r>
        <w:rPr>
          <w:spacing w:val="-72"/>
          <w:vertAlign w:val="baseline"/>
        </w:rPr>
        <w:t> </w:t>
      </w:r>
      <w:r>
        <w:rPr>
          <w:vertAlign w:val="baseline"/>
        </w:rPr>
        <w:t>cases)</w:t>
      </w:r>
      <w:r>
        <w:rPr>
          <w:spacing w:val="31"/>
          <w:vertAlign w:val="baseline"/>
        </w:rPr>
        <w:t> </w:t>
      </w:r>
      <w:r>
        <w:rPr>
          <w:vertAlign w:val="baseline"/>
        </w:rPr>
        <w:t>for</w:t>
      </w:r>
      <w:r>
        <w:rPr>
          <w:spacing w:val="31"/>
          <w:vertAlign w:val="baseline"/>
        </w:rPr>
        <w:t> </w:t>
      </w:r>
      <w:r>
        <w:rPr>
          <w:vertAlign w:val="baseline"/>
        </w:rPr>
        <w:t>Ho</w:t>
      </w:r>
      <w:r>
        <w:rPr>
          <w:spacing w:val="30"/>
          <w:vertAlign w:val="baseline"/>
        </w:rPr>
        <w:t> </w:t>
      </w:r>
      <w:r>
        <w:rPr>
          <w:vertAlign w:val="baseline"/>
        </w:rPr>
        <w:t>pseudo</w:t>
      </w:r>
      <w:r>
        <w:rPr>
          <w:spacing w:val="28"/>
          <w:vertAlign w:val="baseline"/>
        </w:rPr>
        <w:t> </w:t>
      </w:r>
      <w:r>
        <w:rPr>
          <w:vertAlign w:val="baseline"/>
        </w:rPr>
        <w:t>second-order</w:t>
      </w:r>
      <w:r>
        <w:rPr>
          <w:spacing w:val="32"/>
          <w:vertAlign w:val="baseline"/>
        </w:rPr>
        <w:t> </w:t>
      </w:r>
      <w:r>
        <w:rPr>
          <w:vertAlign w:val="baseline"/>
        </w:rPr>
        <w:t>expression</w:t>
      </w:r>
      <w:r>
        <w:rPr>
          <w:spacing w:val="32"/>
          <w:vertAlign w:val="baseline"/>
        </w:rPr>
        <w:t> </w:t>
      </w:r>
      <w:r>
        <w:rPr>
          <w:vertAlign w:val="baseline"/>
        </w:rPr>
        <w:t>at</w:t>
      </w:r>
      <w:r>
        <w:rPr>
          <w:spacing w:val="31"/>
          <w:vertAlign w:val="baseline"/>
        </w:rPr>
        <w:t> </w:t>
      </w:r>
      <w:r>
        <w:rPr>
          <w:vertAlign w:val="baseline"/>
        </w:rPr>
        <w:t>all</w:t>
      </w:r>
      <w:r>
        <w:rPr>
          <w:spacing w:val="33"/>
          <w:vertAlign w:val="baseline"/>
        </w:rPr>
        <w:t> </w:t>
      </w:r>
      <w:r>
        <w:rPr>
          <w:vertAlign w:val="baseline"/>
        </w:rPr>
        <w:t>temperatures</w:t>
      </w:r>
      <w:r>
        <w:rPr>
          <w:spacing w:val="32"/>
          <w:vertAlign w:val="baseline"/>
        </w:rPr>
        <w:t> </w:t>
      </w:r>
      <w:r>
        <w:rPr>
          <w:vertAlign w:val="baseline"/>
        </w:rPr>
        <w:t>studied</w:t>
      </w:r>
      <w:r>
        <w:rPr>
          <w:spacing w:val="31"/>
          <w:vertAlign w:val="baseline"/>
        </w:rPr>
        <w:t> </w:t>
      </w:r>
      <w:r>
        <w:rPr>
          <w:vertAlign w:val="baseline"/>
        </w:rPr>
        <w:t>suggests</w:t>
      </w:r>
      <w:r>
        <w:rPr>
          <w:spacing w:val="33"/>
          <w:vertAlign w:val="baseline"/>
        </w:rPr>
        <w:t> </w:t>
      </w:r>
      <w:r>
        <w:rPr>
          <w:vertAlign w:val="baseline"/>
        </w:rPr>
        <w:t>that</w:t>
      </w:r>
      <w:r>
        <w:rPr>
          <w:spacing w:val="-72"/>
          <w:vertAlign w:val="baseline"/>
        </w:rPr>
        <w:t> </w:t>
      </w:r>
      <w:r>
        <w:rPr>
          <w:vertAlign w:val="baseline"/>
        </w:rPr>
        <w:t>this</w:t>
      </w:r>
      <w:r>
        <w:rPr>
          <w:spacing w:val="13"/>
          <w:vertAlign w:val="baseline"/>
        </w:rPr>
        <w:t> </w:t>
      </w:r>
      <w:r>
        <w:rPr>
          <w:vertAlign w:val="baseline"/>
        </w:rPr>
        <w:t>expression</w:t>
      </w:r>
      <w:r>
        <w:rPr>
          <w:spacing w:val="11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optimum</w:t>
      </w:r>
      <w:r>
        <w:rPr>
          <w:spacing w:val="13"/>
          <w:vertAlign w:val="baseline"/>
        </w:rPr>
        <w:t> </w:t>
      </w:r>
      <w:r>
        <w:rPr>
          <w:vertAlign w:val="baseline"/>
        </w:rPr>
        <w:t>expression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represent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acetylation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corn</w:t>
      </w:r>
      <w:r>
        <w:rPr>
          <w:spacing w:val="11"/>
          <w:vertAlign w:val="baseline"/>
        </w:rPr>
        <w:t> </w:t>
      </w:r>
      <w:r>
        <w:rPr>
          <w:vertAlign w:val="baseline"/>
        </w:rPr>
        <w:t>cob.</w:t>
      </w:r>
      <w:r>
        <w:rPr>
          <w:spacing w:val="11"/>
          <w:vertAlign w:val="baseline"/>
        </w:rPr>
        <w:t> </w:t>
      </w:r>
      <w:r>
        <w:rPr>
          <w:vertAlign w:val="baseline"/>
        </w:rPr>
        <w:t>It</w:t>
      </w:r>
      <w:r>
        <w:rPr>
          <w:spacing w:val="10"/>
          <w:vertAlign w:val="baseline"/>
        </w:rPr>
        <w:t> </w:t>
      </w:r>
      <w:r>
        <w:rPr>
          <w:vertAlign w:val="baseline"/>
        </w:rPr>
        <w:t>was</w:t>
      </w:r>
      <w:r>
        <w:rPr>
          <w:spacing w:val="-72"/>
          <w:vertAlign w:val="baseline"/>
        </w:rPr>
        <w:t> </w:t>
      </w:r>
      <w:r>
        <w:rPr>
          <w:vertAlign w:val="baseline"/>
        </w:rPr>
        <w:t>also</w:t>
      </w:r>
      <w:r>
        <w:rPr>
          <w:spacing w:val="17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7"/>
          <w:vertAlign w:val="baseline"/>
        </w:rPr>
        <w:t> </w:t>
      </w:r>
      <w:r>
        <w:rPr>
          <w:vertAlign w:val="baseline"/>
        </w:rPr>
        <w:t>that</w:t>
      </w:r>
      <w:r>
        <w:rPr>
          <w:spacing w:val="16"/>
          <w:vertAlign w:val="baseline"/>
        </w:rPr>
        <w:t> </w:t>
      </w:r>
      <w:r>
        <w:rPr>
          <w:vertAlign w:val="baseline"/>
        </w:rPr>
        <w:t>as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9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theoretical</w:t>
      </w:r>
      <w:r>
        <w:rPr>
          <w:spacing w:val="18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sites</w:t>
      </w:r>
      <w:r>
        <w:rPr>
          <w:spacing w:val="23"/>
          <w:vertAlign w:val="baseline"/>
        </w:rPr>
        <w:t> </w:t>
      </w:r>
      <w:r>
        <w:rPr>
          <w:vertAlign w:val="baseline"/>
        </w:rPr>
        <w:t>occupied</w:t>
      </w:r>
      <w:r>
        <w:rPr>
          <w:spacing w:val="-72"/>
          <w:vertAlign w:val="baseline"/>
        </w:rPr>
        <w:t> </w:t>
      </w:r>
      <w:r>
        <w:rPr>
          <w:vertAlign w:val="baseline"/>
        </w:rPr>
        <w:t>decreased. This suggests that effective acetylation could occur at low temperature and that</w:t>
      </w:r>
      <w:r>
        <w:rPr>
          <w:spacing w:val="-72"/>
          <w:vertAlign w:val="baseline"/>
        </w:rPr>
        <w:t> </w:t>
      </w:r>
      <w:r>
        <w:rPr>
          <w:vertAlign w:val="baseline"/>
        </w:rPr>
        <w:t>high</w:t>
      </w:r>
      <w:r>
        <w:rPr>
          <w:spacing w:val="25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26"/>
          <w:vertAlign w:val="baseline"/>
        </w:rPr>
        <w:t> </w:t>
      </w:r>
      <w:r>
        <w:rPr>
          <w:vertAlign w:val="baseline"/>
        </w:rPr>
        <w:t>is</w:t>
      </w:r>
      <w:r>
        <w:rPr>
          <w:spacing w:val="26"/>
          <w:vertAlign w:val="baseline"/>
        </w:rPr>
        <w:t> </w:t>
      </w:r>
      <w:r>
        <w:rPr>
          <w:vertAlign w:val="baseline"/>
        </w:rPr>
        <w:t>not</w:t>
      </w:r>
      <w:r>
        <w:rPr>
          <w:spacing w:val="23"/>
          <w:vertAlign w:val="baseline"/>
        </w:rPr>
        <w:t> </w:t>
      </w:r>
      <w:r>
        <w:rPr>
          <w:vertAlign w:val="baseline"/>
        </w:rPr>
        <w:t>favourable</w:t>
      </w:r>
      <w:r>
        <w:rPr>
          <w:spacing w:val="25"/>
          <w:vertAlign w:val="baseline"/>
        </w:rPr>
        <w:t> </w:t>
      </w:r>
      <w:r>
        <w:rPr>
          <w:vertAlign w:val="baseline"/>
        </w:rPr>
        <w:t>for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acetylation.</w:t>
      </w:r>
      <w:r>
        <w:rPr>
          <w:spacing w:val="27"/>
          <w:vertAlign w:val="baseline"/>
        </w:rPr>
        <w:t> </w:t>
      </w:r>
      <w:r>
        <w:rPr>
          <w:vertAlign w:val="baseline"/>
        </w:rPr>
        <w:t>Intra-particle</w:t>
      </w:r>
      <w:r>
        <w:rPr>
          <w:spacing w:val="25"/>
          <w:vertAlign w:val="baseline"/>
        </w:rPr>
        <w:t> </w:t>
      </w:r>
      <w:r>
        <w:rPr>
          <w:vertAlign w:val="baseline"/>
        </w:rPr>
        <w:t>diffusion</w:t>
      </w:r>
      <w:r>
        <w:rPr>
          <w:spacing w:val="25"/>
          <w:vertAlign w:val="baseline"/>
        </w:rPr>
        <w:t> </w:t>
      </w:r>
      <w:r>
        <w:rPr>
          <w:vertAlign w:val="baseline"/>
        </w:rPr>
        <w:t>model</w:t>
      </w:r>
      <w:r>
        <w:rPr>
          <w:spacing w:val="25"/>
          <w:vertAlign w:val="baseline"/>
        </w:rPr>
        <w:t> </w:t>
      </w:r>
      <w:r>
        <w:rPr>
          <w:vertAlign w:val="baseline"/>
        </w:rPr>
        <w:t>was</w:t>
      </w:r>
      <w:r>
        <w:rPr>
          <w:spacing w:val="-72"/>
          <w:vertAlign w:val="baseline"/>
        </w:rPr>
        <w:t> </w:t>
      </w:r>
      <w:r>
        <w:rPr>
          <w:vertAlign w:val="baseline"/>
        </w:rPr>
        <w:t>also</w:t>
      </w:r>
      <w:r>
        <w:rPr>
          <w:spacing w:val="25"/>
          <w:vertAlign w:val="baseline"/>
        </w:rPr>
        <w:t> </w:t>
      </w:r>
      <w:r>
        <w:rPr>
          <w:vertAlign w:val="baseline"/>
        </w:rPr>
        <w:t>used</w:t>
      </w:r>
      <w:r>
        <w:rPr>
          <w:spacing w:val="25"/>
          <w:vertAlign w:val="baseline"/>
        </w:rPr>
        <w:t> </w:t>
      </w:r>
      <w:r>
        <w:rPr>
          <w:vertAlign w:val="baseline"/>
        </w:rPr>
        <w:t>to</w:t>
      </w:r>
      <w:r>
        <w:rPr>
          <w:spacing w:val="25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25"/>
          <w:vertAlign w:val="baseline"/>
        </w:rPr>
        <w:t> </w:t>
      </w:r>
      <w:r>
        <w:rPr>
          <w:vertAlign w:val="baseline"/>
        </w:rPr>
        <w:t>study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acetylation.</w:t>
      </w:r>
      <w:r>
        <w:rPr>
          <w:spacing w:val="25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vertAlign w:val="baseline"/>
        </w:rPr>
        <w:t>regression</w:t>
      </w:r>
      <w:r>
        <w:rPr>
          <w:spacing w:val="26"/>
          <w:vertAlign w:val="baseline"/>
        </w:rPr>
        <w:t> </w:t>
      </w:r>
      <w:r>
        <w:rPr>
          <w:vertAlign w:val="baseline"/>
        </w:rPr>
        <w:t>values</w:t>
      </w:r>
      <w:r>
        <w:rPr>
          <w:spacing w:val="-72"/>
          <w:vertAlign w:val="baseline"/>
        </w:rPr>
        <w:t> </w:t>
      </w:r>
      <w:r>
        <w:rPr>
          <w:vertAlign w:val="baseline"/>
        </w:rPr>
        <w:t>(R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9"/>
          <w:vertAlign w:val="baseline"/>
        </w:rPr>
        <w:t> </w:t>
      </w:r>
      <w:r>
        <w:rPr>
          <w:vertAlign w:val="baseline"/>
        </w:rPr>
        <w:t>are</w:t>
      </w:r>
      <w:r>
        <w:rPr>
          <w:spacing w:val="12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3"/>
          <w:vertAlign w:val="baseline"/>
        </w:rPr>
        <w:t> </w:t>
      </w:r>
      <w:r>
        <w:rPr>
          <w:vertAlign w:val="baseline"/>
        </w:rPr>
        <w:t>0.43</w:t>
      </w:r>
      <w:r>
        <w:rPr>
          <w:spacing w:val="11"/>
          <w:vertAlign w:val="baseline"/>
        </w:rPr>
        <w:t> </w:t>
      </w:r>
      <w:r>
        <w:rPr>
          <w:vertAlign w:val="baseline"/>
        </w:rPr>
        <w:t>≤</w:t>
      </w:r>
      <w:r>
        <w:rPr>
          <w:spacing w:val="10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≤0.83</w:t>
      </w:r>
      <w:r>
        <w:rPr>
          <w:spacing w:val="24"/>
          <w:vertAlign w:val="baseline"/>
        </w:rPr>
        <w:t> </w:t>
      </w:r>
      <w:r>
        <w:rPr>
          <w:vertAlign w:val="baseline"/>
        </w:rPr>
        <w:t>which</w:t>
      </w:r>
      <w:r>
        <w:rPr>
          <w:spacing w:val="8"/>
          <w:vertAlign w:val="baseline"/>
        </w:rPr>
        <w:t> </w:t>
      </w:r>
      <w:r>
        <w:rPr>
          <w:vertAlign w:val="baseline"/>
        </w:rPr>
        <w:t>are</w:t>
      </w:r>
      <w:r>
        <w:rPr>
          <w:spacing w:val="9"/>
          <w:vertAlign w:val="baseline"/>
        </w:rPr>
        <w:t> </w:t>
      </w:r>
      <w:r>
        <w:rPr>
          <w:vertAlign w:val="baseline"/>
        </w:rPr>
        <w:t>moderate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high</w:t>
      </w:r>
      <w:r>
        <w:rPr>
          <w:spacing w:val="12"/>
          <w:vertAlign w:val="baseline"/>
        </w:rPr>
        <w:t> </w:t>
      </w:r>
      <w:r>
        <w:rPr>
          <w:vertAlign w:val="baseline"/>
        </w:rPr>
        <w:t>(Dowine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Heath,</w:t>
      </w:r>
      <w:r>
        <w:rPr>
          <w:spacing w:val="11"/>
          <w:vertAlign w:val="baseline"/>
        </w:rPr>
        <w:t> </w:t>
      </w:r>
      <w:r>
        <w:rPr>
          <w:vertAlign w:val="baseline"/>
        </w:rPr>
        <w:t>1974).</w:t>
      </w:r>
      <w:r>
        <w:rPr>
          <w:spacing w:val="-72"/>
          <w:vertAlign w:val="baseline"/>
        </w:rPr>
        <w:t> </w:t>
      </w:r>
      <w:r>
        <w:rPr>
          <w:vertAlign w:val="baseline"/>
        </w:rPr>
        <w:t>This implies that corn cob acetylation at 30</w:t>
      </w:r>
      <w:r>
        <w:rPr>
          <w:vertAlign w:val="superscript"/>
        </w:rPr>
        <w:t>o</w:t>
      </w:r>
      <w:r>
        <w:rPr>
          <w:vertAlign w:val="baseline"/>
        </w:rPr>
        <w:t>C and 100</w:t>
      </w:r>
      <w:r>
        <w:rPr>
          <w:vertAlign w:val="superscript"/>
        </w:rPr>
        <w:t>o</w:t>
      </w:r>
      <w:r>
        <w:rPr>
          <w:vertAlign w:val="baseline"/>
        </w:rPr>
        <w:t>C are due to intra-particle diffusion.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22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21"/>
          <w:vertAlign w:val="baseline"/>
        </w:rPr>
        <w:t> </w:t>
      </w:r>
      <w:r>
        <w:rPr>
          <w:vertAlign w:val="baseline"/>
        </w:rPr>
        <w:t>at</w:t>
      </w:r>
      <w:r>
        <w:rPr>
          <w:spacing w:val="21"/>
          <w:vertAlign w:val="baseline"/>
        </w:rPr>
        <w:t> </w:t>
      </w:r>
      <w:r>
        <w:rPr>
          <w:vertAlign w:val="baseline"/>
        </w:rPr>
        <w:t>60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2"/>
          <w:vertAlign w:val="baseline"/>
        </w:rPr>
        <w:t> </w:t>
      </w:r>
      <w:r>
        <w:rPr>
          <w:vertAlign w:val="baseline"/>
        </w:rPr>
        <w:t>had</w:t>
      </w:r>
      <w:r>
        <w:rPr>
          <w:spacing w:val="21"/>
          <w:vertAlign w:val="baseline"/>
        </w:rPr>
        <w:t> </w:t>
      </w:r>
      <w:r>
        <w:rPr>
          <w:vertAlign w:val="baseline"/>
        </w:rPr>
        <w:t>low</w:t>
      </w:r>
      <w:r>
        <w:rPr>
          <w:spacing w:val="22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23"/>
          <w:vertAlign w:val="baseline"/>
        </w:rPr>
        <w:t> </w:t>
      </w:r>
      <w:r>
        <w:rPr>
          <w:vertAlign w:val="baseline"/>
        </w:rPr>
        <w:t>value,</w:t>
      </w:r>
      <w:r>
        <w:rPr>
          <w:spacing w:val="21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21"/>
          <w:vertAlign w:val="baseline"/>
        </w:rPr>
        <w:t> </w:t>
      </w:r>
      <w:r>
        <w:rPr>
          <w:vertAlign w:val="baseline"/>
        </w:rPr>
        <w:t>we</w:t>
      </w:r>
      <w:r>
        <w:rPr>
          <w:spacing w:val="22"/>
          <w:vertAlign w:val="baseline"/>
        </w:rPr>
        <w:t> </w:t>
      </w:r>
      <w:r>
        <w:rPr>
          <w:vertAlign w:val="baseline"/>
        </w:rPr>
        <w:t>cannot</w:t>
      </w:r>
      <w:r>
        <w:rPr>
          <w:spacing w:val="20"/>
          <w:vertAlign w:val="baseline"/>
        </w:rPr>
        <w:t> </w:t>
      </w:r>
      <w:r>
        <w:rPr>
          <w:vertAlign w:val="baseline"/>
        </w:rPr>
        <w:t>say</w:t>
      </w:r>
      <w:r>
        <w:rPr>
          <w:spacing w:val="21"/>
          <w:vertAlign w:val="baseline"/>
        </w:rPr>
        <w:t> </w:t>
      </w:r>
      <w:r>
        <w:rPr>
          <w:vertAlign w:val="baseline"/>
        </w:rPr>
        <w:t>for</w:t>
      </w:r>
      <w:r>
        <w:rPr>
          <w:spacing w:val="21"/>
          <w:vertAlign w:val="baseline"/>
        </w:rPr>
        <w:t> </w:t>
      </w:r>
      <w:r>
        <w:rPr>
          <w:vertAlign w:val="baseline"/>
        </w:rPr>
        <w:t>sure</w:t>
      </w:r>
      <w:r>
        <w:rPr>
          <w:spacing w:val="23"/>
          <w:vertAlign w:val="baseline"/>
        </w:rPr>
        <w:t> </w:t>
      </w:r>
      <w:r>
        <w:rPr>
          <w:vertAlign w:val="baseline"/>
        </w:rPr>
        <w:t>that</w:t>
      </w:r>
      <w:r>
        <w:rPr>
          <w:spacing w:val="21"/>
          <w:vertAlign w:val="baseline"/>
        </w:rPr>
        <w:t> </w:t>
      </w:r>
      <w:r>
        <w:rPr>
          <w:vertAlign w:val="baseline"/>
        </w:rPr>
        <w:t>diffusion</w:t>
      </w:r>
      <w:r>
        <w:rPr>
          <w:spacing w:val="-72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35"/>
          <w:vertAlign w:val="baseline"/>
        </w:rPr>
        <w:t> </w:t>
      </w:r>
      <w:r>
        <w:rPr>
          <w:vertAlign w:val="baseline"/>
        </w:rPr>
        <w:t>is</w:t>
      </w:r>
      <w:r>
        <w:rPr>
          <w:spacing w:val="36"/>
          <w:vertAlign w:val="baseline"/>
        </w:rPr>
        <w:t> </w:t>
      </w:r>
      <w:r>
        <w:rPr>
          <w:vertAlign w:val="baseline"/>
        </w:rPr>
        <w:t>involved.</w:t>
      </w:r>
      <w:r>
        <w:rPr>
          <w:spacing w:val="34"/>
          <w:vertAlign w:val="baseline"/>
        </w:rPr>
        <w:t> </w:t>
      </w:r>
      <w:r>
        <w:rPr>
          <w:vertAlign w:val="baseline"/>
        </w:rPr>
        <w:t>It</w:t>
      </w:r>
      <w:r>
        <w:rPr>
          <w:spacing w:val="33"/>
          <w:vertAlign w:val="baseline"/>
        </w:rPr>
        <w:t> </w:t>
      </w:r>
      <w:r>
        <w:rPr>
          <w:vertAlign w:val="baseline"/>
        </w:rPr>
        <w:t>was</w:t>
      </w:r>
      <w:r>
        <w:rPr>
          <w:spacing w:val="37"/>
          <w:vertAlign w:val="baseline"/>
        </w:rPr>
        <w:t> </w:t>
      </w:r>
      <w:r>
        <w:rPr>
          <w:vertAlign w:val="baseline"/>
        </w:rPr>
        <w:t>expected</w:t>
      </w:r>
      <w:r>
        <w:rPr>
          <w:spacing w:val="34"/>
          <w:vertAlign w:val="baseline"/>
        </w:rPr>
        <w:t> </w:t>
      </w:r>
      <w:r>
        <w:rPr>
          <w:vertAlign w:val="baseline"/>
        </w:rPr>
        <w:t>that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plot</w:t>
      </w:r>
      <w:r>
        <w:rPr>
          <w:spacing w:val="34"/>
          <w:vertAlign w:val="baseline"/>
        </w:rPr>
        <w:t> </w:t>
      </w:r>
      <w:r>
        <w:rPr>
          <w:vertAlign w:val="baseline"/>
        </w:rPr>
        <w:t>of</w:t>
      </w:r>
      <w:r>
        <w:rPr>
          <w:spacing w:val="35"/>
          <w:vertAlign w:val="baseline"/>
        </w:rPr>
        <w:t> </w:t>
      </w:r>
      <w:r>
        <w:rPr>
          <w:vertAlign w:val="baseline"/>
        </w:rPr>
        <w:t>q</w:t>
      </w:r>
      <w:r>
        <w:rPr>
          <w:vertAlign w:val="subscript"/>
        </w:rPr>
        <w:t>t</w:t>
      </w:r>
      <w:r>
        <w:rPr>
          <w:spacing w:val="34"/>
          <w:vertAlign w:val="baseline"/>
        </w:rPr>
        <w:t> </w:t>
      </w:r>
      <w:r>
        <w:rPr>
          <w:vertAlign w:val="baseline"/>
        </w:rPr>
        <w:t>versus</w:t>
      </w:r>
      <w:r>
        <w:rPr>
          <w:spacing w:val="34"/>
          <w:vertAlign w:val="baseline"/>
        </w:rPr>
        <w:t> </w:t>
      </w:r>
      <w:r>
        <w:rPr>
          <w:vertAlign w:val="baseline"/>
        </w:rPr>
        <w:t>t</w:t>
      </w:r>
      <w:r>
        <w:rPr>
          <w:vertAlign w:val="superscript"/>
        </w:rPr>
        <w:t>1/2</w:t>
      </w:r>
      <w:r>
        <w:rPr>
          <w:spacing w:val="36"/>
          <w:vertAlign w:val="baseline"/>
        </w:rPr>
        <w:t> </w:t>
      </w:r>
      <w:r>
        <w:rPr>
          <w:vertAlign w:val="baseline"/>
        </w:rPr>
        <w:t>would</w:t>
      </w:r>
      <w:r>
        <w:rPr>
          <w:spacing w:val="33"/>
          <w:vertAlign w:val="baseline"/>
        </w:rPr>
        <w:t> </w:t>
      </w:r>
      <w:r>
        <w:rPr>
          <w:vertAlign w:val="baseline"/>
        </w:rPr>
        <w:t>give</w:t>
      </w:r>
      <w:r>
        <w:rPr>
          <w:spacing w:val="33"/>
          <w:vertAlign w:val="baseline"/>
        </w:rPr>
        <w:t> </w:t>
      </w:r>
      <w:r>
        <w:rPr>
          <w:vertAlign w:val="baseline"/>
        </w:rPr>
        <w:t>linear</w:t>
      </w:r>
      <w:r>
        <w:rPr>
          <w:spacing w:val="-72"/>
          <w:vertAlign w:val="baseline"/>
        </w:rPr>
        <w:t> </w:t>
      </w:r>
      <w:r>
        <w:rPr>
          <w:vertAlign w:val="baseline"/>
        </w:rPr>
        <w:t>relationship</w:t>
      </w:r>
      <w:r>
        <w:rPr>
          <w:spacing w:val="22"/>
          <w:vertAlign w:val="baseline"/>
        </w:rPr>
        <w:t> </w:t>
      </w:r>
      <w:r>
        <w:rPr>
          <w:vertAlign w:val="baseline"/>
        </w:rPr>
        <w:t>when</w:t>
      </w:r>
      <w:r>
        <w:rPr>
          <w:spacing w:val="24"/>
          <w:vertAlign w:val="baseline"/>
        </w:rPr>
        <w:t> </w:t>
      </w:r>
      <w:r>
        <w:rPr>
          <w:vertAlign w:val="baseline"/>
        </w:rPr>
        <w:t>intra-particle</w:t>
      </w:r>
      <w:r>
        <w:rPr>
          <w:spacing w:val="23"/>
          <w:vertAlign w:val="baseline"/>
        </w:rPr>
        <w:t> </w:t>
      </w:r>
      <w:r>
        <w:rPr>
          <w:vertAlign w:val="baseline"/>
        </w:rPr>
        <w:t>diffusion</w:t>
      </w:r>
      <w:r>
        <w:rPr>
          <w:spacing w:val="23"/>
          <w:vertAlign w:val="baseline"/>
        </w:rPr>
        <w:t> </w:t>
      </w:r>
      <w:r>
        <w:rPr>
          <w:vertAlign w:val="baseline"/>
        </w:rPr>
        <w:t>is</w:t>
      </w:r>
      <w:r>
        <w:rPr>
          <w:spacing w:val="23"/>
          <w:vertAlign w:val="baseline"/>
        </w:rPr>
        <w:t> </w:t>
      </w:r>
      <w:r>
        <w:rPr>
          <w:vertAlign w:val="baseline"/>
        </w:rPr>
        <w:t>involved</w:t>
      </w:r>
      <w:r>
        <w:rPr>
          <w:spacing w:val="22"/>
          <w:vertAlign w:val="baseline"/>
        </w:rPr>
        <w:t> </w:t>
      </w:r>
      <w:r>
        <w:rPr>
          <w:vertAlign w:val="baseline"/>
        </w:rPr>
        <w:t>in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acetylation</w:t>
      </w:r>
      <w:r>
        <w:rPr>
          <w:spacing w:val="23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23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that</w:t>
      </w:r>
      <w:r>
        <w:rPr>
          <w:spacing w:val="-72"/>
          <w:vertAlign w:val="baseline"/>
        </w:rPr>
        <w:t> </w:t>
      </w:r>
      <w:r>
        <w:rPr>
          <w:vertAlign w:val="baseline"/>
        </w:rPr>
        <w:t>intra-particle</w:t>
      </w:r>
      <w:r>
        <w:rPr>
          <w:spacing w:val="22"/>
          <w:vertAlign w:val="baseline"/>
        </w:rPr>
        <w:t> </w:t>
      </w:r>
      <w:r>
        <w:rPr>
          <w:vertAlign w:val="baseline"/>
        </w:rPr>
        <w:t>diffusion</w:t>
      </w:r>
      <w:r>
        <w:rPr>
          <w:spacing w:val="23"/>
          <w:vertAlign w:val="baseline"/>
        </w:rPr>
        <w:t> </w:t>
      </w:r>
      <w:r>
        <w:rPr>
          <w:vertAlign w:val="baseline"/>
        </w:rPr>
        <w:t>would</w:t>
      </w:r>
      <w:r>
        <w:rPr>
          <w:spacing w:val="21"/>
          <w:vertAlign w:val="baseline"/>
        </w:rPr>
        <w:t> </w:t>
      </w:r>
      <w:r>
        <w:rPr>
          <w:vertAlign w:val="baseline"/>
        </w:rPr>
        <w:t>be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controlling</w:t>
      </w:r>
      <w:r>
        <w:rPr>
          <w:spacing w:val="21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22"/>
          <w:vertAlign w:val="baseline"/>
        </w:rPr>
        <w:t> </w:t>
      </w:r>
      <w:r>
        <w:rPr>
          <w:vertAlign w:val="baseline"/>
        </w:rPr>
        <w:t>if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line</w:t>
      </w:r>
      <w:r>
        <w:rPr>
          <w:spacing w:val="21"/>
          <w:vertAlign w:val="baseline"/>
        </w:rPr>
        <w:t> </w:t>
      </w:r>
      <w:r>
        <w:rPr>
          <w:vertAlign w:val="baseline"/>
        </w:rPr>
        <w:t>passed</w:t>
      </w:r>
      <w:r>
        <w:rPr>
          <w:spacing w:val="20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-72"/>
          <w:vertAlign w:val="baseline"/>
        </w:rPr>
        <w:t> </w:t>
      </w:r>
      <w:r>
        <w:rPr>
          <w:vertAlign w:val="baseline"/>
        </w:rPr>
        <w:t>origin</w:t>
      </w:r>
      <w:r>
        <w:rPr>
          <w:spacing w:val="28"/>
          <w:vertAlign w:val="baseline"/>
        </w:rPr>
        <w:t> </w:t>
      </w:r>
      <w:r>
        <w:rPr>
          <w:vertAlign w:val="baseline"/>
        </w:rPr>
        <w:t>[Hill</w:t>
      </w:r>
      <w:r>
        <w:rPr>
          <w:spacing w:val="29"/>
          <w:vertAlign w:val="baseline"/>
        </w:rPr>
        <w:t> </w:t>
      </w:r>
      <w:r>
        <w:rPr>
          <w:sz w:val="25"/>
          <w:vertAlign w:val="baseline"/>
        </w:rPr>
        <w:t>et</w:t>
      </w:r>
      <w:r>
        <w:rPr>
          <w:spacing w:val="24"/>
          <w:sz w:val="25"/>
          <w:vertAlign w:val="baseline"/>
        </w:rPr>
        <w:t> </w:t>
      </w:r>
      <w:r>
        <w:rPr>
          <w:sz w:val="25"/>
          <w:vertAlign w:val="baseline"/>
        </w:rPr>
        <w:t>al</w:t>
      </w:r>
      <w:r>
        <w:rPr>
          <w:vertAlign w:val="baseline"/>
        </w:rPr>
        <w:t>.,</w:t>
      </w:r>
      <w:r>
        <w:rPr>
          <w:spacing w:val="27"/>
          <w:vertAlign w:val="baseline"/>
        </w:rPr>
        <w:t> </w:t>
      </w:r>
      <w:r>
        <w:rPr>
          <w:vertAlign w:val="baseline"/>
        </w:rPr>
        <w:t>1998;</w:t>
      </w:r>
      <w:r>
        <w:rPr>
          <w:spacing w:val="27"/>
          <w:vertAlign w:val="baseline"/>
        </w:rPr>
        <w:t> </w:t>
      </w:r>
      <w:r>
        <w:rPr>
          <w:vertAlign w:val="baseline"/>
        </w:rPr>
        <w:t>Igwe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Abia,</w:t>
      </w:r>
      <w:r>
        <w:rPr>
          <w:spacing w:val="27"/>
          <w:vertAlign w:val="baseline"/>
        </w:rPr>
        <w:t> </w:t>
      </w:r>
      <w:r>
        <w:rPr>
          <w:vertAlign w:val="baseline"/>
        </w:rPr>
        <w:t>2006;</w:t>
      </w:r>
      <w:r>
        <w:rPr>
          <w:spacing w:val="27"/>
          <w:vertAlign w:val="baseline"/>
        </w:rPr>
        <w:t> </w:t>
      </w:r>
      <w:r>
        <w:rPr>
          <w:vertAlign w:val="baseline"/>
        </w:rPr>
        <w:t>Krishnaiah</w:t>
      </w:r>
      <w:r>
        <w:rPr>
          <w:spacing w:val="33"/>
          <w:vertAlign w:val="baseline"/>
        </w:rPr>
        <w:t> </w:t>
      </w:r>
      <w:r>
        <w:rPr>
          <w:sz w:val="25"/>
          <w:vertAlign w:val="baseline"/>
        </w:rPr>
        <w:t>et</w:t>
      </w:r>
      <w:r>
        <w:rPr>
          <w:spacing w:val="23"/>
          <w:sz w:val="25"/>
          <w:vertAlign w:val="baseline"/>
        </w:rPr>
        <w:t> </w:t>
      </w:r>
      <w:r>
        <w:rPr>
          <w:sz w:val="25"/>
          <w:vertAlign w:val="baseline"/>
        </w:rPr>
        <w:t>al</w:t>
      </w:r>
      <w:r>
        <w:rPr>
          <w:vertAlign w:val="baseline"/>
        </w:rPr>
        <w:t>.,</w:t>
      </w:r>
      <w:r>
        <w:rPr>
          <w:spacing w:val="28"/>
          <w:vertAlign w:val="baseline"/>
        </w:rPr>
        <w:t> </w:t>
      </w:r>
      <w:r>
        <w:rPr>
          <w:vertAlign w:val="baseline"/>
        </w:rPr>
        <w:t>2008].</w:t>
      </w:r>
      <w:r>
        <w:rPr>
          <w:spacing w:val="27"/>
          <w:vertAlign w:val="baseline"/>
        </w:rPr>
        <w:t> </w:t>
      </w:r>
      <w:r>
        <w:rPr>
          <w:vertAlign w:val="baseline"/>
        </w:rPr>
        <w:t>However</w:t>
      </w:r>
      <w:r>
        <w:rPr>
          <w:spacing w:val="29"/>
          <w:vertAlign w:val="baseline"/>
        </w:rPr>
        <w:t> </w:t>
      </w:r>
      <w:r>
        <w:rPr>
          <w:vertAlign w:val="baseline"/>
        </w:rPr>
        <w:t>for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-72"/>
          <w:vertAlign w:val="baseline"/>
        </w:rPr>
        <w:t> </w:t>
      </w:r>
      <w:r>
        <w:rPr>
          <w:vertAlign w:val="baseline"/>
        </w:rPr>
        <w:t>case</w:t>
      </w:r>
      <w:r>
        <w:rPr>
          <w:spacing w:val="1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plots</w:t>
      </w:r>
      <w:r>
        <w:rPr>
          <w:spacing w:val="12"/>
          <w:vertAlign w:val="baseline"/>
        </w:rPr>
        <w:t> </w:t>
      </w:r>
      <w:r>
        <w:rPr>
          <w:vertAlign w:val="baseline"/>
        </w:rPr>
        <w:t>did</w:t>
      </w:r>
      <w:r>
        <w:rPr>
          <w:spacing w:val="13"/>
          <w:vertAlign w:val="baseline"/>
        </w:rPr>
        <w:t> </w:t>
      </w:r>
      <w:r>
        <w:rPr>
          <w:vertAlign w:val="baseline"/>
        </w:rPr>
        <w:t>not</w:t>
      </w:r>
      <w:r>
        <w:rPr>
          <w:spacing w:val="10"/>
          <w:vertAlign w:val="baseline"/>
        </w:rPr>
        <w:t> </w:t>
      </w:r>
      <w:r>
        <w:rPr>
          <w:vertAlign w:val="baseline"/>
        </w:rPr>
        <w:t>pass</w:t>
      </w:r>
      <w:r>
        <w:rPr>
          <w:spacing w:val="1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origin,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reason</w:t>
      </w:r>
      <w:r>
        <w:rPr>
          <w:spacing w:val="10"/>
          <w:vertAlign w:val="baseline"/>
        </w:rPr>
        <w:t> </w:t>
      </w:r>
      <w:r>
        <w:rPr>
          <w:vertAlign w:val="baseline"/>
        </w:rPr>
        <w:t>has</w:t>
      </w:r>
      <w:r>
        <w:rPr>
          <w:spacing w:val="12"/>
          <w:vertAlign w:val="baseline"/>
        </w:rPr>
        <w:t> </w:t>
      </w:r>
      <w:r>
        <w:rPr>
          <w:vertAlign w:val="baseline"/>
        </w:rPr>
        <w:t>been</w:t>
      </w:r>
      <w:r>
        <w:rPr>
          <w:spacing w:val="11"/>
          <w:vertAlign w:val="baseline"/>
        </w:rPr>
        <w:t> </w:t>
      </w:r>
      <w:r>
        <w:rPr>
          <w:vertAlign w:val="baseline"/>
        </w:rPr>
        <w:t>suggested</w:t>
      </w:r>
      <w:r>
        <w:rPr>
          <w:spacing w:val="10"/>
          <w:vertAlign w:val="baseline"/>
        </w:rPr>
        <w:t> </w:t>
      </w:r>
      <w:r>
        <w:rPr>
          <w:vertAlign w:val="baseline"/>
        </w:rPr>
        <w:t>that</w:t>
      </w:r>
    </w:p>
    <w:p>
      <w:pPr>
        <w:spacing w:after="0" w:line="480" w:lineRule="auto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72" w:lineRule="auto" w:before="75"/>
        <w:ind w:left="1198" w:right="582"/>
        <w:jc w:val="both"/>
      </w:pPr>
      <w:r>
        <w:rPr/>
        <w:t>the intra-particle diffusion was not the only mechanism involved in the acetylation process</w:t>
      </w:r>
      <w:r>
        <w:rPr>
          <w:spacing w:val="1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some</w:t>
      </w:r>
      <w:r>
        <w:rPr>
          <w:spacing w:val="-1"/>
        </w:rPr>
        <w:t> </w:t>
      </w:r>
      <w:r>
        <w:rPr/>
        <w:t>degree of</w:t>
      </w:r>
      <w:r>
        <w:rPr>
          <w:spacing w:val="2"/>
        </w:rPr>
        <w:t> </w:t>
      </w:r>
      <w:r>
        <w:rPr/>
        <w:t>boundary</w:t>
      </w:r>
      <w:r>
        <w:rPr>
          <w:spacing w:val="-2"/>
        </w:rPr>
        <w:t> </w:t>
      </w:r>
      <w:r>
        <w:rPr/>
        <w:t>layer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[Bulut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</w:t>
      </w:r>
      <w:r>
        <w:rPr/>
        <w:t>.,</w:t>
      </w:r>
      <w:r>
        <w:rPr>
          <w:spacing w:val="-2"/>
        </w:rPr>
        <w:t> </w:t>
      </w:r>
      <w:r>
        <w:rPr/>
        <w:t>2008].</w:t>
      </w:r>
    </w:p>
    <w:p>
      <w:pPr>
        <w:pStyle w:val="BodyText"/>
        <w:spacing w:line="480" w:lineRule="auto"/>
        <w:ind w:left="1198" w:right="576"/>
        <w:jc w:val="both"/>
      </w:pPr>
      <w:r>
        <w:rPr/>
        <w:t>The larger, the intercept the greater the contribution of surface reaction in 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controlling step (Dawodu and Akpomie, 2014). It was observed from our results presented</w:t>
      </w:r>
      <w:r>
        <w:rPr>
          <w:spacing w:val="1"/>
        </w:rPr>
        <w:t> </w:t>
      </w:r>
      <w:r>
        <w:rPr/>
        <w:t>in Table 3.13 that as temperature increased to 100</w:t>
      </w:r>
      <w:r>
        <w:rPr>
          <w:vertAlign w:val="superscript"/>
        </w:rPr>
        <w:t>o</w:t>
      </w:r>
      <w:r>
        <w:rPr>
          <w:vertAlign w:val="baseline"/>
        </w:rPr>
        <w:t>C the value of intercept also 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indicating a greater contribution of surface reactions. This explains better the 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pseudo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non-favourability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on corn cob acetylation. Since diffusion is related to density and surface area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 which the reagent diffuses. The surface area is not constant and may vary at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 temperature. It may be deduced that corn cob being a light and porous material,</w:t>
      </w:r>
      <w:r>
        <w:rPr>
          <w:spacing w:val="1"/>
          <w:vertAlign w:val="baseline"/>
        </w:rPr>
        <w:t> </w:t>
      </w:r>
      <w:r>
        <w:rPr>
          <w:vertAlign w:val="baseline"/>
        </w:rPr>
        <w:t>at low temperature, the relative rates of diffusion and reaction of the anhydride and corn</w:t>
      </w:r>
      <w:r>
        <w:rPr>
          <w:spacing w:val="1"/>
          <w:vertAlign w:val="baseline"/>
        </w:rPr>
        <w:t> </w:t>
      </w:r>
      <w:r>
        <w:rPr>
          <w:vertAlign w:val="baseline"/>
        </w:rPr>
        <w:t>cob-OH are equal, but at high temperature, swelling of the material increases, thereby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 the rate of diffusion of the anhydride at the expense of the reaction.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-2"/>
          <w:vertAlign w:val="baseline"/>
        </w:rPr>
        <w:t> </w:t>
      </w:r>
      <w:r>
        <w:rPr>
          <w:vertAlign w:val="baseline"/>
        </w:rPr>
        <w:t>limits</w:t>
      </w:r>
      <w:r>
        <w:rPr>
          <w:spacing w:val="-1"/>
          <w:vertAlign w:val="baseline"/>
        </w:rPr>
        <w:t> </w:t>
      </w:r>
      <w:r>
        <w:rPr>
          <w:vertAlign w:val="baseline"/>
        </w:rPr>
        <w:t>diffusion</w:t>
      </w:r>
      <w:r>
        <w:rPr>
          <w:spacing w:val="-1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-2"/>
          <w:vertAlign w:val="baseline"/>
        </w:rPr>
        <w:t> </w:t>
      </w:r>
      <w:r>
        <w:rPr>
          <w:vertAlign w:val="baseline"/>
        </w:rPr>
        <w:t>(Hill</w:t>
      </w:r>
      <w:r>
        <w:rPr>
          <w:spacing w:val="-1"/>
          <w:vertAlign w:val="baseline"/>
        </w:rPr>
        <w:t> </w:t>
      </w:r>
      <w:r>
        <w:rPr>
          <w:sz w:val="25"/>
          <w:vertAlign w:val="baseline"/>
        </w:rPr>
        <w:t>et</w:t>
      </w:r>
      <w:r>
        <w:rPr>
          <w:spacing w:val="-6"/>
          <w:sz w:val="25"/>
          <w:vertAlign w:val="baseline"/>
        </w:rPr>
        <w:t> </w:t>
      </w:r>
      <w:r>
        <w:rPr>
          <w:sz w:val="25"/>
          <w:vertAlign w:val="baseline"/>
        </w:rPr>
        <w:t>al</w:t>
      </w:r>
      <w:r>
        <w:rPr>
          <w:vertAlign w:val="baseline"/>
        </w:rPr>
        <w:t>.,</w:t>
      </w:r>
      <w:r>
        <w:rPr>
          <w:spacing w:val="-1"/>
          <w:vertAlign w:val="baseline"/>
        </w:rPr>
        <w:t> </w:t>
      </w:r>
      <w:r>
        <w:rPr>
          <w:vertAlign w:val="baseline"/>
        </w:rPr>
        <w:t>1998).</w:t>
      </w:r>
    </w:p>
    <w:p>
      <w:pPr>
        <w:pStyle w:val="BodyText"/>
        <w:rPr>
          <w:sz w:val="30"/>
        </w:rPr>
      </w:pPr>
    </w:p>
    <w:p>
      <w:pPr>
        <w:pStyle w:val="BodyText"/>
        <w:spacing w:line="475" w:lineRule="auto" w:before="190"/>
        <w:ind w:left="1198" w:right="580" w:firstLine="719"/>
        <w:jc w:val="both"/>
      </w:pPr>
      <w:r>
        <w:rPr/>
        <w:t>Results from our kinetic studies revealed that, acetylation of corn cob is by surface</w:t>
      </w:r>
      <w:r>
        <w:rPr>
          <w:spacing w:val="1"/>
        </w:rPr>
        <w:t> </w:t>
      </w:r>
      <w:r>
        <w:rPr/>
        <w:t>reaction and</w:t>
      </w:r>
      <w:r>
        <w:rPr>
          <w:spacing w:val="1"/>
        </w:rPr>
        <w:t> </w:t>
      </w:r>
      <w:r>
        <w:rPr/>
        <w:t>diffusion into the</w:t>
      </w:r>
      <w:r>
        <w:rPr>
          <w:spacing w:val="1"/>
        </w:rPr>
        <w:t> </w:t>
      </w:r>
      <w:r>
        <w:rPr/>
        <w:t>pores of corn cob. 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 with results</w:t>
      </w:r>
      <w:r>
        <w:rPr>
          <w:spacing w:val="1"/>
        </w:rPr>
        <w:t> </w:t>
      </w:r>
      <w:r>
        <w:rPr/>
        <w:t>elsewhere</w:t>
      </w:r>
      <w:r>
        <w:rPr>
          <w:spacing w:val="-1"/>
        </w:rPr>
        <w:t> </w:t>
      </w:r>
      <w:r>
        <w:rPr/>
        <w:t>[Hill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</w:t>
      </w:r>
      <w:r>
        <w:rPr/>
        <w:t>.,</w:t>
      </w:r>
      <w:r>
        <w:rPr>
          <w:spacing w:val="-2"/>
        </w:rPr>
        <w:t> </w:t>
      </w:r>
      <w:r>
        <w:rPr/>
        <w:t>1998].</w:t>
      </w:r>
    </w:p>
    <w:p>
      <w:pPr>
        <w:spacing w:after="0" w:line="475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numPr>
          <w:ilvl w:val="2"/>
          <w:numId w:val="11"/>
        </w:numPr>
        <w:tabs>
          <w:tab w:pos="1918" w:val="left" w:leader="none"/>
        </w:tabs>
        <w:spacing w:line="240" w:lineRule="auto" w:before="75" w:after="0"/>
        <w:ind w:left="1918" w:right="0" w:hanging="720"/>
        <w:jc w:val="left"/>
      </w:pPr>
      <w:r>
        <w:rPr/>
        <w:t>Kinetics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Mango</w:t>
      </w:r>
      <w:r>
        <w:rPr>
          <w:spacing w:val="-2"/>
        </w:rPr>
        <w:t> </w:t>
      </w:r>
      <w:r>
        <w:rPr/>
        <w:t>kernel</w:t>
      </w:r>
      <w:r>
        <w:rPr>
          <w:spacing w:val="-2"/>
        </w:rPr>
        <w:t> </w:t>
      </w:r>
      <w:r>
        <w:rPr/>
        <w:t>Acetylation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75" w:lineRule="auto" w:before="1"/>
        <w:ind w:left="1198" w:right="576"/>
        <w:jc w:val="both"/>
      </w:pPr>
      <w:r>
        <w:rPr/>
        <w:t>The kinetics of mango kernel acetylation was studied using by fitting obtained data in rate</w:t>
      </w:r>
      <w:r>
        <w:rPr>
          <w:spacing w:val="1"/>
        </w:rPr>
        <w:t> </w:t>
      </w:r>
      <w:r>
        <w:rPr/>
        <w:t>curves- pseudo first-order model, lagergren pseudo first-order model, second order model</w:t>
      </w:r>
      <w:r>
        <w:rPr>
          <w:spacing w:val="1"/>
        </w:rPr>
        <w:t> </w:t>
      </w:r>
      <w:r>
        <w:rPr/>
        <w:t>(Hill </w:t>
      </w:r>
      <w:r>
        <w:rPr>
          <w:sz w:val="25"/>
        </w:rPr>
        <w:t>et al., </w:t>
      </w:r>
      <w:r>
        <w:rPr/>
        <w:t>1998), pseudo second order (Ho, 1995) and intra-particle diffusion mechanism</w:t>
      </w:r>
      <w:r>
        <w:rPr>
          <w:spacing w:val="1"/>
        </w:rPr>
        <w:t> </w:t>
      </w:r>
      <w:r>
        <w:rPr/>
        <w:t>(Table 2.1). The predicted kinetics from the linear plots of derived pseudo first-order,</w:t>
      </w:r>
      <w:r>
        <w:rPr>
          <w:spacing w:val="1"/>
        </w:rPr>
        <w:t> </w:t>
      </w:r>
      <w:r>
        <w:rPr/>
        <w:t>lagergren first order, second order model, pseudo second-order and intra-particle diffusion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are 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Figures 3.20 -</w:t>
      </w:r>
      <w:r>
        <w:rPr>
          <w:spacing w:val="-2"/>
        </w:rPr>
        <w:t> </w:t>
      </w:r>
      <w:r>
        <w:rPr/>
        <w:t>3.24 respectively</w:t>
      </w:r>
    </w:p>
    <w:p>
      <w:pPr>
        <w:spacing w:after="0" w:line="475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666"/>
        <w:rPr>
          <w:sz w:val="20"/>
        </w:rPr>
      </w:pPr>
      <w:r>
        <w:rPr>
          <w:sz w:val="20"/>
        </w:rPr>
        <w:drawing>
          <wp:inline distT="0" distB="0" distL="0" distR="0">
            <wp:extent cx="5601671" cy="4760976"/>
            <wp:effectExtent l="0" t="0" r="0" b="0"/>
            <wp:docPr id="4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71" cy="476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01"/>
        <w:ind w:left="1272"/>
      </w:pPr>
      <w:r>
        <w:rPr/>
        <w:t>Figure</w:t>
      </w:r>
      <w:r>
        <w:rPr>
          <w:spacing w:val="-2"/>
        </w:rPr>
        <w:t> </w:t>
      </w:r>
      <w:r>
        <w:rPr/>
        <w:t>3.20:</w:t>
      </w:r>
      <w:r>
        <w:rPr>
          <w:spacing w:val="-5"/>
        </w:rPr>
        <w:t> </w:t>
      </w:r>
      <w:r>
        <w:rPr/>
        <w:t>pseudo-first</w:t>
      </w:r>
      <w:r>
        <w:rPr>
          <w:spacing w:val="-4"/>
        </w:rPr>
        <w:t> </w:t>
      </w:r>
      <w:r>
        <w:rPr/>
        <w:t>order</w:t>
      </w:r>
      <w:r>
        <w:rPr>
          <w:spacing w:val="-4"/>
        </w:rPr>
        <w:t> </w:t>
      </w:r>
      <w:r>
        <w:rPr/>
        <w:t>kinetic</w:t>
      </w:r>
      <w:r>
        <w:rPr>
          <w:spacing w:val="-4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mango</w:t>
      </w:r>
      <w:r>
        <w:rPr>
          <w:spacing w:val="-5"/>
        </w:rPr>
        <w:t> </w:t>
      </w:r>
      <w:r>
        <w:rPr/>
        <w:t>kernel</w:t>
      </w:r>
      <w:r>
        <w:rPr>
          <w:spacing w:val="-2"/>
        </w:rPr>
        <w:t> </w:t>
      </w:r>
      <w:r>
        <w:rPr/>
        <w:t>acetylation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7.131996pt;margin-top:211.549728pt;width:13.6pt;height:42.95pt;mso-position-horizontal-relative:page;mso-position-vertical-relative:page;z-index:15773184" type="#_x0000_t202" filled="false" stroked="false">
            <v:textbox inset="0,0,0,0" style="layout-flow:vertical;mso-layout-flow-alt:bottom-to-top">
              <w:txbxContent>
                <w:p>
                  <w:pPr>
                    <w:spacing w:line="25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  <w:t>ln(ϴ</w:t>
                  </w:r>
                  <w:r>
                    <w:rPr>
                      <w:rFonts w:ascii="Calibri" w:hAnsi="Calibri" w:cs="Calibri" w:eastAsia="Calibri"/>
                      <w:b/>
                      <w:bCs/>
                      <w:position w:val="-4"/>
                      <w:sz w:val="13"/>
                      <w:szCs w:val="13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12"/>
                      <w:position w:val="-4"/>
                      <w:sz w:val="13"/>
                      <w:szCs w:val="13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  <w:t>- ϴ</w:t>
                  </w:r>
                  <w:r>
                    <w:rPr>
                      <w:rFonts w:ascii="Calibri" w:hAnsi="Calibri" w:cs="Calibri" w:eastAsia="Calibri"/>
                      <w:b/>
                      <w:bCs/>
                      <w:position w:val="-4"/>
                      <w:sz w:val="13"/>
                      <w:szCs w:val="13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tabs>
          <w:tab w:pos="2637" w:val="left" w:leader="none"/>
        </w:tabs>
        <w:spacing w:before="100"/>
        <w:ind w:left="1198"/>
      </w:pPr>
      <w:r>
        <w:rPr/>
        <w:pict>
          <v:group style="position:absolute;margin-left:103.224998pt;margin-top:-383.559143pt;width:418.6pt;height:362.75pt;mso-position-horizontal-relative:page;mso-position-vertical-relative:paragraph;z-index:15772672" coordorigin="2064,-7671" coordsize="8372,7255">
            <v:shape style="position:absolute;left:3062;top:-7443;width:5304;height:6250" coordorigin="3062,-7442" coordsize="5304,6250" path="m3125,-1192l3125,-7442m3062,-1192l3125,-1192m3062,-1888l3125,-1888m3062,-2582l3125,-2582m3062,-3276l3125,-3276m3062,-3972l3125,-3972m3062,-4665l3125,-4665m3062,-5359l3125,-5359m3062,-6055l3125,-6055m3062,-6748l3125,-6748m3062,-7442l3125,-7442m3125,-7442l8366,-7442m3125,-7442l3125,-7380m4435,-7442l4435,-7380m5746,-7442l5746,-7380m7056,-7442l7056,-7380m8366,-7442l8366,-7380e" filled="false" stroked="true" strokeweight=".72pt" strokecolor="#858585">
              <v:path arrowok="t"/>
              <v:stroke dashstyle="solid"/>
            </v:shape>
            <v:shape style="position:absolute;left:4620;top:-6410;width:155;height:155" type="#_x0000_t75" stroked="false">
              <v:imagedata r:id="rId26" o:title=""/>
            </v:shape>
            <v:shape style="position:absolute;left:5406;top:-4454;width:155;height:155" type="#_x0000_t75" stroked="false">
              <v:imagedata r:id="rId34" o:title=""/>
            </v:shape>
            <v:shape style="position:absolute;left:6978;top:-5595;width:155;height:155" type="#_x0000_t75" stroked="false">
              <v:imagedata r:id="rId34" o:title=""/>
            </v:shape>
            <v:shape style="position:absolute;left:7764;top:-5285;width:155;height:155" type="#_x0000_t75" stroked="false">
              <v:imagedata r:id="rId26" o:title=""/>
            </v:shape>
            <v:rect style="position:absolute;left:4628;top:-3605;width:140;height:140" filled="true" fillcolor="#c0504d" stroked="false">
              <v:fill type="solid"/>
            </v:rect>
            <v:rect style="position:absolute;left:4628;top:-3605;width:140;height:140" filled="false" stroked="true" strokeweight=".75pt" strokecolor="#bd4a47">
              <v:stroke dashstyle="solid"/>
            </v:rect>
            <v:rect style="position:absolute;left:5414;top:-2079;width:140;height:140" filled="true" fillcolor="#c0504d" stroked="false">
              <v:fill type="solid"/>
            </v:rect>
            <v:rect style="position:absolute;left:5414;top:-2079;width:140;height:140" filled="false" stroked="true" strokeweight=".75pt" strokecolor="#bd4a47">
              <v:stroke dashstyle="solid"/>
            </v:rect>
            <v:rect style="position:absolute;left:6200;top:-4782;width:140;height:140" filled="true" fillcolor="#c0504d" stroked="false">
              <v:fill type="solid"/>
            </v:rect>
            <v:rect style="position:absolute;left:6200;top:-4782;width:140;height:140" filled="false" stroked="true" strokeweight=".75pt" strokecolor="#bd4a47">
              <v:stroke dashstyle="solid"/>
            </v:rect>
            <v:rect style="position:absolute;left:6986;top:-4447;width:140;height:140" filled="true" fillcolor="#c0504d" stroked="false">
              <v:fill type="solid"/>
            </v:rect>
            <v:rect style="position:absolute;left:6986;top:-4447;width:140;height:140" filled="false" stroked="true" strokeweight=".75pt" strokecolor="#bd4a47">
              <v:stroke dashstyle="solid"/>
            </v:rect>
            <v:shape style="position:absolute;left:4620;top:-7310;width:155;height:155" type="#_x0000_t75" stroked="false">
              <v:imagedata r:id="rId28" o:title=""/>
            </v:shape>
            <v:shape style="position:absolute;left:5406;top:-7004;width:155;height:155" type="#_x0000_t75" stroked="false">
              <v:imagedata r:id="rId30" o:title=""/>
            </v:shape>
            <v:shape style="position:absolute;left:6192;top:-7310;width:155;height:155" type="#_x0000_t75" stroked="false">
              <v:imagedata r:id="rId29" o:title=""/>
            </v:shape>
            <v:shape style="position:absolute;left:6978;top:-7043;width:155;height:155" type="#_x0000_t75" stroked="false">
              <v:imagedata r:id="rId30" o:title=""/>
            </v:shape>
            <v:shape style="position:absolute;left:4696;top:-7164;width:3144;height:4289" coordorigin="4697,-7164" coordsize="3144,4289" path="m4697,-5582l7841,-5138m4697,-5582l7841,-5138m4697,-2875l7841,-4965m4697,-2875l7841,-4965m4697,-7164l7841,-6967m4697,-7164l7841,-6967e" filled="false" stroked="true" strokeweight=".72pt" strokecolor="#000000">
              <v:path arrowok="t"/>
              <v:stroke dashstyle="solid"/>
            </v:shape>
            <v:shape style="position:absolute;left:8824;top:-3912;width:135;height:135" type="#_x0000_t75" stroked="false">
              <v:imagedata r:id="rId31" o:title=""/>
            </v:shape>
            <v:rect style="position:absolute;left:8832;top:-3283;width:120;height:120" filled="true" fillcolor="#c0504d" stroked="false">
              <v:fill type="solid"/>
            </v:rect>
            <v:rect style="position:absolute;left:8832;top:-3283;width:120;height:120" filled="false" stroked="true" strokeweight=".72pt" strokecolor="#bd4a47">
              <v:stroke dashstyle="solid"/>
            </v:rect>
            <v:shape style="position:absolute;left:8824;top:-2669;width:135;height:135" type="#_x0000_t75" stroked="false">
              <v:imagedata r:id="rId32" o:title=""/>
            </v:shape>
            <v:shape style="position:absolute;left:8700;top:-1980;width:384;height:1244" coordorigin="8700,-1980" coordsize="384,1244" path="m8700,-1980l9084,-1980m8700,-1358l9084,-1358m8700,-736l9084,-736e" filled="false" stroked="true" strokeweight=".72pt" strokecolor="#000000">
              <v:path arrowok="t"/>
              <v:stroke dashstyle="solid"/>
            </v:shape>
            <v:rect style="position:absolute;left:2072;top:-7664;width:8357;height:7240" filled="false" stroked="true" strokeweight=".75pt" strokecolor="#858585">
              <v:stroke dashstyle="solid"/>
            </v:rect>
            <v:shape style="position:absolute;left:2840;top:-753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76;top:-727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36;top:-727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595;top:-7275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906;top:-7275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8216;top:-7275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8677;top:-7362;width:1711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-0.0027x -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1.1807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0.0628</w:t>
                    </w:r>
                  </w:p>
                </w:txbxContent>
              </v:textbox>
              <w10:wrap type="none"/>
            </v:shape>
            <v:shape style="position:absolute;left:2628;top:-6840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-0.5</w:t>
                    </w:r>
                  </w:p>
                </w:txbxContent>
              </v:textbox>
              <w10:wrap type="none"/>
            </v:shape>
            <v:shape style="position:absolute;left:2778;top:-6146;width:1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8738;top:-6383;width:164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0.0125x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4.0419</w:t>
                    </w:r>
                  </w:p>
                  <w:p>
                    <w:pPr>
                      <w:spacing w:line="240" w:lineRule="exact" w:before="0"/>
                      <w:ind w:left="336" w:right="354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0.3133</w:t>
                    </w:r>
                  </w:p>
                </w:txbxContent>
              </v:textbox>
              <w10:wrap type="none"/>
            </v:shape>
            <v:shape style="position:absolute;left:2628;top:-5451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-1.5</w:t>
                    </w:r>
                  </w:p>
                </w:txbxContent>
              </v:textbox>
              <w10:wrap type="none"/>
            </v:shape>
            <v:shape style="position:absolute;left:8623;top:-5530;width:1711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-0.0012x -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0.1294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0.148</w:t>
                    </w:r>
                  </w:p>
                </w:txbxContent>
              </v:textbox>
              <w10:wrap type="none"/>
            </v:shape>
            <v:shape style="position:absolute;left:2778;top:-4757;width:1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2628;top:-4062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-2.5</w:t>
                    </w:r>
                  </w:p>
                </w:txbxContent>
              </v:textbox>
              <w10:wrap type="none"/>
            </v:shape>
            <v:shape style="position:absolute;left:9127;top:-393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303</w:t>
                    </w:r>
                  </w:p>
                </w:txbxContent>
              </v:textbox>
              <w10:wrap type="none"/>
            </v:shape>
            <v:shape style="position:absolute;left:2778;top:-3368;width:1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-3</w:t>
                    </w:r>
                  </w:p>
                </w:txbxContent>
              </v:textbox>
              <w10:wrap type="none"/>
            </v:shape>
            <v:shape style="position:absolute;left:9127;top:-3313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333</w:t>
                    </w:r>
                  </w:p>
                </w:txbxContent>
              </v:textbox>
              <w10:wrap type="none"/>
            </v:shape>
            <v:shape style="position:absolute;left:2628;top:-2673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-3.5</w:t>
                    </w:r>
                  </w:p>
                </w:txbxContent>
              </v:textbox>
              <w10:wrap type="none"/>
            </v:shape>
            <v:shape style="position:absolute;left:9127;top:-2691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373</w:t>
                    </w:r>
                  </w:p>
                </w:txbxContent>
              </v:textbox>
              <w10:wrap type="none"/>
            </v:shape>
            <v:shape style="position:absolute;left:2778;top:-1979;width:1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-4</w:t>
                    </w:r>
                  </w:p>
                </w:txbxContent>
              </v:textbox>
              <w10:wrap type="none"/>
            </v:shape>
            <v:shape style="position:absolute;left:9127;top:-2070;width:98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(303)</w:t>
                    </w:r>
                  </w:p>
                </w:txbxContent>
              </v:textbox>
              <w10:wrap type="none"/>
            </v:shape>
            <v:shape style="position:absolute;left:9127;top:-1448;width:98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(333)</w:t>
                    </w:r>
                  </w:p>
                </w:txbxContent>
              </v:textbox>
              <w10:wrap type="none"/>
            </v:shape>
            <v:shape style="position:absolute;left:2628;top:-1284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-4.5</w:t>
                    </w:r>
                  </w:p>
                </w:txbxContent>
              </v:textbox>
              <w10:wrap type="none"/>
            </v:shape>
            <v:shape style="position:absolute;left:5272;top:-1121;width:96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9127;top:-826;width:98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(373)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1"/>
        </w:rPr>
        <w:t> </w:t>
      </w:r>
      <w:r>
        <w:rPr/>
        <w:t>3.21</w:t>
        <w:tab/>
        <w:t>lagergren</w:t>
      </w:r>
      <w:r>
        <w:rPr>
          <w:spacing w:val="-3"/>
        </w:rPr>
        <w:t> </w:t>
      </w:r>
      <w:r>
        <w:rPr/>
        <w:t>pseudo</w:t>
      </w:r>
      <w:r>
        <w:rPr>
          <w:spacing w:val="-4"/>
        </w:rPr>
        <w:t> </w:t>
      </w:r>
      <w:r>
        <w:rPr/>
        <w:t>first-order</w:t>
      </w:r>
      <w:r>
        <w:rPr>
          <w:spacing w:val="-5"/>
        </w:rPr>
        <w:t> </w:t>
      </w:r>
      <w:r>
        <w:rPr/>
        <w:t>kinetics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mango</w:t>
      </w:r>
      <w:r>
        <w:rPr>
          <w:spacing w:val="-5"/>
        </w:rPr>
        <w:t> </w:t>
      </w:r>
      <w:r>
        <w:rPr/>
        <w:t>kernel</w:t>
      </w:r>
      <w:r>
        <w:rPr>
          <w:spacing w:val="-2"/>
        </w:rPr>
        <w:t> </w:t>
      </w:r>
      <w:r>
        <w:rPr/>
        <w:t>acetylation</w:t>
      </w:r>
    </w:p>
    <w:p>
      <w:pPr>
        <w:spacing w:after="0"/>
        <w:sectPr>
          <w:pgSz w:w="11910" w:h="16840"/>
          <w:pgMar w:header="0" w:footer="987" w:top="1280" w:bottom="1260" w:left="4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ind w:left="1349"/>
        <w:rPr>
          <w:sz w:val="20"/>
        </w:rPr>
      </w:pPr>
      <w:r>
        <w:rPr>
          <w:sz w:val="20"/>
        </w:rPr>
        <w:drawing>
          <wp:inline distT="0" distB="0" distL="0" distR="0">
            <wp:extent cx="5759942" cy="4705350"/>
            <wp:effectExtent l="0" t="0" r="0" b="0"/>
            <wp:docPr id="4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942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1198"/>
      </w:pPr>
      <w:r>
        <w:rPr/>
        <w:t>Figure</w:t>
      </w:r>
      <w:r>
        <w:rPr>
          <w:spacing w:val="-2"/>
        </w:rPr>
        <w:t> </w:t>
      </w:r>
      <w:r>
        <w:rPr/>
        <w:t>3.22:</w:t>
      </w:r>
      <w:r>
        <w:rPr>
          <w:spacing w:val="72"/>
        </w:rPr>
        <w:t> </w:t>
      </w:r>
      <w:r>
        <w:rPr/>
        <w:t>second</w:t>
      </w:r>
      <w:r>
        <w:rPr>
          <w:spacing w:val="-4"/>
        </w:rPr>
        <w:t> </w:t>
      </w:r>
      <w:r>
        <w:rPr/>
        <w:t>order</w:t>
      </w:r>
      <w:r>
        <w:rPr>
          <w:spacing w:val="-4"/>
        </w:rPr>
        <w:t> </w:t>
      </w:r>
      <w:r>
        <w:rPr/>
        <w:t>kinetic</w:t>
      </w:r>
      <w:r>
        <w:rPr>
          <w:spacing w:val="-3"/>
        </w:rPr>
        <w:t> </w:t>
      </w:r>
      <w:r>
        <w:rPr/>
        <w:t>plot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mango</w:t>
      </w:r>
      <w:r>
        <w:rPr>
          <w:spacing w:val="-2"/>
        </w:rPr>
        <w:t> </w:t>
      </w:r>
      <w:r>
        <w:rPr/>
        <w:t>kernel</w:t>
      </w:r>
      <w:r>
        <w:rPr>
          <w:spacing w:val="-3"/>
        </w:rPr>
        <w:t> </w:t>
      </w:r>
      <w:r>
        <w:rPr/>
        <w:t>acetylation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8.324509pt;margin-top:255.297058pt;width:13.4pt;height:21.1pt;mso-position-horizontal-relative:page;mso-position-vertical-relative:page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  <w:t>t/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0"/>
                      <w:szCs w:val="20"/>
                    </w:rPr>
                    <w:t>ϴ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  <w:t>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198"/>
        <w:rPr>
          <w:rFonts w:ascii="Times New Roman"/>
        </w:rPr>
      </w:pPr>
      <w:r>
        <w:rPr/>
        <w:pict>
          <v:group style="position:absolute;margin-left:95.824997pt;margin-top:-447.771881pt;width:432.75pt;height:433.4pt;mso-position-horizontal-relative:page;mso-position-vertical-relative:paragraph;z-index:15773696" coordorigin="1916,-8955" coordsize="8655,8668">
            <v:shape style="position:absolute;left:2904;top:-8725;width:5600;height:7568" coordorigin="2904,-8725" coordsize="5600,7568" path="m2969,-1220l2969,-8725m2904,-1220l2969,-1220m2904,-2293l2969,-2293m2904,-3365l2969,-3365m2904,-4436l2969,-4436m2904,-5509l2969,-5509m2904,-6581l2969,-6581m2904,-7654l2969,-7654m2904,-8725l2969,-8725m2969,-1220l8503,-1220m2969,-1220l2969,-1157m4351,-1220l4351,-1157m5736,-1220l5736,-1157m7118,-1220l7118,-1157m8503,-1220l8503,-1157e" filled="false" stroked="true" strokeweight=".72pt" strokecolor="#858585">
              <v:path arrowok="t"/>
              <v:stroke dashstyle="solid"/>
            </v:shape>
            <v:shape style="position:absolute;left:4550;top:-4120;width:155;height:155" type="#_x0000_t75" stroked="false">
              <v:imagedata r:id="rId33" o:title=""/>
            </v:shape>
            <v:shape style="position:absolute;left:5387;top:-4551;width:140;height:140" coordorigin="5388,-4550" coordsize="140,140" path="m5458,-4550l5388,-4480,5458,-4410,5528,-4480,5458,-4550xe" filled="true" fillcolor="#4f81bc" stroked="false">
              <v:path arrowok="t"/>
              <v:fill type="solid"/>
            </v:shape>
            <v:shape style="position:absolute;left:5387;top:-4551;width:140;height:140" coordorigin="5388,-4550" coordsize="140,140" path="m5458,-4410l5388,-4480,5458,-4550,5528,-4480,5458,-4410xe" filled="false" stroked="true" strokeweight=".75pt" strokecolor="#497dba">
              <v:path arrowok="t"/>
              <v:stroke dashstyle="solid"/>
            </v:shape>
            <v:shape style="position:absolute;left:6210;top:-5344;width:155;height:155" type="#_x0000_t75" stroked="false">
              <v:imagedata r:id="rId26" o:title=""/>
            </v:shape>
            <v:shape style="position:absolute;left:7040;top:-7300;width:155;height:155" type="#_x0000_t75" stroked="false">
              <v:imagedata r:id="rId33" o:title=""/>
            </v:shape>
            <v:shape style="position:absolute;left:7870;top:-8241;width:155;height:155" type="#_x0000_t75" stroked="false">
              <v:imagedata r:id="rId34" o:title=""/>
            </v:shape>
            <v:rect style="position:absolute;left:4557;top:-3435;width:140;height:140" filled="true" fillcolor="#c0504d" stroked="false">
              <v:fill type="solid"/>
            </v:rect>
            <v:rect style="position:absolute;left:4557;top:-3435;width:140;height:140" filled="false" stroked="true" strokeweight=".75pt" strokecolor="#bd4a47">
              <v:stroke dashstyle="solid"/>
            </v:rect>
            <v:rect style="position:absolute;left:5387;top:-4424;width:140;height:140" filled="true" fillcolor="#c0504d" stroked="false">
              <v:fill type="solid"/>
            </v:rect>
            <v:rect style="position:absolute;left:5387;top:-4424;width:140;height:140" filled="false" stroked="true" strokeweight=".75pt" strokecolor="#bd4a47">
              <v:stroke dashstyle="solid"/>
            </v:rect>
            <v:rect style="position:absolute;left:6217;top:-5821;width:140;height:140" filled="true" fillcolor="#c0504d" stroked="false">
              <v:fill type="solid"/>
            </v:rect>
            <v:rect style="position:absolute;left:6217;top:-5821;width:140;height:140" filled="false" stroked="true" strokeweight=".75pt" strokecolor="#bd4a47">
              <v:stroke dashstyle="solid"/>
            </v:rect>
            <v:rect style="position:absolute;left:7047;top:-6837;width:140;height:140" filled="true" fillcolor="#c0504d" stroked="false">
              <v:fill type="solid"/>
            </v:rect>
            <v:rect style="position:absolute;left:7047;top:-6837;width:140;height:140" filled="false" stroked="true" strokeweight=".75pt" strokecolor="#bd4a47">
              <v:stroke dashstyle="solid"/>
            </v:rect>
            <v:rect style="position:absolute;left:7877;top:-7477;width:140;height:140" filled="true" fillcolor="#c0504d" stroked="false">
              <v:fill type="solid"/>
            </v:rect>
            <v:rect style="position:absolute;left:7877;top:-7477;width:140;height:140" filled="false" stroked="true" strokeweight=".75pt" strokecolor="#bd4a47">
              <v:stroke dashstyle="solid"/>
            </v:rect>
            <v:shape style="position:absolute;left:4557;top:-3435;width:140;height:140" coordorigin="4558,-3435" coordsize="140,140" path="m4628,-3435l4558,-3295,4698,-3295,4628,-3435xe" filled="true" fillcolor="#9bba58" stroked="false">
              <v:path arrowok="t"/>
              <v:fill type="solid"/>
            </v:shape>
            <v:shape style="position:absolute;left:4557;top:-3435;width:140;height:140" coordorigin="4558,-3435" coordsize="140,140" path="m4628,-3435l4698,-3295,4558,-3295,4628,-3435xe" filled="false" stroked="true" strokeweight=".75pt" strokecolor="#97b853">
              <v:path arrowok="t"/>
              <v:stroke dashstyle="solid"/>
            </v:shape>
            <v:shape style="position:absolute;left:5380;top:-4188;width:155;height:155" type="#_x0000_t75" stroked="false">
              <v:imagedata r:id="rId28" o:title=""/>
            </v:shape>
            <v:shape style="position:absolute;left:6210;top:-5587;width:155;height:155" type="#_x0000_t75" stroked="false">
              <v:imagedata r:id="rId30" o:title=""/>
            </v:shape>
            <v:shape style="position:absolute;left:7040;top:-6172;width:155;height:155" type="#_x0000_t75" stroked="false">
              <v:imagedata r:id="rId35" o:title=""/>
            </v:shape>
            <v:shape style="position:absolute;left:7870;top:-5387;width:155;height:155" type="#_x0000_t75" stroked="false">
              <v:imagedata r:id="rId28" o:title=""/>
            </v:shape>
            <v:shape style="position:absolute;left:4629;top:-8031;width:3320;height:4604" coordorigin="4630,-8031" coordsize="3320,4604" path="m4630,-3637l7949,-8031m4630,-3637l7949,-8031m4630,-3428l7949,-7628m4630,-3428l7949,-7628m4630,-3701l7949,-6051m4630,-3701l7949,-6051e" filled="false" stroked="true" strokeweight=".72pt" strokecolor="#000000">
              <v:path arrowok="t"/>
              <v:stroke dashstyle="solid"/>
            </v:shape>
            <v:shape style="position:absolute;left:8949;top:-4499;width:135;height:135" type="#_x0000_t75" stroked="false">
              <v:imagedata r:id="rId31" o:title=""/>
            </v:shape>
            <v:rect style="position:absolute;left:8956;top:-3767;width:120;height:120" filled="true" fillcolor="#c0504d" stroked="false">
              <v:fill type="solid"/>
            </v:rect>
            <v:rect style="position:absolute;left:8956;top:-3767;width:120;height:120" filled="false" stroked="true" strokeweight=".72pt" strokecolor="#bd4a47">
              <v:stroke dashstyle="solid"/>
            </v:rect>
            <v:shape style="position:absolute;left:8949;top:-3049;width:135;height:135" type="#_x0000_t75" stroked="false">
              <v:imagedata r:id="rId32" o:title=""/>
            </v:shape>
            <v:shape style="position:absolute;left:8824;top:-2257;width:384;height:1448" coordorigin="8825,-2257" coordsize="384,1448" path="m8825,-2257l9209,-2257m8825,-1534l9209,-1534m8825,-809l9209,-809e" filled="false" stroked="true" strokeweight=".72pt" strokecolor="#000000">
              <v:path arrowok="t"/>
              <v:stroke dashstyle="solid"/>
            </v:shape>
            <v:rect style="position:absolute;left:1924;top:-8948;width:8640;height:8653" filled="false" stroked="true" strokeweight=".75pt" strokecolor="#858585">
              <v:stroke dashstyle="solid"/>
            </v:rect>
            <v:shape style="position:absolute;left:2479;top:-881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8936;top:-8760;width:1586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0.6829x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4.122</w:t>
                    </w:r>
                  </w:p>
                  <w:p>
                    <w:pPr>
                      <w:spacing w:line="240" w:lineRule="exact" w:before="0"/>
                      <w:ind w:left="304" w:right="323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0.9487</w:t>
                    </w:r>
                  </w:p>
                </w:txbxContent>
              </v:textbox>
              <w10:wrap type="none"/>
            </v:shape>
            <v:shape style="position:absolute;left:2479;top:-774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8936;top:-7415;width:1586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0.6526x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2.042</w:t>
                    </w:r>
                  </w:p>
                  <w:p>
                    <w:pPr>
                      <w:spacing w:line="240" w:lineRule="exact" w:before="0"/>
                      <w:ind w:left="304" w:right="323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0.9862</w:t>
                    </w:r>
                  </w:p>
                </w:txbxContent>
              </v:textbox>
              <w10:wrap type="none"/>
            </v:shape>
            <v:shape style="position:absolute;left:2479;top:-667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8835;top:-6132;width:168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0.3651x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24.398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0.6979</w:t>
                    </w:r>
                  </w:p>
                </w:txbxContent>
              </v:textbox>
              <w10:wrap type="none"/>
            </v:shape>
            <v:shape style="position:absolute;left:2580;top:-560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2580;top:-452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9250;top:-452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303</w:t>
                    </w:r>
                  </w:p>
                </w:txbxContent>
              </v:textbox>
              <w10:wrap type="none"/>
            </v:shape>
            <v:shape style="position:absolute;left:9250;top:-379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333</w:t>
                    </w:r>
                  </w:p>
                </w:txbxContent>
              </v:textbox>
              <w10:wrap type="none"/>
            </v:shape>
            <v:shape style="position:absolute;left:2580;top:-345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9250;top:-3075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373</w:t>
                    </w:r>
                  </w:p>
                </w:txbxContent>
              </v:textbox>
              <w10:wrap type="none"/>
            </v:shape>
            <v:shape style="position:absolute;left:2580;top:-238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9250;top:-2350;width:98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(303)</w:t>
                    </w:r>
                  </w:p>
                </w:txbxContent>
              </v:textbox>
              <w10:wrap type="none"/>
            </v:shape>
            <v:shape style="position:absolute;left:9250;top:-1625;width:98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(303)</w:t>
                    </w:r>
                  </w:p>
                </w:txbxContent>
              </v:textbox>
              <w10:wrap type="none"/>
            </v:shape>
            <v:shape style="position:absolute;left:2681;top:-131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18;top:-105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51;top:-105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416;top:-1052;width:656;height:5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exact" w:before="59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</w:t>
                    </w:r>
                    <w:r>
                      <w:rPr>
                        <w:rFonts w:ascii="Calibri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6968;top:-1052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8351;top:-1052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9250;top:-901;width:98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(333)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</w:rPr>
        <w:t>Figure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3.23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Pseudo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second-order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kinetics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 mango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kernel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acetylation</w:t>
      </w:r>
    </w:p>
    <w:p>
      <w:pPr>
        <w:spacing w:after="0"/>
        <w:rPr>
          <w:rFonts w:ascii="Times New Roman"/>
        </w:rPr>
        <w:sectPr>
          <w:pgSz w:w="11910" w:h="16840"/>
          <w:pgMar w:header="0" w:footer="987" w:top="1320" w:bottom="1260" w:left="42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3"/>
        </w:rPr>
      </w:pPr>
    </w:p>
    <w:p>
      <w:pPr>
        <w:pStyle w:val="BodyText"/>
        <w:ind w:left="153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63251" cy="4086225"/>
            <wp:effectExtent l="0" t="0" r="0" b="0"/>
            <wp:docPr id="4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251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pStyle w:val="BodyText"/>
        <w:spacing w:before="100"/>
        <w:ind w:left="1272"/>
      </w:pPr>
      <w:r>
        <w:rPr/>
        <w:t>Figure</w:t>
      </w:r>
      <w:r>
        <w:rPr>
          <w:spacing w:val="-4"/>
        </w:rPr>
        <w:t> </w:t>
      </w:r>
      <w:r>
        <w:rPr/>
        <w:t>3.24:</w:t>
      </w:r>
      <w:r>
        <w:rPr>
          <w:spacing w:val="-1"/>
        </w:rPr>
        <w:t> </w:t>
      </w:r>
      <w:r>
        <w:rPr/>
        <w:t>intra-particle</w:t>
      </w:r>
      <w:r>
        <w:rPr>
          <w:spacing w:val="-3"/>
        </w:rPr>
        <w:t> </w:t>
      </w:r>
      <w:r>
        <w:rPr/>
        <w:t>diffusion</w:t>
      </w:r>
      <w:r>
        <w:rPr>
          <w:spacing w:val="-4"/>
        </w:rPr>
        <w:t> </w:t>
      </w:r>
      <w:r>
        <w:rPr/>
        <w:t>kinetics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mango</w:t>
      </w:r>
      <w:r>
        <w:rPr>
          <w:spacing w:val="-5"/>
        </w:rPr>
        <w:t> </w:t>
      </w:r>
      <w:r>
        <w:rPr/>
        <w:t>kernel</w:t>
      </w:r>
      <w:r>
        <w:rPr>
          <w:spacing w:val="-4"/>
        </w:rPr>
        <w:t> </w:t>
      </w:r>
      <w:r>
        <w:rPr/>
        <w:t>acetylation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tabs>
          <w:tab w:pos="2637" w:val="left" w:leader="none"/>
        </w:tabs>
        <w:spacing w:before="75"/>
        <w:ind w:left="1198"/>
      </w:pPr>
      <w:r>
        <w:rPr/>
        <w:t>Table</w:t>
      </w:r>
      <w:r>
        <w:rPr>
          <w:spacing w:val="-2"/>
        </w:rPr>
        <w:t> </w:t>
      </w:r>
      <w:r>
        <w:rPr/>
        <w:t>3.14</w:t>
        <w:tab/>
        <w:t>Summary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kinetics</w:t>
      </w:r>
      <w:r>
        <w:rPr>
          <w:spacing w:val="-3"/>
        </w:rPr>
        <w:t> </w:t>
      </w:r>
      <w:r>
        <w:rPr/>
        <w:t>derived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plots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Mango</w:t>
      </w:r>
      <w:r>
        <w:rPr>
          <w:spacing w:val="-4"/>
        </w:rPr>
        <w:t> </w:t>
      </w:r>
      <w:r>
        <w:rPr/>
        <w:t>kernel</w:t>
      </w:r>
      <w:r>
        <w:rPr>
          <w:spacing w:val="-3"/>
        </w:rPr>
        <w:t> </w:t>
      </w:r>
      <w:r>
        <w:rPr/>
        <w:t>acetylation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98" w:right="0" w:firstLine="0"/>
        <w:jc w:val="left"/>
        <w:rPr>
          <w:sz w:val="20"/>
          <w:szCs w:val="20"/>
        </w:rPr>
      </w:pPr>
      <w:r>
        <w:rPr>
          <w:w w:val="95"/>
          <w:sz w:val="20"/>
          <w:szCs w:val="20"/>
        </w:rPr>
        <w:t>ϴ</w:t>
      </w:r>
      <w:r>
        <w:rPr>
          <w:w w:val="95"/>
          <w:sz w:val="20"/>
          <w:szCs w:val="20"/>
          <w:vertAlign w:val="subscript"/>
        </w:rPr>
        <w:t>o</w:t>
      </w:r>
      <w:r>
        <w:rPr>
          <w:spacing w:val="-12"/>
          <w:w w:val="95"/>
          <w:sz w:val="20"/>
          <w:szCs w:val="20"/>
          <w:vertAlign w:val="baseline"/>
        </w:rPr>
        <w:t> </w:t>
      </w:r>
      <w:r>
        <w:rPr>
          <w:w w:val="95"/>
          <w:sz w:val="20"/>
          <w:szCs w:val="20"/>
          <w:vertAlign w:val="baseline"/>
        </w:rPr>
        <w:t>exp</w:t>
      </w:r>
    </w:p>
    <w:p>
      <w:pPr>
        <w:pStyle w:val="BodyText"/>
        <w:rPr>
          <w:sz w:val="21"/>
        </w:rPr>
      </w:pPr>
    </w:p>
    <w:p>
      <w:pPr>
        <w:tabs>
          <w:tab w:pos="2096" w:val="left" w:leader="none"/>
          <w:tab w:pos="2962" w:val="left" w:leader="none"/>
        </w:tabs>
        <w:spacing w:before="0"/>
        <w:ind w:left="1198" w:right="0" w:firstLine="0"/>
        <w:jc w:val="left"/>
        <w:rPr>
          <w:sz w:val="20"/>
        </w:rPr>
      </w:pPr>
      <w:r>
        <w:rPr/>
        <w:pict>
          <v:shape style="position:absolute;margin-left:75.504005pt;margin-top:-.555121pt;width:478.9pt;height:.5pt;mso-position-horizontal-relative:page;mso-position-vertical-relative:paragraph;z-index:15775744" coordorigin="1510,-11" coordsize="9578,10" path="m3906,-11l1510,-11,1510,-2,3906,-2,3906,-11xm8695,-11l6309,-11,6299,-11,3915,-11,3906,-11,3906,-2,3915,-2,6299,-2,6309,-2,8695,-2,8695,-11xm11088,-11l8704,-11,8695,-11,8695,-2,8704,-2,11088,-2,11088,-11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Derived</w:t>
        <w:tab/>
        <w:t>pseudo</w:t>
        <w:tab/>
      </w:r>
      <w:r>
        <w:rPr>
          <w:spacing w:val="-1"/>
          <w:sz w:val="20"/>
        </w:rPr>
        <w:t>first-</w:t>
      </w:r>
    </w:p>
    <w:p>
      <w:pPr>
        <w:spacing w:before="120"/>
        <w:ind w:left="178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100</w:t>
      </w:r>
      <w:r>
        <w:rPr>
          <w:sz w:val="20"/>
          <w:vertAlign w:val="superscript"/>
        </w:rPr>
        <w:t>o</w:t>
      </w:r>
      <w:r>
        <w:rPr>
          <w:sz w:val="20"/>
          <w:vertAlign w:val="baseline"/>
        </w:rPr>
        <w:t>C</w:t>
      </w:r>
    </w:p>
    <w:p>
      <w:pPr>
        <w:pStyle w:val="BodyText"/>
        <w:rPr>
          <w:sz w:val="20"/>
        </w:rPr>
      </w:pPr>
    </w:p>
    <w:p>
      <w:pPr>
        <w:spacing w:before="0"/>
        <w:ind w:left="178" w:right="0" w:firstLine="0"/>
        <w:jc w:val="left"/>
        <w:rPr>
          <w:sz w:val="20"/>
        </w:rPr>
      </w:pPr>
      <w:r>
        <w:rPr/>
        <w:pict>
          <v:shape style="position:absolute;margin-left:75.504005pt;margin-top:-24.555153pt;width:478.9pt;height:.5pt;mso-position-horizontal-relative:page;mso-position-vertical-relative:paragraph;z-index:15775232" coordorigin="1510,-491" coordsize="9578,10" path="m3906,-491l1510,-491,1510,-482,3906,-482,3906,-491xm8695,-491l6309,-491,6299,-491,3915,-491,3906,-491,3906,-482,3915,-482,6299,-482,6309,-482,8695,-482,8695,-491xm11088,-491l8704,-491,8695,-491,8695,-482,8704,-482,11088,-482,11088,-491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2.36</w:t>
      </w:r>
    </w:p>
    <w:p>
      <w:pPr>
        <w:spacing w:before="120"/>
        <w:ind w:left="0" w:right="38" w:firstLine="0"/>
        <w:jc w:val="right"/>
        <w:rPr>
          <w:sz w:val="20"/>
        </w:rPr>
      </w:pPr>
      <w:r>
        <w:rPr/>
        <w:br w:type="column"/>
      </w:r>
      <w:r>
        <w:rPr>
          <w:sz w:val="20"/>
        </w:rPr>
        <w:t>60</w:t>
      </w:r>
      <w:r>
        <w:rPr>
          <w:sz w:val="20"/>
          <w:vertAlign w:val="superscript"/>
        </w:rPr>
        <w:t>o</w:t>
      </w:r>
      <w:r>
        <w:rPr>
          <w:sz w:val="20"/>
          <w:vertAlign w:val="baseline"/>
        </w:rPr>
        <w:t>C</w:t>
      </w:r>
    </w:p>
    <w:p>
      <w:pPr>
        <w:pStyle w:val="BodyText"/>
        <w:rPr>
          <w:sz w:val="20"/>
        </w:rPr>
      </w:pPr>
    </w:p>
    <w:p>
      <w:pPr>
        <w:spacing w:before="0"/>
        <w:ind w:left="0" w:right="56" w:firstLine="0"/>
        <w:jc w:val="right"/>
        <w:rPr>
          <w:sz w:val="20"/>
        </w:rPr>
      </w:pPr>
      <w:r>
        <w:rPr>
          <w:sz w:val="20"/>
        </w:rPr>
        <w:t>1.56</w:t>
      </w:r>
    </w:p>
    <w:p>
      <w:pPr>
        <w:spacing w:before="120"/>
        <w:ind w:left="1198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30</w:t>
      </w:r>
      <w:r>
        <w:rPr>
          <w:sz w:val="20"/>
          <w:vertAlign w:val="superscript"/>
        </w:rPr>
        <w:t>o</w:t>
      </w:r>
      <w:r>
        <w:rPr>
          <w:sz w:val="20"/>
          <w:vertAlign w:val="baseline"/>
        </w:rPr>
        <w:t>C</w:t>
      </w:r>
    </w:p>
    <w:p>
      <w:pPr>
        <w:pStyle w:val="BodyText"/>
        <w:rPr>
          <w:sz w:val="20"/>
        </w:rPr>
      </w:pPr>
    </w:p>
    <w:p>
      <w:pPr>
        <w:spacing w:before="0"/>
        <w:ind w:left="1198" w:right="0" w:firstLine="0"/>
        <w:jc w:val="left"/>
        <w:rPr>
          <w:sz w:val="20"/>
        </w:rPr>
      </w:pPr>
      <w:r>
        <w:rPr>
          <w:sz w:val="20"/>
        </w:rPr>
        <w:t>1.59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1180" w:left="420" w:right="0"/>
          <w:cols w:num="4" w:equalWidth="0">
            <w:col w:w="3376" w:space="40"/>
            <w:col w:w="734" w:space="639"/>
            <w:col w:w="1644" w:space="752"/>
            <w:col w:w="4305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spacing w:before="99"/>
        <w:ind w:left="1198" w:right="0" w:firstLine="0"/>
        <w:jc w:val="left"/>
        <w:rPr>
          <w:sz w:val="20"/>
        </w:rPr>
      </w:pPr>
      <w:r>
        <w:rPr>
          <w:sz w:val="20"/>
        </w:rPr>
        <w:t>order</w:t>
      </w:r>
    </w:p>
    <w:p>
      <w:pPr>
        <w:tabs>
          <w:tab w:pos="3593" w:val="left" w:leader="none"/>
          <w:tab w:pos="5986" w:val="left" w:leader="none"/>
          <w:tab w:pos="8877" w:val="right" w:leader="none"/>
        </w:tabs>
        <w:spacing w:before="241"/>
        <w:ind w:left="1198" w:right="0" w:firstLine="0"/>
        <w:jc w:val="left"/>
        <w:rPr>
          <w:sz w:val="20"/>
          <w:szCs w:val="20"/>
        </w:rPr>
      </w:pPr>
      <w:r>
        <w:rPr>
          <w:sz w:val="20"/>
          <w:szCs w:val="20"/>
        </w:rPr>
        <w:t>ϴ</w:t>
      </w:r>
      <w:r>
        <w:rPr>
          <w:sz w:val="20"/>
          <w:szCs w:val="20"/>
          <w:vertAlign w:val="subscript"/>
        </w:rPr>
        <w:t>o</w:t>
      </w:r>
      <w:r>
        <w:rPr>
          <w:spacing w:val="-3"/>
          <w:sz w:val="20"/>
          <w:szCs w:val="20"/>
          <w:vertAlign w:val="baseline"/>
        </w:rPr>
        <w:t> </w:t>
      </w:r>
      <w:r>
        <w:rPr>
          <w:sz w:val="20"/>
          <w:szCs w:val="20"/>
          <w:vertAlign w:val="baseline"/>
        </w:rPr>
        <w:t>theo</w:t>
        <w:tab/>
        <w:t>1.195</w:t>
        <w:tab/>
        <w:t>1.482</w:t>
        <w:tab/>
        <w:t>1.225</w:t>
      </w:r>
    </w:p>
    <w:p>
      <w:pPr>
        <w:tabs>
          <w:tab w:pos="3593" w:val="left" w:leader="none"/>
          <w:tab w:pos="5986" w:val="left" w:leader="none"/>
          <w:tab w:pos="8987" w:val="right" w:leader="none"/>
        </w:tabs>
        <w:spacing w:before="241"/>
        <w:ind w:left="1198" w:right="0" w:firstLine="0"/>
        <w:jc w:val="left"/>
        <w:rPr>
          <w:sz w:val="20"/>
        </w:rPr>
      </w:pPr>
      <w:r>
        <w:rPr>
          <w:sz w:val="20"/>
        </w:rPr>
        <w:t>R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ab/>
        <w:t>0.5702</w:t>
        <w:tab/>
        <w:t>0.0052</w:t>
        <w:tab/>
        <w:t>0.1413</w:t>
      </w:r>
    </w:p>
    <w:p>
      <w:pPr>
        <w:tabs>
          <w:tab w:pos="3593" w:val="left" w:leader="none"/>
          <w:tab w:pos="5986" w:val="left" w:leader="none"/>
          <w:tab w:pos="8382" w:val="left" w:leader="none"/>
        </w:tabs>
        <w:spacing w:before="241"/>
        <w:ind w:left="1198" w:right="0" w:firstLine="0"/>
        <w:jc w:val="left"/>
        <w:rPr>
          <w:sz w:val="20"/>
        </w:rPr>
      </w:pPr>
      <w:r>
        <w:rPr>
          <w:sz w:val="20"/>
        </w:rPr>
        <w:t>K</w:t>
      </w:r>
      <w:r>
        <w:rPr>
          <w:sz w:val="20"/>
          <w:vertAlign w:val="subscript"/>
        </w:rPr>
        <w:t>1</w:t>
      </w:r>
      <w:r>
        <w:rPr>
          <w:sz w:val="20"/>
          <w:vertAlign w:val="baseline"/>
        </w:rPr>
        <w:tab/>
        <w:t>-3.0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-3</w:t>
      </w:r>
      <w:r>
        <w:rPr>
          <w:sz w:val="20"/>
          <w:vertAlign w:val="baseline"/>
        </w:rPr>
        <w:tab/>
        <w:t>6.0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x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-5</w:t>
      </w:r>
      <w:r>
        <w:rPr>
          <w:sz w:val="20"/>
          <w:vertAlign w:val="baseline"/>
        </w:rPr>
        <w:tab/>
        <w:t>1.0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-3</w:t>
      </w:r>
    </w:p>
    <w:p>
      <w:pPr>
        <w:spacing w:line="482" w:lineRule="auto" w:before="242"/>
        <w:ind w:left="1198" w:right="8103" w:firstLine="0"/>
        <w:jc w:val="left"/>
        <w:rPr>
          <w:sz w:val="20"/>
        </w:rPr>
      </w:pPr>
      <w:r>
        <w:rPr>
          <w:sz w:val="20"/>
        </w:rPr>
        <w:t>Lagergren</w:t>
      </w:r>
      <w:r>
        <w:rPr>
          <w:spacing w:val="53"/>
          <w:sz w:val="20"/>
        </w:rPr>
        <w:t> </w:t>
      </w:r>
      <w:r>
        <w:rPr>
          <w:sz w:val="20"/>
        </w:rPr>
        <w:t>pseudo</w:t>
      </w:r>
      <w:r>
        <w:rPr>
          <w:spacing w:val="53"/>
          <w:sz w:val="20"/>
        </w:rPr>
        <w:t> </w:t>
      </w:r>
      <w:r>
        <w:rPr>
          <w:sz w:val="20"/>
        </w:rPr>
        <w:t>first-</w:t>
      </w:r>
      <w:r>
        <w:rPr>
          <w:spacing w:val="-59"/>
          <w:sz w:val="20"/>
        </w:rPr>
        <w:t> </w:t>
      </w:r>
      <w:r>
        <w:rPr>
          <w:sz w:val="20"/>
        </w:rPr>
        <w:t>order</w:t>
      </w:r>
    </w:p>
    <w:p>
      <w:pPr>
        <w:tabs>
          <w:tab w:pos="3593" w:val="left" w:leader="none"/>
          <w:tab w:pos="5986" w:val="left" w:leader="none"/>
          <w:tab w:pos="8877" w:val="right" w:leader="none"/>
        </w:tabs>
        <w:spacing w:line="238" w:lineRule="exact" w:before="0"/>
        <w:ind w:left="1198" w:right="0" w:firstLine="0"/>
        <w:jc w:val="left"/>
        <w:rPr>
          <w:sz w:val="20"/>
          <w:szCs w:val="20"/>
        </w:rPr>
      </w:pPr>
      <w:r>
        <w:rPr>
          <w:sz w:val="20"/>
          <w:szCs w:val="20"/>
        </w:rPr>
        <w:t>ϴ</w:t>
      </w:r>
      <w:r>
        <w:rPr>
          <w:sz w:val="20"/>
          <w:szCs w:val="20"/>
          <w:vertAlign w:val="subscript"/>
        </w:rPr>
        <w:t>o</w:t>
      </w:r>
      <w:r>
        <w:rPr>
          <w:sz w:val="20"/>
          <w:szCs w:val="20"/>
          <w:vertAlign w:val="baseline"/>
        </w:rPr>
        <w:t>theo</w:t>
        <w:tab/>
        <w:t>0.999</w:t>
        <w:tab/>
        <w:t>1.013</w:t>
        <w:tab/>
        <w:t>1.002</w:t>
      </w:r>
    </w:p>
    <w:p>
      <w:pPr>
        <w:tabs>
          <w:tab w:pos="3593" w:val="left" w:leader="none"/>
          <w:tab w:pos="5986" w:val="left" w:leader="none"/>
          <w:tab w:pos="8987" w:val="right" w:leader="none"/>
        </w:tabs>
        <w:spacing w:before="241"/>
        <w:ind w:left="1198" w:right="0" w:firstLine="0"/>
        <w:jc w:val="left"/>
        <w:rPr>
          <w:sz w:val="20"/>
        </w:rPr>
      </w:pPr>
      <w:r>
        <w:rPr>
          <w:sz w:val="20"/>
        </w:rPr>
        <w:t>R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ab/>
        <w:t>0.148</w:t>
        <w:tab/>
        <w:t>0.3133</w:t>
        <w:tab/>
        <w:t>0.0628</w:t>
      </w:r>
    </w:p>
    <w:p>
      <w:pPr>
        <w:tabs>
          <w:tab w:pos="3593" w:val="left" w:leader="none"/>
          <w:tab w:pos="5986" w:val="left" w:leader="none"/>
          <w:tab w:pos="8382" w:val="left" w:leader="none"/>
        </w:tabs>
        <w:spacing w:before="241"/>
        <w:ind w:left="1198" w:right="0" w:firstLine="0"/>
        <w:jc w:val="left"/>
        <w:rPr>
          <w:sz w:val="20"/>
        </w:rPr>
      </w:pPr>
      <w:r>
        <w:rPr>
          <w:sz w:val="20"/>
        </w:rPr>
        <w:t>K</w:t>
      </w: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ab/>
        <w:t>-1.2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-3</w:t>
      </w:r>
      <w:r>
        <w:rPr>
          <w:sz w:val="20"/>
          <w:vertAlign w:val="baseline"/>
        </w:rPr>
        <w:tab/>
        <w:t>1.25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x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-2</w:t>
      </w:r>
      <w:r>
        <w:rPr>
          <w:sz w:val="20"/>
          <w:vertAlign w:val="baseline"/>
        </w:rPr>
        <w:tab/>
        <w:t>2.7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x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-3</w:t>
      </w:r>
    </w:p>
    <w:p>
      <w:pPr>
        <w:spacing w:before="241"/>
        <w:ind w:left="1198" w:right="0" w:firstLine="0"/>
        <w:jc w:val="left"/>
        <w:rPr>
          <w:sz w:val="20"/>
        </w:rPr>
      </w:pPr>
      <w:r>
        <w:rPr>
          <w:sz w:val="20"/>
        </w:rPr>
        <w:t>Hill</w:t>
      </w:r>
      <w:r>
        <w:rPr>
          <w:spacing w:val="-5"/>
          <w:sz w:val="20"/>
        </w:rPr>
        <w:t> </w:t>
      </w:r>
      <w:r>
        <w:rPr>
          <w:sz w:val="20"/>
        </w:rPr>
        <w:t>second</w:t>
      </w:r>
      <w:r>
        <w:rPr>
          <w:spacing w:val="-4"/>
          <w:sz w:val="20"/>
        </w:rPr>
        <w:t> </w:t>
      </w:r>
      <w:r>
        <w:rPr>
          <w:sz w:val="20"/>
        </w:rPr>
        <w:t>order</w:t>
      </w:r>
    </w:p>
    <w:p>
      <w:pPr>
        <w:tabs>
          <w:tab w:pos="3593" w:val="left" w:leader="none"/>
          <w:tab w:pos="5986" w:val="left" w:leader="none"/>
          <w:tab w:pos="8877" w:val="right" w:leader="none"/>
        </w:tabs>
        <w:spacing w:before="241"/>
        <w:ind w:left="1198" w:right="0" w:firstLine="0"/>
        <w:jc w:val="left"/>
        <w:rPr>
          <w:sz w:val="20"/>
          <w:szCs w:val="20"/>
        </w:rPr>
      </w:pPr>
      <w:r>
        <w:rPr>
          <w:w w:val="95"/>
          <w:sz w:val="20"/>
          <w:szCs w:val="20"/>
        </w:rPr>
        <w:t>ϴ</w:t>
      </w:r>
      <w:r>
        <w:rPr>
          <w:spacing w:val="-16"/>
          <w:w w:val="95"/>
          <w:sz w:val="20"/>
          <w:szCs w:val="20"/>
        </w:rPr>
        <w:t> </w:t>
      </w:r>
      <w:r>
        <w:rPr>
          <w:w w:val="95"/>
          <w:sz w:val="20"/>
          <w:szCs w:val="20"/>
          <w:vertAlign w:val="subscript"/>
        </w:rPr>
        <w:t>theo</w:t>
      </w:r>
      <w:r>
        <w:rPr>
          <w:w w:val="95"/>
          <w:sz w:val="20"/>
          <w:szCs w:val="20"/>
          <w:vertAlign w:val="baseline"/>
        </w:rPr>
        <w:tab/>
      </w:r>
      <w:r>
        <w:rPr>
          <w:sz w:val="20"/>
          <w:szCs w:val="20"/>
          <w:vertAlign w:val="baseline"/>
        </w:rPr>
        <w:t>1.276</w:t>
        <w:tab/>
        <w:t>1.484</w:t>
        <w:tab/>
        <w:t>1.209</w:t>
      </w:r>
    </w:p>
    <w:p>
      <w:pPr>
        <w:tabs>
          <w:tab w:pos="3593" w:val="left" w:leader="none"/>
          <w:tab w:pos="5986" w:val="left" w:leader="none"/>
          <w:tab w:pos="8877" w:val="right" w:leader="none"/>
        </w:tabs>
        <w:spacing w:before="243"/>
        <w:ind w:left="1198" w:right="0" w:firstLine="0"/>
        <w:jc w:val="left"/>
        <w:rPr>
          <w:sz w:val="20"/>
        </w:rPr>
      </w:pPr>
      <w:r>
        <w:rPr>
          <w:sz w:val="20"/>
        </w:rPr>
        <w:t>R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ab/>
        <w:t>0.5772</w:t>
        <w:tab/>
        <w:t>0.004</w:t>
        <w:tab/>
        <w:t>0.172</w:t>
      </w:r>
    </w:p>
    <w:p>
      <w:pPr>
        <w:tabs>
          <w:tab w:pos="3593" w:val="left" w:leader="none"/>
          <w:tab w:pos="5986" w:val="left" w:leader="none"/>
          <w:tab w:pos="8382" w:val="left" w:leader="none"/>
        </w:tabs>
        <w:spacing w:before="241"/>
        <w:ind w:left="1198" w:right="0" w:firstLine="0"/>
        <w:jc w:val="left"/>
        <w:rPr>
          <w:sz w:val="20"/>
        </w:rPr>
      </w:pPr>
      <w:r>
        <w:rPr>
          <w:sz w:val="20"/>
        </w:rPr>
        <w:t>K</w:t>
      </w:r>
      <w:r>
        <w:rPr>
          <w:sz w:val="20"/>
          <w:vertAlign w:val="subscript"/>
        </w:rPr>
        <w:t>2</w:t>
      </w:r>
      <w:r>
        <w:rPr>
          <w:sz w:val="20"/>
          <w:vertAlign w:val="baseline"/>
        </w:rPr>
        <w:tab/>
        <w:t>-1.0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x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-3</w:t>
      </w:r>
      <w:r>
        <w:rPr>
          <w:sz w:val="20"/>
          <w:vertAlign w:val="baseline"/>
        </w:rPr>
        <w:tab/>
        <w:t>-4.0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-5</w:t>
      </w:r>
      <w:r>
        <w:rPr>
          <w:sz w:val="20"/>
          <w:vertAlign w:val="baseline"/>
        </w:rPr>
        <w:tab/>
        <w:t>-8.0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-4</w:t>
      </w:r>
    </w:p>
    <w:p>
      <w:pPr>
        <w:spacing w:before="241"/>
        <w:ind w:left="1198" w:right="0" w:firstLine="0"/>
        <w:jc w:val="left"/>
        <w:rPr>
          <w:sz w:val="20"/>
        </w:rPr>
      </w:pPr>
      <w:r>
        <w:rPr>
          <w:sz w:val="20"/>
        </w:rPr>
        <w:t>Ho</w:t>
      </w:r>
      <w:r>
        <w:rPr>
          <w:spacing w:val="-4"/>
          <w:sz w:val="20"/>
        </w:rPr>
        <w:t> </w:t>
      </w:r>
      <w:r>
        <w:rPr>
          <w:sz w:val="20"/>
        </w:rPr>
        <w:t>pseudo</w:t>
      </w:r>
      <w:r>
        <w:rPr>
          <w:spacing w:val="-1"/>
          <w:sz w:val="20"/>
        </w:rPr>
        <w:t> </w:t>
      </w:r>
      <w:r>
        <w:rPr>
          <w:sz w:val="20"/>
        </w:rPr>
        <w:t>second</w:t>
      </w:r>
      <w:r>
        <w:rPr>
          <w:spacing w:val="-4"/>
          <w:sz w:val="20"/>
        </w:rPr>
        <w:t> </w:t>
      </w:r>
      <w:r>
        <w:rPr>
          <w:sz w:val="20"/>
        </w:rPr>
        <w:t>order</w:t>
      </w:r>
    </w:p>
    <w:p>
      <w:pPr>
        <w:tabs>
          <w:tab w:pos="3593" w:val="left" w:leader="none"/>
          <w:tab w:pos="5986" w:val="left" w:leader="none"/>
          <w:tab w:pos="8987" w:val="right" w:leader="none"/>
        </w:tabs>
        <w:spacing w:before="241"/>
        <w:ind w:left="1198" w:right="0" w:firstLine="0"/>
        <w:jc w:val="left"/>
        <w:rPr>
          <w:sz w:val="20"/>
          <w:szCs w:val="20"/>
        </w:rPr>
      </w:pPr>
      <w:r>
        <w:rPr>
          <w:spacing w:val="-1"/>
          <w:sz w:val="20"/>
          <w:szCs w:val="20"/>
        </w:rPr>
        <w:t>ϴ</w:t>
      </w:r>
      <w:r>
        <w:rPr>
          <w:spacing w:val="-1"/>
          <w:sz w:val="20"/>
          <w:szCs w:val="20"/>
          <w:vertAlign w:val="subscript"/>
        </w:rPr>
        <w:t>o</w:t>
      </w:r>
      <w:r>
        <w:rPr>
          <w:spacing w:val="-23"/>
          <w:sz w:val="20"/>
          <w:szCs w:val="20"/>
          <w:vertAlign w:val="baseline"/>
        </w:rPr>
        <w:t> </w:t>
      </w:r>
      <w:r>
        <w:rPr>
          <w:spacing w:val="-1"/>
          <w:sz w:val="20"/>
          <w:szCs w:val="20"/>
          <w:vertAlign w:val="subscript"/>
        </w:rPr>
        <w:t>theo</w:t>
      </w:r>
      <w:r>
        <w:rPr>
          <w:spacing w:val="-1"/>
          <w:sz w:val="20"/>
          <w:szCs w:val="20"/>
          <w:vertAlign w:val="baseline"/>
        </w:rPr>
        <w:tab/>
      </w:r>
      <w:r>
        <w:rPr>
          <w:sz w:val="20"/>
          <w:szCs w:val="20"/>
          <w:vertAlign w:val="baseline"/>
        </w:rPr>
        <w:t>2.736</w:t>
        <w:tab/>
        <w:t>1.5323</w:t>
        <w:tab/>
        <w:t>1.4643</w:t>
      </w:r>
    </w:p>
    <w:p>
      <w:pPr>
        <w:tabs>
          <w:tab w:pos="3593" w:val="left" w:leader="none"/>
          <w:tab w:pos="5986" w:val="left" w:leader="none"/>
          <w:tab w:pos="8382" w:val="left" w:leader="none"/>
        </w:tabs>
        <w:spacing w:before="241"/>
        <w:ind w:left="1198" w:right="0" w:firstLine="0"/>
        <w:jc w:val="left"/>
        <w:rPr>
          <w:sz w:val="20"/>
        </w:rPr>
      </w:pPr>
      <w:r>
        <w:rPr>
          <w:sz w:val="20"/>
        </w:rPr>
        <w:t>K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ab/>
        <w:t>5.46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x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-3</w:t>
      </w:r>
      <w:r>
        <w:rPr>
          <w:sz w:val="20"/>
          <w:vertAlign w:val="baseline"/>
        </w:rPr>
        <w:tab/>
        <w:t>2.08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x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-1</w:t>
      </w:r>
      <w:r>
        <w:rPr>
          <w:sz w:val="20"/>
          <w:vertAlign w:val="baseline"/>
        </w:rPr>
        <w:tab/>
        <w:t>1.13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x 10</w:t>
      </w:r>
      <w:r>
        <w:rPr>
          <w:sz w:val="20"/>
          <w:vertAlign w:val="superscript"/>
        </w:rPr>
        <w:t>-1</w:t>
      </w:r>
    </w:p>
    <w:p>
      <w:pPr>
        <w:tabs>
          <w:tab w:pos="3593" w:val="left" w:leader="none"/>
          <w:tab w:pos="5986" w:val="left" w:leader="none"/>
          <w:tab w:pos="8987" w:val="right" w:leader="none"/>
        </w:tabs>
        <w:spacing w:before="241"/>
        <w:ind w:left="1198" w:right="0" w:firstLine="0"/>
        <w:jc w:val="left"/>
        <w:rPr>
          <w:sz w:val="20"/>
        </w:rPr>
      </w:pPr>
      <w:r>
        <w:rPr>
          <w:sz w:val="20"/>
        </w:rPr>
        <w:t>R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ab/>
        <w:t>0.6979</w:t>
        <w:tab/>
        <w:t>0.9862</w:t>
        <w:tab/>
        <w:t>0.9487</w:t>
      </w: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1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6"/>
        <w:gridCol w:w="1719"/>
        <w:gridCol w:w="2395"/>
        <w:gridCol w:w="1551"/>
      </w:tblGrid>
      <w:tr>
        <w:trPr>
          <w:trHeight w:val="361" w:hRule="atLeast"/>
        </w:trPr>
        <w:tc>
          <w:tcPr>
            <w:tcW w:w="2226" w:type="dxa"/>
          </w:tcPr>
          <w:p>
            <w:pPr>
              <w:pStyle w:val="TableParagraph"/>
              <w:spacing w:line="241" w:lineRule="exact"/>
              <w:ind w:left="50"/>
              <w:rPr>
                <w:sz w:val="20"/>
              </w:rPr>
            </w:pPr>
            <w:r>
              <w:rPr>
                <w:sz w:val="20"/>
              </w:rPr>
              <w:t>Intra-particle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diffusion</w:t>
            </w:r>
          </w:p>
        </w:tc>
        <w:tc>
          <w:tcPr>
            <w:tcW w:w="566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2226" w:type="dxa"/>
          </w:tcPr>
          <w:p>
            <w:pPr>
              <w:pStyle w:val="TableParagraph"/>
              <w:spacing w:line="240" w:lineRule="auto" w:before="120"/>
              <w:ind w:left="50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z w:val="20"/>
                <w:vertAlign w:val="subscript"/>
              </w:rPr>
              <w:t>d</w:t>
            </w:r>
          </w:p>
        </w:tc>
        <w:tc>
          <w:tcPr>
            <w:tcW w:w="1719" w:type="dxa"/>
          </w:tcPr>
          <w:p>
            <w:pPr>
              <w:pStyle w:val="TableParagraph"/>
              <w:spacing w:line="240" w:lineRule="auto" w:before="120"/>
              <w:ind w:left="219"/>
              <w:rPr>
                <w:sz w:val="20"/>
              </w:rPr>
            </w:pPr>
            <w:r>
              <w:rPr>
                <w:sz w:val="20"/>
              </w:rPr>
              <w:t>0.1139</w:t>
            </w:r>
          </w:p>
        </w:tc>
        <w:tc>
          <w:tcPr>
            <w:tcW w:w="2395" w:type="dxa"/>
          </w:tcPr>
          <w:p>
            <w:pPr>
              <w:pStyle w:val="TableParagraph"/>
              <w:spacing w:line="240" w:lineRule="auto" w:before="120"/>
              <w:ind w:left="874" w:right="874"/>
              <w:jc w:val="center"/>
              <w:rPr>
                <w:sz w:val="20"/>
              </w:rPr>
            </w:pPr>
            <w:r>
              <w:rPr>
                <w:sz w:val="20"/>
              </w:rPr>
              <w:t>0.0009</w:t>
            </w:r>
          </w:p>
        </w:tc>
        <w:tc>
          <w:tcPr>
            <w:tcW w:w="1551" w:type="dxa"/>
          </w:tcPr>
          <w:p>
            <w:pPr>
              <w:pStyle w:val="TableParagraph"/>
              <w:spacing w:line="240" w:lineRule="auto" w:before="120"/>
              <w:ind w:left="0" w:right="49"/>
              <w:jc w:val="right"/>
              <w:rPr>
                <w:sz w:val="20"/>
              </w:rPr>
            </w:pPr>
            <w:r>
              <w:rPr>
                <w:sz w:val="20"/>
              </w:rPr>
              <w:t>0.0302</w:t>
            </w:r>
          </w:p>
        </w:tc>
      </w:tr>
      <w:tr>
        <w:trPr>
          <w:trHeight w:val="482" w:hRule="atLeast"/>
        </w:trPr>
        <w:tc>
          <w:tcPr>
            <w:tcW w:w="2226" w:type="dxa"/>
          </w:tcPr>
          <w:p>
            <w:pPr>
              <w:pStyle w:val="TableParagraph"/>
              <w:spacing w:line="240" w:lineRule="auto" w:before="111"/>
              <w:ind w:left="50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1719" w:type="dxa"/>
          </w:tcPr>
          <w:p>
            <w:pPr>
              <w:pStyle w:val="TableParagraph"/>
              <w:spacing w:line="240" w:lineRule="auto" w:before="111"/>
              <w:ind w:left="219"/>
              <w:rPr>
                <w:sz w:val="20"/>
              </w:rPr>
            </w:pPr>
            <w:r>
              <w:rPr>
                <w:sz w:val="20"/>
              </w:rPr>
              <w:t>0.5064</w:t>
            </w:r>
          </w:p>
        </w:tc>
        <w:tc>
          <w:tcPr>
            <w:tcW w:w="2395" w:type="dxa"/>
          </w:tcPr>
          <w:p>
            <w:pPr>
              <w:pStyle w:val="TableParagraph"/>
              <w:spacing w:line="240" w:lineRule="auto" w:before="111"/>
              <w:ind w:left="874" w:right="874"/>
              <w:jc w:val="center"/>
              <w:rPr>
                <w:sz w:val="20"/>
              </w:rPr>
            </w:pPr>
            <w:r>
              <w:rPr>
                <w:sz w:val="20"/>
              </w:rPr>
              <w:t>0.0013</w:t>
            </w:r>
          </w:p>
        </w:tc>
        <w:tc>
          <w:tcPr>
            <w:tcW w:w="1551" w:type="dxa"/>
          </w:tcPr>
          <w:p>
            <w:pPr>
              <w:pStyle w:val="TableParagraph"/>
              <w:spacing w:line="240" w:lineRule="auto" w:before="111"/>
              <w:ind w:left="0" w:right="49"/>
              <w:jc w:val="right"/>
              <w:rPr>
                <w:sz w:val="20"/>
              </w:rPr>
            </w:pPr>
            <w:r>
              <w:rPr>
                <w:sz w:val="20"/>
              </w:rPr>
              <w:t>0.1611</w:t>
            </w:r>
          </w:p>
        </w:tc>
      </w:tr>
      <w:tr>
        <w:trPr>
          <w:trHeight w:val="353" w:hRule="atLeast"/>
        </w:trPr>
        <w:tc>
          <w:tcPr>
            <w:tcW w:w="2226" w:type="dxa"/>
          </w:tcPr>
          <w:p>
            <w:pPr>
              <w:pStyle w:val="TableParagraph"/>
              <w:spacing w:line="221" w:lineRule="exact" w:before="111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719" w:type="dxa"/>
          </w:tcPr>
          <w:p>
            <w:pPr>
              <w:pStyle w:val="TableParagraph"/>
              <w:spacing w:line="221" w:lineRule="exact" w:before="111"/>
              <w:ind w:left="219"/>
              <w:rPr>
                <w:sz w:val="20"/>
              </w:rPr>
            </w:pPr>
            <w:r>
              <w:rPr>
                <w:sz w:val="20"/>
              </w:rPr>
              <w:t>0.5093</w:t>
            </w:r>
          </w:p>
        </w:tc>
        <w:tc>
          <w:tcPr>
            <w:tcW w:w="2395" w:type="dxa"/>
          </w:tcPr>
          <w:p>
            <w:pPr>
              <w:pStyle w:val="TableParagraph"/>
              <w:spacing w:line="221" w:lineRule="exact" w:before="111"/>
              <w:ind w:left="874" w:right="874"/>
              <w:jc w:val="center"/>
              <w:rPr>
                <w:sz w:val="20"/>
              </w:rPr>
            </w:pPr>
            <w:r>
              <w:rPr>
                <w:sz w:val="20"/>
              </w:rPr>
              <w:t>1.4839</w:t>
            </w:r>
          </w:p>
        </w:tc>
        <w:tc>
          <w:tcPr>
            <w:tcW w:w="1551" w:type="dxa"/>
          </w:tcPr>
          <w:p>
            <w:pPr>
              <w:pStyle w:val="TableParagraph"/>
              <w:spacing w:line="221" w:lineRule="exact" w:before="111"/>
              <w:ind w:left="0" w:right="49"/>
              <w:jc w:val="right"/>
              <w:rPr>
                <w:sz w:val="20"/>
              </w:rPr>
            </w:pPr>
            <w:r>
              <w:rPr>
                <w:sz w:val="20"/>
              </w:rPr>
              <w:t>1.0639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rect style="position:absolute;margin-left:74.784004pt;margin-top:14.471286pt;width:479.596023pt;height:.479pt;mso-position-horizontal-relative:page;mso-position-vertical-relative:paragraph;z-index:-156825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spacing w:line="480" w:lineRule="auto" w:before="115"/>
        <w:ind w:left="1198" w:right="575"/>
        <w:jc w:val="both"/>
      </w:pPr>
      <w:r>
        <w:rPr/>
        <w:t>The</w:t>
      </w:r>
      <w:r>
        <w:rPr>
          <w:spacing w:val="1"/>
        </w:rPr>
        <w:t> </w:t>
      </w:r>
      <w:r>
        <w:rPr/>
        <w:t>very low</w:t>
      </w:r>
      <w:r>
        <w:rPr>
          <w:spacing w:val="1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for lagergren</w:t>
      </w:r>
      <w:r>
        <w:rPr>
          <w:spacing w:val="1"/>
          <w:vertAlign w:val="baseline"/>
        </w:rPr>
        <w:t> </w:t>
      </w:r>
      <w:r>
        <w:rPr>
          <w:vertAlign w:val="baseline"/>
        </w:rPr>
        <w:t>pseudo</w:t>
      </w:r>
      <w:r>
        <w:rPr>
          <w:spacing w:val="1"/>
          <w:vertAlign w:val="baseline"/>
        </w:rPr>
        <w:t> </w:t>
      </w:r>
      <w:r>
        <w:rPr>
          <w:vertAlign w:val="baseline"/>
        </w:rPr>
        <w:t>first-order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expression at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studied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temperatures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suggests that it is not appropriate to use this kinetics to represent the acetylation of mango</w:t>
      </w:r>
      <w:r>
        <w:rPr>
          <w:spacing w:val="-72"/>
          <w:vertAlign w:val="baseline"/>
        </w:rPr>
        <w:t> </w:t>
      </w:r>
      <w:r>
        <w:rPr>
          <w:vertAlign w:val="baseline"/>
        </w:rPr>
        <w:t>kernel. It was observed that the pseudo first order and second order model (Table 3.14)</w:t>
      </w:r>
      <w:r>
        <w:rPr>
          <w:spacing w:val="1"/>
          <w:vertAlign w:val="baseline"/>
        </w:rPr>
        <w:t> </w:t>
      </w:r>
      <w:r>
        <w:rPr>
          <w:vertAlign w:val="baseline"/>
        </w:rPr>
        <w:t>was able to produce</w:t>
      </w:r>
      <w:r>
        <w:rPr>
          <w:spacing w:val="1"/>
          <w:vertAlign w:val="baseline"/>
        </w:rPr>
        <w:t> </w:t>
      </w:r>
      <w:r>
        <w:rPr>
          <w:vertAlign w:val="baseline"/>
        </w:rPr>
        <w:t>moderate</w:t>
      </w:r>
      <w:r>
        <w:rPr>
          <w:spacing w:val="75"/>
          <w:vertAlign w:val="baseline"/>
        </w:rPr>
        <w:t> </w:t>
      </w:r>
      <w:r>
        <w:rPr>
          <w:vertAlign w:val="baseline"/>
        </w:rPr>
        <w:t>fit to experimental data at 100</w:t>
      </w:r>
      <w:r>
        <w:rPr>
          <w:vertAlign w:val="superscript"/>
        </w:rPr>
        <w:t>o</w:t>
      </w:r>
      <w:r>
        <w:rPr>
          <w:vertAlign w:val="baseline"/>
        </w:rPr>
        <w:t>C. We cannot say for sure</w:t>
      </w:r>
      <w:r>
        <w:rPr>
          <w:spacing w:val="1"/>
          <w:vertAlign w:val="baseline"/>
        </w:rPr>
        <w:t> </w:t>
      </w:r>
      <w:r>
        <w:rPr>
          <w:vertAlign w:val="baseline"/>
        </w:rPr>
        <w:t>the mechanisms at 60</w:t>
      </w:r>
      <w:r>
        <w:rPr>
          <w:vertAlign w:val="superscript"/>
        </w:rPr>
        <w:t>o</w:t>
      </w:r>
      <w:r>
        <w:rPr>
          <w:vertAlign w:val="baseline"/>
        </w:rPr>
        <w:t>C and 30</w:t>
      </w:r>
      <w:r>
        <w:rPr>
          <w:vertAlign w:val="superscript"/>
        </w:rPr>
        <w:t>o</w:t>
      </w:r>
      <w:r>
        <w:rPr>
          <w:vertAlign w:val="baseline"/>
        </w:rPr>
        <w:t>C because of the very low R</w:t>
      </w:r>
      <w:r>
        <w:rPr>
          <w:vertAlign w:val="superscript"/>
        </w:rPr>
        <w:t>2</w:t>
      </w:r>
      <w:r>
        <w:rPr>
          <w:vertAlign w:val="baseline"/>
        </w:rPr>
        <w:t> values. However, the very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rFonts w:ascii="Times New Roman"/>
          <w:vertAlign w:val="baseline"/>
        </w:rPr>
        <w:t>&gt;</w:t>
      </w:r>
      <w:r>
        <w:rPr>
          <w:rFonts w:ascii="Times New Roman"/>
          <w:spacing w:val="1"/>
          <w:vertAlign w:val="baseline"/>
        </w:rPr>
        <w:t> </w:t>
      </w:r>
      <w:r>
        <w:rPr>
          <w:vertAlign w:val="baseline"/>
        </w:rPr>
        <w:t>0.6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cases)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Ho</w:t>
      </w:r>
      <w:r>
        <w:rPr>
          <w:spacing w:val="1"/>
          <w:vertAlign w:val="baseline"/>
        </w:rPr>
        <w:t> </w:t>
      </w:r>
      <w:r>
        <w:rPr>
          <w:vertAlign w:val="baseline"/>
        </w:rPr>
        <w:t>pseudo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second-order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studied suggests that pseudo second-order kinetic expression is the optimum</w:t>
      </w:r>
      <w:r>
        <w:rPr>
          <w:spacing w:val="1"/>
          <w:vertAlign w:val="baseline"/>
        </w:rPr>
        <w:t> </w:t>
      </w:r>
      <w:r>
        <w:rPr>
          <w:vertAlign w:val="baseline"/>
        </w:rPr>
        <w:t>kinetic expression to represent the acetylation of mango kernel. It was also observed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as temperature increased the theoretical extent of acetylation also increased, showing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compatibility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ingredients with</w:t>
      </w:r>
      <w:r>
        <w:rPr>
          <w:spacing w:val="-1"/>
          <w:vertAlign w:val="baseline"/>
        </w:rPr>
        <w:t> </w:t>
      </w:r>
      <w:r>
        <w:rPr>
          <w:vertAlign w:val="baseline"/>
        </w:rPr>
        <w:t>temperature.</w:t>
      </w:r>
    </w:p>
    <w:p>
      <w:pPr>
        <w:pStyle w:val="BodyText"/>
        <w:spacing w:line="480" w:lineRule="auto" w:before="1"/>
        <w:ind w:left="1198" w:right="578"/>
        <w:jc w:val="both"/>
      </w:pPr>
      <w:r>
        <w:rPr/>
        <w:t>Intra-particle diffusion model was also used to further study the mechanism of mango</w:t>
      </w:r>
      <w:r>
        <w:rPr>
          <w:spacing w:val="1"/>
        </w:rPr>
        <w:t> </w:t>
      </w:r>
      <w:r>
        <w:rPr/>
        <w:t>kernel</w:t>
      </w:r>
      <w:r>
        <w:rPr>
          <w:spacing w:val="25"/>
        </w:rPr>
        <w:t> </w:t>
      </w:r>
      <w:r>
        <w:rPr/>
        <w:t>acetylation.</w:t>
      </w:r>
      <w:r>
        <w:rPr>
          <w:spacing w:val="25"/>
        </w:rPr>
        <w:t> </w:t>
      </w:r>
      <w:r>
        <w:rPr/>
        <w:t>Likewise,</w:t>
      </w:r>
      <w:r>
        <w:rPr>
          <w:spacing w:val="25"/>
        </w:rPr>
        <w:t> </w:t>
      </w:r>
      <w:r>
        <w:rPr/>
        <w:t>coefficient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regression,</w:t>
      </w:r>
      <w:r>
        <w:rPr>
          <w:spacing w:val="24"/>
        </w:rPr>
        <w:t> </w:t>
      </w:r>
      <w:r>
        <w:rPr/>
        <w:t>values</w:t>
      </w:r>
      <w:r>
        <w:rPr>
          <w:spacing w:val="26"/>
        </w:rPr>
        <w:t> </w:t>
      </w:r>
      <w:r>
        <w:rPr/>
        <w:t>(R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25"/>
          <w:vertAlign w:val="baseline"/>
        </w:rPr>
        <w:t> </w:t>
      </w:r>
      <w:r>
        <w:rPr>
          <w:vertAlign w:val="baseline"/>
        </w:rPr>
        <w:t>are</w:t>
      </w:r>
      <w:r>
        <w:rPr>
          <w:spacing w:val="26"/>
          <w:vertAlign w:val="baseline"/>
        </w:rPr>
        <w:t> </w:t>
      </w:r>
      <w:r>
        <w:rPr>
          <w:vertAlign w:val="baseline"/>
        </w:rPr>
        <w:t>within</w:t>
      </w:r>
      <w:r>
        <w:rPr>
          <w:spacing w:val="27"/>
          <w:vertAlign w:val="baseline"/>
        </w:rPr>
        <w:t> </w:t>
      </w:r>
      <w:r>
        <w:rPr>
          <w:vertAlign w:val="baseline"/>
        </w:rPr>
        <w:t>0.43</w:t>
      </w:r>
      <w:r>
        <w:rPr>
          <w:spacing w:val="27"/>
          <w:vertAlign w:val="baseline"/>
        </w:rPr>
        <w:t> </w:t>
      </w:r>
      <w:r>
        <w:rPr>
          <w:vertAlign w:val="baseline"/>
        </w:rPr>
        <w:t>≤</w:t>
      </w:r>
      <w:r>
        <w:rPr>
          <w:spacing w:val="26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≤</w:t>
      </w:r>
    </w:p>
    <w:p>
      <w:pPr>
        <w:pStyle w:val="BodyText"/>
        <w:spacing w:line="477" w:lineRule="auto" w:before="1"/>
        <w:ind w:left="1198" w:right="575"/>
        <w:jc w:val="both"/>
      </w:pPr>
      <w:r>
        <w:rPr/>
        <w:t>0.83 which are moderate and high (Dowine and Heath, 1974). This therefore implies that</w:t>
      </w:r>
      <w:r>
        <w:rPr>
          <w:spacing w:val="1"/>
        </w:rPr>
        <w:t> </w:t>
      </w:r>
      <w:r>
        <w:rPr/>
        <w:t>mango kernel acetylation mechanism at 100</w:t>
      </w:r>
      <w:r>
        <w:rPr>
          <w:vertAlign w:val="superscript"/>
        </w:rPr>
        <w:t>o</w:t>
      </w:r>
      <w:r>
        <w:rPr>
          <w:vertAlign w:val="baseline"/>
        </w:rPr>
        <w:t>C is due intra-particle diffusion. Data obtained</w:t>
      </w:r>
      <w:r>
        <w:rPr>
          <w:spacing w:val="-72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60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value,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1"/>
          <w:vertAlign w:val="baseline"/>
        </w:rPr>
        <w:t> </w:t>
      </w:r>
      <w:r>
        <w:rPr>
          <w:vertAlign w:val="baseline"/>
        </w:rPr>
        <w:t>we</w:t>
      </w:r>
      <w:r>
        <w:rPr>
          <w:spacing w:val="1"/>
          <w:vertAlign w:val="baseline"/>
        </w:rPr>
        <w:t> </w:t>
      </w:r>
      <w:r>
        <w:rPr>
          <w:vertAlign w:val="baseline"/>
        </w:rPr>
        <w:t>cannot</w:t>
      </w:r>
      <w:r>
        <w:rPr>
          <w:spacing w:val="1"/>
          <w:vertAlign w:val="baseline"/>
        </w:rPr>
        <w:t> </w:t>
      </w:r>
      <w:r>
        <w:rPr>
          <w:vertAlign w:val="baseline"/>
        </w:rPr>
        <w:t>say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sure</w:t>
      </w:r>
      <w:r>
        <w:rPr>
          <w:spacing w:val="1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vertAlign w:val="baseline"/>
        </w:rPr>
        <w:t>diffusion</w:t>
      </w:r>
      <w:r>
        <w:rPr>
          <w:spacing w:val="-72"/>
          <w:vertAlign w:val="baseline"/>
        </w:rPr>
        <w:t> </w:t>
      </w:r>
      <w:r>
        <w:rPr>
          <w:vertAlign w:val="baseline"/>
        </w:rPr>
        <w:t>mechanism is involved. It was expected that the plot of </w:t>
      </w:r>
      <w:r>
        <w:rPr>
          <w:rFonts w:ascii="Times New Roman" w:hAnsi="Times New Roman" w:cs="Times New Roman" w:eastAsia="Times New Roman"/>
          <w:vertAlign w:val="baseline"/>
        </w:rPr>
        <w:t>ϴ</w:t>
      </w:r>
      <w:r>
        <w:rPr>
          <w:vertAlign w:val="subscript"/>
        </w:rPr>
        <w:t>t</w:t>
      </w:r>
      <w:r>
        <w:rPr>
          <w:vertAlign w:val="baseline"/>
        </w:rPr>
        <w:t> versus t</w:t>
      </w:r>
      <w:r>
        <w:rPr>
          <w:vertAlign w:val="superscript"/>
        </w:rPr>
        <w:t>1/2</w:t>
      </w:r>
      <w:r>
        <w:rPr>
          <w:vertAlign w:val="baseline"/>
        </w:rPr>
        <w:t> would give linear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 when intra-particle diffusion is involved in the acetylation processes and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intra-particle diffusion would be the controlling mechanism if the line passed through the</w:t>
      </w:r>
      <w:r>
        <w:rPr>
          <w:spacing w:val="1"/>
          <w:vertAlign w:val="baseline"/>
        </w:rPr>
        <w:t> </w:t>
      </w:r>
      <w:r>
        <w:rPr>
          <w:vertAlign w:val="baseline"/>
        </w:rPr>
        <w:t>origin [Hill </w:t>
      </w:r>
      <w:r>
        <w:rPr>
          <w:sz w:val="25"/>
          <w:szCs w:val="25"/>
          <w:vertAlign w:val="baseline"/>
        </w:rPr>
        <w:t>et al</w:t>
      </w:r>
      <w:r>
        <w:rPr>
          <w:vertAlign w:val="baseline"/>
        </w:rPr>
        <w:t>., 1998; Igwe and Abia, 2006; Krishnaiah </w:t>
      </w:r>
      <w:r>
        <w:rPr>
          <w:sz w:val="25"/>
          <w:szCs w:val="25"/>
          <w:vertAlign w:val="baseline"/>
        </w:rPr>
        <w:t>et al</w:t>
      </w:r>
      <w:r>
        <w:rPr>
          <w:vertAlign w:val="baseline"/>
        </w:rPr>
        <w:t>., 2008]. However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case where the plots did not pass through the origin, the reason has been suggested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intra-particle diffusion was not the only mechanism involved in the acetylation 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some</w:t>
      </w:r>
      <w:r>
        <w:rPr>
          <w:spacing w:val="-1"/>
          <w:vertAlign w:val="baseline"/>
        </w:rPr>
        <w:t> </w:t>
      </w:r>
      <w:r>
        <w:rPr>
          <w:vertAlign w:val="baseline"/>
        </w:rPr>
        <w:t>degree of</w:t>
      </w:r>
      <w:r>
        <w:rPr>
          <w:spacing w:val="1"/>
          <w:vertAlign w:val="baseline"/>
        </w:rPr>
        <w:t> </w:t>
      </w:r>
      <w:r>
        <w:rPr>
          <w:vertAlign w:val="baseline"/>
        </w:rPr>
        <w:t>boundary</w:t>
      </w:r>
      <w:r>
        <w:rPr>
          <w:spacing w:val="-1"/>
          <w:vertAlign w:val="baseline"/>
        </w:rPr>
        <w:t> </w:t>
      </w:r>
      <w:r>
        <w:rPr>
          <w:vertAlign w:val="baseline"/>
        </w:rPr>
        <w:t>layer</w:t>
      </w:r>
      <w:r>
        <w:rPr>
          <w:spacing w:val="-2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-1"/>
          <w:vertAlign w:val="baseline"/>
        </w:rPr>
        <w:t> </w:t>
      </w:r>
      <w:r>
        <w:rPr>
          <w:vertAlign w:val="baseline"/>
        </w:rPr>
        <w:t>[Bulut</w:t>
      </w:r>
      <w:r>
        <w:rPr>
          <w:spacing w:val="-1"/>
          <w:vertAlign w:val="baseline"/>
        </w:rPr>
        <w:t> </w:t>
      </w:r>
      <w:r>
        <w:rPr>
          <w:sz w:val="25"/>
          <w:szCs w:val="25"/>
          <w:vertAlign w:val="baseline"/>
        </w:rPr>
        <w:t>et</w:t>
      </w:r>
      <w:r>
        <w:rPr>
          <w:spacing w:val="-6"/>
          <w:sz w:val="25"/>
          <w:szCs w:val="25"/>
          <w:vertAlign w:val="baseline"/>
        </w:rPr>
        <w:t> </w:t>
      </w:r>
      <w:r>
        <w:rPr>
          <w:sz w:val="25"/>
          <w:szCs w:val="25"/>
          <w:vertAlign w:val="baseline"/>
        </w:rPr>
        <w:t>al.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2008].</w:t>
      </w:r>
    </w:p>
    <w:p>
      <w:pPr>
        <w:pStyle w:val="BodyText"/>
        <w:spacing w:line="271" w:lineRule="exact"/>
        <w:ind w:left="1198"/>
        <w:jc w:val="both"/>
      </w:pP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results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physicochemical</w:t>
      </w:r>
      <w:r>
        <w:rPr>
          <w:spacing w:val="6"/>
        </w:rPr>
        <w:t> </w:t>
      </w:r>
      <w:r>
        <w:rPr/>
        <w:t>analysis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mango</w:t>
      </w:r>
      <w:r>
        <w:rPr>
          <w:spacing w:val="5"/>
        </w:rPr>
        <w:t> </w:t>
      </w:r>
      <w:r>
        <w:rPr/>
        <w:t>kernel,</w:t>
      </w:r>
      <w:r>
        <w:rPr>
          <w:spacing w:val="3"/>
        </w:rPr>
        <w:t> </w:t>
      </w:r>
      <w:r>
        <w:rPr/>
        <w:t>it</w:t>
      </w:r>
      <w:r>
        <w:rPr>
          <w:spacing w:val="6"/>
        </w:rPr>
        <w:t> </w:t>
      </w:r>
      <w:r>
        <w:rPr/>
        <w:t>was</w:t>
      </w:r>
      <w:r>
        <w:rPr>
          <w:spacing w:val="6"/>
        </w:rPr>
        <w:t> </w:t>
      </w:r>
      <w:r>
        <w:rPr/>
        <w:t>observed</w:t>
      </w:r>
      <w:r>
        <w:rPr>
          <w:spacing w:val="3"/>
        </w:rPr>
        <w:t> </w:t>
      </w:r>
      <w:r>
        <w:rPr/>
        <w:t>that</w:t>
      </w:r>
      <w:r>
        <w:rPr>
          <w:spacing w:val="5"/>
        </w:rPr>
        <w:t> </w:t>
      </w:r>
      <w:r>
        <w:rPr/>
        <w:t>mango</w:t>
      </w:r>
    </w:p>
    <w:p>
      <w:pPr>
        <w:pStyle w:val="BodyText"/>
        <w:spacing w:before="1"/>
      </w:pPr>
    </w:p>
    <w:p>
      <w:pPr>
        <w:pStyle w:val="BodyText"/>
        <w:ind w:left="1198"/>
        <w:jc w:val="both"/>
      </w:pPr>
      <w:r>
        <w:rPr/>
        <w:t>kernel</w:t>
      </w:r>
      <w:r>
        <w:rPr>
          <w:spacing w:val="4"/>
        </w:rPr>
        <w:t> </w:t>
      </w:r>
      <w:r>
        <w:rPr/>
        <w:t>has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high</w:t>
      </w:r>
      <w:r>
        <w:rPr>
          <w:spacing w:val="5"/>
        </w:rPr>
        <w:t> </w:t>
      </w:r>
      <w:r>
        <w:rPr/>
        <w:t>density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less</w:t>
      </w:r>
      <w:r>
        <w:rPr>
          <w:spacing w:val="5"/>
        </w:rPr>
        <w:t> </w:t>
      </w:r>
      <w:r>
        <w:rPr/>
        <w:t>pores.</w:t>
      </w:r>
      <w:r>
        <w:rPr>
          <w:spacing w:val="4"/>
        </w:rPr>
        <w:t> </w:t>
      </w:r>
      <w:r>
        <w:rPr/>
        <w:t>This</w:t>
      </w:r>
      <w:r>
        <w:rPr>
          <w:spacing w:val="5"/>
        </w:rPr>
        <w:t> </w:t>
      </w:r>
      <w:r>
        <w:rPr/>
        <w:t>indicates</w:t>
      </w:r>
      <w:r>
        <w:rPr>
          <w:spacing w:val="6"/>
        </w:rPr>
        <w:t> </w:t>
      </w:r>
      <w:r>
        <w:rPr/>
        <w:t>that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material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heavy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</w:p>
    <w:p>
      <w:pPr>
        <w:spacing w:after="0"/>
        <w:jc w:val="both"/>
        <w:sectPr>
          <w:pgSz w:w="11910" w:h="16840"/>
          <w:pgMar w:header="0" w:footer="987" w:top="1100" w:bottom="1260" w:left="420" w:right="0"/>
        </w:sectPr>
      </w:pPr>
    </w:p>
    <w:p>
      <w:pPr>
        <w:pStyle w:val="BodyText"/>
        <w:spacing w:line="482" w:lineRule="auto" w:before="75"/>
        <w:ind w:left="1198" w:right="578"/>
        <w:jc w:val="both"/>
      </w:pPr>
      <w:r>
        <w:rPr/>
        <w:t>result, requires more critical condition for acetylation. This might account for the reason</w:t>
      </w:r>
      <w:r>
        <w:rPr>
          <w:spacing w:val="1"/>
        </w:rPr>
        <w:t> </w:t>
      </w:r>
      <w:r>
        <w:rPr/>
        <w:t>why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30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60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2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not accounted.</w:t>
      </w:r>
    </w:p>
    <w:p>
      <w:pPr>
        <w:pStyle w:val="BodyText"/>
        <w:spacing w:line="475" w:lineRule="auto"/>
        <w:ind w:left="1198" w:right="576" w:firstLine="719"/>
        <w:jc w:val="both"/>
      </w:pPr>
      <w:r>
        <w:rPr/>
        <w:t>Results, from our kinetic studies revealed that acetylation of mango kernel is by</w:t>
      </w:r>
      <w:r>
        <w:rPr>
          <w:spacing w:val="1"/>
        </w:rPr>
        <w:t> </w:t>
      </w:r>
      <w:r>
        <w:rPr/>
        <w:t>surface reaction and diffusion into the inner surfaces of mango kernel. This is in agreement</w:t>
      </w:r>
      <w:r>
        <w:rPr>
          <w:spacing w:val="-72"/>
        </w:rPr>
        <w:t> </w:t>
      </w:r>
      <w:r>
        <w:rPr/>
        <w:t>with</w:t>
      </w:r>
      <w:r>
        <w:rPr>
          <w:spacing w:val="-1"/>
        </w:rPr>
        <w:t> </w:t>
      </w:r>
      <w:r>
        <w:rPr/>
        <w:t>results elsewhere</w:t>
      </w:r>
      <w:r>
        <w:rPr>
          <w:spacing w:val="-4"/>
        </w:rPr>
        <w:t> </w:t>
      </w:r>
      <w:r>
        <w:rPr/>
        <w:t>[Hill</w:t>
      </w:r>
      <w:r>
        <w:rPr>
          <w:spacing w:val="2"/>
        </w:rPr>
        <w:t>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1"/>
        </w:rPr>
        <w:t> </w:t>
      </w:r>
      <w:r>
        <w:rPr/>
        <w:t>1998].</w:t>
      </w:r>
    </w:p>
    <w:p>
      <w:pPr>
        <w:spacing w:after="0" w:line="475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numPr>
          <w:ilvl w:val="1"/>
          <w:numId w:val="12"/>
        </w:numPr>
        <w:tabs>
          <w:tab w:pos="1917" w:val="left" w:leader="none"/>
          <w:tab w:pos="1918" w:val="left" w:leader="none"/>
        </w:tabs>
        <w:spacing w:line="240" w:lineRule="auto" w:before="75" w:after="0"/>
        <w:ind w:left="1918" w:right="0" w:hanging="646"/>
        <w:jc w:val="left"/>
      </w:pPr>
      <w:r>
        <w:rPr/>
        <w:t>Thermodynamics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acetylation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12"/>
        </w:numPr>
        <w:tabs>
          <w:tab w:pos="1918" w:val="left" w:leader="none"/>
        </w:tabs>
        <w:spacing w:line="240" w:lineRule="auto" w:before="1" w:after="0"/>
        <w:ind w:left="1918" w:right="0" w:hanging="720"/>
        <w:jc w:val="left"/>
        <w:rPr>
          <w:b/>
          <w:sz w:val="24"/>
        </w:rPr>
      </w:pPr>
      <w:r>
        <w:rPr>
          <w:b/>
          <w:sz w:val="24"/>
        </w:rPr>
        <w:t>Thermodynamics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cob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acetylation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98" w:right="575" w:firstLine="719"/>
      </w:pPr>
      <w:r>
        <w:rPr/>
        <w:t>The</w:t>
      </w:r>
      <w:r>
        <w:rPr>
          <w:spacing w:val="20"/>
        </w:rPr>
        <w:t> </w:t>
      </w:r>
      <w:r>
        <w:rPr/>
        <w:t>thermodynamics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corn</w:t>
      </w:r>
      <w:r>
        <w:rPr>
          <w:spacing w:val="21"/>
        </w:rPr>
        <w:t> </w:t>
      </w:r>
      <w:r>
        <w:rPr/>
        <w:t>cob</w:t>
      </w:r>
      <w:r>
        <w:rPr>
          <w:spacing w:val="20"/>
        </w:rPr>
        <w:t> </w:t>
      </w:r>
      <w:r>
        <w:rPr/>
        <w:t>acetylation</w:t>
      </w:r>
      <w:r>
        <w:rPr>
          <w:spacing w:val="19"/>
        </w:rPr>
        <w:t> </w:t>
      </w:r>
      <w:r>
        <w:rPr/>
        <w:t>was</w:t>
      </w:r>
      <w:r>
        <w:rPr>
          <w:spacing w:val="19"/>
        </w:rPr>
        <w:t> </w:t>
      </w:r>
      <w:r>
        <w:rPr/>
        <w:t>studied</w:t>
      </w:r>
      <w:r>
        <w:rPr>
          <w:spacing w:val="18"/>
        </w:rPr>
        <w:t> </w:t>
      </w:r>
      <w:r>
        <w:rPr/>
        <w:t>using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Clausius</w:t>
      </w:r>
      <w:r>
        <w:rPr>
          <w:spacing w:val="-72"/>
        </w:rPr>
        <w:t> </w:t>
      </w:r>
      <w:r>
        <w:rPr/>
        <w:t>Clapeyron</w:t>
      </w:r>
      <w:r>
        <w:rPr>
          <w:spacing w:val="-3"/>
        </w:rPr>
        <w:t> </w:t>
      </w:r>
      <w:r>
        <w:rPr/>
        <w:t>equation (Eq.</w:t>
      </w:r>
      <w:r>
        <w:rPr>
          <w:spacing w:val="-3"/>
        </w:rPr>
        <w:t> </w:t>
      </w:r>
      <w:r>
        <w:rPr/>
        <w:t>2.19).</w:t>
      </w:r>
      <w:r>
        <w:rPr>
          <w:spacing w:val="-2"/>
        </w:rPr>
        <w:t> </w:t>
      </w:r>
      <w:r>
        <w:rPr/>
        <w:t>Figure</w:t>
      </w:r>
      <w:r>
        <w:rPr>
          <w:spacing w:val="-1"/>
        </w:rPr>
        <w:t> </w:t>
      </w:r>
      <w:r>
        <w:rPr/>
        <w:t>3.25</w:t>
      </w:r>
      <w:r>
        <w:rPr>
          <w:spacing w:val="-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 plots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2.19c.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83.993835pt;margin-top:10.555311pt;width:499.1pt;height:463.9pt;mso-position-horizontal-relative:page;mso-position-vertical-relative:paragraph;z-index:-15681024;mso-wrap-distance-left:0;mso-wrap-distance-right:0" coordorigin="1680,211" coordsize="9982,9278">
            <v:rect style="position:absolute;left:1691;top:222;width:9960;height:9256" filled="false" stroked="true" strokeweight=".998775pt" strokecolor="#000000">
              <v:stroke dashstyle="solid"/>
            </v:rect>
            <v:shape style="position:absolute;left:3453;top:876;width:8073;height:6689" coordorigin="3453,876" coordsize="8073,6689" path="m3541,876l3541,7392m3453,7416l3527,7416m3453,6701l3527,6701m3453,5961l3527,5961m3453,5244l3527,5244m3453,4504l3527,4504m3453,3789l3527,3789m3453,3048l3527,3048m3453,2333l3527,2333m3453,1593l3527,1593m3453,876l3527,876m3541,7416l11511,7416m3541,7565l3541,7441m5135,7565l5135,7441m6729,7565l6729,7441m8338,7565l8338,7441m9932,7565l9932,7441m11526,7565l11526,7441e" filled="false" stroked="true" strokeweight=".980447pt" strokecolor="#000000">
              <v:path arrowok="t"/>
              <v:stroke dashstyle="solid"/>
            </v:shape>
            <v:shape style="position:absolute;left:4301;top:1740;width:6464;height:5739" coordorigin="4302,1740" coordsize="6464,5739" path="m4346,6627l4389,6701,4346,6775,4302,6701,4346,6627xm5940,1740l5983,1814,5940,1889,5896,1814,5940,1740xm7534,7342l7578,7416,7541,7479m7527,7479l7490,7416,7534,7342m10722,5911l10766,5985,10722,6059,10678,5985,10722,5911xe" filled="false" stroked="true" strokeweight=".980447pt" strokecolor="#000000">
              <v:path arrowok="t"/>
              <v:stroke dashstyle="solid"/>
            </v:shape>
            <v:line style="position:absolute" from="4338,5011" to="10715,6047" stroked="true" strokeweight="2.435694pt" strokecolor="#000000">
              <v:stroke dashstyle="solid"/>
            </v:line>
            <v:rect style="position:absolute;left:1691;top:222;width:9960;height:9256" filled="false" stroked="true" strokeweight=".998775pt" strokecolor="#000000">
              <v:stroke dashstyle="solid"/>
            </v:rect>
            <v:shape style="position:absolute;left:1749;top:612;width:1579;height:7064" type="#_x0000_t202" filled="false" stroked="false">
              <v:textbox inset="0,0,0,0">
                <w:txbxContent>
                  <w:p>
                    <w:pPr>
                      <w:spacing w:line="524" w:lineRule="exact" w:before="0"/>
                      <w:ind w:left="1009" w:right="0" w:firstLine="0"/>
                      <w:jc w:val="lef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w w:val="60"/>
                        <w:sz w:val="47"/>
                      </w:rPr>
                      <w:t>0.09</w:t>
                    </w:r>
                  </w:p>
                  <w:p>
                    <w:pPr>
                      <w:spacing w:before="175"/>
                      <w:ind w:left="1009" w:right="0" w:firstLine="0"/>
                      <w:jc w:val="lef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w w:val="60"/>
                        <w:sz w:val="47"/>
                      </w:rPr>
                      <w:t>0.08</w:t>
                    </w:r>
                  </w:p>
                  <w:p>
                    <w:pPr>
                      <w:spacing w:before="200"/>
                      <w:ind w:left="1009" w:right="0" w:firstLine="0"/>
                      <w:jc w:val="lef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w w:val="60"/>
                        <w:sz w:val="47"/>
                      </w:rPr>
                      <w:t>0.07</w:t>
                    </w:r>
                  </w:p>
                  <w:p>
                    <w:pPr>
                      <w:spacing w:before="175"/>
                      <w:ind w:left="1009" w:right="0" w:firstLine="0"/>
                      <w:jc w:val="lef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w w:val="60"/>
                        <w:sz w:val="47"/>
                      </w:rPr>
                      <w:t>0.06</w:t>
                    </w:r>
                  </w:p>
                  <w:p>
                    <w:pPr>
                      <w:spacing w:before="200"/>
                      <w:ind w:left="1009" w:right="0" w:firstLine="0"/>
                      <w:jc w:val="lef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w w:val="60"/>
                        <w:sz w:val="47"/>
                      </w:rPr>
                      <w:t>0.05</w:t>
                    </w:r>
                  </w:p>
                  <w:p>
                    <w:pPr>
                      <w:spacing w:line="175" w:lineRule="auto" w:before="278"/>
                      <w:ind w:left="0" w:right="0" w:firstLine="0"/>
                      <w:jc w:val="lef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w w:val="55"/>
                        <w:position w:val="-21"/>
                        <w:sz w:val="64"/>
                      </w:rPr>
                      <w:t>ln</w:t>
                    </w:r>
                    <w:r>
                      <w:rPr>
                        <w:rFonts w:ascii="Arial"/>
                        <w:b/>
                        <w:spacing w:val="34"/>
                        <w:w w:val="55"/>
                        <w:position w:val="-21"/>
                        <w:sz w:val="64"/>
                      </w:rPr>
                      <w:t> </w:t>
                    </w:r>
                    <w:r>
                      <w:rPr>
                        <w:rFonts w:ascii="Arial"/>
                        <w:b/>
                        <w:strike/>
                        <w:w w:val="55"/>
                        <w:position w:val="-21"/>
                        <w:sz w:val="64"/>
                      </w:rPr>
                      <w:t>O</w:t>
                    </w:r>
                    <w:r>
                      <w:rPr>
                        <w:rFonts w:ascii="Arial"/>
                        <w:b/>
                        <w:strike w:val="0"/>
                        <w:spacing w:val="153"/>
                        <w:position w:val="-21"/>
                        <w:sz w:val="64"/>
                      </w:rPr>
                      <w:t> </w:t>
                    </w:r>
                    <w:r>
                      <w:rPr>
                        <w:rFonts w:ascii="Arial"/>
                        <w:b/>
                        <w:strike w:val="0"/>
                        <w:w w:val="55"/>
                        <w:sz w:val="47"/>
                      </w:rPr>
                      <w:t>0.04</w:t>
                    </w:r>
                  </w:p>
                  <w:p>
                    <w:pPr>
                      <w:spacing w:before="40"/>
                      <w:ind w:left="0" w:right="19" w:firstLine="0"/>
                      <w:jc w:val="righ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w w:val="70"/>
                        <w:sz w:val="47"/>
                      </w:rPr>
                      <w:t>0.03</w:t>
                    </w:r>
                  </w:p>
                  <w:p>
                    <w:pPr>
                      <w:spacing w:before="175"/>
                      <w:ind w:left="0" w:right="19" w:firstLine="0"/>
                      <w:jc w:val="righ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w w:val="70"/>
                        <w:sz w:val="47"/>
                      </w:rPr>
                      <w:t>0.02</w:t>
                    </w:r>
                  </w:p>
                  <w:p>
                    <w:pPr>
                      <w:spacing w:before="200"/>
                      <w:ind w:left="0" w:right="19" w:firstLine="0"/>
                      <w:jc w:val="righ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w w:val="70"/>
                        <w:sz w:val="47"/>
                      </w:rPr>
                      <w:t>0.01</w:t>
                    </w:r>
                  </w:p>
                  <w:p>
                    <w:pPr>
                      <w:spacing w:line="540" w:lineRule="exact" w:before="175"/>
                      <w:ind w:left="0" w:right="18" w:firstLine="0"/>
                      <w:jc w:val="righ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w w:val="59"/>
                        <w:sz w:val="4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842;top:2463;width:2787;height:524" type="#_x0000_t202" filled="false" stroked="false">
              <v:textbox inset="0,0,0,0">
                <w:txbxContent>
                  <w:p>
                    <w:pPr>
                      <w:spacing w:line="52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w w:val="55"/>
                        <w:sz w:val="47"/>
                      </w:rPr>
                      <w:t>y</w:t>
                    </w:r>
                    <w:r>
                      <w:rPr>
                        <w:rFonts w:ascii="Arial"/>
                        <w:b/>
                        <w:spacing w:val="54"/>
                        <w:w w:val="55"/>
                        <w:sz w:val="47"/>
                      </w:rPr>
                      <w:t> </w:t>
                    </w:r>
                    <w:r>
                      <w:rPr>
                        <w:rFonts w:ascii="Arial"/>
                        <w:b/>
                        <w:w w:val="55"/>
                        <w:sz w:val="47"/>
                      </w:rPr>
                      <w:t>=</w:t>
                    </w:r>
                    <w:r>
                      <w:rPr>
                        <w:rFonts w:ascii="Arial"/>
                        <w:b/>
                        <w:spacing w:val="41"/>
                        <w:w w:val="55"/>
                        <w:sz w:val="47"/>
                      </w:rPr>
                      <w:t> </w:t>
                    </w:r>
                    <w:r>
                      <w:rPr>
                        <w:rFonts w:ascii="Arial"/>
                        <w:b/>
                        <w:w w:val="55"/>
                        <w:sz w:val="47"/>
                      </w:rPr>
                      <w:t>-0.0035x</w:t>
                    </w:r>
                    <w:r>
                      <w:rPr>
                        <w:rFonts w:ascii="Arial"/>
                        <w:b/>
                        <w:spacing w:val="54"/>
                        <w:w w:val="55"/>
                        <w:sz w:val="47"/>
                      </w:rPr>
                      <w:t> </w:t>
                    </w:r>
                    <w:r>
                      <w:rPr>
                        <w:rFonts w:ascii="Arial"/>
                        <w:b/>
                        <w:w w:val="55"/>
                        <w:sz w:val="47"/>
                      </w:rPr>
                      <w:t>+</w:t>
                    </w:r>
                    <w:r>
                      <w:rPr>
                        <w:rFonts w:ascii="Arial"/>
                        <w:b/>
                        <w:spacing w:val="41"/>
                        <w:w w:val="55"/>
                        <w:sz w:val="47"/>
                      </w:rPr>
                      <w:t> </w:t>
                    </w:r>
                    <w:r>
                      <w:rPr>
                        <w:rFonts w:ascii="Arial"/>
                        <w:b/>
                        <w:w w:val="55"/>
                        <w:sz w:val="47"/>
                      </w:rPr>
                      <w:t>0.0363</w:t>
                    </w:r>
                  </w:p>
                </w:txbxContent>
              </v:textbox>
              <w10:wrap type="none"/>
            </v:shape>
            <v:shape style="position:absolute;left:3899;top:7843;width:890;height:524" type="#_x0000_t202" filled="false" stroked="false">
              <v:textbox inset="0,0,0,0">
                <w:txbxContent>
                  <w:p>
                    <w:pPr>
                      <w:spacing w:line="52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w w:val="60"/>
                        <w:sz w:val="47"/>
                      </w:rPr>
                      <w:t>0.0025</w:t>
                    </w:r>
                  </w:p>
                </w:txbxContent>
              </v:textbox>
              <w10:wrap type="none"/>
            </v:shape>
            <v:shape style="position:absolute;left:5493;top:7843;width:890;height:524" type="#_x0000_t202" filled="false" stroked="false">
              <v:textbox inset="0,0,0,0">
                <w:txbxContent>
                  <w:p>
                    <w:pPr>
                      <w:spacing w:line="52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w w:val="60"/>
                        <w:sz w:val="47"/>
                      </w:rPr>
                      <w:t>0.0027</w:t>
                    </w:r>
                  </w:p>
                </w:txbxContent>
              </v:textbox>
              <w10:wrap type="none"/>
            </v:shape>
            <v:shape style="position:absolute;left:6824;top:7843;width:1581;height:1451" type="#_x0000_t202" filled="false" stroked="false">
              <v:textbox inset="0,0,0,0">
                <w:txbxContent>
                  <w:p>
                    <w:pPr>
                      <w:spacing w:line="524" w:lineRule="exact" w:before="0"/>
                      <w:ind w:left="263" w:right="0" w:firstLine="0"/>
                      <w:jc w:val="lef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w w:val="70"/>
                        <w:sz w:val="47"/>
                      </w:rPr>
                      <w:t>0.0028</w:t>
                    </w: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rFonts w:ascii="Arial"/>
                        <w:b/>
                        <w:sz w:val="64"/>
                      </w:rPr>
                    </w:pPr>
                    <w:r>
                      <w:rPr>
                        <w:rFonts w:ascii="Arial"/>
                        <w:b/>
                        <w:w w:val="55"/>
                        <w:sz w:val="64"/>
                        <w:vertAlign w:val="superscript"/>
                      </w:rPr>
                      <w:t>1</w:t>
                    </w:r>
                    <w:r>
                      <w:rPr>
                        <w:rFonts w:ascii="Arial"/>
                        <w:b/>
                        <w:w w:val="55"/>
                        <w:sz w:val="64"/>
                        <w:vertAlign w:val="baseline"/>
                      </w:rPr>
                      <w:t>/</w:t>
                    </w:r>
                    <w:r>
                      <w:rPr>
                        <w:rFonts w:ascii="Arial"/>
                        <w:b/>
                        <w:w w:val="55"/>
                        <w:sz w:val="64"/>
                        <w:vertAlign w:val="subscript"/>
                      </w:rPr>
                      <w:t>T</w:t>
                    </w:r>
                    <w:r>
                      <w:rPr>
                        <w:rFonts w:ascii="Arial"/>
                        <w:b/>
                        <w:spacing w:val="81"/>
                        <w:w w:val="55"/>
                        <w:sz w:val="64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w w:val="55"/>
                        <w:sz w:val="64"/>
                        <w:vertAlign w:val="baseline"/>
                      </w:rPr>
                      <w:t>(Kel</w:t>
                    </w:r>
                    <w:r>
                      <w:rPr>
                        <w:rFonts w:ascii="Arial"/>
                        <w:b/>
                        <w:w w:val="55"/>
                        <w:sz w:val="64"/>
                        <w:vertAlign w:val="superscript"/>
                      </w:rPr>
                      <w:t>-1</w:t>
                    </w:r>
                    <w:r>
                      <w:rPr>
                        <w:rFonts w:ascii="Arial"/>
                        <w:b/>
                        <w:w w:val="55"/>
                        <w:sz w:val="64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8769;top:7843;width:729;height:524" type="#_x0000_t202" filled="false" stroked="false">
              <v:textbox inset="0,0,0,0">
                <w:txbxContent>
                  <w:p>
                    <w:pPr>
                      <w:spacing w:line="52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w w:val="60"/>
                        <w:sz w:val="47"/>
                      </w:rPr>
                      <w:t>0.003</w:t>
                    </w:r>
                  </w:p>
                </w:txbxContent>
              </v:textbox>
              <w10:wrap type="none"/>
            </v:shape>
            <v:shape style="position:absolute;left:10275;top:7843;width:890;height:524" type="#_x0000_t202" filled="false" stroked="false">
              <v:textbox inset="0,0,0,0">
                <w:txbxContent>
                  <w:p>
                    <w:pPr>
                      <w:spacing w:line="52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w w:val="60"/>
                        <w:sz w:val="47"/>
                      </w:rPr>
                      <w:t>0.0033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30"/>
        </w:rPr>
      </w:pPr>
    </w:p>
    <w:p>
      <w:pPr>
        <w:pStyle w:val="Heading3"/>
      </w:pPr>
      <w:r>
        <w:rPr/>
        <w:t>Figure</w:t>
      </w:r>
      <w:r>
        <w:rPr>
          <w:spacing w:val="-4"/>
        </w:rPr>
        <w:t> </w:t>
      </w:r>
      <w:r>
        <w:rPr/>
        <w:t>3.25:</w:t>
      </w:r>
      <w:r>
        <w:rPr>
          <w:spacing w:val="-4"/>
        </w:rPr>
        <w:t> </w:t>
      </w:r>
      <w:r>
        <w:rPr/>
        <w:t>Clausius-Clapeyron</w:t>
      </w:r>
      <w:r>
        <w:rPr>
          <w:spacing w:val="-2"/>
        </w:rPr>
        <w:t> </w:t>
      </w:r>
      <w:r>
        <w:rPr/>
        <w:t>plots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acetylation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corn</w:t>
      </w:r>
      <w:r>
        <w:rPr>
          <w:spacing w:val="-3"/>
        </w:rPr>
        <w:t> </w:t>
      </w:r>
      <w:r>
        <w:rPr/>
        <w:t>cob</w:t>
      </w:r>
    </w:p>
    <w:p>
      <w:pPr>
        <w:spacing w:after="0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80" w:lineRule="auto" w:before="75"/>
        <w:ind w:left="1198" w:right="576" w:firstLine="74"/>
        <w:jc w:val="both"/>
      </w:pPr>
      <w:r>
        <w:rPr/>
        <w:t>It should be noted that we assumed the acetylation of corn cob to be an equilibrium</w:t>
      </w:r>
      <w:r>
        <w:rPr>
          <w:spacing w:val="1"/>
        </w:rPr>
        <w:t> </w:t>
      </w:r>
      <w:r>
        <w:rPr/>
        <w:t>surface reaction. Obtained value of slope allowed the calculation of heat of corn cob</w:t>
      </w:r>
      <w:r>
        <w:rPr>
          <w:spacing w:val="1"/>
        </w:rPr>
        <w:t> </w:t>
      </w:r>
      <w:r>
        <w:rPr/>
        <w:t>acetylation (0.0291 Jmol</w:t>
      </w:r>
      <w:r>
        <w:rPr>
          <w:vertAlign w:val="superscript"/>
        </w:rPr>
        <w:t>-1</w:t>
      </w:r>
      <w:r>
        <w:rPr>
          <w:vertAlign w:val="baseline"/>
        </w:rPr>
        <w:t>). From intercepts on x and y axis, the critical temperature of</w:t>
      </w:r>
      <w:r>
        <w:rPr>
          <w:spacing w:val="1"/>
          <w:vertAlign w:val="baseline"/>
        </w:rPr>
        <w:t> </w:t>
      </w:r>
      <w:r>
        <w:rPr>
          <w:vertAlign w:val="baseline"/>
        </w:rPr>
        <w:t>acetylation (0.814 kel) and critical degree of acetylation (1.037) values were 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heat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corn</w:t>
      </w:r>
      <w:r>
        <w:rPr>
          <w:spacing w:val="1"/>
          <w:vertAlign w:val="baseline"/>
        </w:rPr>
        <w:t> </w:t>
      </w:r>
      <w:r>
        <w:rPr>
          <w:vertAlign w:val="baseline"/>
        </w:rPr>
        <w:t>cob</w:t>
      </w:r>
      <w:r>
        <w:rPr>
          <w:spacing w:val="1"/>
          <w:vertAlign w:val="baseline"/>
        </w:rPr>
        <w:t> </w:t>
      </w:r>
      <w:r>
        <w:rPr>
          <w:vertAlign w:val="baseline"/>
        </w:rPr>
        <w:t>acetylation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very</w:t>
      </w:r>
      <w:r>
        <w:rPr>
          <w:spacing w:val="75"/>
          <w:vertAlign w:val="baseline"/>
        </w:rPr>
        <w:t> </w:t>
      </w:r>
      <w:r>
        <w:rPr>
          <w:vertAlign w:val="baseline"/>
        </w:rPr>
        <w:t>low</w:t>
      </w:r>
      <w:r>
        <w:rPr>
          <w:spacing w:val="75"/>
          <w:vertAlign w:val="baseline"/>
        </w:rPr>
        <w:t> </w:t>
      </w:r>
      <w:r>
        <w:rPr>
          <w:vertAlign w:val="baseline"/>
        </w:rPr>
        <w:t>critical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value suggested that corn cob acetylation is a process which proceeds easily</w:t>
      </w:r>
      <w:r>
        <w:rPr>
          <w:spacing w:val="1"/>
          <w:vertAlign w:val="baseline"/>
        </w:rPr>
        <w:t> </w:t>
      </w:r>
      <w:r>
        <w:rPr>
          <w:vertAlign w:val="baseline"/>
        </w:rPr>
        <w:t>(spontaneous) by absorbing heat from the environment. A general trend also exists such</w:t>
      </w:r>
      <w:r>
        <w:rPr>
          <w:spacing w:val="1"/>
          <w:vertAlign w:val="baseline"/>
        </w:rPr>
        <w:t> </w:t>
      </w:r>
      <w:r>
        <w:rPr>
          <w:vertAlign w:val="baseline"/>
        </w:rPr>
        <w:t>that high heat of acetylation of a substance/material means more difficulty in acetylating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 material; therefore, very low heat of acetylation value implied the ease at which corn</w:t>
      </w:r>
      <w:r>
        <w:rPr>
          <w:spacing w:val="1"/>
          <w:vertAlign w:val="baseline"/>
        </w:rPr>
        <w:t> </w:t>
      </w:r>
      <w:r>
        <w:rPr>
          <w:vertAlign w:val="baseline"/>
        </w:rPr>
        <w:t>cob could be acetylated. The</w:t>
      </w:r>
      <w:r>
        <w:rPr>
          <w:spacing w:val="75"/>
          <w:vertAlign w:val="baseline"/>
        </w:rPr>
        <w:t> </w:t>
      </w:r>
      <w:r>
        <w:rPr>
          <w:vertAlign w:val="baseline"/>
        </w:rPr>
        <w:t>critical degree</w:t>
      </w:r>
      <w:r>
        <w:rPr>
          <w:spacing w:val="75"/>
          <w:vertAlign w:val="baseline"/>
        </w:rPr>
        <w:t> </w:t>
      </w:r>
      <w:r>
        <w:rPr>
          <w:vertAlign w:val="baseline"/>
        </w:rPr>
        <w:t>of corn cob acetylation represents 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obtained explains the mechanism of acetylation of corn cob (values above it suggest</w:t>
      </w:r>
      <w:r>
        <w:rPr>
          <w:spacing w:val="1"/>
          <w:vertAlign w:val="baseline"/>
        </w:rPr>
        <w:t> </w:t>
      </w:r>
      <w:r>
        <w:rPr>
          <w:vertAlign w:val="baseline"/>
        </w:rPr>
        <w:t>diffusion</w:t>
      </w:r>
      <w:r>
        <w:rPr>
          <w:spacing w:val="-2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vales</w:t>
      </w:r>
      <w:r>
        <w:rPr>
          <w:spacing w:val="-1"/>
          <w:vertAlign w:val="baseline"/>
        </w:rPr>
        <w:t> </w:t>
      </w:r>
      <w:r>
        <w:rPr>
          <w:vertAlign w:val="baseline"/>
        </w:rPr>
        <w:t>below</w:t>
      </w:r>
      <w:r>
        <w:rPr>
          <w:spacing w:val="-2"/>
          <w:vertAlign w:val="baseline"/>
        </w:rPr>
        <w:t> </w:t>
      </w:r>
      <w:r>
        <w:rPr>
          <w:vertAlign w:val="baseline"/>
        </w:rPr>
        <w:t>it</w:t>
      </w:r>
      <w:r>
        <w:rPr>
          <w:spacing w:val="-3"/>
          <w:vertAlign w:val="baseline"/>
        </w:rPr>
        <w:t> </w:t>
      </w:r>
      <w:r>
        <w:rPr>
          <w:vertAlign w:val="baseline"/>
        </w:rPr>
        <w:t>suggest</w:t>
      </w:r>
      <w:r>
        <w:rPr>
          <w:spacing w:val="-2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-1"/>
          <w:vertAlign w:val="baseline"/>
        </w:rPr>
        <w:t> </w:t>
      </w:r>
      <w:r>
        <w:rPr>
          <w:vertAlign w:val="baseline"/>
        </w:rPr>
        <w:t>adsorption mechanism).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before="4"/>
        <w:ind w:left="1918"/>
        <w:rPr>
          <w:rFonts w:ascii="Times New Roman"/>
          <w:i/>
          <w:sz w:val="13"/>
        </w:rPr>
      </w:pPr>
      <w:r>
        <w:rPr/>
        <w:t>The</w:t>
      </w:r>
      <w:r>
        <w:rPr>
          <w:spacing w:val="50"/>
        </w:rPr>
        <w:t> </w:t>
      </w:r>
      <w:r>
        <w:rPr/>
        <w:t>heat</w:t>
      </w:r>
      <w:r>
        <w:rPr>
          <w:spacing w:val="48"/>
        </w:rPr>
        <w:t> </w:t>
      </w:r>
      <w:r>
        <w:rPr/>
        <w:t>capacity</w:t>
      </w:r>
      <w:r>
        <w:rPr>
          <w:spacing w:val="49"/>
        </w:rPr>
        <w:t> </w:t>
      </w:r>
      <w:r>
        <w:rPr/>
        <w:t>(</w:t>
      </w:r>
      <w:r>
        <w:rPr>
          <w:spacing w:val="-42"/>
        </w:rPr>
        <w:t> </w:t>
      </w:r>
      <w:r>
        <w:rPr>
          <w:rFonts w:ascii="Times New Roman"/>
          <w:i/>
          <w:sz w:val="23"/>
        </w:rPr>
        <w:t>C</w:t>
      </w:r>
      <w:r>
        <w:rPr>
          <w:rFonts w:ascii="Times New Roman"/>
          <w:i/>
          <w:position w:val="-4"/>
          <w:sz w:val="13"/>
        </w:rPr>
        <w:t>p</w:t>
      </w:r>
    </w:p>
    <w:p>
      <w:pPr>
        <w:pStyle w:val="BodyText"/>
        <w:spacing w:before="4"/>
        <w:ind w:left="127"/>
      </w:pPr>
      <w:r>
        <w:rPr/>
        <w:br w:type="column"/>
      </w:r>
      <w:r>
        <w:rPr/>
        <w:t>)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corn</w:t>
      </w:r>
      <w:r>
        <w:rPr>
          <w:spacing w:val="45"/>
        </w:rPr>
        <w:t> </w:t>
      </w:r>
      <w:r>
        <w:rPr/>
        <w:t>cob</w:t>
      </w:r>
      <w:r>
        <w:rPr>
          <w:spacing w:val="43"/>
        </w:rPr>
        <w:t> </w:t>
      </w:r>
      <w:r>
        <w:rPr/>
        <w:t>acetylation</w:t>
      </w:r>
      <w:r>
        <w:rPr>
          <w:spacing w:val="43"/>
        </w:rPr>
        <w:t> </w:t>
      </w:r>
      <w:r>
        <w:rPr/>
        <w:t>represents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quantity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heat</w:t>
      </w:r>
    </w:p>
    <w:p>
      <w:pPr>
        <w:spacing w:after="0"/>
        <w:sectPr>
          <w:type w:val="continuous"/>
          <w:pgSz w:w="11910" w:h="16840"/>
          <w:pgMar w:top="1580" w:bottom="1180" w:left="420" w:right="0"/>
          <w:cols w:num="2" w:equalWidth="0">
            <w:col w:w="4382" w:space="40"/>
            <w:col w:w="7068"/>
          </w:cols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00"/>
        <w:ind w:left="1198"/>
        <w:rPr>
          <w:rFonts w:ascii="Times New Roman"/>
          <w:i/>
          <w:sz w:val="13"/>
        </w:rPr>
      </w:pPr>
      <w:r>
        <w:rPr/>
        <w:t>needed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acetylate</w:t>
      </w:r>
      <w:r>
        <w:rPr>
          <w:spacing w:val="18"/>
        </w:rPr>
        <w:t> </w:t>
      </w:r>
      <w:r>
        <w:rPr/>
        <w:t>corn</w:t>
      </w:r>
      <w:r>
        <w:rPr>
          <w:spacing w:val="17"/>
        </w:rPr>
        <w:t> </w:t>
      </w:r>
      <w:r>
        <w:rPr/>
        <w:t>cob</w:t>
      </w:r>
      <w:r>
        <w:rPr>
          <w:spacing w:val="15"/>
        </w:rPr>
        <w:t> </w:t>
      </w:r>
      <w:r>
        <w:rPr/>
        <w:t>whenever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degree</w:t>
      </w:r>
      <w:r>
        <w:rPr>
          <w:spacing w:val="18"/>
        </w:rPr>
        <w:t> </w:t>
      </w:r>
      <w:r>
        <w:rPr/>
        <w:t>rise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temperature</w:t>
      </w:r>
      <w:r>
        <w:rPr>
          <w:spacing w:val="18"/>
        </w:rPr>
        <w:t> </w:t>
      </w:r>
      <w:r>
        <w:rPr/>
        <w:t>occurs.</w:t>
      </w:r>
      <w:r>
        <w:rPr>
          <w:spacing w:val="16"/>
        </w:rPr>
        <w:t> </w:t>
      </w:r>
      <w:r>
        <w:rPr/>
        <w:t>Value</w:t>
      </w:r>
      <w:r>
        <w:rPr>
          <w:spacing w:val="18"/>
        </w:rPr>
        <w:t> </w:t>
      </w:r>
      <w:r>
        <w:rPr/>
        <w:t>of</w:t>
      </w:r>
      <w:r>
        <w:rPr>
          <w:spacing w:val="45"/>
        </w:rPr>
        <w:t> </w:t>
      </w:r>
      <w:r>
        <w:rPr>
          <w:rFonts w:ascii="Times New Roman"/>
          <w:i/>
          <w:spacing w:val="11"/>
          <w:sz w:val="23"/>
        </w:rPr>
        <w:t>C</w:t>
      </w:r>
      <w:r>
        <w:rPr>
          <w:rFonts w:ascii="Times New Roman"/>
          <w:i/>
          <w:spacing w:val="11"/>
          <w:position w:val="-4"/>
          <w:sz w:val="13"/>
        </w:rPr>
        <w:t>p</w:t>
      </w:r>
    </w:p>
    <w:p>
      <w:pPr>
        <w:pStyle w:val="BodyText"/>
        <w:rPr>
          <w:rFonts w:ascii="Times New Roman"/>
          <w:i/>
          <w:sz w:val="21"/>
        </w:rPr>
      </w:pPr>
    </w:p>
    <w:p>
      <w:pPr>
        <w:spacing w:after="0"/>
        <w:rPr>
          <w:rFonts w:ascii="Times New Roman"/>
          <w:sz w:val="21"/>
        </w:rPr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spacing w:before="131"/>
        <w:ind w:left="1198"/>
      </w:pPr>
      <w:r>
        <w:rPr/>
        <w:t>obtained</w:t>
      </w:r>
      <w:r>
        <w:rPr>
          <w:spacing w:val="-19"/>
        </w:rPr>
        <w:t> </w:t>
      </w:r>
      <w:r>
        <w:rPr/>
        <w:t>was</w:t>
      </w:r>
    </w:p>
    <w:p>
      <w:pPr>
        <w:pStyle w:val="BodyText"/>
        <w:spacing w:before="126"/>
        <w:ind w:left="74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w w:val="95"/>
        </w:rPr>
        <w:t>4.157</w:t>
      </w:r>
      <w:r>
        <w:rPr>
          <w:rFonts w:ascii="Symbol" w:hAnsi="Symbol"/>
          <w:w w:val="95"/>
        </w:rPr>
        <w:t></w:t>
      </w:r>
      <w:r>
        <w:rPr>
          <w:rFonts w:ascii="Times New Roman" w:hAnsi="Times New Roman"/>
          <w:w w:val="95"/>
        </w:rPr>
        <w:t>10</w:t>
      </w:r>
      <w:r>
        <w:rPr>
          <w:rFonts w:ascii="Symbol" w:hAnsi="Symbol"/>
          <w:w w:val="95"/>
          <w:vertAlign w:val="superscript"/>
        </w:rPr>
        <w:t></w:t>
      </w:r>
      <w:r>
        <w:rPr>
          <w:rFonts w:ascii="Times New Roman" w:hAnsi="Times New Roman"/>
          <w:w w:val="95"/>
          <w:vertAlign w:val="superscript"/>
        </w:rPr>
        <w:t>4</w:t>
      </w:r>
    </w:p>
    <w:p>
      <w:pPr>
        <w:pStyle w:val="BodyText"/>
        <w:spacing w:before="131"/>
        <w:ind w:left="83"/>
      </w:pPr>
      <w:r>
        <w:rPr/>
        <w:br w:type="column"/>
      </w:r>
      <w:r>
        <w:rPr/>
        <w:t>Jmol</w:t>
      </w:r>
      <w:r>
        <w:rPr>
          <w:vertAlign w:val="superscript"/>
        </w:rPr>
        <w:t>-1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.</w:t>
      </w:r>
    </w:p>
    <w:p>
      <w:pPr>
        <w:spacing w:after="0"/>
        <w:sectPr>
          <w:type w:val="continuous"/>
          <w:pgSz w:w="11910" w:h="16840"/>
          <w:pgMar w:top="1580" w:bottom="1180" w:left="420" w:right="0"/>
          <w:cols w:num="3" w:equalWidth="0">
            <w:col w:w="2599" w:space="40"/>
            <w:col w:w="1187" w:space="39"/>
            <w:col w:w="7625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spacing w:before="134"/>
        <w:ind w:left="1918"/>
      </w:pP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change</w:t>
      </w:r>
      <w:r>
        <w:rPr>
          <w:spacing w:val="3"/>
        </w:rPr>
        <w:t> </w:t>
      </w:r>
      <w:r>
        <w:rPr>
          <w:spacing w:val="-1"/>
        </w:rPr>
        <w:t>in</w:t>
      </w:r>
      <w:r>
        <w:rPr>
          <w:spacing w:val="2"/>
        </w:rPr>
        <w:t> </w:t>
      </w:r>
      <w:r>
        <w:rPr>
          <w:spacing w:val="-1"/>
        </w:rPr>
        <w:t>entropy</w:t>
      </w:r>
      <w:r>
        <w:rPr>
          <w:spacing w:val="2"/>
        </w:rPr>
        <w:t> </w:t>
      </w:r>
      <w:r>
        <w:rPr/>
        <w:t>(</w:t>
      </w:r>
      <w:r>
        <w:rPr>
          <w:spacing w:val="-40"/>
        </w:rPr>
        <w:t> </w:t>
      </w:r>
      <w:r>
        <w:rPr>
          <w:rFonts w:ascii="Symbol" w:hAnsi="Symbol"/>
        </w:rPr>
        <w:t></w:t>
      </w:r>
      <w:r>
        <w:rPr>
          <w:rFonts w:ascii="Times New Roman" w:hAnsi="Times New Roman"/>
          <w:i/>
        </w:rPr>
        <w:t>S</w:t>
      </w:r>
      <w:r>
        <w:rPr>
          <w:rFonts w:ascii="Times New Roman" w:hAnsi="Times New Roman"/>
          <w:i/>
          <w:spacing w:val="-10"/>
        </w:rPr>
        <w:t> </w:t>
      </w:r>
      <w:r>
        <w:rPr/>
        <w:t>)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corn</w:t>
      </w:r>
      <w:r>
        <w:rPr>
          <w:spacing w:val="1"/>
        </w:rPr>
        <w:t> </w:t>
      </w:r>
      <w:r>
        <w:rPr/>
        <w:t>cob</w:t>
      </w:r>
      <w:r>
        <w:rPr>
          <w:spacing w:val="3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is</w:t>
      </w:r>
    </w:p>
    <w:p>
      <w:pPr>
        <w:pStyle w:val="BodyText"/>
        <w:spacing w:before="125"/>
        <w:ind w:left="68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w w:val="95"/>
        </w:rPr>
        <w:t>5.005</w:t>
      </w:r>
      <w:r>
        <w:rPr>
          <w:rFonts w:ascii="Symbol" w:hAnsi="Symbol"/>
          <w:w w:val="95"/>
        </w:rPr>
        <w:t></w:t>
      </w:r>
      <w:r>
        <w:rPr>
          <w:rFonts w:ascii="Times New Roman" w:hAnsi="Times New Roman"/>
          <w:w w:val="95"/>
        </w:rPr>
        <w:t>10</w:t>
      </w:r>
      <w:r>
        <w:rPr>
          <w:rFonts w:ascii="Symbol" w:hAnsi="Symbol"/>
          <w:w w:val="95"/>
          <w:vertAlign w:val="superscript"/>
        </w:rPr>
        <w:t></w:t>
      </w:r>
      <w:r>
        <w:rPr>
          <w:rFonts w:ascii="Times New Roman" w:hAnsi="Times New Roman"/>
          <w:w w:val="95"/>
          <w:vertAlign w:val="superscript"/>
        </w:rPr>
        <w:t>4</w:t>
      </w:r>
    </w:p>
    <w:p>
      <w:pPr>
        <w:pStyle w:val="BodyText"/>
        <w:spacing w:before="131"/>
        <w:ind w:left="77"/>
      </w:pPr>
      <w:r>
        <w:rPr/>
        <w:br w:type="column"/>
      </w:r>
      <w:r>
        <w:rPr/>
        <w:t>Jmol</w:t>
      </w:r>
      <w:r>
        <w:rPr>
          <w:vertAlign w:val="superscript"/>
        </w:rPr>
        <w:t>-1</w:t>
      </w:r>
      <w:r>
        <w:rPr>
          <w:vertAlign w:val="baseline"/>
        </w:rPr>
        <w:t>K</w:t>
      </w:r>
      <w:r>
        <w:rPr>
          <w:vertAlign w:val="superscript"/>
        </w:rPr>
        <w:t>-</w:t>
      </w:r>
    </w:p>
    <w:p>
      <w:pPr>
        <w:spacing w:after="0"/>
        <w:sectPr>
          <w:type w:val="continuous"/>
          <w:pgSz w:w="11910" w:h="16840"/>
          <w:pgMar w:top="1580" w:bottom="1180" w:left="420" w:right="0"/>
          <w:cols w:num="3" w:equalWidth="0">
            <w:col w:w="8744" w:space="40"/>
            <w:col w:w="1172" w:space="39"/>
            <w:col w:w="1495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spacing w:before="134"/>
        <w:ind w:left="1198"/>
        <w:rPr>
          <w:rFonts w:ascii="Times New Roman" w:hAnsi="Times New Roman"/>
          <w:i/>
        </w:rPr>
      </w:pPr>
      <w:r>
        <w:rPr>
          <w:vertAlign w:val="superscript"/>
        </w:rPr>
        <w:t>1</w:t>
      </w:r>
      <w:r>
        <w:rPr>
          <w:vertAlign w:val="baseline"/>
        </w:rPr>
        <w:t>.</w:t>
      </w:r>
      <w:r>
        <w:rPr>
          <w:spacing w:val="67"/>
          <w:vertAlign w:val="baseline"/>
        </w:rPr>
        <w:t> </w:t>
      </w:r>
      <w:r>
        <w:rPr>
          <w:vertAlign w:val="baseline"/>
        </w:rPr>
        <w:t>The</w:t>
      </w:r>
      <w:r>
        <w:rPr>
          <w:spacing w:val="70"/>
          <w:vertAlign w:val="baseline"/>
        </w:rPr>
        <w:t> </w:t>
      </w:r>
      <w:r>
        <w:rPr>
          <w:vertAlign w:val="baseline"/>
        </w:rPr>
        <w:t>value</w:t>
      </w:r>
      <w:r>
        <w:rPr>
          <w:spacing w:val="70"/>
          <w:vertAlign w:val="baseline"/>
        </w:rPr>
        <w:t> </w:t>
      </w:r>
      <w:r>
        <w:rPr>
          <w:vertAlign w:val="baseline"/>
        </w:rPr>
        <w:t>of</w:t>
      </w:r>
      <w:r>
        <w:rPr>
          <w:spacing w:val="106"/>
          <w:vertAlign w:val="baseline"/>
        </w:rPr>
        <w:t> </w:t>
      </w:r>
      <w:r>
        <w:rPr>
          <w:rFonts w:ascii="Symbol" w:hAnsi="Symbol"/>
          <w:vertAlign w:val="baseline"/>
        </w:rPr>
        <w:t></w:t>
      </w:r>
      <w:r>
        <w:rPr>
          <w:rFonts w:ascii="Times New Roman" w:hAnsi="Times New Roman"/>
          <w:i/>
          <w:vertAlign w:val="baseline"/>
        </w:rPr>
        <w:t>S</w:t>
      </w:r>
    </w:p>
    <w:p>
      <w:pPr>
        <w:pStyle w:val="BodyText"/>
        <w:spacing w:before="131"/>
        <w:ind w:left="157"/>
      </w:pPr>
      <w:r>
        <w:rPr/>
        <w:br w:type="column"/>
      </w:r>
      <w:r>
        <w:rPr/>
        <w:t>is</w:t>
      </w:r>
      <w:r>
        <w:rPr>
          <w:spacing w:val="70"/>
        </w:rPr>
        <w:t> </w:t>
      </w:r>
      <w:r>
        <w:rPr/>
        <w:t>positive</w:t>
      </w:r>
      <w:r>
        <w:rPr>
          <w:spacing w:val="71"/>
        </w:rPr>
        <w:t> </w:t>
      </w:r>
      <w:r>
        <w:rPr/>
        <w:t>and</w:t>
      </w:r>
      <w:r>
        <w:rPr>
          <w:spacing w:val="69"/>
        </w:rPr>
        <w:t> </w:t>
      </w:r>
      <w:r>
        <w:rPr/>
        <w:t>suggested</w:t>
      </w:r>
      <w:r>
        <w:rPr>
          <w:spacing w:val="71"/>
        </w:rPr>
        <w:t> </w:t>
      </w:r>
      <w:r>
        <w:rPr/>
        <w:t>a</w:t>
      </w:r>
      <w:r>
        <w:rPr>
          <w:spacing w:val="67"/>
        </w:rPr>
        <w:t> </w:t>
      </w:r>
      <w:r>
        <w:rPr/>
        <w:t>degree</w:t>
      </w:r>
      <w:r>
        <w:rPr>
          <w:spacing w:val="71"/>
        </w:rPr>
        <w:t> </w:t>
      </w:r>
      <w:r>
        <w:rPr/>
        <w:t>of</w:t>
      </w:r>
      <w:r>
        <w:rPr>
          <w:spacing w:val="71"/>
        </w:rPr>
        <w:t> </w:t>
      </w:r>
      <w:r>
        <w:rPr/>
        <w:t>disorderliness</w:t>
      </w:r>
      <w:r>
        <w:rPr>
          <w:spacing w:val="70"/>
        </w:rPr>
        <w:t> </w:t>
      </w:r>
      <w:r>
        <w:rPr/>
        <w:t>during</w:t>
      </w:r>
      <w:r>
        <w:rPr>
          <w:spacing w:val="70"/>
        </w:rPr>
        <w:t> </w:t>
      </w:r>
      <w:r>
        <w:rPr/>
        <w:t>the</w:t>
      </w:r>
    </w:p>
    <w:p>
      <w:pPr>
        <w:spacing w:after="0"/>
        <w:sectPr>
          <w:type w:val="continuous"/>
          <w:pgSz w:w="11910" w:h="16840"/>
          <w:pgMar w:top="1580" w:bottom="1180" w:left="420" w:right="0"/>
          <w:cols w:num="2" w:equalWidth="0">
            <w:col w:w="3426" w:space="40"/>
            <w:col w:w="8024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100"/>
        <w:ind w:left="1198" w:right="578"/>
        <w:jc w:val="both"/>
      </w:pPr>
      <w:r>
        <w:rPr/>
        <w:pict>
          <v:group style="position:absolute;margin-left:299.925323pt;margin-top:128.242935pt;width:39.5pt;height:4.1pt;mso-position-horizontal-relative:page;mso-position-vertical-relative:paragraph;z-index:15777792" coordorigin="5999,2565" coordsize="790,82">
            <v:shape style="position:absolute;left:6633;top:2571;width:149;height:68" coordorigin="6633,2572" coordsize="149,68" path="m6633,2572l6679,2605,6633,2639,6781,2605,6633,2572xe" filled="true" fillcolor="#000000" stroked="false">
              <v:path arrowok="t"/>
              <v:fill type="solid"/>
            </v:shape>
            <v:shape style="position:absolute;left:5998;top:2571;width:783;height:68" coordorigin="5999,2572" coordsize="783,68" path="m5999,2605l6633,2605m6633,2605l6679,2605,6633,2572,6781,2605,6633,2639,6679,2605,6633,2605xe" filled="false" stroked="true" strokeweight=".67602pt" strokecolor="#000000">
              <v:path arrowok="t"/>
              <v:stroke dashstyle="solid"/>
            </v:shape>
            <w10:wrap type="none"/>
          </v:group>
        </w:pict>
      </w:r>
      <w:r>
        <w:rPr/>
        <w:t>acetylation process. Below is an equation which describes the acetylation of corn cob and</w:t>
      </w:r>
      <w:r>
        <w:rPr>
          <w:spacing w:val="1"/>
        </w:rPr>
        <w:t> </w:t>
      </w:r>
      <w:r>
        <w:rPr/>
        <w:t>showed that acetic anhydride (larger molecule) ‘disintegrates’ into acetic acid (smaller</w:t>
      </w:r>
      <w:r>
        <w:rPr>
          <w:spacing w:val="1"/>
        </w:rPr>
        <w:t> </w:t>
      </w:r>
      <w:r>
        <w:rPr/>
        <w:t>molecule).</w:t>
      </w:r>
      <w:r>
        <w:rPr>
          <w:spacing w:val="-3"/>
        </w:rPr>
        <w:t> </w:t>
      </w:r>
      <w:r>
        <w:rPr/>
        <w:t>This accounts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positive value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entropy</w:t>
      </w:r>
      <w:r>
        <w:rPr>
          <w:spacing w:val="-1"/>
        </w:rPr>
        <w:t> </w:t>
      </w:r>
      <w:r>
        <w:rPr/>
        <w:t>change</w:t>
      </w:r>
      <w:r>
        <w:rPr>
          <w:spacing w:val="-1"/>
        </w:rPr>
        <w:t> </w:t>
      </w:r>
      <w:r>
        <w:rPr/>
        <w:t>obtained.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spacing w:before="4"/>
        <w:rPr>
          <w:sz w:val="48"/>
        </w:rPr>
      </w:pPr>
    </w:p>
    <w:p>
      <w:pPr>
        <w:pStyle w:val="BodyText"/>
        <w:ind w:left="1212"/>
        <w:rPr>
          <w:rFonts w:ascii="Arial MT"/>
          <w:sz w:val="35"/>
        </w:rPr>
      </w:pPr>
      <w:r>
        <w:rPr>
          <w:rFonts w:ascii="Arial MT"/>
        </w:rPr>
        <w:t>Corn</w:t>
      </w:r>
      <w:r>
        <w:rPr>
          <w:rFonts w:ascii="Arial MT"/>
          <w:spacing w:val="-9"/>
        </w:rPr>
        <w:t> </w:t>
      </w:r>
      <w:r>
        <w:rPr>
          <w:rFonts w:ascii="Arial MT"/>
        </w:rPr>
        <w:t>cob-OH</w:t>
      </w:r>
      <w:r>
        <w:rPr>
          <w:rFonts w:ascii="Arial MT"/>
          <w:spacing w:val="87"/>
        </w:rPr>
        <w:t> </w:t>
      </w:r>
      <w:r>
        <w:rPr>
          <w:rFonts w:ascii="Arial MT"/>
          <w:position w:val="-3"/>
          <w:sz w:val="35"/>
        </w:rPr>
        <w:t>+</w:t>
      </w:r>
    </w:p>
    <w:p>
      <w:pPr>
        <w:spacing w:before="62"/>
        <w:ind w:left="694" w:right="0" w:firstLine="0"/>
        <w:jc w:val="left"/>
        <w:rPr>
          <w:rFonts w:ascii="Arial MT"/>
          <w:sz w:val="24"/>
        </w:rPr>
      </w:pPr>
      <w:r>
        <w:rPr/>
        <w:br w:type="column"/>
      </w:r>
      <w:r>
        <w:rPr>
          <w:rFonts w:ascii="Arial MT"/>
          <w:sz w:val="24"/>
        </w:rPr>
        <w:t>O</w:t>
      </w:r>
    </w:p>
    <w:p>
      <w:pPr>
        <w:pStyle w:val="BodyText"/>
        <w:spacing w:before="5"/>
        <w:rPr>
          <w:rFonts w:ascii="Arial MT"/>
          <w:sz w:val="27"/>
        </w:rPr>
      </w:pPr>
    </w:p>
    <w:p>
      <w:pPr>
        <w:pStyle w:val="BodyText"/>
        <w:tabs>
          <w:tab w:pos="1032" w:val="left" w:leader="none"/>
        </w:tabs>
        <w:spacing w:before="1"/>
        <w:ind w:left="111"/>
        <w:rPr>
          <w:rFonts w:ascii="Arial MT"/>
        </w:rPr>
      </w:pPr>
      <w:r>
        <w:rPr/>
        <w:pict>
          <v:shape style="position:absolute;margin-left:200.392044pt;margin-top:-16.913759pt;width:22.2pt;height:20.1pt;mso-position-horizontal-relative:page;mso-position-vertical-relative:paragraph;z-index:-24427008" coordorigin="4008,-338" coordsize="444,402" path="m4008,63l4233,-65m4233,-65l4452,63m4266,-57l4266,-338m4197,-57l4197,-338e" filled="false" stroked="true" strokeweight=".6760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33.907349pt;margin-top:-16.913759pt;width:28.1pt;height:23.55pt;mso-position-horizontal-relative:page;mso-position-vertical-relative:paragraph;z-index:15777280" coordorigin="4678,-338" coordsize="562,471" path="m4678,132l5015,-65m5015,-65l5240,65m5048,-57l5048,-338m4980,-55l4980,-338e" filled="false" stroked="true" strokeweight=".67602pt" strokecolor="#000000">
            <v:path arrowok="t"/>
            <v:stroke dashstyle="solid"/>
            <w10:wrap type="none"/>
          </v:shape>
        </w:pict>
      </w:r>
      <w:r>
        <w:rPr>
          <w:rFonts w:ascii="Arial MT"/>
        </w:rPr>
        <w:t>H</w:t>
      </w:r>
      <w:r>
        <w:rPr>
          <w:rFonts w:ascii="Arial MT"/>
          <w:position w:val="-7"/>
          <w:sz w:val="16"/>
        </w:rPr>
        <w:t>3</w:t>
      </w:r>
      <w:r>
        <w:rPr>
          <w:rFonts w:ascii="Arial MT"/>
        </w:rPr>
        <w:t>C</w:t>
        <w:tab/>
      </w:r>
      <w:r>
        <w:rPr>
          <w:rFonts w:ascii="Arial MT"/>
          <w:spacing w:val="-7"/>
        </w:rPr>
        <w:t>O</w:t>
      </w:r>
    </w:p>
    <w:p>
      <w:pPr>
        <w:spacing w:before="62"/>
        <w:ind w:left="218" w:right="0" w:firstLine="0"/>
        <w:jc w:val="left"/>
        <w:rPr>
          <w:rFonts w:ascii="Arial MT"/>
          <w:sz w:val="24"/>
        </w:rPr>
      </w:pPr>
      <w:r>
        <w:rPr/>
        <w:br w:type="column"/>
      </w:r>
      <w:r>
        <w:rPr>
          <w:rFonts w:ascii="Arial MT"/>
          <w:sz w:val="24"/>
        </w:rPr>
        <w:t>O</w:t>
      </w:r>
    </w:p>
    <w:p>
      <w:pPr>
        <w:pStyle w:val="BodyText"/>
        <w:spacing w:before="5"/>
        <w:rPr>
          <w:rFonts w:ascii="Arial MT"/>
          <w:sz w:val="27"/>
        </w:rPr>
      </w:pPr>
    </w:p>
    <w:p>
      <w:pPr>
        <w:spacing w:before="1"/>
        <w:ind w:left="555" w:right="0" w:firstLine="0"/>
        <w:jc w:val="left"/>
        <w:rPr>
          <w:rFonts w:ascii="Arial MT"/>
          <w:sz w:val="16"/>
        </w:rPr>
      </w:pPr>
      <w:r>
        <w:rPr>
          <w:rFonts w:ascii="Arial MT"/>
          <w:sz w:val="24"/>
        </w:rPr>
        <w:t>CH</w:t>
      </w:r>
      <w:r>
        <w:rPr>
          <w:rFonts w:ascii="Arial MT"/>
          <w:position w:val="-7"/>
          <w:sz w:val="16"/>
        </w:rPr>
        <w:t>3</w:t>
      </w:r>
    </w:p>
    <w:p>
      <w:pPr>
        <w:spacing w:line="268" w:lineRule="exact" w:before="0"/>
        <w:ind w:left="1194" w:right="1348" w:firstLine="0"/>
        <w:jc w:val="center"/>
        <w:rPr>
          <w:rFonts w:ascii="Arial MT"/>
          <w:sz w:val="24"/>
        </w:rPr>
      </w:pPr>
      <w:r>
        <w:rPr/>
        <w:br w:type="column"/>
      </w:r>
      <w:r>
        <w:rPr>
          <w:rFonts w:ascii="Arial MT"/>
          <w:sz w:val="24"/>
        </w:rPr>
        <w:t>O</w:t>
      </w:r>
    </w:p>
    <w:p>
      <w:pPr>
        <w:pStyle w:val="BodyText"/>
        <w:spacing w:before="2"/>
        <w:rPr>
          <w:rFonts w:ascii="Arial MT"/>
          <w:sz w:val="27"/>
        </w:rPr>
      </w:pPr>
    </w:p>
    <w:p>
      <w:pPr>
        <w:spacing w:before="0"/>
        <w:ind w:left="1550" w:right="0" w:firstLine="0"/>
        <w:jc w:val="left"/>
        <w:rPr>
          <w:rFonts w:ascii="Arial MT"/>
          <w:sz w:val="24"/>
        </w:rPr>
      </w:pPr>
      <w:r>
        <w:rPr/>
        <w:pict>
          <v:group style="position:absolute;margin-left:351.864685pt;margin-top:-16.788324pt;width:87.3pt;height:36.1pt;mso-position-horizontal-relative:page;mso-position-vertical-relative:paragraph;z-index:15778304" coordorigin="7037,-336" coordsize="1746,722">
            <v:shape style="position:absolute;left:8213;top:-336;width:562;height:471" coordorigin="8214,-336" coordsize="562,471" path="m8214,135l8551,-63m8551,-63l8776,67m8585,-55l8585,-336m8515,-53l8515,-336e" filled="false" stroked="true" strokeweight=".67602pt" strokecolor="#000000">
              <v:path arrowok="t"/>
              <v:stroke dashstyle="solid"/>
            </v:shape>
            <v:rect style="position:absolute;left:7037;top:57;width:1270;height:330" filled="true" fillcolor="#ffffff" stroked="false">
              <v:fill type="solid"/>
            </v:rect>
            <v:shape style="position:absolute;left:7037;top:-336;width:1746;height:722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Arial MT"/>
                        <w:sz w:val="34"/>
                      </w:rPr>
                    </w:pPr>
                  </w:p>
                  <w:p>
                    <w:pPr>
                      <w:spacing w:before="0"/>
                      <w:ind w:left="1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Corn</w:t>
                    </w:r>
                    <w:r>
                      <w:rPr>
                        <w:rFonts w:ascii="Arial MT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cob-O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position w:val="1"/>
          <w:sz w:val="24"/>
        </w:rPr>
        <w:t>CH</w:t>
      </w:r>
      <w:r>
        <w:rPr>
          <w:rFonts w:ascii="Arial MT"/>
          <w:position w:val="-6"/>
          <w:sz w:val="16"/>
        </w:rPr>
        <w:t>3</w:t>
      </w:r>
      <w:r>
        <w:rPr>
          <w:rFonts w:ascii="Arial MT"/>
          <w:spacing w:val="32"/>
          <w:position w:val="-6"/>
          <w:sz w:val="16"/>
        </w:rPr>
        <w:t> </w:t>
      </w:r>
      <w:r>
        <w:rPr>
          <w:rFonts w:ascii="Arial MT"/>
          <w:position w:val="-8"/>
          <w:sz w:val="35"/>
        </w:rPr>
        <w:t>+</w:t>
      </w:r>
      <w:r>
        <w:rPr>
          <w:rFonts w:ascii="Arial MT"/>
          <w:spacing w:val="27"/>
          <w:position w:val="-8"/>
          <w:sz w:val="35"/>
        </w:rPr>
        <w:t> </w:t>
      </w:r>
      <w:r>
        <w:rPr>
          <w:rFonts w:ascii="Arial MT"/>
          <w:sz w:val="24"/>
        </w:rPr>
        <w:t>HO</w:t>
      </w:r>
    </w:p>
    <w:p>
      <w:pPr>
        <w:spacing w:before="2"/>
        <w:ind w:left="111" w:right="0" w:firstLine="0"/>
        <w:jc w:val="left"/>
        <w:rPr>
          <w:rFonts w:ascii="Arial MT"/>
          <w:sz w:val="24"/>
        </w:rPr>
      </w:pPr>
      <w:r>
        <w:rPr/>
        <w:br w:type="column"/>
      </w:r>
      <w:r>
        <w:rPr>
          <w:rFonts w:ascii="Arial MT"/>
          <w:sz w:val="24"/>
        </w:rPr>
        <w:t>O</w:t>
      </w:r>
    </w:p>
    <w:p>
      <w:pPr>
        <w:pStyle w:val="BodyText"/>
        <w:spacing w:before="5"/>
        <w:rPr>
          <w:rFonts w:ascii="Arial MT"/>
          <w:sz w:val="27"/>
        </w:rPr>
      </w:pPr>
    </w:p>
    <w:p>
      <w:pPr>
        <w:spacing w:before="1"/>
        <w:ind w:left="447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501.95108pt;margin-top:-16.913868pt;width:22.2pt;height:20.150pt;mso-position-horizontal-relative:page;mso-position-vertical-relative:paragraph;z-index:15778816" coordorigin="10039,-338" coordsize="444,403" path="m10039,59l10258,-65m10258,-65l10482,65m10291,-57l10291,-338m10222,-57l10222,-338e" filled="false" stroked="true" strokeweight=".67602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24"/>
        </w:rPr>
        <w:t>CH</w:t>
      </w:r>
      <w:r>
        <w:rPr>
          <w:rFonts w:ascii="Arial MT"/>
          <w:position w:val="-7"/>
          <w:sz w:val="16"/>
        </w:rPr>
        <w:t>3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1910" w:h="16840"/>
          <w:pgMar w:top="1580" w:bottom="1180" w:left="420" w:right="0"/>
          <w:cols w:num="5" w:equalWidth="0">
            <w:col w:w="2993" w:space="40"/>
            <w:col w:w="1219" w:space="39"/>
            <w:col w:w="1026" w:space="1516"/>
            <w:col w:w="2769" w:space="40"/>
            <w:col w:w="1848"/>
          </w:cols>
        </w:sectPr>
      </w:pPr>
    </w:p>
    <w:p>
      <w:pPr>
        <w:pStyle w:val="BodyText"/>
        <w:spacing w:line="468" w:lineRule="auto" w:before="70"/>
        <w:ind w:left="1198" w:firstLine="719"/>
      </w:pPr>
      <w:r>
        <w:rPr>
          <w:spacing w:val="-1"/>
          <w:position w:val="1"/>
        </w:rPr>
        <w:t>An</w:t>
      </w:r>
      <w:r>
        <w:rPr>
          <w:spacing w:val="26"/>
          <w:position w:val="1"/>
        </w:rPr>
        <w:t> </w:t>
      </w:r>
      <w:r>
        <w:rPr>
          <w:spacing w:val="-1"/>
          <w:position w:val="1"/>
        </w:rPr>
        <w:t>important</w:t>
      </w:r>
      <w:r>
        <w:rPr>
          <w:spacing w:val="25"/>
          <w:position w:val="1"/>
        </w:rPr>
        <w:t> </w:t>
      </w:r>
      <w:r>
        <w:rPr>
          <w:spacing w:val="-1"/>
          <w:position w:val="1"/>
        </w:rPr>
        <w:t>thermodynamic</w:t>
      </w:r>
      <w:r>
        <w:rPr>
          <w:spacing w:val="25"/>
          <w:position w:val="1"/>
        </w:rPr>
        <w:t> </w:t>
      </w:r>
      <w:r>
        <w:rPr>
          <w:spacing w:val="-1"/>
          <w:position w:val="1"/>
        </w:rPr>
        <w:t>parameter,</w:t>
      </w:r>
      <w:r>
        <w:rPr>
          <w:spacing w:val="24"/>
          <w:position w:val="1"/>
        </w:rPr>
        <w:t> </w:t>
      </w:r>
      <w:r>
        <w:rPr>
          <w:spacing w:val="-1"/>
          <w:position w:val="1"/>
        </w:rPr>
        <w:t>change</w:t>
      </w:r>
      <w:r>
        <w:rPr>
          <w:spacing w:val="26"/>
          <w:position w:val="1"/>
        </w:rPr>
        <w:t> </w:t>
      </w:r>
      <w:r>
        <w:rPr>
          <w:spacing w:val="-1"/>
          <w:position w:val="1"/>
        </w:rPr>
        <w:t>in</w:t>
      </w:r>
      <w:r>
        <w:rPr>
          <w:spacing w:val="26"/>
          <w:position w:val="1"/>
        </w:rPr>
        <w:t> </w:t>
      </w:r>
      <w:r>
        <w:rPr>
          <w:spacing w:val="-1"/>
          <w:position w:val="1"/>
        </w:rPr>
        <w:t>Gibb’s</w:t>
      </w:r>
      <w:r>
        <w:rPr>
          <w:spacing w:val="26"/>
          <w:position w:val="1"/>
        </w:rPr>
        <w:t> </w:t>
      </w:r>
      <w:r>
        <w:rPr>
          <w:spacing w:val="-1"/>
          <w:position w:val="1"/>
        </w:rPr>
        <w:t>free</w:t>
      </w:r>
      <w:r>
        <w:rPr>
          <w:spacing w:val="26"/>
          <w:position w:val="1"/>
        </w:rPr>
        <w:t> </w:t>
      </w:r>
      <w:r>
        <w:rPr>
          <w:spacing w:val="-1"/>
          <w:position w:val="1"/>
        </w:rPr>
        <w:t>energy</w:t>
      </w:r>
      <w:r>
        <w:rPr>
          <w:spacing w:val="25"/>
          <w:position w:val="1"/>
        </w:rPr>
        <w:t> </w:t>
      </w:r>
      <w:r>
        <w:rPr>
          <w:spacing w:val="-1"/>
          <w:position w:val="1"/>
        </w:rPr>
        <w:t>(</w:t>
      </w:r>
      <w:r>
        <w:rPr>
          <w:spacing w:val="-38"/>
          <w:position w:val="1"/>
        </w:rPr>
        <w:t> </w:t>
      </w:r>
      <w:r>
        <w:rPr>
          <w:rFonts w:ascii="Symbol" w:hAnsi="Symbol"/>
          <w:spacing w:val="-1"/>
          <w:sz w:val="25"/>
        </w:rPr>
        <w:t></w:t>
      </w:r>
      <w:r>
        <w:rPr>
          <w:rFonts w:ascii="Times New Roman" w:hAnsi="Times New Roman"/>
          <w:i/>
          <w:spacing w:val="-1"/>
          <w:sz w:val="25"/>
        </w:rPr>
        <w:t>G</w:t>
      </w:r>
      <w:r>
        <w:rPr>
          <w:rFonts w:ascii="Times New Roman" w:hAnsi="Times New Roman"/>
          <w:i/>
          <w:spacing w:val="-31"/>
          <w:sz w:val="25"/>
        </w:rPr>
        <w:t> </w:t>
      </w:r>
      <w:r>
        <w:rPr>
          <w:spacing w:val="-1"/>
          <w:position w:val="1"/>
        </w:rPr>
        <w:t>),</w:t>
      </w:r>
      <w:r>
        <w:rPr>
          <w:spacing w:val="25"/>
          <w:position w:val="1"/>
        </w:rPr>
        <w:t> </w:t>
      </w:r>
      <w:r>
        <w:rPr>
          <w:spacing w:val="-1"/>
          <w:position w:val="1"/>
        </w:rPr>
        <w:t>were</w:t>
      </w:r>
      <w:r>
        <w:rPr>
          <w:spacing w:val="-72"/>
          <w:position w:val="1"/>
        </w:rPr>
        <w:t> </w:t>
      </w:r>
      <w:r>
        <w:rPr/>
        <w:t>obtained</w:t>
      </w:r>
      <w:r>
        <w:rPr>
          <w:spacing w:val="44"/>
        </w:rPr>
        <w:t> </w:t>
      </w:r>
      <w:r>
        <w:rPr/>
        <w:t>at</w:t>
      </w:r>
      <w:r>
        <w:rPr>
          <w:spacing w:val="44"/>
        </w:rPr>
        <w:t> </w:t>
      </w:r>
      <w:r>
        <w:rPr/>
        <w:t>different</w:t>
      </w:r>
      <w:r>
        <w:rPr>
          <w:spacing w:val="47"/>
        </w:rPr>
        <w:t> </w:t>
      </w:r>
      <w:r>
        <w:rPr/>
        <w:t>temperature</w:t>
      </w:r>
      <w:r>
        <w:rPr>
          <w:spacing w:val="46"/>
        </w:rPr>
        <w:t> </w:t>
      </w:r>
      <w:r>
        <w:rPr/>
        <w:t>conditions,</w:t>
      </w:r>
      <w:r>
        <w:rPr>
          <w:spacing w:val="46"/>
        </w:rPr>
        <w:t> </w:t>
      </w:r>
      <w:r>
        <w:rPr/>
        <w:t>and</w:t>
      </w:r>
      <w:r>
        <w:rPr>
          <w:spacing w:val="45"/>
        </w:rPr>
        <w:t> </w:t>
      </w:r>
      <w:r>
        <w:rPr/>
        <w:t>values</w:t>
      </w:r>
      <w:r>
        <w:rPr>
          <w:spacing w:val="46"/>
        </w:rPr>
        <w:t> </w:t>
      </w:r>
      <w:r>
        <w:rPr/>
        <w:t>were</w:t>
      </w:r>
      <w:r>
        <w:rPr>
          <w:spacing w:val="47"/>
        </w:rPr>
        <w:t> </w:t>
      </w:r>
      <w:r>
        <w:rPr/>
        <w:t>-0.123</w:t>
      </w:r>
      <w:r>
        <w:rPr>
          <w:spacing w:val="43"/>
        </w:rPr>
        <w:t> </w:t>
      </w:r>
      <w:r>
        <w:rPr/>
        <w:t>Jmol</w:t>
      </w:r>
      <w:r>
        <w:rPr>
          <w:vertAlign w:val="superscript"/>
        </w:rPr>
        <w:t>-1</w:t>
      </w:r>
      <w:r>
        <w:rPr>
          <w:spacing w:val="47"/>
          <w:vertAlign w:val="baseline"/>
        </w:rPr>
        <w:t> </w:t>
      </w:r>
      <w:r>
        <w:rPr>
          <w:vertAlign w:val="baseline"/>
        </w:rPr>
        <w:t>(303</w:t>
      </w:r>
      <w:r>
        <w:rPr>
          <w:spacing w:val="45"/>
          <w:vertAlign w:val="baseline"/>
        </w:rPr>
        <w:t> </w:t>
      </w:r>
      <w:r>
        <w:rPr>
          <w:vertAlign w:val="baseline"/>
        </w:rPr>
        <w:t>K),</w:t>
      </w:r>
      <w:r>
        <w:rPr>
          <w:spacing w:val="45"/>
          <w:vertAlign w:val="baseline"/>
        </w:rPr>
        <w:t> </w:t>
      </w:r>
      <w:r>
        <w:rPr>
          <w:vertAlign w:val="baseline"/>
        </w:rPr>
        <w:t>-</w:t>
      </w:r>
    </w:p>
    <w:p>
      <w:pPr>
        <w:pStyle w:val="BodyText"/>
        <w:spacing w:line="480" w:lineRule="auto" w:before="14"/>
        <w:ind w:left="1198" w:right="575"/>
      </w:pPr>
      <w:r>
        <w:rPr/>
        <w:t>0.138</w:t>
      </w:r>
      <w:r>
        <w:rPr>
          <w:spacing w:val="29"/>
        </w:rPr>
        <w:t> </w:t>
      </w:r>
      <w:r>
        <w:rPr/>
        <w:t>Jmol</w:t>
      </w:r>
      <w:r>
        <w:rPr>
          <w:vertAlign w:val="superscript"/>
        </w:rPr>
        <w:t>-1</w:t>
      </w:r>
      <w:r>
        <w:rPr>
          <w:spacing w:val="32"/>
          <w:vertAlign w:val="baseline"/>
        </w:rPr>
        <w:t> </w:t>
      </w:r>
      <w:r>
        <w:rPr>
          <w:vertAlign w:val="baseline"/>
        </w:rPr>
        <w:t>(333</w:t>
      </w:r>
      <w:r>
        <w:rPr>
          <w:spacing w:val="29"/>
          <w:vertAlign w:val="baseline"/>
        </w:rPr>
        <w:t> </w:t>
      </w:r>
      <w:r>
        <w:rPr>
          <w:vertAlign w:val="baseline"/>
        </w:rPr>
        <w:t>K)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33"/>
          <w:vertAlign w:val="baseline"/>
        </w:rPr>
        <w:t> </w:t>
      </w:r>
      <w:r>
        <w:rPr>
          <w:vertAlign w:val="baseline"/>
        </w:rPr>
        <w:t>-0.158</w:t>
      </w:r>
      <w:r>
        <w:rPr>
          <w:spacing w:val="31"/>
          <w:vertAlign w:val="baseline"/>
        </w:rPr>
        <w:t> </w:t>
      </w:r>
      <w:r>
        <w:rPr>
          <w:vertAlign w:val="baseline"/>
        </w:rPr>
        <w:t>Jmol</w:t>
      </w:r>
      <w:r>
        <w:rPr>
          <w:vertAlign w:val="superscript"/>
        </w:rPr>
        <w:t>-1</w:t>
      </w:r>
      <w:r>
        <w:rPr>
          <w:spacing w:val="5"/>
          <w:vertAlign w:val="baseline"/>
        </w:rPr>
        <w:t> </w:t>
      </w:r>
      <w:r>
        <w:rPr>
          <w:vertAlign w:val="baseline"/>
        </w:rPr>
        <w:t>(373</w:t>
      </w:r>
      <w:r>
        <w:rPr>
          <w:spacing w:val="32"/>
          <w:vertAlign w:val="baseline"/>
        </w:rPr>
        <w:t> </w:t>
      </w:r>
      <w:r>
        <w:rPr>
          <w:vertAlign w:val="baseline"/>
        </w:rPr>
        <w:t>K).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values</w:t>
      </w:r>
      <w:r>
        <w:rPr>
          <w:spacing w:val="31"/>
          <w:vertAlign w:val="baseline"/>
        </w:rPr>
        <w:t> </w:t>
      </w:r>
      <w:r>
        <w:rPr>
          <w:vertAlign w:val="baseline"/>
        </w:rPr>
        <w:t>are</w:t>
      </w:r>
      <w:r>
        <w:rPr>
          <w:spacing w:val="30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31"/>
          <w:vertAlign w:val="baseline"/>
        </w:rPr>
        <w:t> </w:t>
      </w:r>
      <w:r>
        <w:rPr>
          <w:vertAlign w:val="baseline"/>
        </w:rPr>
        <w:t>and</w:t>
      </w:r>
      <w:r>
        <w:rPr>
          <w:spacing w:val="30"/>
          <w:vertAlign w:val="baseline"/>
        </w:rPr>
        <w:t> </w:t>
      </w:r>
      <w:r>
        <w:rPr>
          <w:vertAlign w:val="baseline"/>
        </w:rPr>
        <w:t>suggested</w:t>
      </w:r>
      <w:r>
        <w:rPr>
          <w:spacing w:val="-72"/>
          <w:vertAlign w:val="baseline"/>
        </w:rPr>
        <w:t> </w:t>
      </w:r>
      <w:r>
        <w:rPr>
          <w:vertAlign w:val="baseline"/>
        </w:rPr>
        <w:t>that, at</w:t>
      </w:r>
      <w:r>
        <w:rPr>
          <w:spacing w:val="-3"/>
          <w:vertAlign w:val="baseline"/>
        </w:rPr>
        <w:t> </w:t>
      </w:r>
      <w:r>
        <w:rPr>
          <w:vertAlign w:val="baseline"/>
        </w:rPr>
        <w:t>all</w:t>
      </w:r>
      <w:r>
        <w:rPr>
          <w:spacing w:val="2"/>
          <w:vertAlign w:val="baseline"/>
        </w:rPr>
        <w:t> </w:t>
      </w:r>
      <w:r>
        <w:rPr>
          <w:vertAlign w:val="baseline"/>
        </w:rPr>
        <w:t>temperatures,</w:t>
      </w:r>
      <w:r>
        <w:rPr>
          <w:spacing w:val="-2"/>
          <w:vertAlign w:val="baseline"/>
        </w:rPr>
        <w:t> </w:t>
      </w:r>
      <w:r>
        <w:rPr>
          <w:vertAlign w:val="baseline"/>
        </w:rPr>
        <w:t>corn</w:t>
      </w:r>
      <w:r>
        <w:rPr>
          <w:spacing w:val="-2"/>
          <w:vertAlign w:val="baseline"/>
        </w:rPr>
        <w:t> </w:t>
      </w:r>
      <w:r>
        <w:rPr>
          <w:vertAlign w:val="baseline"/>
        </w:rPr>
        <w:t>cob acetylation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was spontaneous.</w:t>
      </w:r>
    </w:p>
    <w:p>
      <w:pPr>
        <w:pStyle w:val="BodyText"/>
        <w:rPr>
          <w:sz w:val="28"/>
        </w:rPr>
      </w:pPr>
    </w:p>
    <w:p>
      <w:pPr>
        <w:pStyle w:val="Heading3"/>
        <w:spacing w:before="241"/>
      </w:pPr>
      <w:r>
        <w:rPr/>
        <w:t>3.5.2</w:t>
      </w:r>
      <w:r>
        <w:rPr>
          <w:spacing w:val="35"/>
        </w:rPr>
        <w:t> </w:t>
      </w:r>
      <w:r>
        <w:rPr/>
        <w:t>Thermodynamics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Mango</w:t>
      </w:r>
      <w:r>
        <w:rPr>
          <w:spacing w:val="-4"/>
        </w:rPr>
        <w:t> </w:t>
      </w:r>
      <w:r>
        <w:rPr/>
        <w:t>kernel</w:t>
      </w:r>
      <w:r>
        <w:rPr>
          <w:spacing w:val="-5"/>
        </w:rPr>
        <w:t> </w:t>
      </w:r>
      <w:r>
        <w:rPr/>
        <w:t>acetylation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tabs>
          <w:tab w:pos="5518" w:val="left" w:leader="none"/>
        </w:tabs>
        <w:spacing w:line="482" w:lineRule="auto"/>
        <w:ind w:left="1198" w:right="580"/>
      </w:pPr>
      <w:r>
        <w:rPr/>
        <w:t>The</w:t>
      </w:r>
      <w:r>
        <w:rPr>
          <w:spacing w:val="49"/>
        </w:rPr>
        <w:t> </w:t>
      </w:r>
      <w:r>
        <w:rPr/>
        <w:t>effect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temperature</w:t>
      </w:r>
      <w:r>
        <w:rPr>
          <w:spacing w:val="49"/>
        </w:rPr>
        <w:t> </w:t>
      </w:r>
      <w:r>
        <w:rPr/>
        <w:t>on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extent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mango</w:t>
      </w:r>
      <w:r>
        <w:rPr>
          <w:spacing w:val="48"/>
        </w:rPr>
        <w:t> </w:t>
      </w:r>
      <w:r>
        <w:rPr/>
        <w:t>kernel</w:t>
      </w:r>
      <w:r>
        <w:rPr>
          <w:spacing w:val="49"/>
        </w:rPr>
        <w:t> </w:t>
      </w:r>
      <w:r>
        <w:rPr/>
        <w:t>acetylation</w:t>
      </w:r>
      <w:r>
        <w:rPr>
          <w:spacing w:val="48"/>
        </w:rPr>
        <w:t> </w:t>
      </w:r>
      <w:r>
        <w:rPr/>
        <w:t>was</w:t>
      </w:r>
      <w:r>
        <w:rPr>
          <w:spacing w:val="49"/>
        </w:rPr>
        <w:t> </w:t>
      </w:r>
      <w:r>
        <w:rPr/>
        <w:t>investigated</w:t>
      </w:r>
      <w:r>
        <w:rPr>
          <w:spacing w:val="-72"/>
        </w:rPr>
        <w:t> </w:t>
      </w:r>
      <w:r>
        <w:rPr/>
        <w:t>through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plots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2.19c.</w:t>
        <w:tab/>
        <w:t>Figure</w:t>
      </w:r>
      <w:r>
        <w:rPr>
          <w:spacing w:val="-1"/>
        </w:rPr>
        <w:t> </w:t>
      </w:r>
      <w:r>
        <w:rPr/>
        <w:t>3.26</w:t>
      </w:r>
      <w:r>
        <w:rPr>
          <w:spacing w:val="-2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plots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2.19c</w:t>
      </w:r>
    </w:p>
    <w:p>
      <w:pPr>
        <w:spacing w:after="0" w:line="482" w:lineRule="auto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ind w:left="1578"/>
        <w:rPr>
          <w:sz w:val="20"/>
        </w:rPr>
      </w:pPr>
      <w:r>
        <w:rPr>
          <w:sz w:val="20"/>
        </w:rPr>
        <w:pict>
          <v:group style="width:409.9pt;height:399.35pt;mso-position-horizontal-relative:char;mso-position-vertical-relative:line" coordorigin="0,0" coordsize="8198,7987">
            <v:shape style="position:absolute;left:0;top:0;width:8198;height:798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171"/>
                      <w:ind w:left="10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4.21:</w:t>
                    </w:r>
                    <w:r>
                      <w:rPr>
                        <w:spacing w:val="7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clausius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clapeyron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plots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mango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kernel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acetylation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tabs>
          <w:tab w:pos="2637" w:val="left" w:leader="none"/>
        </w:tabs>
        <w:spacing w:before="101"/>
        <w:ind w:left="1198"/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1268730</wp:posOffset>
            </wp:positionH>
            <wp:positionV relativeFrom="paragraph">
              <wp:posOffset>-5195749</wp:posOffset>
            </wp:positionV>
            <wp:extent cx="5205730" cy="5071745"/>
            <wp:effectExtent l="0" t="0" r="0" b="0"/>
            <wp:wrapNone/>
            <wp:docPr id="4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1"/>
        </w:rPr>
        <w:t> </w:t>
      </w:r>
      <w:r>
        <w:rPr/>
        <w:t>3.26</w:t>
        <w:tab/>
        <w:t>Clausius</w:t>
      </w:r>
      <w:r>
        <w:rPr>
          <w:spacing w:val="-2"/>
        </w:rPr>
        <w:t> </w:t>
      </w:r>
      <w:r>
        <w:rPr/>
        <w:t>clapeyron</w:t>
      </w:r>
      <w:r>
        <w:rPr>
          <w:spacing w:val="-4"/>
        </w:rPr>
        <w:t> </w:t>
      </w:r>
      <w:r>
        <w:rPr/>
        <w:t>plot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mango</w:t>
      </w:r>
      <w:r>
        <w:rPr>
          <w:spacing w:val="-5"/>
        </w:rPr>
        <w:t> </w:t>
      </w:r>
      <w:r>
        <w:rPr/>
        <w:t>kernel</w:t>
      </w:r>
      <w:r>
        <w:rPr>
          <w:spacing w:val="-3"/>
        </w:rPr>
        <w:t> </w:t>
      </w:r>
      <w:r>
        <w:rPr/>
        <w:t>acetylation</w:t>
      </w:r>
    </w:p>
    <w:p>
      <w:pPr>
        <w:spacing w:after="0"/>
        <w:sectPr>
          <w:pgSz w:w="11910" w:h="16840"/>
          <w:pgMar w:header="0" w:footer="987" w:top="1320" w:bottom="1260" w:left="420" w:right="0"/>
        </w:sectPr>
      </w:pPr>
    </w:p>
    <w:p>
      <w:pPr>
        <w:pStyle w:val="BodyText"/>
        <w:spacing w:line="480" w:lineRule="auto" w:before="75"/>
        <w:ind w:left="1198" w:right="576" w:firstLine="719"/>
        <w:jc w:val="both"/>
      </w:pPr>
      <w:r>
        <w:rPr/>
        <w:t>It should be noted that we assumed the acetylation of mango kernel to be an</w:t>
      </w:r>
      <w:r>
        <w:rPr>
          <w:spacing w:val="1"/>
        </w:rPr>
        <w:t> </w:t>
      </w:r>
      <w:r>
        <w:rPr/>
        <w:t>equilibrium surface reaction. Obtained value of slope allowed the calculation of heat of</w:t>
      </w:r>
      <w:r>
        <w:rPr>
          <w:spacing w:val="1"/>
        </w:rPr>
        <w:t> </w:t>
      </w:r>
      <w:r>
        <w:rPr/>
        <w:t>mango kernel acetylation (0.8696 Jmol</w:t>
      </w:r>
      <w:r>
        <w:rPr>
          <w:vertAlign w:val="superscript"/>
        </w:rPr>
        <w:t>-1</w:t>
      </w:r>
      <w:r>
        <w:rPr>
          <w:vertAlign w:val="baseline"/>
        </w:rPr>
        <w:t>). From intercepts on x and y axes, the critical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of acetylation (0.016 K) and critical degree of acetylation (1.977) values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 respectively. Positive value of heat of mango kernel acetylation and very low</w:t>
      </w:r>
      <w:r>
        <w:rPr>
          <w:spacing w:val="1"/>
          <w:vertAlign w:val="baseline"/>
        </w:rPr>
        <w:t> </w:t>
      </w:r>
      <w:r>
        <w:rPr>
          <w:vertAlign w:val="baseline"/>
        </w:rPr>
        <w:t>critical temperature value suggested that mango kernel acetylation is a process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proceeds easily (spontaneous) by absorbing heat from the environment. A general trend</w:t>
      </w:r>
      <w:r>
        <w:rPr>
          <w:spacing w:val="1"/>
          <w:vertAlign w:val="baseline"/>
        </w:rPr>
        <w:t> </w:t>
      </w:r>
      <w:r>
        <w:rPr>
          <w:vertAlign w:val="baseline"/>
        </w:rPr>
        <w:t>also exists such that high heat of acetylation of a substance/material means more difficulty</w:t>
      </w:r>
      <w:r>
        <w:rPr>
          <w:spacing w:val="1"/>
          <w:vertAlign w:val="baseline"/>
        </w:rPr>
        <w:t> </w:t>
      </w:r>
      <w:r>
        <w:rPr>
          <w:vertAlign w:val="baseline"/>
        </w:rPr>
        <w:t>in acetylating the material, therefore, very low heat of acetylation value implied the ease at</w:t>
      </w:r>
      <w:r>
        <w:rPr>
          <w:spacing w:val="-72"/>
          <w:vertAlign w:val="baseline"/>
        </w:rPr>
        <w:t> </w:t>
      </w:r>
      <w:r>
        <w:rPr>
          <w:vertAlign w:val="baseline"/>
        </w:rPr>
        <w:t>which mango kernel could be acetylated. The critical degree of mango kernel acetylation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represented values which were obtained and explains the mechanism of acetylation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mango</w:t>
      </w:r>
      <w:r>
        <w:rPr>
          <w:spacing w:val="1"/>
          <w:vertAlign w:val="baseline"/>
        </w:rPr>
        <w:t> </w:t>
      </w:r>
      <w:r>
        <w:rPr>
          <w:vertAlign w:val="baseline"/>
        </w:rPr>
        <w:t>kernel</w:t>
      </w:r>
      <w:r>
        <w:rPr>
          <w:spacing w:val="1"/>
          <w:vertAlign w:val="baseline"/>
        </w:rPr>
        <w:t> </w:t>
      </w:r>
      <w:r>
        <w:rPr>
          <w:vertAlign w:val="baseline"/>
        </w:rPr>
        <w:t>(values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above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suggested</w:t>
      </w:r>
      <w:r>
        <w:rPr>
          <w:spacing w:val="1"/>
          <w:vertAlign w:val="baseline"/>
        </w:rPr>
        <w:t> </w:t>
      </w:r>
      <w:r>
        <w:rPr>
          <w:vertAlign w:val="baseline"/>
        </w:rPr>
        <w:t>diffusion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below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suggested surface adsorption mechanism). This further explained why good acetylation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-1"/>
          <w:vertAlign w:val="baseline"/>
        </w:rPr>
        <w:t> </w:t>
      </w:r>
      <w:r>
        <w:rPr>
          <w:vertAlign w:val="baseline"/>
        </w:rPr>
        <w:t>only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high</w:t>
      </w:r>
      <w:r>
        <w:rPr>
          <w:spacing w:val="2"/>
          <w:vertAlign w:val="baseline"/>
        </w:rPr>
        <w:t> </w:t>
      </w:r>
      <w:r>
        <w:rPr>
          <w:vertAlign w:val="baseline"/>
        </w:rPr>
        <w:t>temperature and</w:t>
      </w:r>
      <w:r>
        <w:rPr>
          <w:spacing w:val="-2"/>
          <w:vertAlign w:val="baseline"/>
        </w:rPr>
        <w:t> </w:t>
      </w:r>
      <w:r>
        <w:rPr>
          <w:vertAlign w:val="baseline"/>
        </w:rPr>
        <w:t>longer</w:t>
      </w:r>
      <w:r>
        <w:rPr>
          <w:spacing w:val="-1"/>
          <w:vertAlign w:val="baseline"/>
        </w:rPr>
        <w:t> </w:t>
      </w:r>
      <w:r>
        <w:rPr>
          <w:vertAlign w:val="baseline"/>
        </w:rPr>
        <w:t>reaction time.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before="4"/>
        <w:ind w:left="1198"/>
        <w:rPr>
          <w:rFonts w:ascii="Times New Roman"/>
          <w:i/>
          <w:sz w:val="13"/>
        </w:rPr>
      </w:pPr>
      <w:r>
        <w:rPr/>
        <w:t>The</w:t>
      </w:r>
      <w:r>
        <w:rPr>
          <w:spacing w:val="63"/>
        </w:rPr>
        <w:t> </w:t>
      </w:r>
      <w:r>
        <w:rPr/>
        <w:t>heat</w:t>
      </w:r>
      <w:r>
        <w:rPr>
          <w:spacing w:val="61"/>
        </w:rPr>
        <w:t> </w:t>
      </w:r>
      <w:r>
        <w:rPr/>
        <w:t>capacity</w:t>
      </w:r>
      <w:r>
        <w:rPr>
          <w:spacing w:val="66"/>
        </w:rPr>
        <w:t> </w:t>
      </w:r>
      <w:r>
        <w:rPr/>
        <w:t>(</w:t>
      </w:r>
      <w:r>
        <w:rPr>
          <w:spacing w:val="-42"/>
        </w:rPr>
        <w:t> </w:t>
      </w:r>
      <w:r>
        <w:rPr>
          <w:rFonts w:ascii="Times New Roman"/>
          <w:i/>
          <w:sz w:val="23"/>
        </w:rPr>
        <w:t>C</w:t>
      </w:r>
      <w:r>
        <w:rPr>
          <w:rFonts w:ascii="Times New Roman"/>
          <w:i/>
          <w:position w:val="-4"/>
          <w:sz w:val="13"/>
        </w:rPr>
        <w:t>p</w:t>
      </w:r>
    </w:p>
    <w:p>
      <w:pPr>
        <w:pStyle w:val="BodyText"/>
        <w:spacing w:before="4"/>
        <w:ind w:left="139"/>
      </w:pPr>
      <w:r>
        <w:rPr/>
        <w:br w:type="column"/>
      </w:r>
      <w:r>
        <w:rPr/>
        <w:t>)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mango</w:t>
      </w:r>
      <w:r>
        <w:rPr>
          <w:spacing w:val="56"/>
        </w:rPr>
        <w:t> </w:t>
      </w:r>
      <w:r>
        <w:rPr/>
        <w:t>kernel</w:t>
      </w:r>
      <w:r>
        <w:rPr>
          <w:spacing w:val="60"/>
        </w:rPr>
        <w:t> </w:t>
      </w:r>
      <w:r>
        <w:rPr/>
        <w:t>acetylation</w:t>
      </w:r>
      <w:r>
        <w:rPr>
          <w:spacing w:val="57"/>
        </w:rPr>
        <w:t> </w:t>
      </w:r>
      <w:r>
        <w:rPr/>
        <w:t>represents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quantity</w:t>
      </w:r>
      <w:r>
        <w:rPr>
          <w:spacing w:val="61"/>
        </w:rPr>
        <w:t> </w:t>
      </w:r>
      <w:r>
        <w:rPr/>
        <w:t>of</w:t>
      </w:r>
      <w:r>
        <w:rPr>
          <w:spacing w:val="57"/>
        </w:rPr>
        <w:t> </w:t>
      </w:r>
      <w:r>
        <w:rPr/>
        <w:t>heat</w:t>
      </w:r>
    </w:p>
    <w:p>
      <w:pPr>
        <w:spacing w:after="0"/>
        <w:sectPr>
          <w:type w:val="continuous"/>
          <w:pgSz w:w="11910" w:h="16840"/>
          <w:pgMar w:top="1580" w:bottom="1180" w:left="420" w:right="0"/>
          <w:cols w:num="2" w:equalWidth="0">
            <w:col w:w="3705" w:space="40"/>
            <w:col w:w="7745"/>
          </w:cols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00"/>
        <w:ind w:left="1198"/>
        <w:rPr>
          <w:rFonts w:ascii="Times New Roman"/>
          <w:i/>
          <w:sz w:val="13"/>
        </w:rPr>
      </w:pPr>
      <w:r>
        <w:rPr/>
        <w:t>needed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acetylate</w:t>
      </w:r>
      <w:r>
        <w:rPr>
          <w:spacing w:val="18"/>
        </w:rPr>
        <w:t> </w:t>
      </w:r>
      <w:r>
        <w:rPr/>
        <w:t>corn</w:t>
      </w:r>
      <w:r>
        <w:rPr>
          <w:spacing w:val="17"/>
        </w:rPr>
        <w:t> </w:t>
      </w:r>
      <w:r>
        <w:rPr/>
        <w:t>cob</w:t>
      </w:r>
      <w:r>
        <w:rPr>
          <w:spacing w:val="16"/>
        </w:rPr>
        <w:t> </w:t>
      </w:r>
      <w:r>
        <w:rPr/>
        <w:t>whenever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degree</w:t>
      </w:r>
      <w:r>
        <w:rPr>
          <w:spacing w:val="18"/>
        </w:rPr>
        <w:t> </w:t>
      </w:r>
      <w:r>
        <w:rPr/>
        <w:t>rise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temperature</w:t>
      </w:r>
      <w:r>
        <w:rPr>
          <w:spacing w:val="18"/>
        </w:rPr>
        <w:t> </w:t>
      </w:r>
      <w:r>
        <w:rPr/>
        <w:t>occurs.</w:t>
      </w:r>
      <w:r>
        <w:rPr>
          <w:spacing w:val="17"/>
        </w:rPr>
        <w:t> </w:t>
      </w:r>
      <w:r>
        <w:rPr/>
        <w:t>Value</w:t>
      </w:r>
      <w:r>
        <w:rPr>
          <w:spacing w:val="18"/>
        </w:rPr>
        <w:t> </w:t>
      </w:r>
      <w:r>
        <w:rPr/>
        <w:t>of</w:t>
      </w:r>
      <w:r>
        <w:rPr>
          <w:spacing w:val="40"/>
        </w:rPr>
        <w:t> </w:t>
      </w:r>
      <w:r>
        <w:rPr>
          <w:rFonts w:ascii="Times New Roman"/>
          <w:i/>
          <w:spacing w:val="11"/>
          <w:sz w:val="23"/>
        </w:rPr>
        <w:t>C</w:t>
      </w:r>
      <w:r>
        <w:rPr>
          <w:rFonts w:ascii="Times New Roman"/>
          <w:i/>
          <w:spacing w:val="11"/>
          <w:position w:val="-4"/>
          <w:sz w:val="13"/>
        </w:rPr>
        <w:t>p</w:t>
      </w:r>
    </w:p>
    <w:p>
      <w:pPr>
        <w:pStyle w:val="BodyText"/>
        <w:spacing w:before="4"/>
        <w:rPr>
          <w:rFonts w:ascii="Times New Roman"/>
          <w:i/>
          <w:sz w:val="30"/>
        </w:rPr>
      </w:pPr>
    </w:p>
    <w:p>
      <w:pPr>
        <w:pStyle w:val="BodyText"/>
        <w:ind w:left="1198"/>
      </w:pPr>
      <w:r>
        <w:rPr/>
        <w:t>obtained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1.242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vertAlign w:val="baseline"/>
        </w:rPr>
        <w:t> Jmol</w:t>
      </w:r>
      <w:r>
        <w:rPr>
          <w:vertAlign w:val="superscript"/>
        </w:rPr>
        <w:t>-1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.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125"/>
        <w:ind w:left="1198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entropy</w:t>
      </w:r>
      <w:r>
        <w:rPr>
          <w:spacing w:val="1"/>
        </w:rPr>
        <w:t> </w:t>
      </w:r>
      <w:r>
        <w:rPr>
          <w:spacing w:val="-1"/>
        </w:rPr>
        <w:t>(</w:t>
      </w:r>
      <w:r>
        <w:rPr>
          <w:spacing w:val="-37"/>
        </w:rPr>
        <w:t> </w:t>
      </w:r>
      <w:r>
        <w:rPr>
          <w:rFonts w:ascii="Symbol" w:hAnsi="Symbol"/>
          <w:spacing w:val="-1"/>
          <w:sz w:val="25"/>
        </w:rPr>
        <w:t></w:t>
      </w:r>
      <w:r>
        <w:rPr>
          <w:rFonts w:ascii="Times New Roman" w:hAnsi="Times New Roman"/>
          <w:i/>
          <w:spacing w:val="-1"/>
          <w:sz w:val="25"/>
        </w:rPr>
        <w:t>S</w:t>
      </w:r>
      <w:r>
        <w:rPr>
          <w:rFonts w:ascii="Times New Roman" w:hAnsi="Times New Roman"/>
          <w:i/>
          <w:spacing w:val="-12"/>
          <w:sz w:val="25"/>
        </w:rPr>
        <w:t> </w:t>
      </w:r>
      <w:r>
        <w:rPr>
          <w:spacing w:val="-1"/>
        </w:rPr>
        <w:t>)</w:t>
      </w:r>
      <w:r>
        <w:rPr>
          <w:spacing w:val="-2"/>
        </w:rPr>
        <w:t> </w:t>
      </w:r>
      <w:r>
        <w:rPr>
          <w:spacing w:val="-1"/>
        </w:rPr>
        <w:t>for </w:t>
      </w:r>
      <w:r>
        <w:rPr/>
        <w:t>corn cob</w:t>
      </w:r>
      <w:r>
        <w:rPr>
          <w:spacing w:val="1"/>
        </w:rPr>
        <w:t> </w:t>
      </w:r>
      <w:r>
        <w:rPr/>
        <w:t>acetylation</w:t>
      </w:r>
      <w:r>
        <w:rPr>
          <w:spacing w:val="-1"/>
        </w:rPr>
        <w:t> </w:t>
      </w:r>
      <w:r>
        <w:rPr/>
        <w:t>obtained is 1.495 x 10</w:t>
      </w:r>
      <w:r>
        <w:rPr>
          <w:vertAlign w:val="superscript"/>
        </w:rPr>
        <w:t>-2</w:t>
      </w:r>
      <w:r>
        <w:rPr>
          <w:vertAlign w:val="baseline"/>
        </w:rPr>
        <w:t> Jmol</w:t>
      </w:r>
      <w:r>
        <w:rPr>
          <w:vertAlign w:val="superscript"/>
        </w:rPr>
        <w:t>-1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. The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99"/>
        <w:ind w:left="1198"/>
      </w:pPr>
      <w:r>
        <w:rPr/>
        <w:t>value</w:t>
      </w:r>
      <w:r>
        <w:rPr>
          <w:spacing w:val="36"/>
        </w:rPr>
        <w:t> </w:t>
      </w:r>
      <w:r>
        <w:rPr/>
        <w:t>of</w:t>
      </w:r>
      <w:r>
        <w:rPr>
          <w:spacing w:val="72"/>
        </w:rPr>
        <w:t> </w:t>
      </w:r>
      <w:r>
        <w:rPr>
          <w:rFonts w:ascii="Symbol" w:hAnsi="Symbol"/>
          <w:sz w:val="25"/>
        </w:rPr>
        <w:t></w:t>
      </w:r>
      <w:r>
        <w:rPr>
          <w:rFonts w:ascii="Times New Roman" w:hAnsi="Times New Roman"/>
          <w:i/>
          <w:sz w:val="25"/>
        </w:rPr>
        <w:t>S</w:t>
      </w:r>
      <w:r>
        <w:rPr>
          <w:rFonts w:ascii="Times New Roman" w:hAnsi="Times New Roman"/>
          <w:i/>
          <w:spacing w:val="97"/>
          <w:sz w:val="25"/>
        </w:rPr>
        <w:t> </w:t>
      </w:r>
      <w:r>
        <w:rPr/>
        <w:t>is</w:t>
      </w:r>
      <w:r>
        <w:rPr>
          <w:spacing w:val="36"/>
        </w:rPr>
        <w:t> </w:t>
      </w:r>
      <w:r>
        <w:rPr/>
        <w:t>positive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suggested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/>
        <w:t>degree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disorderliness</w:t>
      </w:r>
      <w:r>
        <w:rPr>
          <w:spacing w:val="36"/>
        </w:rPr>
        <w:t> </w:t>
      </w:r>
      <w:r>
        <w:rPr/>
        <w:t>during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acetylation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100"/>
        <w:ind w:left="1198"/>
      </w:pPr>
      <w:r>
        <w:rPr/>
        <w:t>process.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1198" w:right="575"/>
        <w:jc w:val="both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thermodynamic</w:t>
      </w:r>
      <w:r>
        <w:rPr/>
        <w:t> </w:t>
      </w:r>
      <w:r>
        <w:rPr>
          <w:spacing w:val="-1"/>
        </w:rPr>
        <w:t>parameter,</w:t>
      </w:r>
      <w:r>
        <w:rPr/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Gibb’s</w:t>
      </w:r>
      <w:r>
        <w:rPr/>
        <w:t> </w:t>
      </w:r>
      <w:r>
        <w:rPr>
          <w:spacing w:val="-1"/>
        </w:rPr>
        <w:t>free</w:t>
      </w:r>
      <w:r>
        <w:rPr/>
        <w:t> energy</w:t>
      </w:r>
      <w:r>
        <w:rPr>
          <w:spacing w:val="1"/>
        </w:rPr>
        <w:t> </w:t>
      </w:r>
      <w:r>
        <w:rPr/>
        <w:t>( </w:t>
      </w:r>
      <w:r>
        <w:rPr>
          <w:rFonts w:ascii="Symbol" w:hAnsi="Symbol"/>
        </w:rPr>
        <w:t></w:t>
      </w:r>
      <w:r>
        <w:rPr>
          <w:rFonts w:ascii="Times New Roman" w:hAnsi="Times New Roman"/>
          <w:i/>
        </w:rPr>
        <w:t>G </w:t>
      </w:r>
      <w:r>
        <w:rPr/>
        <w:t>),</w:t>
      </w:r>
      <w:r>
        <w:rPr>
          <w:spacing w:val="75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 at different temperature conditions, and values were -3.66 Jmol</w:t>
      </w:r>
      <w:r>
        <w:rPr>
          <w:vertAlign w:val="superscript"/>
        </w:rPr>
        <w:t>-1</w:t>
      </w:r>
      <w:r>
        <w:rPr>
          <w:vertAlign w:val="baseline"/>
        </w:rPr>
        <w:t> (303 K), -4.11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Jmol</w:t>
      </w:r>
      <w:r>
        <w:rPr>
          <w:spacing w:val="-1"/>
          <w:vertAlign w:val="superscript"/>
        </w:rPr>
        <w:t>-1</w:t>
      </w:r>
      <w:r>
        <w:rPr>
          <w:spacing w:val="-1"/>
          <w:vertAlign w:val="baseline"/>
        </w:rPr>
        <w:t> (333 K) and -4.71 Jmol</w:t>
      </w:r>
      <w:r>
        <w:rPr>
          <w:spacing w:val="-1"/>
          <w:vertAlign w:val="superscript"/>
        </w:rPr>
        <w:t>-1</w:t>
      </w:r>
      <w:r>
        <w:rPr>
          <w:spacing w:val="-1"/>
          <w:vertAlign w:val="baseline"/>
        </w:rPr>
        <w:t> (373 </w:t>
      </w:r>
      <w:r>
        <w:rPr>
          <w:vertAlign w:val="baseline"/>
        </w:rPr>
        <w:t>K). The values are negative and suggested that, at all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temperatures,</w:t>
      </w:r>
      <w:r>
        <w:rPr>
          <w:spacing w:val="-2"/>
          <w:vertAlign w:val="baseline"/>
        </w:rPr>
        <w:t> </w:t>
      </w:r>
      <w:r>
        <w:rPr>
          <w:vertAlign w:val="baseline"/>
        </w:rPr>
        <w:t>mango</w:t>
      </w:r>
      <w:r>
        <w:rPr>
          <w:spacing w:val="2"/>
          <w:vertAlign w:val="baseline"/>
        </w:rPr>
        <w:t> </w:t>
      </w:r>
      <w:r>
        <w:rPr>
          <w:vertAlign w:val="baseline"/>
        </w:rPr>
        <w:t>kernel</w:t>
      </w:r>
      <w:r>
        <w:rPr>
          <w:spacing w:val="-1"/>
          <w:vertAlign w:val="baseline"/>
        </w:rPr>
        <w:t> </w:t>
      </w:r>
      <w:r>
        <w:rPr>
          <w:vertAlign w:val="baseline"/>
        </w:rPr>
        <w:t>acetylation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spontaneous.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1180" w:left="4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3"/>
        <w:numPr>
          <w:ilvl w:val="1"/>
          <w:numId w:val="13"/>
        </w:numPr>
        <w:tabs>
          <w:tab w:pos="2637" w:val="left" w:leader="none"/>
          <w:tab w:pos="2638" w:val="left" w:leader="none"/>
        </w:tabs>
        <w:spacing w:line="240" w:lineRule="auto" w:before="100" w:after="0"/>
        <w:ind w:left="2638" w:right="0" w:hanging="1366"/>
        <w:jc w:val="left"/>
      </w:pPr>
      <w:r>
        <w:rPr/>
        <w:t>Water</w:t>
      </w:r>
      <w:r>
        <w:rPr>
          <w:spacing w:val="-4"/>
        </w:rPr>
        <w:t> </w:t>
      </w:r>
      <w:r>
        <w:rPr/>
        <w:t>absorption</w:t>
      </w:r>
      <w:r>
        <w:rPr>
          <w:spacing w:val="-3"/>
        </w:rPr>
        <w:t> </w:t>
      </w:r>
      <w:r>
        <w:rPr/>
        <w:t>Capacity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2"/>
          <w:numId w:val="13"/>
        </w:numPr>
        <w:tabs>
          <w:tab w:pos="2637" w:val="left" w:leader="none"/>
          <w:tab w:pos="2638" w:val="left" w:leader="none"/>
        </w:tabs>
        <w:spacing w:line="240" w:lineRule="auto" w:before="0" w:after="0"/>
        <w:ind w:left="2638" w:right="0" w:hanging="1440"/>
        <w:jc w:val="left"/>
        <w:rPr>
          <w:b/>
          <w:sz w:val="24"/>
        </w:rPr>
      </w:pPr>
      <w:r>
        <w:rPr>
          <w:b/>
          <w:sz w:val="24"/>
        </w:rPr>
        <w:t>Water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Absorption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Capacity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Cob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98" w:firstLine="719"/>
      </w:pPr>
      <w:r>
        <w:rPr/>
        <w:t>The</w:t>
      </w:r>
      <w:r>
        <w:rPr>
          <w:spacing w:val="30"/>
        </w:rPr>
        <w:t> </w:t>
      </w:r>
      <w:r>
        <w:rPr/>
        <w:t>principal</w:t>
      </w:r>
      <w:r>
        <w:rPr>
          <w:spacing w:val="30"/>
        </w:rPr>
        <w:t> </w:t>
      </w:r>
      <w:r>
        <w:rPr/>
        <w:t>essence</w:t>
      </w:r>
      <w:r>
        <w:rPr>
          <w:spacing w:val="28"/>
        </w:rPr>
        <w:t> </w:t>
      </w:r>
      <w:r>
        <w:rPr/>
        <w:t>for</w:t>
      </w:r>
      <w:r>
        <w:rPr>
          <w:spacing w:val="31"/>
        </w:rPr>
        <w:t> </w:t>
      </w:r>
      <w:r>
        <w:rPr/>
        <w:t>studying</w:t>
      </w:r>
      <w:r>
        <w:rPr>
          <w:spacing w:val="29"/>
        </w:rPr>
        <w:t> </w:t>
      </w:r>
      <w:r>
        <w:rPr/>
        <w:t>corn</w:t>
      </w:r>
      <w:r>
        <w:rPr>
          <w:spacing w:val="30"/>
        </w:rPr>
        <w:t> </w:t>
      </w:r>
      <w:r>
        <w:rPr/>
        <w:t>cob</w:t>
      </w:r>
      <w:r>
        <w:rPr>
          <w:spacing w:val="29"/>
        </w:rPr>
        <w:t> </w:t>
      </w:r>
      <w:r>
        <w:rPr/>
        <w:t>acetylation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to</w:t>
      </w:r>
      <w:r>
        <w:rPr>
          <w:spacing w:val="29"/>
        </w:rPr>
        <w:t> </w:t>
      </w:r>
      <w:r>
        <w:rPr/>
        <w:t>observe</w:t>
      </w:r>
      <w:r>
        <w:rPr>
          <w:spacing w:val="30"/>
        </w:rPr>
        <w:t> </w:t>
      </w:r>
      <w:r>
        <w:rPr/>
        <w:t>whether</w:t>
      </w:r>
      <w:r>
        <w:rPr>
          <w:spacing w:val="27"/>
        </w:rPr>
        <w:t> </w:t>
      </w:r>
      <w:r>
        <w:rPr/>
        <w:t>the</w:t>
      </w:r>
      <w:r>
        <w:rPr>
          <w:spacing w:val="-72"/>
        </w:rPr>
        <w:t> </w:t>
      </w:r>
      <w:r>
        <w:rPr/>
        <w:t>modification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corn</w:t>
      </w:r>
      <w:r>
        <w:rPr>
          <w:spacing w:val="39"/>
        </w:rPr>
        <w:t> </w:t>
      </w:r>
      <w:r>
        <w:rPr/>
        <w:t>cob</w:t>
      </w:r>
      <w:r>
        <w:rPr>
          <w:spacing w:val="37"/>
        </w:rPr>
        <w:t> </w:t>
      </w:r>
      <w:r>
        <w:rPr/>
        <w:t>(by</w:t>
      </w:r>
      <w:r>
        <w:rPr>
          <w:spacing w:val="39"/>
        </w:rPr>
        <w:t> </w:t>
      </w:r>
      <w:r>
        <w:rPr/>
        <w:t>acetylation)</w:t>
      </w:r>
      <w:r>
        <w:rPr>
          <w:spacing w:val="39"/>
        </w:rPr>
        <w:t> </w:t>
      </w:r>
      <w:r>
        <w:rPr/>
        <w:t>can</w:t>
      </w:r>
      <w:r>
        <w:rPr>
          <w:spacing w:val="40"/>
        </w:rPr>
        <w:t> </w:t>
      </w:r>
      <w:r>
        <w:rPr/>
        <w:t>alter</w:t>
      </w:r>
      <w:r>
        <w:rPr>
          <w:spacing w:val="39"/>
        </w:rPr>
        <w:t> </w:t>
      </w:r>
      <w:r>
        <w:rPr/>
        <w:t>its</w:t>
      </w:r>
      <w:r>
        <w:rPr>
          <w:spacing w:val="39"/>
        </w:rPr>
        <w:t> </w:t>
      </w:r>
      <w:r>
        <w:rPr/>
        <w:t>water</w:t>
      </w:r>
      <w:r>
        <w:rPr>
          <w:spacing w:val="39"/>
        </w:rPr>
        <w:t> </w:t>
      </w:r>
      <w:r>
        <w:rPr/>
        <w:t>absorption</w:t>
      </w:r>
      <w:r>
        <w:rPr>
          <w:spacing w:val="40"/>
        </w:rPr>
        <w:t> </w:t>
      </w:r>
      <w:r>
        <w:rPr/>
        <w:t>capacity.</w:t>
      </w:r>
      <w:r>
        <w:rPr>
          <w:spacing w:val="39"/>
        </w:rPr>
        <w:t> </w:t>
      </w:r>
      <w:r>
        <w:rPr/>
        <w:t>Figure</w:t>
      </w:r>
    </w:p>
    <w:p>
      <w:pPr>
        <w:pStyle w:val="BodyText"/>
        <w:spacing w:line="480" w:lineRule="auto"/>
        <w:ind w:left="1198" w:right="575"/>
      </w:pPr>
      <w:r>
        <w:rPr/>
        <w:t>3.23</w:t>
      </w:r>
      <w:r>
        <w:rPr>
          <w:spacing w:val="26"/>
        </w:rPr>
        <w:t> </w:t>
      </w:r>
      <w:r>
        <w:rPr/>
        <w:t>presents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results</w:t>
      </w:r>
      <w:r>
        <w:rPr>
          <w:spacing w:val="25"/>
        </w:rPr>
        <w:t> </w:t>
      </w:r>
      <w:r>
        <w:rPr/>
        <w:t>on</w:t>
      </w:r>
      <w:r>
        <w:rPr>
          <w:spacing w:val="24"/>
        </w:rPr>
        <w:t> </w:t>
      </w:r>
      <w:r>
        <w:rPr/>
        <w:t>water</w:t>
      </w:r>
      <w:r>
        <w:rPr>
          <w:spacing w:val="25"/>
        </w:rPr>
        <w:t> </w:t>
      </w:r>
      <w:r>
        <w:rPr/>
        <w:t>absorption</w:t>
      </w:r>
      <w:r>
        <w:rPr>
          <w:spacing w:val="24"/>
        </w:rPr>
        <w:t> </w:t>
      </w:r>
      <w:r>
        <w:rPr/>
        <w:t>capacity</w:t>
      </w:r>
      <w:r>
        <w:rPr>
          <w:spacing w:val="25"/>
        </w:rPr>
        <w:t> </w:t>
      </w:r>
      <w:r>
        <w:rPr/>
        <w:t>for</w:t>
      </w:r>
      <w:r>
        <w:rPr>
          <w:spacing w:val="24"/>
        </w:rPr>
        <w:t> </w:t>
      </w:r>
      <w:r>
        <w:rPr/>
        <w:t>modified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unmodified</w:t>
      </w:r>
      <w:r>
        <w:rPr>
          <w:spacing w:val="24"/>
        </w:rPr>
        <w:t> </w:t>
      </w:r>
      <w:r>
        <w:rPr/>
        <w:t>corn</w:t>
      </w:r>
      <w:r>
        <w:rPr>
          <w:spacing w:val="-72"/>
        </w:rPr>
        <w:t> </w:t>
      </w:r>
      <w:r>
        <w:rPr/>
        <w:t>cob.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group style="position:absolute;margin-left:83.891968pt;margin-top:13.225153pt;width:461.7pt;height:342.4pt;mso-position-horizontal-relative:page;mso-position-vertical-relative:paragraph;z-index:-15676928;mso-wrap-distance-left:0;mso-wrap-distance-right:0" coordorigin="1678,265" coordsize="9234,6848">
            <v:rect style="position:absolute;left:1685;top:271;width:9220;height:6833" filled="false" stroked="true" strokeweight=".730435pt" strokecolor="#000000">
              <v:stroke dashstyle="solid"/>
            </v:rect>
            <v:shape style="position:absolute;left:4188;top:5086;width:4926;height:245" coordorigin="4188,5087" coordsize="4926,245" path="m9114,5087l4471,5087,4188,5331,8832,5331,9114,5087xe" filled="true" fillcolor="#808080" stroked="false">
              <v:path arrowok="t"/>
              <v:fill type="solid"/>
            </v:shape>
            <v:shape style="position:absolute;left:4195;top:5094;width:4926;height:245" coordorigin="4195,5094" coordsize="4926,245" path="m9121,5094l8838,5339,4195,5339,4478,5094,9121,5094xe" filled="false" stroked="true" strokeweight=".762344pt" strokecolor="#000000">
              <v:path arrowok="t"/>
              <v:stroke dashstyle="solid"/>
            </v:shape>
            <v:shape style="position:absolute;left:4850;top:2445;width:121;height:2807" type="#_x0000_t75" stroked="false">
              <v:imagedata r:id="rId40" o:title=""/>
            </v:shape>
            <v:shape style="position:absolute;left:4854;top:2450;width:122;height:2813" coordorigin="4855,2450" coordsize="122,2813" path="m4855,5263l4855,2542,4976,2450,4976,5171,4855,5263xe" filled="false" stroked="true" strokeweight=".672108pt" strokecolor="#000000">
              <v:path arrowok="t"/>
              <v:stroke dashstyle="solid"/>
            </v:shape>
            <v:shape style="position:absolute;left:4527;top:2536;width:323;height:2715" type="#_x0000_t75" stroked="false">
              <v:imagedata r:id="rId41" o:title=""/>
            </v:shape>
            <v:rect style="position:absolute;left:4531;top:2541;width:323;height:2721" filled="false" stroked="true" strokeweight=".673199pt" strokecolor="#000000">
              <v:stroke dashstyle="solid"/>
            </v:rect>
            <v:shape style="position:absolute;left:4527;top:2445;width:444;height:92" type="#_x0000_t75" stroked="false">
              <v:imagedata r:id="rId42" o:title=""/>
            </v:shape>
            <v:shape style="position:absolute;left:4531;top:2450;width:445;height:92" coordorigin="4532,2450" coordsize="445,92" path="m4855,2542l4976,2450,4640,2450,4532,2542,4855,2542xe" filled="false" stroked="true" strokeweight=".75888pt" strokecolor="#000000">
              <v:path arrowok="t"/>
              <v:stroke dashstyle="solid"/>
            </v:shape>
            <v:shape style="position:absolute;left:5186;top:2933;width:121;height:2319" type="#_x0000_t75" stroked="false">
              <v:imagedata r:id="rId43" o:title=""/>
            </v:shape>
            <v:shape style="position:absolute;left:5190;top:2939;width:122;height:2324" coordorigin="5191,2939" coordsize="122,2324" path="m5191,5263l5191,3031,5312,2939,5312,5171,5191,5263xe" filled="false" stroked="true" strokeweight=".672187pt" strokecolor="#000000">
              <v:path arrowok="t"/>
              <v:stroke dashstyle="solid"/>
            </v:shape>
            <v:shape style="position:absolute;left:4850;top:3024;width:336;height:2227" type="#_x0000_t75" stroked="false">
              <v:imagedata r:id="rId44" o:title=""/>
            </v:shape>
            <v:rect style="position:absolute;left:4854;top:3030;width:337;height:2232" filled="false" stroked="true" strokeweight=".673953pt" strokecolor="#000000">
              <v:stroke dashstyle="solid"/>
            </v:rect>
            <v:shape style="position:absolute;left:4850;top:2933;width:457;height:92" type="#_x0000_t75" stroked="false">
              <v:imagedata r:id="rId45" o:title=""/>
            </v:shape>
            <v:shape style="position:absolute;left:4854;top:2939;width:458;height:92" coordorigin="4855,2939" coordsize="458,92" path="m5191,3031l5312,2939,4976,2939,4855,3031,5191,3031xe" filled="false" stroked="true" strokeweight=".759085pt" strokecolor="#000000">
              <v:path arrowok="t"/>
              <v:stroke dashstyle="solid"/>
            </v:shape>
            <v:shape style="position:absolute;left:6019;top:1896;width:108;height:3356" type="#_x0000_t75" stroked="false">
              <v:imagedata r:id="rId46" o:title=""/>
            </v:shape>
            <v:shape style="position:absolute;left:6025;top:1899;width:108;height:3363" coordorigin="6026,1900" coordsize="108,3363" path="m6026,5263l6026,1992,6133,1900,6133,5171,6026,5263xe" filled="false" stroked="true" strokeweight=".672032pt" strokecolor="#000000">
              <v:path arrowok="t"/>
              <v:stroke dashstyle="solid"/>
            </v:shape>
            <v:shape style="position:absolute;left:5683;top:1987;width:336;height:3264" type="#_x0000_t75" stroked="false">
              <v:imagedata r:id="rId47" o:title=""/>
            </v:shape>
            <v:rect style="position:absolute;left:5689;top:1991;width:337;height:3271" filled="false" stroked="true" strokeweight=".672889pt" strokecolor="#000000">
              <v:stroke dashstyle="solid"/>
            </v:rect>
            <v:shape style="position:absolute;left:5683;top:1896;width:444;height:92" type="#_x0000_t75" stroked="false">
              <v:imagedata r:id="rId48" o:title=""/>
            </v:shape>
            <v:shape style="position:absolute;left:5689;top:1899;width:445;height:92" coordorigin="5689,1900" coordsize="445,92" path="m6026,1992l6133,1900,5797,1900,5689,1992,6026,1992xe" filled="false" stroked="true" strokeweight=".758842pt" strokecolor="#000000">
              <v:path arrowok="t"/>
              <v:stroke dashstyle="solid"/>
            </v:shape>
            <v:shape style="position:absolute;left:6341;top:2506;width:121;height:2746" type="#_x0000_t75" stroked="false">
              <v:imagedata r:id="rId49" o:title=""/>
            </v:shape>
            <v:shape style="position:absolute;left:6348;top:2511;width:122;height:2752" coordorigin="6348,2511" coordsize="122,2752" path="m6348,5263l6348,2618,6470,2511,6470,5171,6348,5263xe" filled="false" stroked="true" strokeweight=".672116pt" strokecolor="#000000">
              <v:path arrowok="t"/>
              <v:stroke dashstyle="solid"/>
            </v:shape>
            <v:shape style="position:absolute;left:6019;top:2612;width:323;height:2639" type="#_x0000_t75" stroked="false">
              <v:imagedata r:id="rId50" o:title=""/>
            </v:shape>
            <v:rect style="position:absolute;left:6025;top:2618;width:323;height:2645" filled="false" stroked="true" strokeweight=".673272pt" strokecolor="#000000">
              <v:stroke dashstyle="solid"/>
            </v:rect>
            <v:shape style="position:absolute;left:6019;top:2506;width:444;height:107" type="#_x0000_t75" stroked="false">
              <v:imagedata r:id="rId51" o:title=""/>
            </v:shape>
            <v:shape style="position:absolute;left:6025;top:2511;width:445;height:107" coordorigin="6026,2511" coordsize="445,107" path="m6348,2618l6470,2511,6133,2511,6026,2618,6348,2618xe" filled="false" stroked="true" strokeweight=".757617pt" strokecolor="#000000">
              <v:path arrowok="t"/>
              <v:stroke dashstyle="solid"/>
            </v:shape>
            <v:shape style="position:absolute;left:7175;top:1545;width:108;height:3707" type="#_x0000_t75" stroked="false">
              <v:imagedata r:id="rId52" o:title=""/>
            </v:shape>
            <v:shape style="position:absolute;left:7183;top:1548;width:108;height:3715" coordorigin="7183,1548" coordsize="108,3715" path="m7183,5263l7183,1640,7291,1548,7291,5171,7183,5263xe" filled="false" stroked="true" strokeweight=".672016pt" strokecolor="#000000">
              <v:path arrowok="t"/>
              <v:stroke dashstyle="solid"/>
            </v:shape>
            <v:shape style="position:absolute;left:6839;top:1636;width:336;height:3615" type="#_x0000_t75" stroked="false">
              <v:imagedata r:id="rId53" o:title=""/>
            </v:shape>
            <v:rect style="position:absolute;left:6846;top:1639;width:337;height:3623" filled="false" stroked="true" strokeweight=".672715pt" strokecolor="#000000">
              <v:stroke dashstyle="solid"/>
            </v:rect>
            <v:shape style="position:absolute;left:6839;top:1545;width:444;height:92" type="#_x0000_t75" stroked="false">
              <v:imagedata r:id="rId54" o:title=""/>
            </v:shape>
            <v:shape style="position:absolute;left:6846;top:1548;width:445;height:92" coordorigin="6847,1548" coordsize="445,92" path="m7183,1640l7291,1548,6968,1548,6847,1640,7183,1640xe" filled="false" stroked="true" strokeweight=".758874pt" strokecolor="#000000">
              <v:path arrowok="t"/>
              <v:stroke dashstyle="solid"/>
            </v:shape>
            <v:shape style="position:absolute;left:7511;top:2170;width:108;height:3081" type="#_x0000_t75" stroked="false">
              <v:imagedata r:id="rId55" o:title=""/>
            </v:shape>
            <v:shape style="position:absolute;left:7519;top:2175;width:108;height:3088" coordorigin="7519,2175" coordsize="108,3088" path="m7519,5263l7519,2267,7627,2175,7627,5171,7519,5263xe" filled="false" stroked="true" strokeweight=".67205pt" strokecolor="#000000">
              <v:path arrowok="t"/>
              <v:stroke dashstyle="solid"/>
            </v:shape>
            <v:shape style="position:absolute;left:7175;top:2262;width:336;height:2990" type="#_x0000_t75" stroked="false">
              <v:imagedata r:id="rId56" o:title=""/>
            </v:shape>
            <v:rect style="position:absolute;left:7183;top:2266;width:337;height:2996" filled="false" stroked="true" strokeweight=".673068pt" strokecolor="#000000">
              <v:stroke dashstyle="solid"/>
            </v:rect>
            <v:shape style="position:absolute;left:7175;top:2170;width:444;height:92" type="#_x0000_t75" stroked="false">
              <v:imagedata r:id="rId57" o:title=""/>
            </v:shape>
            <v:shape style="position:absolute;left:7183;top:2175;width:444;height:92" coordorigin="7183,2175" coordsize="444,92" path="m7519,2267l7627,2175,7291,2175,7183,2267,7519,2267xe" filled="false" stroked="true" strokeweight=".758871pt" strokecolor="#000000">
              <v:path arrowok="t"/>
              <v:stroke dashstyle="solid"/>
            </v:shape>
            <v:shape style="position:absolute;left:8330;top:1270;width:121;height:3981" type="#_x0000_t75" stroked="false">
              <v:imagedata r:id="rId58" o:title=""/>
            </v:shape>
            <v:shape style="position:absolute;left:8340;top:1273;width:121;height:3990" coordorigin="8341,1273" coordsize="121,3990" path="m8341,5263l8341,1365,8462,1273,8462,5171,8341,5263xe" filled="false" stroked="true" strokeweight=".672023pt" strokecolor="#000000">
              <v:path arrowok="t"/>
              <v:stroke dashstyle="solid"/>
            </v:shape>
            <v:shape style="position:absolute;left:7994;top:1362;width:336;height:3890" type="#_x0000_t75" stroked="false">
              <v:imagedata r:id="rId59" o:title=""/>
            </v:shape>
            <v:rect style="position:absolute;left:8003;top:1364;width:337;height:3898" filled="false" stroked="true" strokeweight=".672612pt" strokecolor="#000000">
              <v:stroke dashstyle="solid"/>
            </v:rect>
            <v:shape style="position:absolute;left:7994;top:1270;width:457;height:92" type="#_x0000_t75" stroked="false">
              <v:imagedata r:id="rId60" o:title=""/>
            </v:shape>
            <v:shape style="position:absolute;left:8003;top:1273;width:458;height:92" coordorigin="8004,1273" coordsize="458,92" path="m8341,1365l8462,1273,8125,1273,8004,1365,8341,1365xe" filled="false" stroked="true" strokeweight=".759085pt" strokecolor="#000000">
              <v:path arrowok="t"/>
              <v:stroke dashstyle="solid"/>
            </v:shape>
            <v:shape style="position:absolute;left:8666;top:1758;width:108;height:3493" type="#_x0000_t75" stroked="false">
              <v:imagedata r:id="rId61" o:title=""/>
            </v:shape>
            <v:shape style="position:absolute;left:8676;top:1762;width:108;height:3501" coordorigin="8677,1763" coordsize="108,3501" path="m8677,5263l8677,1869,8784,1763,8784,5171,8677,5263xe" filled="false" stroked="true" strokeweight=".672025pt" strokecolor="#000000">
              <v:path arrowok="t"/>
              <v:stroke dashstyle="solid"/>
            </v:shape>
            <v:shape style="position:absolute;left:8330;top:1865;width:336;height:3386" type="#_x0000_t75" stroked="false">
              <v:imagedata r:id="rId62" o:title=""/>
            </v:shape>
            <v:rect style="position:absolute;left:8340;top:1869;width:337;height:3394" filled="false" stroked="true" strokeweight=".672822pt" strokecolor="#000000">
              <v:stroke dashstyle="solid"/>
            </v:rect>
            <v:shape style="position:absolute;left:8330;top:1758;width:444;height:107" type="#_x0000_t75" stroked="false">
              <v:imagedata r:id="rId63" o:title=""/>
            </v:shape>
            <v:shape style="position:absolute;left:8340;top:1762;width:444;height:107" coordorigin="8341,1763" coordsize="444,107" path="m8677,1869l8784,1763,8462,1763,8341,1869,8677,1869xe" filled="false" stroked="true" strokeweight=".75761pt" strokecolor="#000000">
              <v:path arrowok="t"/>
              <v:stroke dashstyle="solid"/>
            </v:shape>
            <v:shape style="position:absolute;left:4128;top:1181;width:4711;height:4235" coordorigin="4128,1181" coordsize="4711,4235" path="m4195,5339l4195,1197m4195,5339l4128,5339m4195,4743l4128,4743m4195,4147l4128,4147m4195,3550l4128,3550m4195,2970l4128,2970m4195,2374l4128,2374m4195,1778l4128,1778m4195,1181l4128,1181m4195,5339l8825,5339m4195,5339l4195,5416m5353,5339l5353,5416m6510,5339l6510,5416m7681,5339l7681,5416m8838,5339l8838,5416e" filled="false" stroked="true" strokeweight=".717253pt" strokecolor="#000000">
              <v:path arrowok="t"/>
              <v:stroke dashstyle="solid"/>
            </v:shape>
            <v:rect style="position:absolute;left:9275;top:3267;width:1575;height:826" filled="false" stroked="true" strokeweight=".743024pt" strokecolor="#000000">
              <v:stroke dashstyle="solid"/>
            </v:rect>
            <v:shape style="position:absolute;left:9352;top:3421;width:148;height:168" type="#_x0000_t75" stroked="false">
              <v:imagedata r:id="rId64" o:title=""/>
            </v:shape>
            <v:rect style="position:absolute;left:9356;top:3420;width:148;height:169" filled="false" stroked="true" strokeweight=".711416pt" strokecolor="#000000">
              <v:stroke dashstyle="solid"/>
            </v:rect>
            <v:shape style="position:absolute;left:9352;top:3833;width:148;height:168" type="#_x0000_t75" stroked="false">
              <v:imagedata r:id="rId65" o:title=""/>
            </v:shape>
            <v:rect style="position:absolute;left:9356;top:3833;width:148;height:168" filled="false" stroked="true" strokeweight=".711551pt" strokecolor="#000000">
              <v:stroke dashstyle="solid"/>
            </v:rect>
            <v:rect style="position:absolute;left:1685;top:271;width:9220;height:6833" filled="false" stroked="true" strokeweight=".730435pt" strokecolor="#000000">
              <v:stroke dashstyle="solid"/>
            </v:rect>
            <v:shape style="position:absolute;left:3704;top:1018;width:378;height:325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w w:val="90"/>
                        <w:sz w:val="29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1725;top:2775;width:1731;height:1058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428" w:right="456" w:firstLine="0"/>
                      <w:jc w:val="center"/>
                      <w:rPr>
                        <w:rFonts w:ascii="Arial"/>
                        <w:b/>
                        <w:sz w:val="29"/>
                      </w:rPr>
                    </w:pPr>
                    <w:r>
                      <w:rPr>
                        <w:rFonts w:ascii="Arial"/>
                        <w:b/>
                        <w:sz w:val="29"/>
                      </w:rPr>
                      <w:t>Water</w:t>
                    </w:r>
                  </w:p>
                  <w:p>
                    <w:pPr>
                      <w:spacing w:line="360" w:lineRule="atLeast" w:before="7"/>
                      <w:ind w:left="0" w:right="18" w:hanging="8"/>
                      <w:jc w:val="center"/>
                      <w:rPr>
                        <w:rFonts w:ascii="Arial"/>
                        <w:b/>
                        <w:sz w:val="29"/>
                      </w:rPr>
                    </w:pPr>
                    <w:r>
                      <w:rPr>
                        <w:rFonts w:ascii="Arial"/>
                        <w:b/>
                        <w:sz w:val="29"/>
                      </w:rPr>
                      <w:t>Absorption</w:t>
                    </w:r>
                    <w:r>
                      <w:rPr>
                        <w:rFonts w:ascii="Arial"/>
                        <w:b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29"/>
                      </w:rPr>
                      <w:t>Capacity</w:t>
                    </w:r>
                    <w:r>
                      <w:rPr>
                        <w:rFonts w:ascii="Arial"/>
                        <w:b/>
                        <w:spacing w:val="50"/>
                        <w:w w:val="8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29"/>
                      </w:rPr>
                      <w:t>(g/g)</w:t>
                    </w:r>
                  </w:p>
                </w:txbxContent>
              </v:textbox>
              <w10:wrap type="none"/>
            </v:shape>
            <v:shape style="position:absolute;left:3704;top:1614;width:378;height:3290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215" w:right="0" w:firstLine="0"/>
                      <w:jc w:val="lef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w w:val="88"/>
                        <w:sz w:val="29"/>
                      </w:rPr>
                      <w:t>3</w:t>
                    </w:r>
                  </w:p>
                  <w:p>
                    <w:pPr>
                      <w:spacing w:before="263"/>
                      <w:ind w:left="0" w:right="18" w:firstLine="0"/>
                      <w:jc w:val="righ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w w:val="85"/>
                        <w:sz w:val="29"/>
                      </w:rPr>
                      <w:t>2.5</w:t>
                    </w:r>
                  </w:p>
                  <w:p>
                    <w:pPr>
                      <w:spacing w:before="262"/>
                      <w:ind w:left="0" w:right="18" w:firstLine="0"/>
                      <w:jc w:val="righ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w w:val="88"/>
                        <w:sz w:val="29"/>
                      </w:rPr>
                      <w:t>2</w:t>
                    </w:r>
                  </w:p>
                  <w:p>
                    <w:pPr>
                      <w:spacing w:before="248"/>
                      <w:ind w:left="0" w:right="18" w:firstLine="0"/>
                      <w:jc w:val="righ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w w:val="85"/>
                        <w:sz w:val="29"/>
                      </w:rPr>
                      <w:t>1.5</w:t>
                    </w:r>
                  </w:p>
                  <w:p>
                    <w:pPr>
                      <w:spacing w:before="262"/>
                      <w:ind w:left="0" w:right="18" w:firstLine="0"/>
                      <w:jc w:val="righ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w w:val="88"/>
                        <w:sz w:val="29"/>
                      </w:rPr>
                      <w:t>1</w:t>
                    </w:r>
                  </w:p>
                  <w:p>
                    <w:pPr>
                      <w:spacing w:before="263"/>
                      <w:ind w:left="0" w:right="18" w:firstLine="0"/>
                      <w:jc w:val="righ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w w:val="85"/>
                        <w:sz w:val="29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9585;top:3341;width:1210;height:738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sz w:val="29"/>
                      </w:rPr>
                      <w:t>Native</w:t>
                    </w:r>
                  </w:p>
                  <w:p>
                    <w:pPr>
                      <w:spacing w:before="79"/>
                      <w:ind w:left="0" w:right="0" w:firstLine="0"/>
                      <w:jc w:val="lef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w w:val="85"/>
                        <w:sz w:val="29"/>
                      </w:rPr>
                      <w:t>Acetylated</w:t>
                    </w:r>
                  </w:p>
                </w:txbxContent>
              </v:textbox>
              <w10:wrap type="none"/>
            </v:shape>
            <v:shape style="position:absolute;left:3919;top:5175;width:163;height:325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w w:val="88"/>
                        <w:sz w:val="2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619;top:5511;width:316;height:325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w w:val="90"/>
                        <w:sz w:val="29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776;top:5511;width:316;height:325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w w:val="90"/>
                        <w:sz w:val="29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6947;top:5511;width:316;height:325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w w:val="90"/>
                        <w:sz w:val="29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8037;top:5511;width:464;height:325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w w:val="90"/>
                        <w:sz w:val="29"/>
                      </w:rPr>
                      <w:t>110</w:t>
                    </w:r>
                  </w:p>
                </w:txbxContent>
              </v:textbox>
              <w10:wrap type="none"/>
            </v:shape>
            <v:shape style="position:absolute;left:6072;top:6398;width:1477;height:325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9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9"/>
                      </w:rPr>
                      <w:t>Time</w:t>
                    </w:r>
                    <w:r>
                      <w:rPr>
                        <w:rFonts w:ascii="Arial"/>
                        <w:b/>
                        <w:spacing w:val="54"/>
                        <w:w w:val="8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29"/>
                      </w:rPr>
                      <w:t>(mins)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27"/>
        </w:rPr>
      </w:pPr>
    </w:p>
    <w:p>
      <w:pPr>
        <w:pStyle w:val="Heading3"/>
        <w:spacing w:line="480" w:lineRule="auto"/>
      </w:pPr>
      <w:r>
        <w:rPr/>
        <w:t>Figure</w:t>
      </w:r>
      <w:r>
        <w:rPr>
          <w:spacing w:val="21"/>
        </w:rPr>
        <w:t> </w:t>
      </w:r>
      <w:r>
        <w:rPr/>
        <w:t>3.27:</w:t>
      </w:r>
      <w:r>
        <w:rPr>
          <w:spacing w:val="21"/>
        </w:rPr>
        <w:t> </w:t>
      </w:r>
      <w:r>
        <w:rPr/>
        <w:t>Variation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water</w:t>
      </w:r>
      <w:r>
        <w:rPr>
          <w:spacing w:val="22"/>
        </w:rPr>
        <w:t> </w:t>
      </w:r>
      <w:r>
        <w:rPr/>
        <w:t>absorption</w:t>
      </w:r>
      <w:r>
        <w:rPr>
          <w:spacing w:val="22"/>
        </w:rPr>
        <w:t> </w:t>
      </w:r>
      <w:r>
        <w:rPr/>
        <w:t>capacity</w:t>
      </w:r>
      <w:r>
        <w:rPr>
          <w:spacing w:val="23"/>
        </w:rPr>
        <w:t> </w:t>
      </w:r>
      <w:r>
        <w:rPr/>
        <w:t>with</w:t>
      </w:r>
      <w:r>
        <w:rPr>
          <w:spacing w:val="22"/>
        </w:rPr>
        <w:t> </w:t>
      </w:r>
      <w:r>
        <w:rPr/>
        <w:t>time</w:t>
      </w:r>
      <w:r>
        <w:rPr>
          <w:spacing w:val="21"/>
        </w:rPr>
        <w:t> </w:t>
      </w:r>
      <w:r>
        <w:rPr/>
        <w:t>for</w:t>
      </w:r>
      <w:r>
        <w:rPr>
          <w:spacing w:val="21"/>
        </w:rPr>
        <w:t> </w:t>
      </w:r>
      <w:r>
        <w:rPr/>
        <w:t>modified</w:t>
      </w:r>
      <w:r>
        <w:rPr>
          <w:spacing w:val="23"/>
        </w:rPr>
        <w:t> </w:t>
      </w:r>
      <w:r>
        <w:rPr/>
        <w:t>and</w:t>
      </w:r>
      <w:r>
        <w:rPr>
          <w:spacing w:val="-68"/>
        </w:rPr>
        <w:t> </w:t>
      </w:r>
      <w:r>
        <w:rPr/>
        <w:t>unmodified</w:t>
      </w:r>
      <w:r>
        <w:rPr>
          <w:spacing w:val="-2"/>
        </w:rPr>
        <w:t> </w:t>
      </w:r>
      <w:r>
        <w:rPr/>
        <w:t>corn</w:t>
      </w:r>
      <w:r>
        <w:rPr>
          <w:spacing w:val="-1"/>
        </w:rPr>
        <w:t> </w:t>
      </w:r>
      <w:r>
        <w:rPr/>
        <w:t>cob</w:t>
      </w:r>
    </w:p>
    <w:p>
      <w:pPr>
        <w:spacing w:after="0" w:line="480" w:lineRule="auto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spacing w:before="7"/>
        <w:rPr>
          <w:b/>
          <w:sz w:val="9"/>
        </w:rPr>
      </w:pPr>
    </w:p>
    <w:p>
      <w:pPr>
        <w:pStyle w:val="BodyText"/>
        <w:spacing w:line="480" w:lineRule="auto" w:before="100"/>
        <w:ind w:left="1198" w:right="578"/>
        <w:jc w:val="both"/>
      </w:pPr>
      <w:r>
        <w:rPr/>
        <w:t>Raw corn cob can hold significant amount of water due to hydrogen bonding between</w:t>
      </w:r>
      <w:r>
        <w:rPr>
          <w:spacing w:val="1"/>
        </w:rPr>
        <w:t> </w:t>
      </w:r>
      <w:r>
        <w:rPr/>
        <w:t>hydroxyl group and water molecule. It has been established that when the accessible</w:t>
      </w:r>
      <w:r>
        <w:rPr>
          <w:spacing w:val="1"/>
        </w:rPr>
        <w:t> </w:t>
      </w:r>
      <w:r>
        <w:rPr/>
        <w:t>hydrogen of the hydroxyl group in the cell wall polymer have been substituted by acetyl</w:t>
      </w:r>
      <w:r>
        <w:rPr>
          <w:spacing w:val="1"/>
        </w:rPr>
        <w:t> </w:t>
      </w:r>
      <w:r>
        <w:rPr/>
        <w:t>group, reduction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 moisture</w:t>
      </w:r>
      <w:r>
        <w:rPr>
          <w:spacing w:val="2"/>
        </w:rPr>
        <w:t> </w:t>
      </w:r>
      <w:r>
        <w:rPr/>
        <w:t>sorption</w:t>
      </w:r>
      <w:r>
        <w:rPr>
          <w:spacing w:val="1"/>
        </w:rPr>
        <w:t> </w:t>
      </w:r>
      <w:r>
        <w:rPr/>
        <w:t>are</w:t>
      </w:r>
      <w:r>
        <w:rPr>
          <w:spacing w:val="2"/>
        </w:rPr>
        <w:t> </w:t>
      </w:r>
      <w:r>
        <w:rPr/>
        <w:t>observed (Yakubu</w:t>
      </w:r>
      <w:r>
        <w:rPr>
          <w:spacing w:val="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2012). Figure</w:t>
      </w:r>
    </w:p>
    <w:p>
      <w:pPr>
        <w:pStyle w:val="BodyText"/>
        <w:spacing w:line="480" w:lineRule="auto"/>
        <w:ind w:left="1198" w:right="577"/>
        <w:jc w:val="both"/>
      </w:pPr>
      <w:r>
        <w:rPr/>
        <w:t>3.27 revealed that at all times, the water absorption capacity of corn cob was highest for</w:t>
      </w:r>
      <w:r>
        <w:rPr>
          <w:spacing w:val="1"/>
        </w:rPr>
        <w:t> </w:t>
      </w:r>
      <w:r>
        <w:rPr/>
        <w:t>the native material and lowest for the acetylated material. It was also observed that the</w:t>
      </w:r>
      <w:r>
        <w:rPr>
          <w:spacing w:val="1"/>
        </w:rPr>
        <w:t> </w:t>
      </w:r>
      <w:r>
        <w:rPr/>
        <w:t>treated material reached saturation point faster than the untreated. This is due to an</w:t>
      </w:r>
      <w:r>
        <w:rPr>
          <w:spacing w:val="1"/>
        </w:rPr>
        <w:t> </w:t>
      </w:r>
      <w:r>
        <w:rPr/>
        <w:t>enhanced hydrophobicity. The reduction in water absorption capacity value was tested for</w:t>
      </w:r>
      <w:r>
        <w:rPr>
          <w:spacing w:val="1"/>
        </w:rPr>
        <w:t> </w:t>
      </w:r>
      <w:r>
        <w:rPr/>
        <w:t>significance. Table 3.15 presented results for the significant effects of time and acetylation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corn</w:t>
      </w:r>
      <w:r>
        <w:rPr>
          <w:spacing w:val="-1"/>
        </w:rPr>
        <w:t> </w:t>
      </w:r>
      <w:r>
        <w:rPr/>
        <w:t>cob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absorption</w:t>
      </w:r>
      <w:r>
        <w:rPr>
          <w:spacing w:val="-2"/>
        </w:rPr>
        <w:t> </w:t>
      </w:r>
      <w:r>
        <w:rPr/>
        <w:t>capacity.</w:t>
      </w:r>
    </w:p>
    <w:p>
      <w:pPr>
        <w:pStyle w:val="BodyText"/>
        <w:rPr>
          <w:sz w:val="28"/>
        </w:rPr>
      </w:pPr>
    </w:p>
    <w:p>
      <w:pPr>
        <w:pStyle w:val="BodyText"/>
        <w:spacing w:before="237"/>
        <w:ind w:left="1346"/>
        <w:rPr>
          <w:rFonts w:ascii="Times New Roman"/>
        </w:rPr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3.15:</w:t>
      </w:r>
      <w:r>
        <w:rPr>
          <w:b/>
          <w:spacing w:val="-1"/>
        </w:rPr>
        <w:t> </w:t>
      </w:r>
      <w:r>
        <w:rPr>
          <w:rFonts w:ascii="Times New Roman"/>
        </w:rPr>
        <w:t>ANOVA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Results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on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effects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time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on water absorption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capacity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corn cob and</w:t>
      </w:r>
    </w:p>
    <w:p>
      <w:pPr>
        <w:pStyle w:val="BodyText"/>
        <w:spacing w:before="1"/>
        <w:rPr>
          <w:rFonts w:ascii="Times New Roman"/>
          <w:sz w:val="26"/>
        </w:rPr>
      </w:pPr>
    </w:p>
    <w:tbl>
      <w:tblPr>
        <w:tblW w:w="0" w:type="auto"/>
        <w:jc w:val="left"/>
        <w:tblInd w:w="1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1256"/>
        <w:gridCol w:w="1690"/>
        <w:gridCol w:w="885"/>
        <w:gridCol w:w="594"/>
        <w:gridCol w:w="1140"/>
        <w:gridCol w:w="1078"/>
        <w:gridCol w:w="1721"/>
      </w:tblGrid>
      <w:tr>
        <w:trPr>
          <w:trHeight w:val="549" w:hRule="atLeast"/>
        </w:trPr>
        <w:tc>
          <w:tcPr>
            <w:tcW w:w="15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mango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kernel</w:t>
            </w:r>
          </w:p>
        </w:tc>
        <w:tc>
          <w:tcPr>
            <w:tcW w:w="8364" w:type="dxa"/>
            <w:gridSpan w:val="7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010" w:hRule="atLeast"/>
        </w:trPr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4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Mean</w:t>
            </w:r>
          </w:p>
        </w:tc>
        <w:tc>
          <w:tcPr>
            <w:tcW w:w="16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32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Std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Deviation</w:t>
            </w:r>
          </w:p>
        </w:tc>
        <w:tc>
          <w:tcPr>
            <w:tcW w:w="8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4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Std.</w:t>
            </w: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14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Mean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Error</w:t>
            </w: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t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35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Df</w:t>
            </w:r>
          </w:p>
        </w:tc>
        <w:tc>
          <w:tcPr>
            <w:tcW w:w="17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49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Sig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(P)</w:t>
            </w:r>
          </w:p>
        </w:tc>
      </w:tr>
      <w:tr>
        <w:trPr>
          <w:trHeight w:val="378" w:hRule="atLeast"/>
        </w:trPr>
        <w:tc>
          <w:tcPr>
            <w:tcW w:w="15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ACC-RCC</w:t>
            </w:r>
          </w:p>
        </w:tc>
        <w:tc>
          <w:tcPr>
            <w:tcW w:w="1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4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-0.47000</w:t>
            </w:r>
          </w:p>
        </w:tc>
        <w:tc>
          <w:tcPr>
            <w:tcW w:w="16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32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0.06377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0" w:right="20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0.03189</w:t>
            </w:r>
          </w:p>
        </w:tc>
        <w:tc>
          <w:tcPr>
            <w:tcW w:w="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-14.740</w:t>
            </w:r>
          </w:p>
        </w:tc>
        <w:tc>
          <w:tcPr>
            <w:tcW w:w="10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353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49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0.001</w:t>
            </w:r>
          </w:p>
        </w:tc>
      </w:tr>
      <w:tr>
        <w:trPr>
          <w:trHeight w:val="374" w:hRule="atLeast"/>
        </w:trPr>
        <w:tc>
          <w:tcPr>
            <w:tcW w:w="1561" w:type="dxa"/>
          </w:tcPr>
          <w:p>
            <w:pPr>
              <w:pStyle w:val="TableParagraph"/>
              <w:spacing w:line="233" w:lineRule="exact" w:before="121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AMS_RMS</w:t>
            </w:r>
          </w:p>
        </w:tc>
        <w:tc>
          <w:tcPr>
            <w:tcW w:w="1256" w:type="dxa"/>
          </w:tcPr>
          <w:p>
            <w:pPr>
              <w:pStyle w:val="TableParagraph"/>
              <w:spacing w:line="233" w:lineRule="exact" w:before="121"/>
              <w:ind w:left="14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-0.33250</w:t>
            </w:r>
          </w:p>
        </w:tc>
        <w:tc>
          <w:tcPr>
            <w:tcW w:w="1690" w:type="dxa"/>
          </w:tcPr>
          <w:p>
            <w:pPr>
              <w:pStyle w:val="TableParagraph"/>
              <w:spacing w:line="233" w:lineRule="exact" w:before="121"/>
              <w:ind w:left="32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0.08057</w:t>
            </w:r>
          </w:p>
        </w:tc>
        <w:tc>
          <w:tcPr>
            <w:tcW w:w="885" w:type="dxa"/>
          </w:tcPr>
          <w:p>
            <w:pPr>
              <w:pStyle w:val="TableParagraph"/>
              <w:spacing w:line="233" w:lineRule="exact" w:before="121"/>
              <w:ind w:left="0" w:right="20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0.04029</w:t>
            </w:r>
          </w:p>
        </w:tc>
        <w:tc>
          <w:tcPr>
            <w:tcW w:w="59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140" w:type="dxa"/>
          </w:tcPr>
          <w:p>
            <w:pPr>
              <w:pStyle w:val="TableParagraph"/>
              <w:spacing w:line="233" w:lineRule="exact" w:before="121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-8.254</w:t>
            </w:r>
          </w:p>
        </w:tc>
        <w:tc>
          <w:tcPr>
            <w:tcW w:w="1078" w:type="dxa"/>
          </w:tcPr>
          <w:p>
            <w:pPr>
              <w:pStyle w:val="TableParagraph"/>
              <w:spacing w:line="233" w:lineRule="exact" w:before="121"/>
              <w:ind w:left="353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3</w:t>
            </w:r>
          </w:p>
        </w:tc>
        <w:tc>
          <w:tcPr>
            <w:tcW w:w="1721" w:type="dxa"/>
          </w:tcPr>
          <w:p>
            <w:pPr>
              <w:pStyle w:val="TableParagraph"/>
              <w:spacing w:line="233" w:lineRule="exact" w:before="121"/>
              <w:ind w:left="49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0.004</w:t>
            </w:r>
          </w:p>
        </w:tc>
      </w:tr>
    </w:tbl>
    <w:p>
      <w:pPr>
        <w:pStyle w:val="BodyText"/>
        <w:spacing w:before="1"/>
        <w:rPr>
          <w:rFonts w:ascii="Times New Roman"/>
          <w:sz w:val="19"/>
        </w:rPr>
      </w:pPr>
      <w:r>
        <w:rPr/>
        <w:pict>
          <v:rect style="position:absolute;margin-left:74.784004pt;margin-top:12.97294pt;width:496.900024pt;height:.479pt;mso-position-horizontal-relative:page;mso-position-vertical-relative:paragraph;z-index:-15676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line="480" w:lineRule="auto" w:before="228"/>
        <w:ind w:left="1198" w:right="576"/>
        <w:jc w:val="both"/>
      </w:pPr>
      <w:r>
        <w:rPr/>
        <w:t>The null hypothesis (Ho), is that acetylation have not reduced water absorption capacity of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cob.</w:t>
      </w:r>
      <w:r>
        <w:rPr>
          <w:spacing w:val="1"/>
        </w:rPr>
        <w:t> </w:t>
      </w:r>
      <w:r>
        <w:rPr/>
        <w:t>Rejection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Ho implies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hypothesis (H</w:t>
      </w:r>
      <w:r>
        <w:rPr>
          <w:vertAlign w:val="subscript"/>
        </w:rPr>
        <w:t>1</w:t>
      </w:r>
      <w:r>
        <w:rPr>
          <w:vertAlign w:val="baseline"/>
        </w:rPr>
        <w:t>), that acetylation have reduced the water absorption capacity. This statistic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performed</w:t>
      </w:r>
      <w:r>
        <w:rPr>
          <w:spacing w:val="-2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5%</w:t>
      </w:r>
      <w:r>
        <w:rPr>
          <w:spacing w:val="2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level.</w:t>
      </w:r>
    </w:p>
    <w:p>
      <w:pPr>
        <w:pStyle w:val="BodyText"/>
        <w:spacing w:line="482" w:lineRule="auto"/>
        <w:ind w:left="1198" w:right="577"/>
        <w:jc w:val="both"/>
      </w:pPr>
      <w:r>
        <w:rPr/>
        <w:t>In this case we reject Ho if p-value is less than 0.05 and conclude that there is significant</w:t>
      </w:r>
      <w:r>
        <w:rPr>
          <w:spacing w:val="1"/>
        </w:rPr>
        <w:t> </w:t>
      </w:r>
      <w:r>
        <w:rPr/>
        <w:t>difference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performance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two</w:t>
      </w:r>
      <w:r>
        <w:rPr>
          <w:spacing w:val="10"/>
        </w:rPr>
        <w:t> </w:t>
      </w:r>
      <w:r>
        <w:rPr/>
        <w:t>variables.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results</w:t>
      </w:r>
      <w:r>
        <w:rPr>
          <w:spacing w:val="12"/>
        </w:rPr>
        <w:t> </w:t>
      </w:r>
      <w:r>
        <w:rPr/>
        <w:t>as</w:t>
      </w:r>
      <w:r>
        <w:rPr>
          <w:spacing w:val="7"/>
        </w:rPr>
        <w:t> </w:t>
      </w:r>
      <w:r>
        <w:rPr/>
        <w:t>presented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Table</w:t>
      </w:r>
      <w:r>
        <w:rPr>
          <w:spacing w:val="11"/>
        </w:rPr>
        <w:t> </w:t>
      </w:r>
      <w:r>
        <w:rPr/>
        <w:t>3.15</w:t>
      </w:r>
    </w:p>
    <w:p>
      <w:pPr>
        <w:spacing w:after="0" w:line="482" w:lineRule="auto"/>
        <w:jc w:val="both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spacing w:line="482" w:lineRule="auto" w:before="75"/>
        <w:ind w:left="1198" w:right="576"/>
        <w:jc w:val="both"/>
      </w:pPr>
      <w:r>
        <w:rPr/>
        <w:t>indicated that the P-value (0.001) is less than 0.05. This therefore, implied that time and</w:t>
      </w:r>
      <w:r>
        <w:rPr>
          <w:spacing w:val="1"/>
        </w:rPr>
        <w:t> </w:t>
      </w:r>
      <w:r>
        <w:rPr/>
        <w:t>acetylation has</w:t>
      </w:r>
      <w:r>
        <w:rPr>
          <w:spacing w:val="-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absorption</w:t>
      </w:r>
      <w:r>
        <w:rPr>
          <w:spacing w:val="-2"/>
        </w:rPr>
        <w:t> </w:t>
      </w:r>
      <w:r>
        <w:rPr/>
        <w:t>capacity</w:t>
      </w:r>
      <w:r>
        <w:rPr>
          <w:spacing w:val="-1"/>
        </w:rPr>
        <w:t> </w:t>
      </w:r>
      <w:r>
        <w:rPr/>
        <w:t>of corn</w:t>
      </w:r>
      <w:r>
        <w:rPr>
          <w:spacing w:val="-2"/>
        </w:rPr>
        <w:t> </w:t>
      </w:r>
      <w:r>
        <w:rPr/>
        <w:t>cob.</w:t>
      </w:r>
    </w:p>
    <w:p>
      <w:pPr>
        <w:pStyle w:val="BodyText"/>
        <w:spacing w:line="480" w:lineRule="auto"/>
        <w:ind w:left="1198" w:right="582"/>
        <w:jc w:val="both"/>
      </w:pPr>
      <w:r>
        <w:rPr/>
        <w:t>To understand the direction of these effects, regression analysis was performed. Eq. (3.7</w:t>
      </w:r>
      <w:r>
        <w:rPr>
          <w:spacing w:val="1"/>
        </w:rPr>
        <w:t> </w:t>
      </w:r>
      <w:r>
        <w:rPr/>
        <w:t>and 3.8) presents regression results for corn cob water absorption capacity. The (linear)</w:t>
      </w:r>
      <w:r>
        <w:rPr>
          <w:spacing w:val="1"/>
        </w:rPr>
        <w:t> </w:t>
      </w:r>
      <w:r>
        <w:rPr/>
        <w:t>regression</w:t>
      </w:r>
      <w:r>
        <w:rPr>
          <w:spacing w:val="-2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</w:t>
      </w:r>
      <w:r>
        <w:rPr>
          <w:spacing w:val="-2"/>
        </w:rPr>
        <w:t> </w:t>
      </w:r>
      <w:r>
        <w:rPr/>
        <w:t>capacity of</w:t>
      </w:r>
      <w:r>
        <w:rPr>
          <w:spacing w:val="-2"/>
        </w:rPr>
        <w:t> </w:t>
      </w:r>
      <w:r>
        <w:rPr/>
        <w:t>corn</w:t>
      </w:r>
      <w:r>
        <w:rPr>
          <w:spacing w:val="1"/>
        </w:rPr>
        <w:t> </w:t>
      </w:r>
      <w:r>
        <w:rPr/>
        <w:t>cob</w:t>
      </w:r>
      <w:r>
        <w:rPr>
          <w:spacing w:val="-3"/>
        </w:rPr>
        <w:t> </w:t>
      </w:r>
      <w:r>
        <w:rPr/>
        <w:t>is:</w:t>
      </w:r>
    </w:p>
    <w:p>
      <w:pPr>
        <w:pStyle w:val="BodyText"/>
        <w:tabs>
          <w:tab w:pos="8013" w:val="right" w:leader="none"/>
        </w:tabs>
        <w:spacing w:line="289" w:lineRule="exact"/>
        <w:ind w:left="1918"/>
        <w:jc w:val="both"/>
      </w:pPr>
      <w:r>
        <w:rPr/>
        <w:t>WAC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2.134 +</w:t>
      </w:r>
      <w:r>
        <w:rPr>
          <w:spacing w:val="-1"/>
        </w:rPr>
        <w:t> </w:t>
      </w:r>
      <w:r>
        <w:rPr/>
        <w:t>0.010RCC</w:t>
        <w:tab/>
        <w:t>3.7</w:t>
      </w:r>
    </w:p>
    <w:p>
      <w:pPr>
        <w:pStyle w:val="BodyText"/>
        <w:tabs>
          <w:tab w:pos="8013" w:val="right" w:leader="none"/>
        </w:tabs>
        <w:spacing w:before="286"/>
        <w:ind w:left="1918"/>
        <w:jc w:val="both"/>
      </w:pPr>
      <w:r>
        <w:rPr/>
        <w:t>WAC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1.672 +</w:t>
      </w:r>
      <w:r>
        <w:rPr>
          <w:spacing w:val="-1"/>
        </w:rPr>
        <w:t> </w:t>
      </w:r>
      <w:r>
        <w:rPr/>
        <w:t>0.010ACC</w:t>
        <w:tab/>
        <w:t>3.8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1"/>
        <w:ind w:left="1198" w:right="583"/>
        <w:jc w:val="both"/>
      </w:pPr>
      <w:r>
        <w:rPr/>
        <w:t>Eq. 3.7 and 3.8 could be explained thus: for every increase in water absorption time would</w:t>
      </w:r>
      <w:r>
        <w:rPr>
          <w:spacing w:val="1"/>
        </w:rPr>
        <w:t> </w:t>
      </w:r>
      <w:r>
        <w:rPr/>
        <w:t>cause</w:t>
      </w:r>
      <w:r>
        <w:rPr>
          <w:spacing w:val="67"/>
        </w:rPr>
        <w:t> </w:t>
      </w:r>
      <w:r>
        <w:rPr/>
        <w:t>1</w:t>
      </w:r>
      <w:r>
        <w:rPr>
          <w:spacing w:val="67"/>
        </w:rPr>
        <w:t> </w:t>
      </w:r>
      <w:r>
        <w:rPr/>
        <w:t>%</w:t>
      </w:r>
      <w:r>
        <w:rPr>
          <w:spacing w:val="67"/>
        </w:rPr>
        <w:t> </w:t>
      </w:r>
      <w:r>
        <w:rPr/>
        <w:t>of</w:t>
      </w:r>
      <w:r>
        <w:rPr>
          <w:spacing w:val="67"/>
        </w:rPr>
        <w:t> </w:t>
      </w:r>
      <w:r>
        <w:rPr/>
        <w:t>water</w:t>
      </w:r>
      <w:r>
        <w:rPr>
          <w:spacing w:val="64"/>
        </w:rPr>
        <w:t> </w:t>
      </w:r>
      <w:r>
        <w:rPr/>
        <w:t>to</w:t>
      </w:r>
      <w:r>
        <w:rPr>
          <w:spacing w:val="66"/>
        </w:rPr>
        <w:t> </w:t>
      </w:r>
      <w:r>
        <w:rPr/>
        <w:t>be</w:t>
      </w:r>
      <w:r>
        <w:rPr>
          <w:spacing w:val="68"/>
        </w:rPr>
        <w:t> </w:t>
      </w:r>
      <w:r>
        <w:rPr/>
        <w:t>absorbed.</w:t>
      </w:r>
      <w:r>
        <w:rPr>
          <w:spacing w:val="67"/>
        </w:rPr>
        <w:t> </w:t>
      </w:r>
      <w:r>
        <w:rPr/>
        <w:t>It</w:t>
      </w:r>
      <w:r>
        <w:rPr>
          <w:spacing w:val="67"/>
        </w:rPr>
        <w:t> </w:t>
      </w:r>
      <w:r>
        <w:rPr/>
        <w:t>also</w:t>
      </w:r>
      <w:r>
        <w:rPr>
          <w:spacing w:val="67"/>
        </w:rPr>
        <w:t> </w:t>
      </w:r>
      <w:r>
        <w:rPr/>
        <w:t>reveals</w:t>
      </w:r>
      <w:r>
        <w:rPr>
          <w:spacing w:val="67"/>
        </w:rPr>
        <w:t> </w:t>
      </w:r>
      <w:r>
        <w:rPr/>
        <w:t>that</w:t>
      </w:r>
      <w:r>
        <w:rPr>
          <w:spacing w:val="65"/>
        </w:rPr>
        <w:t> </w:t>
      </w:r>
      <w:r>
        <w:rPr/>
        <w:t>if</w:t>
      </w:r>
      <w:r>
        <w:rPr>
          <w:spacing w:val="68"/>
        </w:rPr>
        <w:t> </w:t>
      </w:r>
      <w:r>
        <w:rPr/>
        <w:t>the</w:t>
      </w:r>
      <w:r>
        <w:rPr>
          <w:spacing w:val="68"/>
        </w:rPr>
        <w:t> </w:t>
      </w:r>
      <w:r>
        <w:rPr/>
        <w:t>corn</w:t>
      </w:r>
      <w:r>
        <w:rPr>
          <w:spacing w:val="67"/>
        </w:rPr>
        <w:t> </w:t>
      </w:r>
      <w:r>
        <w:rPr/>
        <w:t>cob</w:t>
      </w:r>
      <w:r>
        <w:rPr>
          <w:spacing w:val="67"/>
        </w:rPr>
        <w:t> </w:t>
      </w:r>
      <w:r>
        <w:rPr/>
        <w:t>used</w:t>
      </w:r>
      <w:r>
        <w:rPr>
          <w:spacing w:val="66"/>
        </w:rPr>
        <w:t> </w:t>
      </w:r>
      <w:r>
        <w:rPr/>
        <w:t>was</w:t>
      </w:r>
      <w:r>
        <w:rPr>
          <w:spacing w:val="-73"/>
        </w:rPr>
        <w:t> </w:t>
      </w:r>
      <w:r>
        <w:rPr/>
        <w:t>acetylated,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46.2%</w:t>
      </w:r>
      <w:r>
        <w:rPr>
          <w:spacing w:val="-1"/>
        </w:rPr>
        <w:t> </w:t>
      </w:r>
      <w:r>
        <w:rPr/>
        <w:t>reduction/decrease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absorption</w:t>
      </w:r>
      <w:r>
        <w:rPr>
          <w:spacing w:val="-2"/>
        </w:rPr>
        <w:t> </w:t>
      </w:r>
      <w:r>
        <w:rPr/>
        <w:t>would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obtained.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2"/>
        </w:rPr>
      </w:pPr>
    </w:p>
    <w:p>
      <w:pPr>
        <w:pStyle w:val="Heading3"/>
        <w:numPr>
          <w:ilvl w:val="2"/>
          <w:numId w:val="13"/>
        </w:numPr>
        <w:tabs>
          <w:tab w:pos="2638" w:val="left" w:leader="none"/>
        </w:tabs>
        <w:spacing w:line="240" w:lineRule="auto" w:before="0" w:after="0"/>
        <w:ind w:left="2638" w:right="0" w:hanging="1366"/>
        <w:jc w:val="both"/>
      </w:pPr>
      <w:r>
        <w:rPr/>
        <w:t>Water</w:t>
      </w:r>
      <w:r>
        <w:rPr>
          <w:spacing w:val="-4"/>
        </w:rPr>
        <w:t> </w:t>
      </w:r>
      <w:r>
        <w:rPr/>
        <w:t>absorption</w:t>
      </w:r>
      <w:r>
        <w:rPr>
          <w:spacing w:val="-2"/>
        </w:rPr>
        <w:t> </w:t>
      </w:r>
      <w:r>
        <w:rPr/>
        <w:t>capacity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mango</w:t>
      </w:r>
      <w:r>
        <w:rPr>
          <w:spacing w:val="-1"/>
        </w:rPr>
        <w:t> </w:t>
      </w:r>
      <w:r>
        <w:rPr/>
        <w:t>kernel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98" w:right="577"/>
        <w:jc w:val="both"/>
      </w:pPr>
      <w:r>
        <w:rPr/>
        <w:t>Raw mango kernel can hold significant amount of water due to hydrogen bonding between</w:t>
      </w:r>
      <w:r>
        <w:rPr>
          <w:spacing w:val="-72"/>
        </w:rPr>
        <w:t> </w:t>
      </w:r>
      <w:r>
        <w:rPr/>
        <w:t>hydrogen bonding between hydroxyl groups and water molecule. The principal essence for</w:t>
      </w:r>
      <w:r>
        <w:rPr>
          <w:spacing w:val="1"/>
        </w:rPr>
        <w:t> </w:t>
      </w:r>
      <w:r>
        <w:rPr/>
        <w:t>studying mango kernel acetylation is to observe whether the modification (by acetylation)</w:t>
      </w:r>
      <w:r>
        <w:rPr>
          <w:spacing w:val="1"/>
        </w:rPr>
        <w:t> </w:t>
      </w:r>
      <w:r>
        <w:rPr/>
        <w:t>can alter its water absorption capacity, thereby increasing the hydrophobic properties. It</w:t>
      </w:r>
      <w:r>
        <w:rPr>
          <w:spacing w:val="1"/>
        </w:rPr>
        <w:t> </w:t>
      </w:r>
      <w:r>
        <w:rPr/>
        <w:t>has</w:t>
      </w:r>
      <w:r>
        <w:rPr>
          <w:spacing w:val="37"/>
        </w:rPr>
        <w:t> </w:t>
      </w:r>
      <w:r>
        <w:rPr/>
        <w:t>been</w:t>
      </w:r>
      <w:r>
        <w:rPr>
          <w:spacing w:val="35"/>
        </w:rPr>
        <w:t> </w:t>
      </w:r>
      <w:r>
        <w:rPr/>
        <w:t>established</w:t>
      </w:r>
      <w:r>
        <w:rPr>
          <w:spacing w:val="33"/>
        </w:rPr>
        <w:t> </w:t>
      </w:r>
      <w:r>
        <w:rPr/>
        <w:t>that</w:t>
      </w:r>
      <w:r>
        <w:rPr>
          <w:spacing w:val="35"/>
        </w:rPr>
        <w:t> </w:t>
      </w:r>
      <w:r>
        <w:rPr/>
        <w:t>when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accessible</w:t>
      </w:r>
      <w:r>
        <w:rPr>
          <w:spacing w:val="37"/>
        </w:rPr>
        <w:t> </w:t>
      </w:r>
      <w:r>
        <w:rPr/>
        <w:t>hydroxyl</w:t>
      </w:r>
      <w:r>
        <w:rPr>
          <w:spacing w:val="35"/>
        </w:rPr>
        <w:t> </w:t>
      </w:r>
      <w:r>
        <w:rPr/>
        <w:t>groups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cell</w:t>
      </w:r>
      <w:r>
        <w:rPr>
          <w:spacing w:val="37"/>
        </w:rPr>
        <w:t> </w:t>
      </w:r>
      <w:r>
        <w:rPr/>
        <w:t>wall</w:t>
      </w:r>
      <w:r>
        <w:rPr>
          <w:spacing w:val="37"/>
        </w:rPr>
        <w:t> </w:t>
      </w:r>
      <w:r>
        <w:rPr/>
        <w:t>polymer</w:t>
      </w:r>
      <w:r>
        <w:rPr>
          <w:spacing w:val="-73"/>
        </w:rPr>
        <w:t> </w:t>
      </w:r>
      <w:r>
        <w:rPr/>
        <w:t>have been substituted by acetyl group, reduction in water and moisture sorption are</w:t>
      </w:r>
      <w:r>
        <w:rPr>
          <w:spacing w:val="1"/>
        </w:rPr>
        <w:t> </w:t>
      </w:r>
      <w:r>
        <w:rPr/>
        <w:t>observed (Yakubu et al., 2012). Figure 3.28 presents the results of water absorption</w:t>
      </w:r>
      <w:r>
        <w:rPr>
          <w:spacing w:val="1"/>
        </w:rPr>
        <w:t> </w:t>
      </w:r>
      <w:r>
        <w:rPr/>
        <w:t>capacity of raw and treated mango kernel. Figure 3.28 revealed that at all times; the water</w:t>
      </w:r>
      <w:r>
        <w:rPr>
          <w:spacing w:val="-72"/>
        </w:rPr>
        <w:t> </w:t>
      </w:r>
      <w:r>
        <w:rPr/>
        <w:t>absorption</w:t>
      </w:r>
      <w:r>
        <w:rPr>
          <w:spacing w:val="20"/>
        </w:rPr>
        <w:t> </w:t>
      </w:r>
      <w:r>
        <w:rPr/>
        <w:t>capacity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mango</w:t>
      </w:r>
      <w:r>
        <w:rPr>
          <w:spacing w:val="21"/>
        </w:rPr>
        <w:t> </w:t>
      </w:r>
      <w:r>
        <w:rPr/>
        <w:t>kernel</w:t>
      </w:r>
      <w:r>
        <w:rPr>
          <w:spacing w:val="21"/>
        </w:rPr>
        <w:t> </w:t>
      </w:r>
      <w:r>
        <w:rPr/>
        <w:t>was</w:t>
      </w:r>
      <w:r>
        <w:rPr>
          <w:spacing w:val="22"/>
        </w:rPr>
        <w:t> </w:t>
      </w:r>
      <w:r>
        <w:rPr/>
        <w:t>highest</w:t>
      </w:r>
      <w:r>
        <w:rPr>
          <w:spacing w:val="20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raw</w:t>
      </w:r>
      <w:r>
        <w:rPr>
          <w:spacing w:val="23"/>
        </w:rPr>
        <w:t> </w:t>
      </w:r>
      <w:r>
        <w:rPr/>
        <w:t>material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lowest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82" w:lineRule="auto" w:before="75"/>
        <w:ind w:left="1198" w:right="577"/>
        <w:jc w:val="both"/>
      </w:pPr>
      <w:r>
        <w:rPr/>
        <w:t>acetylated material. This may be attributed to the reduction of hydroxyl group contents of</w:t>
      </w:r>
      <w:r>
        <w:rPr>
          <w:spacing w:val="1"/>
        </w:rPr>
        <w:t> </w:t>
      </w:r>
      <w:r>
        <w:rPr/>
        <w:t>mango</w:t>
      </w:r>
      <w:r>
        <w:rPr>
          <w:spacing w:val="-2"/>
        </w:rPr>
        <w:t> </w:t>
      </w:r>
      <w:r>
        <w:rPr/>
        <w:t>kernel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acetylation,</w:t>
      </w:r>
      <w:r>
        <w:rPr>
          <w:spacing w:val="-1"/>
        </w:rPr>
        <w:t> </w:t>
      </w:r>
      <w:r>
        <w:rPr/>
        <w:t>thereby</w:t>
      </w:r>
      <w:r>
        <w:rPr>
          <w:spacing w:val="-1"/>
        </w:rPr>
        <w:t> </w:t>
      </w:r>
      <w:r>
        <w:rPr/>
        <w:t>increasing</w:t>
      </w:r>
      <w:r>
        <w:rPr>
          <w:spacing w:val="-2"/>
        </w:rPr>
        <w:t> </w:t>
      </w:r>
      <w:r>
        <w:rPr/>
        <w:t>the hydrophobic</w:t>
      </w:r>
      <w:r>
        <w:rPr>
          <w:spacing w:val="-1"/>
        </w:rPr>
        <w:t> </w:t>
      </w:r>
      <w:r>
        <w:rPr/>
        <w:t>properties.</w:t>
      </w:r>
    </w:p>
    <w:p>
      <w:pPr>
        <w:pStyle w:val="BodyText"/>
        <w:spacing w:line="480" w:lineRule="auto"/>
        <w:ind w:left="1198" w:right="574"/>
        <w:jc w:val="both"/>
      </w:pPr>
      <w:r>
        <w:rPr/>
        <w:t>The reduction in water absorption capacity was tested for significance. Table 3.15 presents</w:t>
      </w:r>
      <w:r>
        <w:rPr>
          <w:spacing w:val="-72"/>
        </w:rPr>
        <w:t> </w:t>
      </w:r>
      <w:r>
        <w:rPr/>
        <w:t>results for the significant effects of time and acetylation on mango kernel water absorption</w:t>
      </w:r>
      <w:r>
        <w:rPr>
          <w:spacing w:val="1"/>
        </w:rPr>
        <w:t> </w:t>
      </w:r>
      <w:r>
        <w:rPr/>
        <w:t>capacity. The null hypothesis (Ho), is that acetylation have not reduced water absorption</w:t>
      </w:r>
      <w:r>
        <w:rPr>
          <w:spacing w:val="1"/>
        </w:rPr>
        <w:t> </w:t>
      </w:r>
      <w:r>
        <w:rPr/>
        <w:t>capacity of mango kernel.</w:t>
      </w:r>
      <w:r>
        <w:rPr>
          <w:spacing w:val="1"/>
        </w:rPr>
        <w:t> </w:t>
      </w:r>
      <w:r>
        <w:rPr/>
        <w:t>Rejection of the hypothesis Ho implies the acceptance of the</w:t>
      </w:r>
      <w:r>
        <w:rPr>
          <w:spacing w:val="1"/>
        </w:rPr>
        <w:t> </w:t>
      </w:r>
      <w:r>
        <w:rPr/>
        <w:t>alternative hypothesis (H</w:t>
      </w:r>
      <w:r>
        <w:rPr>
          <w:vertAlign w:val="subscript"/>
        </w:rPr>
        <w:t>1</w:t>
      </w:r>
      <w:r>
        <w:rPr>
          <w:vertAlign w:val="baseline"/>
        </w:rPr>
        <w:t>), that acetylation have reduced the water absorption capacity.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statistic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performed</w:t>
      </w:r>
      <w:r>
        <w:rPr>
          <w:spacing w:val="-2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5%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level.</w:t>
      </w:r>
    </w:p>
    <w:p>
      <w:pPr>
        <w:pStyle w:val="BodyText"/>
        <w:spacing w:line="480" w:lineRule="auto"/>
        <w:ind w:left="1198" w:right="576"/>
        <w:jc w:val="both"/>
      </w:pPr>
      <w:r>
        <w:rPr/>
        <w:t>In this case we reject Ho if p-value is less than 0.05 and conclude that there is significant</w:t>
      </w:r>
      <w:r>
        <w:rPr>
          <w:spacing w:val="1"/>
        </w:rPr>
        <w:t> </w:t>
      </w:r>
      <w:r>
        <w:rPr/>
        <w:t>difference in the performance of the two variables. The results as presented in Table 3.15</w:t>
      </w:r>
      <w:r>
        <w:rPr>
          <w:spacing w:val="1"/>
        </w:rPr>
        <w:t> </w:t>
      </w:r>
      <w:r>
        <w:rPr/>
        <w:t>indicated that the P-value (0.004) is less than 0.05. This therefore, implied that time and</w:t>
      </w:r>
      <w:r>
        <w:rPr>
          <w:spacing w:val="1"/>
        </w:rPr>
        <w:t> </w:t>
      </w:r>
      <w:r>
        <w:rPr/>
        <w:t>acetylation has</w:t>
      </w:r>
      <w:r>
        <w:rPr>
          <w:spacing w:val="-2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water absorption</w:t>
      </w:r>
      <w:r>
        <w:rPr>
          <w:spacing w:val="-3"/>
        </w:rPr>
        <w:t> </w:t>
      </w:r>
      <w:r>
        <w:rPr/>
        <w:t>capacity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mango</w:t>
      </w:r>
      <w:r>
        <w:rPr>
          <w:spacing w:val="-2"/>
        </w:rPr>
        <w:t> </w:t>
      </w:r>
      <w:r>
        <w:rPr/>
        <w:t>kernel.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ind w:left="1552"/>
        <w:rPr>
          <w:sz w:val="20"/>
        </w:rPr>
      </w:pPr>
      <w:r>
        <w:rPr>
          <w:sz w:val="20"/>
        </w:rPr>
        <w:drawing>
          <wp:inline distT="0" distB="0" distL="0" distR="0">
            <wp:extent cx="5804163" cy="4663440"/>
            <wp:effectExtent l="0" t="0" r="0" b="0"/>
            <wp:docPr id="4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163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100"/>
        <w:ind w:left="1198" w:right="579"/>
        <w:jc w:val="both"/>
      </w:pPr>
      <w:r>
        <w:rPr/>
        <w:t>Figure 3.28</w:t>
      </w:r>
      <w:r>
        <w:rPr>
          <w:spacing w:val="76"/>
        </w:rPr>
        <w:t> </w:t>
      </w:r>
      <w:r>
        <w:rPr/>
        <w:t>Variations of water absorption capacity with time for raw and acetylated</w:t>
      </w:r>
      <w:r>
        <w:rPr>
          <w:spacing w:val="1"/>
        </w:rPr>
        <w:t> </w:t>
      </w:r>
      <w:r>
        <w:rPr/>
        <w:t>mango</w:t>
      </w:r>
      <w:r>
        <w:rPr>
          <w:spacing w:val="-2"/>
        </w:rPr>
        <w:t> </w:t>
      </w:r>
      <w:r>
        <w:rPr/>
        <w:t>kernel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43"/>
        <w:ind w:left="1198" w:right="580"/>
        <w:jc w:val="both"/>
      </w:pPr>
      <w:r>
        <w:rPr/>
        <w:t>To understand the direction of these effects, regression analysis was performed. Eq. 3.9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3.10</w:t>
      </w:r>
      <w:r>
        <w:rPr>
          <w:spacing w:val="-2"/>
        </w:rPr>
        <w:t> </w:t>
      </w:r>
      <w:r>
        <w:rPr/>
        <w:t>presents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linear</w:t>
      </w:r>
      <w:r>
        <w:rPr>
          <w:spacing w:val="-3"/>
        </w:rPr>
        <w:t> </w:t>
      </w:r>
      <w:r>
        <w:rPr/>
        <w:t>regression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mango</w:t>
      </w:r>
      <w:r>
        <w:rPr>
          <w:spacing w:val="-1"/>
        </w:rPr>
        <w:t> </w:t>
      </w:r>
      <w:r>
        <w:rPr/>
        <w:t>kernel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absorption</w:t>
      </w:r>
      <w:r>
        <w:rPr>
          <w:spacing w:val="-3"/>
        </w:rPr>
        <w:t> </w:t>
      </w:r>
      <w:r>
        <w:rPr/>
        <w:t>capacity.</w:t>
      </w:r>
    </w:p>
    <w:p>
      <w:pPr>
        <w:pStyle w:val="BodyText"/>
        <w:tabs>
          <w:tab w:pos="9454" w:val="right" w:leader="none"/>
        </w:tabs>
        <w:spacing w:before="1"/>
        <w:ind w:left="2638"/>
        <w:jc w:val="both"/>
      </w:pPr>
      <w:r>
        <w:rPr/>
        <w:t>WAC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1.43 +</w:t>
      </w:r>
      <w:r>
        <w:rPr>
          <w:spacing w:val="-1"/>
        </w:rPr>
        <w:t> </w:t>
      </w:r>
      <w:r>
        <w:rPr/>
        <w:t>0.009RMS</w:t>
        <w:tab/>
        <w:t>3.9</w:t>
      </w:r>
    </w:p>
    <w:p>
      <w:pPr>
        <w:pStyle w:val="BodyText"/>
        <w:tabs>
          <w:tab w:pos="9586" w:val="right" w:leader="none"/>
        </w:tabs>
        <w:spacing w:before="289"/>
        <w:ind w:left="2638"/>
        <w:jc w:val="both"/>
      </w:pPr>
      <w:r>
        <w:rPr/>
        <w:t>WAC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1.17 +</w:t>
      </w:r>
      <w:r>
        <w:rPr>
          <w:spacing w:val="-1"/>
        </w:rPr>
        <w:t> </w:t>
      </w:r>
      <w:r>
        <w:rPr/>
        <w:t>0.007AMS</w:t>
        <w:tab/>
        <w:t>3.10</w:t>
      </w:r>
    </w:p>
    <w:p>
      <w:pPr>
        <w:pStyle w:val="BodyText"/>
        <w:spacing w:line="480" w:lineRule="auto" w:before="289"/>
        <w:ind w:left="1198" w:right="576"/>
        <w:jc w:val="both"/>
      </w:pPr>
      <w:r>
        <w:rPr/>
        <w:t>Where (WAC) is water absorption capacity, RMS and AMS stands for raw and acetylated</w:t>
      </w:r>
      <w:r>
        <w:rPr>
          <w:spacing w:val="1"/>
        </w:rPr>
        <w:t> </w:t>
      </w:r>
      <w:r>
        <w:rPr/>
        <w:t>mango kernel. Eq. 3.9 and 3.10 showed that for every increase in water absorption time</w:t>
      </w:r>
      <w:r>
        <w:rPr>
          <w:spacing w:val="1"/>
        </w:rPr>
        <w:t> </w:t>
      </w:r>
      <w:r>
        <w:rPr/>
        <w:t>would</w:t>
      </w:r>
      <w:r>
        <w:rPr>
          <w:spacing w:val="-1"/>
        </w:rPr>
        <w:t> </w:t>
      </w:r>
      <w:r>
        <w:rPr/>
        <w:t>cause</w:t>
      </w:r>
      <w:r>
        <w:rPr>
          <w:spacing w:val="1"/>
        </w:rPr>
        <w:t> </w:t>
      </w:r>
      <w:r>
        <w:rPr/>
        <w:t>0.9%</w:t>
      </w:r>
      <w:r>
        <w:rPr>
          <w:spacing w:val="1"/>
        </w:rPr>
        <w:t> </w:t>
      </w:r>
      <w:r>
        <w:rPr/>
        <w:t>and 0.7%</w:t>
      </w:r>
      <w:r>
        <w:rPr>
          <w:spacing w:val="1"/>
        </w:rPr>
        <w:t> </w:t>
      </w:r>
      <w:r>
        <w:rPr/>
        <w:t>of water to</w:t>
      </w:r>
      <w:r>
        <w:rPr>
          <w:spacing w:val="-1"/>
        </w:rPr>
        <w:t> </w:t>
      </w:r>
      <w:r>
        <w:rPr/>
        <w:t>be absorbed</w:t>
      </w:r>
      <w:r>
        <w:rPr>
          <w:spacing w:val="-1"/>
        </w:rPr>
        <w:t> </w:t>
      </w:r>
      <w:r>
        <w:rPr/>
        <w:t>by RMS and AMS</w:t>
      </w:r>
      <w:r>
        <w:rPr>
          <w:spacing w:val="1"/>
        </w:rPr>
        <w:t> </w:t>
      </w:r>
      <w:r>
        <w:rPr/>
        <w:t>respectively.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it</w:t>
      </w:r>
    </w:p>
    <w:p>
      <w:pPr>
        <w:spacing w:after="0" w:line="480" w:lineRule="auto"/>
        <w:jc w:val="both"/>
        <w:sectPr>
          <w:pgSz w:w="11910" w:h="16840"/>
          <w:pgMar w:header="0" w:footer="987" w:top="1340" w:bottom="1260" w:left="420" w:right="0"/>
        </w:sectPr>
      </w:pPr>
    </w:p>
    <w:p>
      <w:pPr>
        <w:pStyle w:val="BodyText"/>
        <w:spacing w:line="482" w:lineRule="auto" w:before="75"/>
        <w:ind w:left="1198" w:right="584"/>
        <w:jc w:val="both"/>
      </w:pPr>
      <w:r>
        <w:rPr/>
        <w:t>revealed that if the mango kernel used was acetylated, a 26% reduction/decrease in water</w:t>
      </w:r>
      <w:r>
        <w:rPr>
          <w:spacing w:val="-72"/>
        </w:rPr>
        <w:t> </w:t>
      </w:r>
      <w:r>
        <w:rPr/>
        <w:t>absorption</w:t>
      </w:r>
      <w:r>
        <w:rPr>
          <w:spacing w:val="-2"/>
        </w:rPr>
        <w:t> </w:t>
      </w:r>
      <w:r>
        <w:rPr/>
        <w:t>capacity would be obtained.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9"/>
        </w:rPr>
      </w:pPr>
    </w:p>
    <w:p>
      <w:pPr>
        <w:pStyle w:val="Heading3"/>
        <w:numPr>
          <w:ilvl w:val="1"/>
          <w:numId w:val="14"/>
        </w:numPr>
        <w:tabs>
          <w:tab w:pos="1917" w:val="left" w:leader="none"/>
          <w:tab w:pos="1918" w:val="left" w:leader="none"/>
        </w:tabs>
        <w:spacing w:line="240" w:lineRule="auto" w:before="0" w:after="0"/>
        <w:ind w:left="1918" w:right="0" w:hanging="720"/>
        <w:jc w:val="left"/>
      </w:pPr>
      <w:r>
        <w:rPr/>
        <w:t>Sorption</w:t>
      </w:r>
      <w:r>
        <w:rPr>
          <w:spacing w:val="-3"/>
        </w:rPr>
        <w:t> </w:t>
      </w:r>
      <w:r>
        <w:rPr/>
        <w:t>Studies</w:t>
      </w:r>
      <w:r>
        <w:rPr>
          <w:spacing w:val="-4"/>
        </w:rPr>
        <w:t> </w:t>
      </w:r>
      <w:r>
        <w:rPr/>
        <w:t>of Crude</w:t>
      </w:r>
      <w:r>
        <w:rPr>
          <w:spacing w:val="-5"/>
        </w:rPr>
        <w:t> </w:t>
      </w:r>
      <w:r>
        <w:rPr/>
        <w:t>Oil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2"/>
          <w:numId w:val="14"/>
        </w:numPr>
        <w:tabs>
          <w:tab w:pos="1918" w:val="left" w:leader="none"/>
        </w:tabs>
        <w:spacing w:line="240" w:lineRule="auto" w:before="0" w:after="0"/>
        <w:ind w:left="1918" w:right="0" w:hanging="720"/>
        <w:jc w:val="left"/>
        <w:rPr>
          <w:b/>
          <w:sz w:val="24"/>
        </w:rPr>
      </w:pPr>
      <w:r>
        <w:rPr>
          <w:b/>
          <w:sz w:val="24"/>
        </w:rPr>
        <w:t>Crude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Sorption Onto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Cob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1198"/>
        <w:jc w:val="both"/>
      </w:pPr>
      <w:r>
        <w:rPr/>
        <w:t>Crude</w:t>
      </w:r>
      <w:r>
        <w:rPr>
          <w:spacing w:val="9"/>
        </w:rPr>
        <w:t> </w:t>
      </w:r>
      <w:r>
        <w:rPr/>
        <w:t>oil</w:t>
      </w:r>
      <w:r>
        <w:rPr>
          <w:spacing w:val="9"/>
        </w:rPr>
        <w:t> </w:t>
      </w:r>
      <w:r>
        <w:rPr/>
        <w:t>uptake</w:t>
      </w:r>
      <w:r>
        <w:rPr>
          <w:spacing w:val="11"/>
        </w:rPr>
        <w:t> </w:t>
      </w:r>
      <w:r>
        <w:rPr/>
        <w:t>was</w:t>
      </w:r>
      <w:r>
        <w:rPr>
          <w:spacing w:val="10"/>
        </w:rPr>
        <w:t> </w:t>
      </w:r>
      <w:r>
        <w:rPr/>
        <w:t>studied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batch</w:t>
      </w:r>
      <w:r>
        <w:rPr>
          <w:spacing w:val="10"/>
        </w:rPr>
        <w:t> </w:t>
      </w:r>
      <w:r>
        <w:rPr/>
        <w:t>experiments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results</w:t>
      </w:r>
      <w:r>
        <w:rPr>
          <w:spacing w:val="13"/>
        </w:rPr>
        <w:t> </w:t>
      </w:r>
      <w:r>
        <w:rPr/>
        <w:t>are</w:t>
      </w:r>
      <w:r>
        <w:rPr>
          <w:spacing w:val="10"/>
        </w:rPr>
        <w:t> </w:t>
      </w:r>
      <w:r>
        <w:rPr/>
        <w:t>illustrated</w:t>
      </w:r>
      <w:r>
        <w:rPr>
          <w:spacing w:val="9"/>
        </w:rPr>
        <w:t> </w:t>
      </w:r>
      <w:r>
        <w:rPr/>
        <w:t>in</w:t>
      </w:r>
      <w:r>
        <w:rPr>
          <w:spacing w:val="13"/>
        </w:rPr>
        <w:t> </w:t>
      </w:r>
      <w:r>
        <w:rPr/>
        <w:t>Figure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77" w:lineRule="auto" w:before="1"/>
        <w:ind w:left="1198" w:right="574"/>
        <w:jc w:val="both"/>
      </w:pPr>
      <w:r>
        <w:rPr/>
        <w:t>3.29. The results from Figure 3.29 as expected increased with increase in sorption time</w:t>
      </w:r>
      <w:r>
        <w:rPr>
          <w:spacing w:val="1"/>
        </w:rPr>
        <w:t> </w:t>
      </w:r>
      <w:r>
        <w:rPr/>
        <w:t>from 30</w:t>
      </w:r>
      <w:r>
        <w:rPr>
          <w:spacing w:val="1"/>
        </w:rPr>
        <w:t> </w:t>
      </w:r>
      <w:r>
        <w:rPr/>
        <w:t>to 120 seconds. 120</w:t>
      </w:r>
      <w:r>
        <w:rPr>
          <w:spacing w:val="1"/>
        </w:rPr>
        <w:t> </w:t>
      </w:r>
      <w:r>
        <w:rPr/>
        <w:t>seconds showed the</w:t>
      </w:r>
      <w:r>
        <w:rPr>
          <w:spacing w:val="1"/>
        </w:rPr>
        <w:t> </w:t>
      </w:r>
      <w:r>
        <w:rPr/>
        <w:t>maximum oil sorption capacity</w:t>
      </w:r>
      <w:r>
        <w:rPr>
          <w:spacing w:val="75"/>
        </w:rPr>
        <w:t> </w:t>
      </w:r>
      <w:r>
        <w:rPr/>
        <w:t>of</w:t>
      </w:r>
      <w:r>
        <w:rPr>
          <w:spacing w:val="1"/>
        </w:rPr>
        <w:t> </w:t>
      </w:r>
      <w:r>
        <w:rPr/>
        <w:t>2.50g/g for ACC and 2.03 for RCC.</w:t>
      </w:r>
      <w:r>
        <w:rPr>
          <w:spacing w:val="1"/>
        </w:rPr>
        <w:t> </w:t>
      </w:r>
      <w:r>
        <w:rPr/>
        <w:t>This might be due to initial adsorption onto the surface</w:t>
      </w:r>
      <w:r>
        <w:rPr>
          <w:spacing w:val="1"/>
        </w:rPr>
        <w:t> </w:t>
      </w:r>
      <w:r>
        <w:rPr/>
        <w:t>of the material and subsequent penetration into the inner microscopic voids (Amer </w:t>
      </w:r>
      <w:r>
        <w:rPr>
          <w:sz w:val="25"/>
        </w:rPr>
        <w:t>et al</w:t>
      </w:r>
      <w:r>
        <w:rPr/>
        <w:t>.,</w:t>
      </w:r>
      <w:r>
        <w:rPr>
          <w:spacing w:val="1"/>
        </w:rPr>
        <w:t> </w:t>
      </w:r>
      <w:r>
        <w:rPr/>
        <w:t>2007). The results also showed the fast and stable nature of the process as only a slight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consistent with findings elsewhere (Hussein </w:t>
      </w:r>
      <w:r>
        <w:rPr>
          <w:sz w:val="25"/>
        </w:rPr>
        <w:t>et al</w:t>
      </w:r>
      <w:r>
        <w:rPr/>
        <w:t>., 2006; Nwankwere </w:t>
      </w:r>
      <w:r>
        <w:rPr>
          <w:sz w:val="25"/>
        </w:rPr>
        <w:t>et al.</w:t>
      </w:r>
      <w:r>
        <w:rPr/>
        <w:t>, 2010). Results</w:t>
      </w:r>
      <w:r>
        <w:rPr>
          <w:spacing w:val="1"/>
        </w:rPr>
        <w:t> </w:t>
      </w:r>
      <w:r>
        <w:rPr/>
        <w:t>as presented in Fig 3.29 showed that acetylated corn cob absorbed higher amount of oil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cob.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(modified</w:t>
      </w:r>
      <w:r>
        <w:rPr>
          <w:spacing w:val="1"/>
        </w:rPr>
        <w:t> </w:t>
      </w:r>
      <w:r>
        <w:rPr/>
        <w:t>and</w:t>
      </w:r>
      <w:r>
        <w:rPr>
          <w:spacing w:val="-72"/>
        </w:rPr>
        <w:t> </w:t>
      </w:r>
      <w:r>
        <w:rPr/>
        <w:t>unmodified) was tested for statistical difference using ANOVA. Table 3.16 presents results</w:t>
      </w:r>
      <w:r>
        <w:rPr>
          <w:spacing w:val="1"/>
        </w:rPr>
        <w:t> </w:t>
      </w:r>
      <w:r>
        <w:rPr/>
        <w:t>for the significant effects of time and acetylation on corn cob oil sorption capacity. The null</w:t>
      </w:r>
      <w:r>
        <w:rPr>
          <w:spacing w:val="1"/>
        </w:rPr>
        <w:t> </w:t>
      </w:r>
      <w:r>
        <w:rPr/>
        <w:t>hypothesis (Ho) is that acetylation has not affected oil sorption capacity of corn cob.</w:t>
      </w:r>
      <w:r>
        <w:rPr>
          <w:spacing w:val="1"/>
        </w:rPr>
        <w:t> </w:t>
      </w:r>
      <w:r>
        <w:rPr/>
        <w:t>Rejection of the hypothesis Ho implies the acceptance of the alternative hypothesis (H</w:t>
      </w:r>
      <w:r>
        <w:rPr>
          <w:vertAlign w:val="subscript"/>
        </w:rPr>
        <w:t>1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that acetylation have reduced the water absorption capacity. This</w:t>
      </w:r>
      <w:r>
        <w:rPr>
          <w:spacing w:val="75"/>
          <w:vertAlign w:val="baseline"/>
        </w:rPr>
        <w:t> </w:t>
      </w:r>
      <w:r>
        <w:rPr>
          <w:vertAlign w:val="baseline"/>
        </w:rPr>
        <w:t>statistic was performed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5% 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level.</w:t>
      </w:r>
    </w:p>
    <w:p>
      <w:pPr>
        <w:pStyle w:val="BodyText"/>
        <w:spacing w:line="480" w:lineRule="auto"/>
        <w:ind w:left="1198" w:right="575"/>
        <w:jc w:val="both"/>
      </w:pPr>
      <w:r>
        <w:rPr/>
        <w:t>In this case we reject Ho if p-value is less than 0.05 and conclude that there is significant</w:t>
      </w:r>
      <w:r>
        <w:rPr>
          <w:spacing w:val="1"/>
        </w:rPr>
        <w:t> </w:t>
      </w:r>
      <w:r>
        <w:rPr/>
        <w:t>difference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performance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two</w:t>
      </w:r>
      <w:r>
        <w:rPr>
          <w:spacing w:val="6"/>
        </w:rPr>
        <w:t> </w:t>
      </w:r>
      <w:r>
        <w:rPr/>
        <w:t>variables.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results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presented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Table</w:t>
      </w:r>
      <w:r>
        <w:rPr>
          <w:spacing w:val="5"/>
        </w:rPr>
        <w:t> </w:t>
      </w:r>
      <w:r>
        <w:rPr/>
        <w:t>3.16,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80" w:lineRule="auto" w:before="75"/>
        <w:ind w:left="1198" w:right="575"/>
        <w:jc w:val="both"/>
      </w:pPr>
      <w:r>
        <w:rPr/>
        <w:t>indicated</w:t>
      </w:r>
      <w:r>
        <w:rPr>
          <w:spacing w:val="26"/>
        </w:rPr>
        <w:t> </w:t>
      </w:r>
      <w:r>
        <w:rPr/>
        <w:t>that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P-value</w:t>
      </w:r>
      <w:r>
        <w:rPr>
          <w:spacing w:val="29"/>
        </w:rPr>
        <w:t> </w:t>
      </w:r>
      <w:r>
        <w:rPr/>
        <w:t>(0.075)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greater</w:t>
      </w:r>
      <w:r>
        <w:rPr>
          <w:spacing w:val="28"/>
        </w:rPr>
        <w:t> </w:t>
      </w:r>
      <w:r>
        <w:rPr/>
        <w:t>than</w:t>
      </w:r>
      <w:r>
        <w:rPr>
          <w:spacing w:val="29"/>
        </w:rPr>
        <w:t> </w:t>
      </w:r>
      <w:r>
        <w:rPr/>
        <w:t>0.05.</w:t>
      </w:r>
      <w:r>
        <w:rPr>
          <w:spacing w:val="27"/>
        </w:rPr>
        <w:t> </w:t>
      </w:r>
      <w:r>
        <w:rPr/>
        <w:t>This</w:t>
      </w:r>
      <w:r>
        <w:rPr>
          <w:spacing w:val="29"/>
        </w:rPr>
        <w:t> </w:t>
      </w:r>
      <w:r>
        <w:rPr/>
        <w:t>therefore,</w:t>
      </w:r>
      <w:r>
        <w:rPr>
          <w:spacing w:val="27"/>
        </w:rPr>
        <w:t> </w:t>
      </w:r>
      <w:r>
        <w:rPr/>
        <w:t>implied</w:t>
      </w:r>
      <w:r>
        <w:rPr>
          <w:spacing w:val="27"/>
        </w:rPr>
        <w:t> </w:t>
      </w:r>
      <w:r>
        <w:rPr/>
        <w:t>that</w:t>
      </w:r>
      <w:r>
        <w:rPr>
          <w:spacing w:val="31"/>
        </w:rPr>
        <w:t> </w:t>
      </w:r>
      <w:r>
        <w:rPr/>
        <w:t>time</w:t>
      </w:r>
      <w:r>
        <w:rPr>
          <w:spacing w:val="-72"/>
        </w:rPr>
        <w:t> </w:t>
      </w:r>
      <w:r>
        <w:rPr/>
        <w:t>and acetylation had no significant effects on corn cob oil sorption capacity. The statistical</w:t>
      </w:r>
      <w:r>
        <w:rPr>
          <w:spacing w:val="1"/>
        </w:rPr>
        <w:t> </w:t>
      </w:r>
      <w:r>
        <w:rPr/>
        <w:t>non</w:t>
      </w:r>
      <w:r>
        <w:rPr>
          <w:spacing w:val="-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may</w:t>
      </w:r>
      <w:r>
        <w:rPr>
          <w:spacing w:val="-1"/>
        </w:rPr>
        <w:t> </w:t>
      </w:r>
      <w:r>
        <w:rPr/>
        <w:t>be attributed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closeness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means.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1371600</wp:posOffset>
            </wp:positionH>
            <wp:positionV relativeFrom="paragraph">
              <wp:posOffset>173767</wp:posOffset>
            </wp:positionV>
            <wp:extent cx="5791056" cy="5138928"/>
            <wp:effectExtent l="0" t="0" r="0" b="0"/>
            <wp:wrapTopAndBottom/>
            <wp:docPr id="5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56" cy="513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480" w:lineRule="auto" w:before="1"/>
        <w:ind w:left="1198" w:right="580"/>
        <w:jc w:val="both"/>
      </w:pPr>
      <w:r>
        <w:rPr/>
        <w:t>Figure 3.29: variation of oil sorption capacity (OSC) with time for modified and unmodified</w:t>
      </w:r>
      <w:r>
        <w:rPr>
          <w:spacing w:val="1"/>
        </w:rPr>
        <w:t> </w:t>
      </w:r>
      <w:r>
        <w:rPr/>
        <w:t>corn</w:t>
      </w:r>
      <w:r>
        <w:rPr>
          <w:spacing w:val="-2"/>
        </w:rPr>
        <w:t> </w:t>
      </w:r>
      <w:r>
        <w:rPr/>
        <w:t>cob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tabs>
          <w:tab w:pos="2637" w:val="left" w:leader="none"/>
        </w:tabs>
        <w:spacing w:line="482" w:lineRule="auto" w:before="75" w:after="2"/>
        <w:ind w:left="1198" w:right="582"/>
      </w:pPr>
      <w:r>
        <w:rPr/>
        <w:t>Table</w:t>
      </w:r>
      <w:r>
        <w:rPr>
          <w:spacing w:val="-2"/>
        </w:rPr>
        <w:t> </w:t>
      </w:r>
      <w:r>
        <w:rPr/>
        <w:t>3.16</w:t>
        <w:tab/>
        <w:t>Summary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ANOVA</w:t>
      </w:r>
      <w:r>
        <w:rPr>
          <w:spacing w:val="10"/>
        </w:rPr>
        <w:t> </w:t>
      </w:r>
      <w:r>
        <w:rPr/>
        <w:t>results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effect</w:t>
      </w:r>
      <w:r>
        <w:rPr>
          <w:spacing w:val="8"/>
        </w:rPr>
        <w:t> </w:t>
      </w:r>
      <w:r>
        <w:rPr/>
        <w:t>of</w:t>
      </w:r>
      <w:r>
        <w:rPr>
          <w:spacing w:val="13"/>
        </w:rPr>
        <w:t> </w:t>
      </w:r>
      <w:r>
        <w:rPr/>
        <w:t>time</w:t>
      </w:r>
      <w:r>
        <w:rPr>
          <w:spacing w:val="11"/>
        </w:rPr>
        <w:t> </w:t>
      </w:r>
      <w:r>
        <w:rPr/>
        <w:t>on</w:t>
      </w:r>
      <w:r>
        <w:rPr>
          <w:spacing w:val="9"/>
        </w:rPr>
        <w:t> </w:t>
      </w:r>
      <w:r>
        <w:rPr/>
        <w:t>sorption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oil</w:t>
      </w:r>
      <w:r>
        <w:rPr>
          <w:spacing w:val="14"/>
        </w:rPr>
        <w:t> </w:t>
      </w:r>
      <w:r>
        <w:rPr/>
        <w:t>onto</w:t>
      </w:r>
      <w:r>
        <w:rPr>
          <w:spacing w:val="9"/>
        </w:rPr>
        <w:t> </w:t>
      </w:r>
      <w:r>
        <w:rPr/>
        <w:t>corn</w:t>
      </w:r>
      <w:r>
        <w:rPr>
          <w:spacing w:val="-72"/>
        </w:rPr>
        <w:t> </w:t>
      </w:r>
      <w:r>
        <w:rPr/>
        <w:t>cob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mango</w:t>
      </w:r>
      <w:r>
        <w:rPr>
          <w:spacing w:val="-2"/>
        </w:rPr>
        <w:t> </w:t>
      </w:r>
      <w:r>
        <w:rPr/>
        <w:t>kernel</w:t>
      </w:r>
    </w:p>
    <w:tbl>
      <w:tblPr>
        <w:tblW w:w="0" w:type="auto"/>
        <w:jc w:val="left"/>
        <w:tblInd w:w="1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358"/>
        <w:gridCol w:w="1773"/>
        <w:gridCol w:w="918"/>
        <w:gridCol w:w="593"/>
        <w:gridCol w:w="1076"/>
        <w:gridCol w:w="1150"/>
        <w:gridCol w:w="1792"/>
      </w:tblGrid>
      <w:tr>
        <w:trPr>
          <w:trHeight w:val="1062" w:hRule="atLeast"/>
        </w:trPr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218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17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353"/>
              <w:rPr>
                <w:sz w:val="22"/>
              </w:rPr>
            </w:pPr>
            <w:r>
              <w:rPr>
                <w:sz w:val="22"/>
              </w:rPr>
              <w:t>Std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Deviation</w:t>
            </w:r>
          </w:p>
        </w:tc>
        <w:tc>
          <w:tcPr>
            <w:tcW w:w="9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126"/>
              <w:rPr>
                <w:sz w:val="22"/>
              </w:rPr>
            </w:pPr>
            <w:r>
              <w:rPr>
                <w:sz w:val="22"/>
              </w:rPr>
              <w:t>Std.</w:t>
            </w:r>
          </w:p>
          <w:p>
            <w:pPr>
              <w:pStyle w:val="TableParagraph"/>
              <w:spacing w:line="240" w:lineRule="auto" w:before="1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126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7"/>
              <w:rPr>
                <w:sz w:val="22"/>
              </w:rPr>
            </w:pPr>
            <w:r>
              <w:rPr>
                <w:sz w:val="22"/>
              </w:rPr>
              <w:t>Error</w:t>
            </w:r>
          </w:p>
        </w:tc>
        <w:tc>
          <w:tcPr>
            <w:tcW w:w="10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t</w:t>
            </w:r>
          </w:p>
        </w:tc>
        <w:tc>
          <w:tcPr>
            <w:tcW w:w="11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422"/>
              <w:rPr>
                <w:sz w:val="22"/>
              </w:rPr>
            </w:pPr>
            <w:r>
              <w:rPr>
                <w:sz w:val="22"/>
              </w:rPr>
              <w:t>Df</w:t>
            </w:r>
          </w:p>
        </w:tc>
        <w:tc>
          <w:tcPr>
            <w:tcW w:w="17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515"/>
              <w:rPr>
                <w:sz w:val="22"/>
              </w:rPr>
            </w:pPr>
            <w:r>
              <w:rPr>
                <w:sz w:val="22"/>
              </w:rPr>
              <w:t>Sig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(P)</w:t>
            </w:r>
          </w:p>
        </w:tc>
      </w:tr>
      <w:tr>
        <w:trPr>
          <w:trHeight w:val="395" w:hRule="atLeast"/>
        </w:trPr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107"/>
              <w:rPr>
                <w:sz w:val="22"/>
              </w:rPr>
            </w:pPr>
            <w:r>
              <w:rPr>
                <w:sz w:val="22"/>
              </w:rPr>
              <w:t>ACC-RCC</w:t>
            </w:r>
          </w:p>
        </w:tc>
        <w:tc>
          <w:tcPr>
            <w:tcW w:w="13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218"/>
              <w:rPr>
                <w:sz w:val="22"/>
              </w:rPr>
            </w:pPr>
            <w:r>
              <w:rPr>
                <w:sz w:val="22"/>
              </w:rPr>
              <w:t>0.31250</w:t>
            </w:r>
          </w:p>
        </w:tc>
        <w:tc>
          <w:tcPr>
            <w:tcW w:w="17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353"/>
              <w:rPr>
                <w:sz w:val="22"/>
              </w:rPr>
            </w:pPr>
            <w:r>
              <w:rPr>
                <w:sz w:val="22"/>
              </w:rPr>
              <w:t>0.23358</w:t>
            </w:r>
          </w:p>
        </w:tc>
        <w:tc>
          <w:tcPr>
            <w:tcW w:w="9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0" w:right="1"/>
              <w:jc w:val="right"/>
              <w:rPr>
                <w:sz w:val="22"/>
              </w:rPr>
            </w:pPr>
            <w:r>
              <w:rPr>
                <w:sz w:val="22"/>
              </w:rPr>
              <w:t>0.11679</w:t>
            </w:r>
          </w:p>
        </w:tc>
        <w:tc>
          <w:tcPr>
            <w:tcW w:w="5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0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110"/>
              <w:rPr>
                <w:sz w:val="22"/>
              </w:rPr>
            </w:pPr>
            <w:r>
              <w:rPr>
                <w:sz w:val="22"/>
              </w:rPr>
              <w:t>2.676</w:t>
            </w:r>
          </w:p>
        </w:tc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42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515"/>
              <w:rPr>
                <w:sz w:val="22"/>
              </w:rPr>
            </w:pPr>
            <w:r>
              <w:rPr>
                <w:sz w:val="22"/>
              </w:rPr>
              <w:t>0.075</w:t>
            </w:r>
          </w:p>
        </w:tc>
      </w:tr>
      <w:tr>
        <w:trPr>
          <w:trHeight w:val="398" w:hRule="atLeast"/>
        </w:trPr>
        <w:tc>
          <w:tcPr>
            <w:tcW w:w="1260" w:type="dxa"/>
          </w:tcPr>
          <w:p>
            <w:pPr>
              <w:pStyle w:val="TableParagraph"/>
              <w:spacing w:line="246" w:lineRule="exact" w:before="132"/>
              <w:ind w:left="107"/>
              <w:rPr>
                <w:sz w:val="22"/>
              </w:rPr>
            </w:pPr>
            <w:r>
              <w:rPr>
                <w:sz w:val="22"/>
              </w:rPr>
              <w:t>AMS-RMS</w:t>
            </w:r>
          </w:p>
        </w:tc>
        <w:tc>
          <w:tcPr>
            <w:tcW w:w="1358" w:type="dxa"/>
          </w:tcPr>
          <w:p>
            <w:pPr>
              <w:pStyle w:val="TableParagraph"/>
              <w:spacing w:line="246" w:lineRule="exact" w:before="132"/>
              <w:ind w:left="218"/>
              <w:rPr>
                <w:sz w:val="22"/>
              </w:rPr>
            </w:pPr>
            <w:r>
              <w:rPr>
                <w:sz w:val="22"/>
              </w:rPr>
              <w:t>0.23000</w:t>
            </w:r>
          </w:p>
        </w:tc>
        <w:tc>
          <w:tcPr>
            <w:tcW w:w="1773" w:type="dxa"/>
          </w:tcPr>
          <w:p>
            <w:pPr>
              <w:pStyle w:val="TableParagraph"/>
              <w:spacing w:line="246" w:lineRule="exact" w:before="132"/>
              <w:ind w:left="353"/>
              <w:rPr>
                <w:sz w:val="22"/>
              </w:rPr>
            </w:pPr>
            <w:r>
              <w:rPr>
                <w:sz w:val="22"/>
              </w:rPr>
              <w:t>0.13880</w:t>
            </w:r>
          </w:p>
        </w:tc>
        <w:tc>
          <w:tcPr>
            <w:tcW w:w="918" w:type="dxa"/>
          </w:tcPr>
          <w:p>
            <w:pPr>
              <w:pStyle w:val="TableParagraph"/>
              <w:spacing w:line="246" w:lineRule="exact" w:before="132"/>
              <w:ind w:left="0" w:right="1"/>
              <w:jc w:val="right"/>
              <w:rPr>
                <w:sz w:val="22"/>
              </w:rPr>
            </w:pPr>
            <w:r>
              <w:rPr>
                <w:sz w:val="22"/>
              </w:rPr>
              <w:t>0.06940</w:t>
            </w:r>
          </w:p>
        </w:tc>
        <w:tc>
          <w:tcPr>
            <w:tcW w:w="59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spacing w:line="246" w:lineRule="exact" w:before="132"/>
              <w:ind w:left="110"/>
              <w:rPr>
                <w:sz w:val="22"/>
              </w:rPr>
            </w:pPr>
            <w:r>
              <w:rPr>
                <w:sz w:val="22"/>
              </w:rPr>
              <w:t>3.314</w:t>
            </w:r>
          </w:p>
        </w:tc>
        <w:tc>
          <w:tcPr>
            <w:tcW w:w="1150" w:type="dxa"/>
          </w:tcPr>
          <w:p>
            <w:pPr>
              <w:pStyle w:val="TableParagraph"/>
              <w:spacing w:line="246" w:lineRule="exact" w:before="132"/>
              <w:ind w:left="42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92" w:type="dxa"/>
          </w:tcPr>
          <w:p>
            <w:pPr>
              <w:pStyle w:val="TableParagraph"/>
              <w:spacing w:line="246" w:lineRule="exact" w:before="132"/>
              <w:ind w:left="515"/>
              <w:rPr>
                <w:sz w:val="22"/>
              </w:rPr>
            </w:pPr>
            <w:r>
              <w:rPr>
                <w:sz w:val="22"/>
              </w:rPr>
              <w:t>0.045</w:t>
            </w:r>
          </w:p>
        </w:tc>
      </w:tr>
    </w:tbl>
    <w:p>
      <w:pPr>
        <w:pStyle w:val="BodyText"/>
        <w:rPr>
          <w:sz w:val="19"/>
        </w:rPr>
      </w:pPr>
      <w:r>
        <w:rPr/>
        <w:pict>
          <v:rect style="position:absolute;margin-left:74.784004pt;margin-top:13.439736pt;width:496.900024pt;height:.48pt;mso-position-horizontal-relative:page;mso-position-vertical-relative:paragraph;z-index:-156753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480" w:lineRule="auto"/>
        <w:ind w:left="1198" w:right="575"/>
      </w:pPr>
      <w:r>
        <w:rPr/>
        <w:t>To</w:t>
      </w:r>
      <w:r>
        <w:rPr>
          <w:spacing w:val="15"/>
        </w:rPr>
        <w:t> </w:t>
      </w:r>
      <w:r>
        <w:rPr/>
        <w:t>understand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direction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these</w:t>
      </w:r>
      <w:r>
        <w:rPr>
          <w:spacing w:val="17"/>
        </w:rPr>
        <w:t> </w:t>
      </w:r>
      <w:r>
        <w:rPr/>
        <w:t>effects,</w:t>
      </w:r>
      <w:r>
        <w:rPr>
          <w:spacing w:val="15"/>
        </w:rPr>
        <w:t> </w:t>
      </w:r>
      <w:r>
        <w:rPr/>
        <w:t>regression</w:t>
      </w:r>
      <w:r>
        <w:rPr>
          <w:spacing w:val="19"/>
        </w:rPr>
        <w:t> </w:t>
      </w:r>
      <w:r>
        <w:rPr/>
        <w:t>analysis</w:t>
      </w:r>
      <w:r>
        <w:rPr>
          <w:spacing w:val="17"/>
        </w:rPr>
        <w:t> </w:t>
      </w:r>
      <w:r>
        <w:rPr/>
        <w:t>was</w:t>
      </w:r>
      <w:r>
        <w:rPr>
          <w:spacing w:val="18"/>
        </w:rPr>
        <w:t> </w:t>
      </w:r>
      <w:r>
        <w:rPr/>
        <w:t>performed.</w:t>
      </w:r>
      <w:r>
        <w:rPr>
          <w:spacing w:val="14"/>
        </w:rPr>
        <w:t> </w:t>
      </w:r>
      <w:r>
        <w:rPr/>
        <w:t>Eq.</w:t>
      </w:r>
      <w:r>
        <w:rPr>
          <w:spacing w:val="15"/>
        </w:rPr>
        <w:t> </w:t>
      </w:r>
      <w:r>
        <w:rPr/>
        <w:t>3.11</w:t>
      </w:r>
      <w:r>
        <w:rPr>
          <w:spacing w:val="-72"/>
        </w:rPr>
        <w:t> </w:t>
      </w:r>
      <w:r>
        <w:rPr/>
        <w:t>and</w:t>
      </w:r>
      <w:r>
        <w:rPr>
          <w:spacing w:val="30"/>
        </w:rPr>
        <w:t> </w:t>
      </w:r>
      <w:r>
        <w:rPr/>
        <w:t>3.12</w:t>
      </w:r>
      <w:r>
        <w:rPr>
          <w:spacing w:val="32"/>
        </w:rPr>
        <w:t> </w:t>
      </w:r>
      <w:r>
        <w:rPr/>
        <w:t>presents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regression</w:t>
      </w:r>
      <w:r>
        <w:rPr>
          <w:spacing w:val="31"/>
        </w:rPr>
        <w:t> </w:t>
      </w:r>
      <w:r>
        <w:rPr/>
        <w:t>equation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/>
        <w:t>oil</w:t>
      </w:r>
      <w:r>
        <w:rPr>
          <w:spacing w:val="30"/>
        </w:rPr>
        <w:t> </w:t>
      </w:r>
      <w:r>
        <w:rPr/>
        <w:t>sorption</w:t>
      </w:r>
      <w:r>
        <w:rPr>
          <w:spacing w:val="32"/>
        </w:rPr>
        <w:t> </w:t>
      </w:r>
      <w:r>
        <w:rPr/>
        <w:t>onto</w:t>
      </w:r>
      <w:r>
        <w:rPr>
          <w:spacing w:val="30"/>
        </w:rPr>
        <w:t> </w:t>
      </w:r>
      <w:r>
        <w:rPr/>
        <w:t>raw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acetylated</w:t>
      </w:r>
      <w:r>
        <w:rPr>
          <w:spacing w:val="30"/>
        </w:rPr>
        <w:t> </w:t>
      </w:r>
      <w:r>
        <w:rPr/>
        <w:t>corn</w:t>
      </w:r>
    </w:p>
    <w:p>
      <w:pPr>
        <w:pStyle w:val="BodyText"/>
        <w:spacing w:before="1"/>
        <w:ind w:left="1198"/>
      </w:pPr>
      <w:r>
        <w:rPr/>
        <w:t>cob.</w:t>
      </w:r>
    </w:p>
    <w:p>
      <w:pPr>
        <w:pStyle w:val="BodyText"/>
        <w:tabs>
          <w:tab w:pos="10306" w:val="right" w:leader="none"/>
        </w:tabs>
        <w:spacing w:before="289"/>
        <w:ind w:left="2638"/>
      </w:pPr>
      <w:r>
        <w:rPr/>
        <w:t>OSC</w:t>
      </w:r>
      <w:r>
        <w:rPr>
          <w:spacing w:val="-2"/>
        </w:rPr>
        <w:t> </w:t>
      </w:r>
      <w:r>
        <w:rPr/>
        <w:t>= 1.49 +</w:t>
      </w:r>
      <w:r>
        <w:rPr>
          <w:spacing w:val="-1"/>
        </w:rPr>
        <w:t> </w:t>
      </w:r>
      <w:r>
        <w:rPr/>
        <w:t>0.00517T</w:t>
      </w:r>
      <w:r>
        <w:rPr>
          <w:spacing w:val="-1"/>
        </w:rPr>
        <w:t> </w:t>
      </w:r>
      <w:r>
        <w:rPr/>
        <w:t>RCC</w:t>
        <w:tab/>
        <w:t>3.11</w:t>
      </w:r>
    </w:p>
    <w:p>
      <w:pPr>
        <w:pStyle w:val="BodyText"/>
        <w:tabs>
          <w:tab w:pos="10306" w:val="right" w:leader="none"/>
        </w:tabs>
        <w:spacing w:before="288"/>
        <w:ind w:left="2638"/>
      </w:pPr>
      <w:r>
        <w:rPr/>
        <w:t>OSC</w:t>
      </w:r>
      <w:r>
        <w:rPr>
          <w:spacing w:val="-2"/>
        </w:rPr>
        <w:t> </w:t>
      </w:r>
      <w:r>
        <w:rPr/>
        <w:t>= 1.43 +</w:t>
      </w:r>
      <w:r>
        <w:rPr>
          <w:spacing w:val="-1"/>
        </w:rPr>
        <w:t> </w:t>
      </w:r>
      <w:r>
        <w:rPr/>
        <w:t>0.0101T</w:t>
      </w:r>
      <w:r>
        <w:rPr>
          <w:spacing w:val="-1"/>
        </w:rPr>
        <w:t> </w:t>
      </w:r>
      <w:r>
        <w:rPr/>
        <w:t>ACC</w:t>
        <w:tab/>
        <w:t>3.12</w:t>
      </w:r>
    </w:p>
    <w:p>
      <w:pPr>
        <w:pStyle w:val="BodyText"/>
        <w:spacing w:line="480" w:lineRule="auto" w:before="292"/>
        <w:ind w:left="1198" w:right="578"/>
        <w:jc w:val="both"/>
      </w:pPr>
      <w:r>
        <w:rPr/>
        <w:t>OSC represents oil sorption capacity, T means time, while RCC stands for raw corn cob and</w:t>
      </w:r>
      <w:r>
        <w:rPr>
          <w:spacing w:val="-72"/>
        </w:rPr>
        <w:t> </w:t>
      </w:r>
      <w:r>
        <w:rPr/>
        <w:t>ACC stands for acetylated corn cob. Equation 3.11 and 3.12 showed that for every increase</w:t>
      </w:r>
      <w:r>
        <w:rPr>
          <w:spacing w:val="-72"/>
        </w:rPr>
        <w:t> </w:t>
      </w:r>
      <w:r>
        <w:rPr/>
        <w:t>in time by 1 sec, oil sorption capacity for raw corn cob increased by 0.5% while, the</w:t>
      </w:r>
      <w:r>
        <w:rPr>
          <w:spacing w:val="1"/>
        </w:rPr>
        <w:t> </w:t>
      </w:r>
      <w:r>
        <w:rPr/>
        <w:t>sorption capacity for acetylated corn cob increased by 1.0%. These findings, indicates that</w:t>
      </w:r>
      <w:r>
        <w:rPr>
          <w:spacing w:val="1"/>
        </w:rPr>
        <w:t> </w:t>
      </w:r>
      <w:r>
        <w:rPr/>
        <w:t>oil sorption capacity is affected by time, and that acetylation would cause a 50% rise on oil</w:t>
      </w:r>
      <w:r>
        <w:rPr>
          <w:spacing w:val="-72"/>
        </w:rPr>
        <w:t> </w:t>
      </w:r>
      <w:r>
        <w:rPr/>
        <w:t>sorption</w:t>
      </w:r>
      <w:r>
        <w:rPr>
          <w:spacing w:val="-2"/>
        </w:rPr>
        <w:t> </w:t>
      </w:r>
      <w:r>
        <w:rPr/>
        <w:t>capacity of</w:t>
      </w:r>
      <w:r>
        <w:rPr>
          <w:spacing w:val="-2"/>
        </w:rPr>
        <w:t> </w:t>
      </w:r>
      <w:r>
        <w:rPr/>
        <w:t>corn</w:t>
      </w:r>
      <w:r>
        <w:rPr>
          <w:spacing w:val="-1"/>
        </w:rPr>
        <w:t> </w:t>
      </w:r>
      <w:r>
        <w:rPr/>
        <w:t>cob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every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 oil</w:t>
      </w:r>
      <w:r>
        <w:rPr>
          <w:spacing w:val="-1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time.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tabs>
          <w:tab w:pos="2637" w:val="left" w:leader="none"/>
        </w:tabs>
        <w:spacing w:before="216"/>
        <w:ind w:left="1272"/>
        <w:jc w:val="both"/>
      </w:pPr>
      <w:r>
        <w:rPr/>
        <w:t>3.7.2</w:t>
        <w:tab/>
        <w:t>Kinetics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Crude</w:t>
      </w:r>
      <w:r>
        <w:rPr>
          <w:spacing w:val="-3"/>
        </w:rPr>
        <w:t> </w:t>
      </w:r>
      <w:r>
        <w:rPr/>
        <w:t>Oil</w:t>
      </w:r>
      <w:r>
        <w:rPr>
          <w:spacing w:val="-1"/>
        </w:rPr>
        <w:t> </w:t>
      </w:r>
      <w:r>
        <w:rPr/>
        <w:t>Sorption</w:t>
      </w:r>
      <w:r>
        <w:rPr>
          <w:spacing w:val="-2"/>
        </w:rPr>
        <w:t> </w:t>
      </w:r>
      <w:r>
        <w:rPr/>
        <w:t>onto</w:t>
      </w:r>
      <w:r>
        <w:rPr>
          <w:spacing w:val="-2"/>
        </w:rPr>
        <w:t> </w:t>
      </w:r>
      <w:r>
        <w:rPr/>
        <w:t>Corn</w:t>
      </w:r>
      <w:r>
        <w:rPr>
          <w:spacing w:val="-2"/>
        </w:rPr>
        <w:t> </w:t>
      </w:r>
      <w:r>
        <w:rPr/>
        <w:t>Cob</w:t>
      </w:r>
    </w:p>
    <w:p>
      <w:pPr>
        <w:pStyle w:val="BodyText"/>
        <w:spacing w:line="477" w:lineRule="auto" w:before="289"/>
        <w:ind w:left="1198" w:right="575"/>
        <w:jc w:val="both"/>
      </w:pPr>
      <w:r>
        <w:rPr/>
        <w:t>The</w:t>
      </w:r>
      <w:r>
        <w:rPr>
          <w:spacing w:val="28"/>
        </w:rPr>
        <w:t> </w:t>
      </w:r>
      <w:r>
        <w:rPr/>
        <w:t>kinetics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sorption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crude</w:t>
      </w:r>
      <w:r>
        <w:rPr>
          <w:spacing w:val="28"/>
        </w:rPr>
        <w:t> </w:t>
      </w:r>
      <w:r>
        <w:rPr/>
        <w:t>oil</w:t>
      </w:r>
      <w:r>
        <w:rPr>
          <w:spacing w:val="28"/>
        </w:rPr>
        <w:t> </w:t>
      </w:r>
      <w:r>
        <w:rPr/>
        <w:t>unto</w:t>
      </w:r>
      <w:r>
        <w:rPr>
          <w:spacing w:val="27"/>
        </w:rPr>
        <w:t> </w:t>
      </w:r>
      <w:r>
        <w:rPr/>
        <w:t>corn</w:t>
      </w:r>
      <w:r>
        <w:rPr>
          <w:spacing w:val="28"/>
        </w:rPr>
        <w:t> </w:t>
      </w:r>
      <w:r>
        <w:rPr/>
        <w:t>cob</w:t>
      </w:r>
      <w:r>
        <w:rPr>
          <w:spacing w:val="27"/>
        </w:rPr>
        <w:t> </w:t>
      </w:r>
      <w:r>
        <w:rPr/>
        <w:t>was</w:t>
      </w:r>
      <w:r>
        <w:rPr>
          <w:spacing w:val="29"/>
        </w:rPr>
        <w:t> </w:t>
      </w:r>
      <w:r>
        <w:rPr/>
        <w:t>studied</w:t>
      </w:r>
      <w:r>
        <w:rPr>
          <w:spacing w:val="27"/>
        </w:rPr>
        <w:t> </w:t>
      </w:r>
      <w:r>
        <w:rPr/>
        <w:t>using</w:t>
      </w:r>
      <w:r>
        <w:rPr>
          <w:spacing w:val="28"/>
        </w:rPr>
        <w:t> </w:t>
      </w:r>
      <w:r>
        <w:rPr/>
        <w:t>by</w:t>
      </w:r>
      <w:r>
        <w:rPr>
          <w:spacing w:val="28"/>
        </w:rPr>
        <w:t> </w:t>
      </w:r>
      <w:r>
        <w:rPr/>
        <w:t>fitting</w:t>
      </w:r>
      <w:r>
        <w:rPr>
          <w:spacing w:val="28"/>
        </w:rPr>
        <w:t> </w:t>
      </w:r>
      <w:r>
        <w:rPr/>
        <w:t>obtained</w:t>
      </w:r>
      <w:r>
        <w:rPr>
          <w:spacing w:val="-72"/>
        </w:rPr>
        <w:t> </w:t>
      </w:r>
      <w:r>
        <w:rPr/>
        <w:t>data in rate curves- derived pseudo first-order model, lagergren pseudo first-order model,</w:t>
      </w:r>
      <w:r>
        <w:rPr>
          <w:spacing w:val="1"/>
        </w:rPr>
        <w:t> </w:t>
      </w:r>
      <w:r>
        <w:rPr/>
        <w:t>second order model (Hill </w:t>
      </w:r>
      <w:r>
        <w:rPr>
          <w:sz w:val="25"/>
        </w:rPr>
        <w:t>et al.</w:t>
      </w:r>
      <w:r>
        <w:rPr/>
        <w:t>, 1998) and pseudo second order (Ho, 1995), intra-particle</w:t>
      </w:r>
      <w:r>
        <w:rPr>
          <w:spacing w:val="1"/>
        </w:rPr>
        <w:t> </w:t>
      </w:r>
      <w:r>
        <w:rPr/>
        <w:t>diffusion mechanism and liquid film diffusion. The linear plots of this kinetics and how to</w:t>
      </w:r>
      <w:r>
        <w:rPr>
          <w:spacing w:val="1"/>
        </w:rPr>
        <w:t> </w:t>
      </w:r>
      <w:r>
        <w:rPr/>
        <w:t>obtain rate constants are presented in Table 2.1. The predicted kinetics from the linear</w:t>
      </w:r>
      <w:r>
        <w:rPr>
          <w:spacing w:val="1"/>
        </w:rPr>
        <w:t> </w:t>
      </w:r>
      <w:r>
        <w:rPr/>
        <w:t>plots of derived pseudo first-order, lagergren first order, second order model, pseudo</w:t>
      </w:r>
      <w:r>
        <w:rPr>
          <w:spacing w:val="1"/>
        </w:rPr>
        <w:t> </w:t>
      </w:r>
      <w:r>
        <w:rPr/>
        <w:t>second-order, intra-particle diffusion model and liquid film diffusion model are presented in</w:t>
      </w:r>
      <w:r>
        <w:rPr>
          <w:spacing w:val="-72"/>
        </w:rPr>
        <w:t> </w:t>
      </w:r>
      <w:r>
        <w:rPr/>
        <w:t>Figures 3.30 - 3.35 respectively. The calculated kinetics derived from the constants are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Table 3.18.</w:t>
      </w:r>
    </w:p>
    <w:p>
      <w:pPr>
        <w:spacing w:after="0" w:line="477" w:lineRule="auto"/>
        <w:jc w:val="both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tbl>
      <w:tblPr>
        <w:tblW w:w="0" w:type="auto"/>
        <w:jc w:val="left"/>
        <w:tblInd w:w="40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"/>
        <w:gridCol w:w="1284"/>
        <w:gridCol w:w="977"/>
        <w:gridCol w:w="791"/>
      </w:tblGrid>
      <w:tr>
        <w:trPr>
          <w:trHeight w:val="399" w:hRule="atLeast"/>
        </w:trPr>
        <w:tc>
          <w:tcPr>
            <w:tcW w:w="95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spacing w:line="225" w:lineRule="exact"/>
              <w:ind w:left="0" w:right="23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977" w:type="dxa"/>
          </w:tcPr>
          <w:p>
            <w:pPr>
              <w:pStyle w:val="TableParagraph"/>
              <w:spacing w:line="225" w:lineRule="exact"/>
              <w:ind w:left="0" w:right="23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</w:t>
            </w:r>
          </w:p>
        </w:tc>
        <w:tc>
          <w:tcPr>
            <w:tcW w:w="791" w:type="dxa"/>
          </w:tcPr>
          <w:p>
            <w:pPr>
              <w:pStyle w:val="TableParagraph"/>
              <w:spacing w:line="225" w:lineRule="exact"/>
              <w:ind w:left="0" w:right="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90</w:t>
            </w:r>
          </w:p>
        </w:tc>
      </w:tr>
      <w:tr>
        <w:trPr>
          <w:trHeight w:val="579" w:hRule="atLeast"/>
        </w:trPr>
        <w:tc>
          <w:tcPr>
            <w:tcW w:w="956" w:type="dxa"/>
          </w:tcPr>
          <w:p>
            <w:pPr>
              <w:pStyle w:val="TableParagraph"/>
              <w:spacing w:line="240" w:lineRule="auto" w:before="135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ACC</w:t>
            </w:r>
          </w:p>
        </w:tc>
        <w:tc>
          <w:tcPr>
            <w:tcW w:w="1284" w:type="dxa"/>
          </w:tcPr>
          <w:p>
            <w:pPr>
              <w:pStyle w:val="TableParagraph"/>
              <w:spacing w:line="240" w:lineRule="auto" w:before="135"/>
              <w:ind w:left="0" w:right="23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6.824</w:t>
            </w:r>
          </w:p>
        </w:tc>
        <w:tc>
          <w:tcPr>
            <w:tcW w:w="977" w:type="dxa"/>
          </w:tcPr>
          <w:p>
            <w:pPr>
              <w:pStyle w:val="TableParagraph"/>
              <w:spacing w:line="240" w:lineRule="auto" w:before="135"/>
              <w:ind w:left="0" w:right="23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5.704</w:t>
            </w:r>
          </w:p>
        </w:tc>
        <w:tc>
          <w:tcPr>
            <w:tcW w:w="791" w:type="dxa"/>
          </w:tcPr>
          <w:p>
            <w:pPr>
              <w:pStyle w:val="TableParagraph"/>
              <w:spacing w:line="240" w:lineRule="auto" w:before="135"/>
              <w:ind w:left="0" w:right="4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3.689</w:t>
            </w:r>
          </w:p>
        </w:tc>
      </w:tr>
      <w:tr>
        <w:trPr>
          <w:trHeight w:val="400" w:hRule="atLeast"/>
        </w:trPr>
        <w:tc>
          <w:tcPr>
            <w:tcW w:w="956" w:type="dxa"/>
          </w:tcPr>
          <w:p>
            <w:pPr>
              <w:pStyle w:val="TableParagraph"/>
              <w:spacing w:line="245" w:lineRule="exact" w:before="136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RCC</w:t>
            </w:r>
          </w:p>
        </w:tc>
        <w:tc>
          <w:tcPr>
            <w:tcW w:w="1284" w:type="dxa"/>
          </w:tcPr>
          <w:p>
            <w:pPr>
              <w:pStyle w:val="TableParagraph"/>
              <w:spacing w:line="245" w:lineRule="exact" w:before="136"/>
              <w:ind w:left="0" w:right="23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6.153</w:t>
            </w:r>
          </w:p>
        </w:tc>
        <w:tc>
          <w:tcPr>
            <w:tcW w:w="977" w:type="dxa"/>
          </w:tcPr>
          <w:p>
            <w:pPr>
              <w:pStyle w:val="TableParagraph"/>
              <w:spacing w:line="245" w:lineRule="exact" w:before="136"/>
              <w:ind w:left="0" w:right="23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5.522</w:t>
            </w:r>
          </w:p>
        </w:tc>
        <w:tc>
          <w:tcPr>
            <w:tcW w:w="791" w:type="dxa"/>
          </w:tcPr>
          <w:p>
            <w:pPr>
              <w:pStyle w:val="TableParagraph"/>
              <w:spacing w:line="245" w:lineRule="exact" w:before="136"/>
              <w:ind w:left="0" w:right="4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4.701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40"/>
        <w:ind w:left="1198"/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1179194</wp:posOffset>
            </wp:positionH>
            <wp:positionV relativeFrom="paragraph">
              <wp:posOffset>-5122978</wp:posOffset>
            </wp:positionV>
            <wp:extent cx="5481955" cy="5290820"/>
            <wp:effectExtent l="0" t="0" r="0" b="0"/>
            <wp:wrapNone/>
            <wp:docPr id="5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529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2"/>
        </w:rPr>
        <w:t> </w:t>
      </w:r>
      <w:r>
        <w:rPr/>
        <w:t>3.30:lagergren</w:t>
      </w:r>
      <w:r>
        <w:rPr>
          <w:spacing w:val="-2"/>
        </w:rPr>
        <w:t> </w:t>
      </w:r>
      <w:r>
        <w:rPr/>
        <w:t>pseudo-first</w:t>
      </w:r>
      <w:r>
        <w:rPr>
          <w:spacing w:val="-3"/>
        </w:rPr>
        <w:t> </w:t>
      </w:r>
      <w:r>
        <w:rPr/>
        <w:t>order</w:t>
      </w:r>
      <w:r>
        <w:rPr>
          <w:spacing w:val="-3"/>
        </w:rPr>
        <w:t> </w:t>
      </w:r>
      <w:r>
        <w:rPr/>
        <w:t>kinetic</w:t>
      </w:r>
      <w:r>
        <w:rPr>
          <w:spacing w:val="-3"/>
        </w:rPr>
        <w:t> </w:t>
      </w:r>
      <w:r>
        <w:rPr/>
        <w:t>model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sorption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oil</w:t>
      </w:r>
      <w:r>
        <w:rPr>
          <w:spacing w:val="-3"/>
        </w:rPr>
        <w:t> </w:t>
      </w:r>
      <w:r>
        <w:rPr/>
        <w:t>onto</w:t>
      </w:r>
      <w:r>
        <w:rPr>
          <w:spacing w:val="-1"/>
        </w:rPr>
        <w:t> </w:t>
      </w:r>
      <w:r>
        <w:rPr/>
        <w:t>corn</w:t>
      </w:r>
      <w:r>
        <w:rPr>
          <w:spacing w:val="-3"/>
        </w:rPr>
        <w:t> </w:t>
      </w:r>
      <w:r>
        <w:rPr/>
        <w:t>cob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3.089996pt;margin-top:361.934326pt;width:12pt;height:16.55pt;mso-position-horizontal-relative:page;mso-position-vertical-relative:page;z-index:1578342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  <w:t>lnϴ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0" w:lineRule="auto" w:before="100"/>
        <w:ind w:left="1198" w:right="575"/>
      </w:pPr>
      <w:r>
        <w:rPr/>
        <w:pict>
          <v:group style="position:absolute;margin-left:99.175003pt;margin-top:-405.769135pt;width:440.15pt;height:403.8pt;mso-position-horizontal-relative:page;mso-position-vertical-relative:paragraph;z-index:15782912" coordorigin="1984,-8115" coordsize="8803,8076">
            <v:shape style="position:absolute;left:2918;top:-7885;width:5772;height:6977" coordorigin="2918,-7884" coordsize="5772,6977" path="m2983,-972l2983,-7884m2918,-972l2983,-972m2918,-1959l2983,-1959m2918,-2947l2983,-2947m2918,-3934l2983,-3934m2918,-4923l2983,-4923m2918,-5909l2983,-5909m2918,-6898l2983,-6898m2918,-7884l2983,-7884m2983,-972l8690,-972m2983,-972l2983,-907m3797,-972l3797,-907m4613,-972l4613,-907m5429,-972l5429,-907m6245,-972l6245,-907m7058,-972l7058,-907m7874,-972l7874,-907m8690,-972l8690,-907e" filled="false" stroked="true" strokeweight=".72pt" strokecolor="#858585">
              <v:path arrowok="t"/>
              <v:stroke dashstyle="solid"/>
            </v:shape>
            <v:shape style="position:absolute;left:4129;top:-1692;width:155;height:155" type="#_x0000_t75" stroked="false">
              <v:imagedata r:id="rId33" o:title=""/>
            </v:shape>
            <v:shape style="position:absolute;left:5352;top:-4961;width:155;height:155" type="#_x0000_t75" stroked="false">
              <v:imagedata r:id="rId33" o:title=""/>
            </v:shape>
            <v:shape style="position:absolute;left:6575;top:-6067;width:155;height:155" type="#_x0000_t75" stroked="false">
              <v:imagedata r:id="rId27" o:title=""/>
            </v:shape>
            <v:shape style="position:absolute;left:7798;top:-6225;width:155;height:155" type="#_x0000_t75" stroked="false">
              <v:imagedata r:id="rId27" o:title=""/>
            </v:shape>
            <v:rect style="position:absolute;left:4137;top:-1872;width:140;height:140" filled="true" fillcolor="#c0504d" stroked="false">
              <v:fill type="solid"/>
            </v:rect>
            <v:rect style="position:absolute;left:4137;top:-1872;width:140;height:140" filled="false" stroked="true" strokeweight=".75pt" strokecolor="#bd4a47">
              <v:stroke dashstyle="solid"/>
            </v:rect>
            <v:rect style="position:absolute;left:5360;top:-3136;width:140;height:140" filled="true" fillcolor="#c0504d" stroked="false">
              <v:fill type="solid"/>
            </v:rect>
            <v:rect style="position:absolute;left:5360;top:-3136;width:140;height:140" filled="false" stroked="true" strokeweight=".75pt" strokecolor="#bd4a47">
              <v:stroke dashstyle="solid"/>
            </v:rect>
            <v:rect style="position:absolute;left:6583;top:-3867;width:140;height:140" filled="true" fillcolor="#c0504d" stroked="false">
              <v:fill type="solid"/>
            </v:rect>
            <v:rect style="position:absolute;left:6583;top:-3867;width:140;height:140" filled="false" stroked="true" strokeweight=".75pt" strokecolor="#bd4a47">
              <v:stroke dashstyle="solid"/>
            </v:rect>
            <v:rect style="position:absolute;left:7806;top:-4401;width:140;height:140" filled="true" fillcolor="#c0504d" stroked="false">
              <v:fill type="solid"/>
            </v:rect>
            <v:rect style="position:absolute;left:7806;top:-4401;width:140;height:140" filled="false" stroked="true" strokeweight=".75pt" strokecolor="#bd4a47">
              <v:stroke dashstyle="solid"/>
            </v:rect>
            <v:shape style="position:absolute;left:4204;top:-6865;width:3670;height:4863" coordorigin="4205,-6864" coordsize="3670,4863" path="m4205,-2453l7874,-6864m4205,-2453l7874,-6864m4205,-2002l7874,-4495m4205,-2002l7874,-4495e" filled="false" stroked="true" strokeweight=".72pt" strokecolor="#000000">
              <v:path arrowok="t"/>
              <v:stroke dashstyle="solid"/>
            </v:shape>
            <v:shape style="position:absolute;left:9280;top:-4688;width:135;height:135" type="#_x0000_t75" stroked="false">
              <v:imagedata r:id="rId69" o:title=""/>
            </v:shape>
            <v:rect style="position:absolute;left:9288;top:-4318;width:120;height:120" filled="true" fillcolor="#c0504d" stroked="false">
              <v:fill type="solid"/>
            </v:rect>
            <v:rect style="position:absolute;left:9288;top:-4318;width:120;height:120" filled="false" stroked="true" strokeweight=".72pt" strokecolor="#bd4a47">
              <v:stroke dashstyle="solid"/>
            </v:rect>
            <v:shape style="position:absolute;left:9156;top:-3896;width:384;height:360" coordorigin="9156,-3895" coordsize="384,360" path="m9156,-3895l9540,-3895m9156,-3535l9540,-3535e" filled="false" stroked="true" strokeweight=".72pt" strokecolor="#000000">
              <v:path arrowok="t"/>
              <v:stroke dashstyle="solid"/>
            </v:shape>
            <v:rect style="position:absolute;left:1991;top:-8108;width:8788;height:8061" filled="false" stroked="true" strokeweight=".75pt" strokecolor="#858585">
              <v:stroke dashstyle="solid"/>
            </v:rect>
            <v:shape style="position:absolute;left:2698;top:-797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254;top:-7696;width:148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0.005x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7.301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0.8126</w:t>
                    </w:r>
                  </w:p>
                </w:txbxContent>
              </v:textbox>
              <w10:wrap type="none"/>
            </v:shape>
            <v:shape style="position:absolute;left:2545;top:-699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7.9</w:t>
                    </w:r>
                  </w:p>
                </w:txbxContent>
              </v:textbox>
              <w10:wrap type="none"/>
            </v:shape>
            <v:shape style="position:absolute;left:2545;top:-6003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7.8</w:t>
                    </w:r>
                  </w:p>
                </w:txbxContent>
              </v:textbox>
              <w10:wrap type="none"/>
            </v:shape>
            <v:shape style="position:absolute;left:9254;top:-6199;width:148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0.0028x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7.32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0.9613</w:t>
                    </w:r>
                  </w:p>
                </w:txbxContent>
              </v:textbox>
              <w10:wrap type="none"/>
            </v:shape>
            <v:shape style="position:absolute;left:2545;top:-501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7.7</w:t>
                    </w:r>
                  </w:p>
                </w:txbxContent>
              </v:textbox>
              <w10:wrap type="none"/>
            </v:shape>
            <v:shape style="position:absolute;left:2545;top:-402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7.6</w:t>
                    </w:r>
                  </w:p>
                </w:txbxContent>
              </v:textbox>
              <w10:wrap type="none"/>
            </v:shape>
            <v:shape style="position:absolute;left:9583;top:-4712;width:1010;height:128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ACC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RCC</w:t>
                    </w:r>
                  </w:p>
                  <w:p>
                    <w:pPr>
                      <w:spacing w:line="362" w:lineRule="exact" w:before="0"/>
                      <w:ind w:left="0" w:right="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Linear </w:t>
                    </w:r>
                    <w:r>
                      <w:rPr>
                        <w:rFonts w:ascii="Calibri"/>
                        <w:sz w:val="20"/>
                      </w:rPr>
                      <w:t>(ACC)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(RCC)</w:t>
                    </w:r>
                  </w:p>
                </w:txbxContent>
              </v:textbox>
              <w10:wrap type="none"/>
            </v:shape>
            <v:shape style="position:absolute;left:2545;top:-303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7.5</w:t>
                    </w:r>
                  </w:p>
                </w:txbxContent>
              </v:textbox>
              <w10:wrap type="none"/>
            </v:shape>
            <v:shape style="position:absolute;left:2545;top:-205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7.4</w:t>
                    </w:r>
                  </w:p>
                </w:txbxContent>
              </v:textbox>
              <w10:wrap type="none"/>
            </v:shape>
            <v:shape style="position:absolute;left:2545;top:-106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2934;top:-80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99;top:-80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515;top:-80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5330;top:-80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6146;top:-80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6911;top:-803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7727;top:-803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8542;top:-803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5431;top:-500;width:83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(sec)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 3.31. Derived Pseudo-first order kinetic model for the sorption of crude oil onto corn</w:t>
      </w:r>
      <w:r>
        <w:rPr>
          <w:spacing w:val="-72"/>
        </w:rPr>
        <w:t> </w:t>
      </w:r>
      <w:r>
        <w:rPr/>
        <w:t>cob</w:t>
      </w:r>
    </w:p>
    <w:p>
      <w:pPr>
        <w:spacing w:after="0" w:line="480" w:lineRule="auto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5.669998pt;margin-top:229.771896pt;width:12pt;height:33.1pt;mso-position-horizontal-relative:page;mso-position-vertical-relative:page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  <w:t>1/ϴ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  <w:t>E-4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100"/>
        <w:ind w:left="1198"/>
      </w:pPr>
      <w:r>
        <w:rPr/>
        <w:pict>
          <v:group style="position:absolute;margin-left:91.775002pt;margin-top:-391.62912pt;width:440.8pt;height:389pt;mso-position-horizontal-relative:page;mso-position-vertical-relative:paragraph;z-index:15783936" coordorigin="1836,-7833" coordsize="8816,7780">
            <v:shape style="position:absolute;left:2620;top:-7603;width:5936;height:6680" coordorigin="2621,-7603" coordsize="5936,6680" path="m2683,-986l2683,-7603m2621,-986l2683,-986m2621,-1932l2683,-1932m2621,-2877l2683,-2877m2621,-3823l2683,-3823m2621,-4768l2683,-4768m2621,-5714l2683,-5714m2621,-6660l2683,-6660m2621,-7603l2683,-7603m2683,-986l8556,-986m2683,-986l2683,-924m3523,-986l3523,-924m4363,-986l4363,-924m5201,-986l5201,-924m6041,-986l6041,-924m6878,-986l6878,-924m7718,-986l7718,-924m8556,-986l8556,-924e" filled="false" stroked="true" strokeweight=".72pt" strokecolor="#858585">
              <v:path arrowok="t"/>
              <v:stroke dashstyle="solid"/>
            </v:shape>
            <v:shape style="position:absolute;left:3872;top:-7040;width:140;height:140" coordorigin="3872,-7040" coordsize="140,140" path="m3942,-7040l3872,-6970,3942,-6900,4012,-6970,3942,-7040xe" filled="true" fillcolor="#4f81bc" stroked="false">
              <v:path arrowok="t"/>
              <v:fill type="solid"/>
            </v:shape>
            <v:shape style="position:absolute;left:3872;top:-7040;width:140;height:140" coordorigin="3872,-7040" coordsize="140,140" path="m3942,-6900l3872,-6970,3942,-7040,4012,-6970,3942,-6900xe" filled="false" stroked="true" strokeweight=".75pt" strokecolor="#497dba">
              <v:path arrowok="t"/>
              <v:stroke dashstyle="solid"/>
            </v:shape>
            <v:shape style="position:absolute;left:5123;top:-5365;width:155;height:155" type="#_x0000_t75" stroked="false">
              <v:imagedata r:id="rId34" o:title=""/>
            </v:shape>
            <v:shape style="position:absolute;left:6381;top:-4901;width:155;height:155" type="#_x0000_t75" stroked="false">
              <v:imagedata r:id="rId26" o:title=""/>
            </v:shape>
            <v:shape style="position:absolute;left:7640;top:-4845;width:155;height:155" type="#_x0000_t75" stroked="false">
              <v:imagedata r:id="rId33" o:title=""/>
            </v:shape>
            <v:rect style="position:absolute;left:3872;top:-6917;width:140;height:140" filled="true" fillcolor="#c0504d" stroked="false">
              <v:fill type="solid"/>
            </v:rect>
            <v:rect style="position:absolute;left:3872;top:-6917;width:140;height:140" filled="false" stroked="true" strokeweight=".75pt" strokecolor="#bd4a47">
              <v:stroke dashstyle="solid"/>
            </v:rect>
            <v:rect style="position:absolute;left:5130;top:-5783;width:140;height:140" filled="true" fillcolor="#c0504d" stroked="false">
              <v:fill type="solid"/>
            </v:rect>
            <v:rect style="position:absolute;left:5130;top:-5783;width:140;height:140" filled="false" stroked="true" strokeweight=".75pt" strokecolor="#bd4a47">
              <v:stroke dashstyle="solid"/>
            </v:rect>
            <v:rect style="position:absolute;left:6389;top:-5877;width:140;height:140" filled="true" fillcolor="#c0504d" stroked="false">
              <v:fill type="solid"/>
            </v:rect>
            <v:rect style="position:absolute;left:6389;top:-5877;width:140;height:140" filled="false" stroked="true" strokeweight=".75pt" strokecolor="#bd4a47">
              <v:stroke dashstyle="solid"/>
            </v:rect>
            <v:rect style="position:absolute;left:7647;top:-5594;width:140;height:140" filled="true" fillcolor="#c0504d" stroked="false">
              <v:fill type="solid"/>
            </v:rect>
            <v:rect style="position:absolute;left:7647;top:-5594;width:140;height:140" filled="false" stroked="true" strokeweight=".75pt" strokecolor="#bd4a47">
              <v:stroke dashstyle="solid"/>
            </v:rect>
            <v:shape style="position:absolute;left:3943;top:-6555;width:3776;height:2153" coordorigin="3943,-6554" coordsize="3776,2153" path="m3943,-6523l7718,-4401m3943,-6523l7718,-4401m3943,-6554l7718,-5392m3943,-6554l7718,-5392e" filled="false" stroked="true" strokeweight=".72pt" strokecolor="#000000">
              <v:path arrowok="t"/>
              <v:stroke dashstyle="solid"/>
            </v:shape>
            <v:shape style="position:absolute;left:9146;top:-4553;width:135;height:135" type="#_x0000_t75" stroked="false">
              <v:imagedata r:id="rId70" o:title=""/>
            </v:shape>
            <v:rect style="position:absolute;left:9153;top:-4186;width:120;height:120" filled="true" fillcolor="#c0504d" stroked="false">
              <v:fill type="solid"/>
            </v:rect>
            <v:rect style="position:absolute;left:9153;top:-4186;width:120;height:120" filled="false" stroked="true" strokeweight=".72pt" strokecolor="#bd4a47">
              <v:stroke dashstyle="solid"/>
            </v:rect>
            <v:shape style="position:absolute;left:9021;top:-3763;width:384;height:363" coordorigin="9022,-3763" coordsize="384,363" path="m9022,-3763l9406,-3763m9022,-3400l9406,-3400e" filled="false" stroked="true" strokeweight=".72pt" strokecolor="#000000">
              <v:path arrowok="t"/>
              <v:stroke dashstyle="solid"/>
            </v:shape>
            <v:rect style="position:absolute;left:1843;top:-7826;width:8801;height:7765" filled="false" stroked="true" strokeweight=".75pt" strokecolor="#858585">
              <v:stroke dashstyle="solid"/>
            </v:rect>
            <v:shape style="position:absolute;left:2396;top:-769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396;top:-675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955;top:-7127;width:1648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-0.0249x +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6.605</w:t>
                    </w:r>
                  </w:p>
                  <w:p>
                    <w:pPr>
                      <w:spacing w:line="240" w:lineRule="exact" w:before="1"/>
                      <w:ind w:left="0" w:right="17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0.7827</w:t>
                    </w:r>
                  </w:p>
                </w:txbxContent>
              </v:textbox>
              <w10:wrap type="none"/>
            </v:shape>
            <v:shape style="position:absolute;left:9157;top:-6186;width:144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-0.0137x</w:t>
                    </w:r>
                    <w:r>
                      <w:rPr>
                        <w:rFonts w:ascii="Calibri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6.3</w:t>
                    </w:r>
                  </w:p>
                </w:txbxContent>
              </v:textbox>
              <w10:wrap type="none"/>
            </v:shape>
            <v:shape style="position:absolute;left:2396;top:-580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412;top:-5940;width:93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0.7078</w:t>
                    </w:r>
                  </w:p>
                </w:txbxContent>
              </v:textbox>
              <w10:wrap type="none"/>
            </v:shape>
            <v:shape style="position:absolute;left:2396;top:-485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396;top:-391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447;top:-4578;width:1010;height:128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ACC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RCC</w:t>
                    </w:r>
                  </w:p>
                  <w:p>
                    <w:pPr>
                      <w:spacing w:line="360" w:lineRule="atLeast" w:before="0"/>
                      <w:ind w:left="0" w:right="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Linear </w:t>
                    </w:r>
                    <w:r>
                      <w:rPr>
                        <w:rFonts w:ascii="Calibri"/>
                        <w:sz w:val="20"/>
                      </w:rPr>
                      <w:t>(ACC)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(ACC)</w:t>
                    </w:r>
                  </w:p>
                </w:txbxContent>
              </v:textbox>
              <w10:wrap type="none"/>
            </v:shape>
            <v:shape style="position:absolute;left:2396;top:-296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396;top:-202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396;top:-107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32;top:-81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21;top:-81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260;top:-81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5099;top:-81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938;top:-81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6727;top:-817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7566;top:-817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8405;top:-817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5214;top:-513;width:83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(sec)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1"/>
        </w:rPr>
        <w:t> </w:t>
      </w:r>
      <w:r>
        <w:rPr/>
        <w:t>3.32:</w:t>
      </w:r>
      <w:r>
        <w:rPr>
          <w:spacing w:val="-3"/>
        </w:rPr>
        <w:t> </w:t>
      </w:r>
      <w:r>
        <w:rPr/>
        <w:t>Hill</w:t>
      </w:r>
      <w:r>
        <w:rPr>
          <w:spacing w:val="-2"/>
        </w:rPr>
        <w:t> </w:t>
      </w:r>
      <w:r>
        <w:rPr/>
        <w:t>second</w:t>
      </w:r>
      <w:r>
        <w:rPr>
          <w:spacing w:val="-4"/>
        </w:rPr>
        <w:t> </w:t>
      </w:r>
      <w:r>
        <w:rPr/>
        <w:t>order</w:t>
      </w:r>
      <w:r>
        <w:rPr>
          <w:spacing w:val="-3"/>
        </w:rPr>
        <w:t> </w:t>
      </w:r>
      <w:r>
        <w:rPr/>
        <w:t>kinetic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oil</w:t>
      </w:r>
    </w:p>
    <w:p>
      <w:pPr>
        <w:spacing w:after="0"/>
        <w:sectPr>
          <w:pgSz w:w="11910" w:h="16840"/>
          <w:pgMar w:header="0" w:footer="987" w:top="1360" w:bottom="1260" w:left="42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2.440002pt;margin-top:290.18988pt;width:12pt;height:18.650pt;mso-position-horizontal-relative:page;mso-position-vertical-relative:page;z-index:157854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t/qt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198"/>
        <w:rPr>
          <w:rFonts w:ascii="Times New Roman"/>
        </w:rPr>
      </w:pPr>
      <w:r>
        <w:rPr/>
        <w:pict>
          <v:group style="position:absolute;margin-left:98.525002pt;margin-top:-428.971893pt;width:434.05pt;height:415.25pt;mso-position-horizontal-relative:page;mso-position-vertical-relative:paragraph;z-index:15784960" coordorigin="1971,-8579" coordsize="8681,8305">
            <v:shape style="position:absolute;left:3009;top:-8351;width:5547;height:7205" coordorigin="3010,-8350" coordsize="5547,7205" path="m3072,-1208l3072,-8350m3010,-1208l3072,-1208m3010,-2638l3072,-2638m3010,-4066l3072,-4066m3010,-5494l3072,-5494m3010,-6922l3072,-6922m3010,-8350l3072,-8350m3072,-1208l8556,-1208m3072,-1208l3072,-1145m3854,-1208l3854,-1145m4639,-1208l4639,-1145m5422,-1208l5422,-1145m6206,-1208l6206,-1145m6989,-1208l6989,-1145m7774,-1208l7774,-1145m8556,-1208l8556,-1145e" filled="false" stroked="true" strokeweight=".72pt" strokecolor="#858585">
              <v:path arrowok="t"/>
              <v:stroke dashstyle="solid"/>
            </v:shape>
            <v:shape style="position:absolute;left:3472;top:-1818;width:140;height:140" coordorigin="3472,-1817" coordsize="140,140" path="m3542,-1817l3472,-1747,3542,-1677,3612,-1747,3542,-1817xe" filled="true" fillcolor="#4f81bc" stroked="false">
              <v:path arrowok="t"/>
              <v:fill type="solid"/>
            </v:shape>
            <v:shape style="position:absolute;left:3472;top:-1818;width:140;height:140" coordorigin="3472,-1817" coordsize="140,140" path="m3542,-1677l3472,-1747,3542,-1817,3612,-1747,3542,-1677xe" filled="false" stroked="true" strokeweight=".75pt" strokecolor="#497dba">
              <v:path arrowok="t"/>
              <v:stroke dashstyle="solid"/>
            </v:shape>
            <v:shape style="position:absolute;left:3942;top:-2058;width:140;height:140" coordorigin="3942,-2057" coordsize="140,140" path="m4012,-2057l3942,-1987,4012,-1917,4082,-1987,4012,-2057xe" filled="true" fillcolor="#4f81bc" stroked="false">
              <v:path arrowok="t"/>
              <v:fill type="solid"/>
            </v:shape>
            <v:shape style="position:absolute;left:3942;top:-2058;width:140;height:140" coordorigin="3942,-2057" coordsize="140,140" path="m4012,-1917l3942,-1987,4012,-2057,4082,-1987,4012,-1917xe" filled="false" stroked="true" strokeweight=".75pt" strokecolor="#497dba">
              <v:path arrowok="t"/>
              <v:stroke dashstyle="solid"/>
            </v:shape>
            <v:shape style="position:absolute;left:4405;top:-2331;width:155;height:155" type="#_x0000_t75" stroked="false">
              <v:imagedata r:id="rId34" o:title=""/>
            </v:shape>
            <v:shape style="position:absolute;left:4875;top:-2657;width:155;height:155" type="#_x0000_t75" stroked="false">
              <v:imagedata r:id="rId26" o:title=""/>
            </v:shape>
            <v:shape style="position:absolute;left:7695;top:-7399;width:155;height:155" type="#_x0000_t75" stroked="false">
              <v:imagedata r:id="rId26" o:title=""/>
            </v:shape>
            <v:rect style="position:absolute;left:3472;top:-1809;width:140;height:140" filled="true" fillcolor="#c0504d" stroked="false">
              <v:fill type="solid"/>
            </v:rect>
            <v:rect style="position:absolute;left:3472;top:-1809;width:140;height:140" filled="false" stroked="true" strokeweight=".75pt" strokecolor="#bd4a47">
              <v:stroke dashstyle="solid"/>
            </v:rect>
            <v:rect style="position:absolute;left:3942;top:-2215;width:140;height:140" filled="true" fillcolor="#c0504d" stroked="false">
              <v:fill type="solid"/>
            </v:rect>
            <v:rect style="position:absolute;left:3942;top:-2215;width:140;height:140" filled="false" stroked="true" strokeweight=".75pt" strokecolor="#bd4a47">
              <v:stroke dashstyle="solid"/>
            </v:rect>
            <v:rect style="position:absolute;left:4412;top:-2583;width:140;height:140" filled="true" fillcolor="#c0504d" stroked="false">
              <v:fill type="solid"/>
            </v:rect>
            <v:rect style="position:absolute;left:4412;top:-2583;width:140;height:140" filled="false" stroked="true" strokeweight=".75pt" strokecolor="#bd4a47">
              <v:stroke dashstyle="solid"/>
            </v:rect>
            <v:rect style="position:absolute;left:4882;top:-2926;width:140;height:140" filled="true" fillcolor="#c0504d" stroked="false">
              <v:fill type="solid"/>
            </v:rect>
            <v:rect style="position:absolute;left:4882;top:-2926;width:140;height:140" filled="false" stroked="true" strokeweight=".75pt" strokecolor="#bd4a47">
              <v:stroke dashstyle="solid"/>
            </v:rect>
            <v:rect style="position:absolute;left:7703;top:-7923;width:140;height:140" filled="true" fillcolor="#c0504d" stroked="false">
              <v:fill type="solid"/>
            </v:rect>
            <v:rect style="position:absolute;left:7703;top:-7923;width:140;height:140" filled="false" stroked="true" strokeweight=".75pt" strokecolor="#bd4a47">
              <v:stroke dashstyle="solid"/>
            </v:rect>
            <v:shape style="position:absolute;left:3542;top:-7635;width:4232;height:6404" coordorigin="3542,-7635" coordsize="4232,6404" path="m3542,-1232l7774,-7073m3542,-1232l7774,-7073m3542,-1316l7774,-7635m3542,-1316l7774,-7635e" filled="false" stroked="true" strokeweight=".72pt" strokecolor="#000000">
              <v:path arrowok="t"/>
              <v:stroke dashstyle="solid"/>
            </v:shape>
            <v:shape style="position:absolute;left:9146;top:-5039;width:135;height:135" type="#_x0000_t75" stroked="false">
              <v:imagedata r:id="rId70" o:title=""/>
            </v:shape>
            <v:rect style="position:absolute;left:9153;top:-4669;width:120;height:120" filled="true" fillcolor="#c0504d" stroked="false">
              <v:fill type="solid"/>
            </v:rect>
            <v:rect style="position:absolute;left:9153;top:-4669;width:120;height:120" filled="false" stroked="true" strokeweight=".72pt" strokecolor="#bd4a47">
              <v:stroke dashstyle="solid"/>
            </v:rect>
            <v:shape style="position:absolute;left:9021;top:-4249;width:384;height:363" coordorigin="9022,-4249" coordsize="384,363" path="m9022,-4249l9406,-4249m9022,-3886l9406,-3886e" filled="false" stroked="true" strokeweight=".72pt" strokecolor="#000000">
              <v:path arrowok="t"/>
              <v:stroke dashstyle="solid"/>
            </v:shape>
            <v:rect style="position:absolute;left:1978;top:-8572;width:8666;height:8290" filled="false" stroked="true" strokeweight=".75pt" strokecolor="#858585">
              <v:stroke dashstyle="solid"/>
            </v:rect>
            <v:shape style="position:absolute;left:2534;top:-8443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0.25</w:t>
                    </w:r>
                  </w:p>
                </w:txbxContent>
              </v:textbox>
              <w10:wrap type="none"/>
            </v:shape>
            <v:shape style="position:absolute;left:8954;top:-8112;width:164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0.0008x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0.0219</w:t>
                    </w:r>
                  </w:p>
                  <w:p>
                    <w:pPr>
                      <w:spacing w:line="240" w:lineRule="exact" w:before="0"/>
                      <w:ind w:left="336" w:right="354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0.9645</w:t>
                    </w:r>
                  </w:p>
                </w:txbxContent>
              </v:textbox>
              <w10:wrap type="none"/>
            </v:shape>
            <v:shape style="position:absolute;left:2634;top:-701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8954;top:-7188;width:164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0.0008x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0.0208</w:t>
                    </w:r>
                  </w:p>
                  <w:p>
                    <w:pPr>
                      <w:spacing w:line="240" w:lineRule="exact" w:before="0"/>
                      <w:ind w:left="336" w:right="354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0.976</w:t>
                    </w:r>
                  </w:p>
                </w:txbxContent>
              </v:textbox>
              <w10:wrap type="none"/>
            </v:shape>
            <v:shape style="position:absolute;left:2534;top:-558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0.15</w:t>
                    </w:r>
                  </w:p>
                </w:txbxContent>
              </v:textbox>
              <w10:wrap type="none"/>
            </v:shape>
            <v:shape style="position:absolute;left:2634;top:-415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9447;top:-5062;width:1010;height:128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ACC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RCC</w:t>
                    </w:r>
                  </w:p>
                  <w:p>
                    <w:pPr>
                      <w:spacing w:line="360" w:lineRule="atLeast" w:before="0"/>
                      <w:ind w:left="0" w:right="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Linear </w:t>
                    </w:r>
                    <w:r>
                      <w:rPr>
                        <w:rFonts w:ascii="Calibri"/>
                        <w:sz w:val="20"/>
                      </w:rPr>
                      <w:t>(ACC)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(RCC)</w:t>
                    </w:r>
                  </w:p>
                </w:txbxContent>
              </v:textbox>
              <w10:wrap type="none"/>
            </v:shape>
            <v:shape style="position:absolute;left:2534;top:-2728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0.05</w:t>
                    </w:r>
                  </w:p>
                </w:txbxContent>
              </v:textbox>
              <w10:wrap type="none"/>
            </v:shape>
            <v:shape style="position:absolute;left:2785;top:-129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21;top:-103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54;top:-103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488;top:-103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271;top:-103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6055;top:-103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6838;top:-103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7622;top:-103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8405;top:-103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</w:txbxContent>
              </v:textbox>
              <w10:wrap type="none"/>
            </v:shape>
            <v:shape style="position:absolute;left:5496;top:-735;width:65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</w:rPr>
        <w:t>Figure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3.33 Ho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pseudo second-order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kinetics for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sorption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crude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oil onto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corn cob</w:t>
      </w:r>
    </w:p>
    <w:p>
      <w:pPr>
        <w:spacing w:after="0"/>
        <w:rPr>
          <w:rFonts w:ascii="Times New Roman"/>
        </w:rPr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103.68pt;margin-top:269.590637pt;width:12pt;height:12.5pt;mso-position-horizontal-relative:page;mso-position-vertical-relative:page;z-index:157864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qe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BodyText"/>
        <w:spacing w:before="100"/>
        <w:ind w:left="1198"/>
      </w:pPr>
      <w:r>
        <w:rPr/>
        <w:pict>
          <v:group style="position:absolute;margin-left:89.775002pt;margin-top:-447.519165pt;width:416.6pt;height:445.5pt;mso-position-horizontal-relative:page;mso-position-vertical-relative:paragraph;z-index:15785984" coordorigin="1796,-8950" coordsize="8332,8910">
            <v:shape style="position:absolute;left:2884;top:-8722;width:5199;height:7810" coordorigin="2885,-8721" coordsize="5199,7810" path="m2947,-974l2947,-8721m2885,-974l2947,-974m2885,-2265l2947,-2265m2885,-3556l2947,-3556m2885,-4848l2947,-4848m2885,-6139l2947,-6139m2885,-7430l2947,-7430m2885,-8721l2947,-8721m2947,-974l8083,-974m2947,-974l2947,-912m3804,-974l3804,-912m4658,-974l4658,-912m5515,-974l5515,-912m6372,-974l6372,-912m7226,-974l7226,-912m8083,-974l8083,-912e" filled="false" stroked="true" strokeweight=".72pt" strokecolor="#858585">
              <v:path arrowok="t"/>
              <v:stroke dashstyle="solid"/>
            </v:shape>
            <v:shape style="position:absolute;left:5222;top:-5124;width:140;height:140" coordorigin="5222,-5123" coordsize="140,140" path="m5292,-5123l5222,-5053,5292,-4983,5362,-5053,5292,-5123xe" filled="true" fillcolor="#4f81bc" stroked="false">
              <v:path arrowok="t"/>
              <v:fill type="solid"/>
            </v:shape>
            <v:shape style="position:absolute;left:5222;top:-5124;width:140;height:140" coordorigin="5222,-5123" coordsize="140,140" path="m5292,-4983l5222,-5053,5292,-5123,5362,-5053,5292,-4983xe" filled="false" stroked="true" strokeweight=".75pt" strokecolor="#497dba">
              <v:path arrowok="t"/>
              <v:stroke dashstyle="solid"/>
            </v:shape>
            <v:shape style="position:absolute;left:6184;top:-6733;width:155;height:155" type="#_x0000_t75" stroked="false">
              <v:imagedata r:id="rId33" o:title=""/>
            </v:shape>
            <v:shape style="position:absolute;left:6930;top:-7404;width:155;height:155" type="#_x0000_t75" stroked="false">
              <v:imagedata r:id="rId26" o:title=""/>
            </v:shape>
            <v:shape style="position:absolute;left:7558;top:-7507;width:155;height:155" type="#_x0000_t75" stroked="false">
              <v:imagedata r:id="rId27" o:title=""/>
            </v:shape>
            <v:rect style="position:absolute;left:5222;top:-5202;width:140;height:140" filled="true" fillcolor="#c0504d" stroked="false">
              <v:fill type="solid"/>
            </v:rect>
            <v:rect style="position:absolute;left:5222;top:-5202;width:140;height:140" filled="false" stroked="true" strokeweight=".75pt" strokecolor="#bd4a47">
              <v:stroke dashstyle="solid"/>
            </v:rect>
            <v:rect style="position:absolute;left:6192;top:-5770;width:140;height:140" filled="true" fillcolor="#c0504d" stroked="false">
              <v:fill type="solid"/>
            </v:rect>
            <v:rect style="position:absolute;left:6192;top:-5770;width:140;height:140" filled="false" stroked="true" strokeweight=".75pt" strokecolor="#bd4a47">
              <v:stroke dashstyle="solid"/>
            </v:rect>
            <v:rect style="position:absolute;left:6937;top:-6131;width:140;height:140" filled="true" fillcolor="#c0504d" stroked="false">
              <v:fill type="solid"/>
            </v:rect>
            <v:rect style="position:absolute;left:6937;top:-6131;width:140;height:140" filled="false" stroked="true" strokeweight=".75pt" strokecolor="#bd4a47">
              <v:stroke dashstyle="solid"/>
            </v:rect>
            <v:rect style="position:absolute;left:7566;top:-6415;width:140;height:140" filled="true" fillcolor="#c0504d" stroked="false">
              <v:fill type="solid"/>
            </v:rect>
            <v:rect style="position:absolute;left:7566;top:-6415;width:140;height:140" filled="false" stroked="true" strokeweight=".75pt" strokecolor="#bd4a47">
              <v:stroke dashstyle="solid"/>
            </v:rect>
            <v:shape style="position:absolute;left:5292;top:-7743;width:2343;height:2583" coordorigin="5292,-7742" coordsize="2343,2583" path="m5292,-5316l7634,-7742m5292,-5316l7634,-7742m5292,-5316l7634,-7742m5292,-5160l7634,-6374m5292,-5160l7634,-6374e" filled="false" stroked="true" strokeweight=".72pt" strokecolor="#000000">
              <v:path arrowok="t"/>
              <v:stroke dashstyle="solid"/>
            </v:shape>
            <v:shape style="position:absolute;left:8620;top:-5107;width:135;height:135" type="#_x0000_t75" stroked="false">
              <v:imagedata r:id="rId31" o:title=""/>
            </v:shape>
            <v:rect style="position:absolute;left:8628;top:-4738;width:120;height:120" filled="true" fillcolor="#c0504d" stroked="false">
              <v:fill type="solid"/>
            </v:rect>
            <v:rect style="position:absolute;left:8628;top:-4738;width:120;height:120" filled="false" stroked="true" strokeweight=".72pt" strokecolor="#bd4a47">
              <v:stroke dashstyle="solid"/>
            </v:rect>
            <v:shape style="position:absolute;left:8496;top:-4318;width:384;height:363" coordorigin="8496,-4317" coordsize="384,363" path="m8496,-4317l8880,-4317m8496,-3955l8880,-3955e" filled="false" stroked="true" strokeweight=".72pt" strokecolor="#000000">
              <v:path arrowok="t"/>
              <v:stroke dashstyle="solid"/>
            </v:shape>
            <v:rect style="position:absolute;left:1803;top:-8943;width:8317;height:8895" filled="false" stroked="true" strokeweight=".75pt" strokecolor="#858585">
              <v:stroke dashstyle="solid"/>
            </v:rect>
            <v:shape style="position:absolute;left:2357;top:-8814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8393;top:-8873;width:168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171.59x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740.92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0.9077</w:t>
                    </w:r>
                  </w:p>
                </w:txbxContent>
              </v:textbox>
              <w10:wrap type="none"/>
            </v:shape>
            <v:shape style="position:absolute;left:2357;top:-7522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8595;top:-6967;width:148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85.8x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1150.4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0.9962</w:t>
                    </w:r>
                  </w:p>
                </w:txbxContent>
              </v:textbox>
              <w10:wrap type="none"/>
            </v:shape>
            <v:shape style="position:absolute;left:2357;top:-6231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2357;top:-4940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8923;top:-5131;width:1010;height:128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ACC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RCC</w:t>
                    </w:r>
                  </w:p>
                  <w:p>
                    <w:pPr>
                      <w:spacing w:line="362" w:lineRule="exact" w:before="0"/>
                      <w:ind w:left="0" w:right="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Linear </w:t>
                    </w:r>
                    <w:r>
                      <w:rPr>
                        <w:rFonts w:ascii="Calibri"/>
                        <w:sz w:val="20"/>
                      </w:rPr>
                      <w:t>(ACC)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(ACC)</w:t>
                    </w:r>
                  </w:p>
                </w:txbxContent>
              </v:textbox>
              <w10:wrap type="none"/>
            </v:shape>
            <v:shape style="position:absolute;left:2357;top:-3648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2458;top:-2357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2660;top:-106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96;top:-80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52;top:-80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608;top:-80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331;top:-805;width:389;height:5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exact" w:before="59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t</w:t>
                    </w:r>
                    <w:r>
                      <w:rPr>
                        <w:rFonts w:ascii="Calibri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6320;top:-80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126;top:-80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982;top:-80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2"/>
        </w:rPr>
        <w:t> </w:t>
      </w:r>
      <w:r>
        <w:rPr/>
        <w:t>3.34.</w:t>
      </w:r>
      <w:r>
        <w:rPr>
          <w:spacing w:val="-5"/>
        </w:rPr>
        <w:t> </w:t>
      </w:r>
      <w:r>
        <w:rPr/>
        <w:t>Intra-particle</w:t>
      </w:r>
      <w:r>
        <w:rPr>
          <w:spacing w:val="-3"/>
        </w:rPr>
        <w:t> </w:t>
      </w:r>
      <w:r>
        <w:rPr/>
        <w:t>diffusion</w:t>
      </w:r>
      <w:r>
        <w:rPr>
          <w:spacing w:val="-4"/>
        </w:rPr>
        <w:t> </w:t>
      </w:r>
      <w:r>
        <w:rPr/>
        <w:t>kinetics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sorption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crude</w:t>
      </w:r>
      <w:r>
        <w:rPr>
          <w:spacing w:val="-2"/>
        </w:rPr>
        <w:t> </w:t>
      </w:r>
      <w:r>
        <w:rPr/>
        <w:t>oil</w:t>
      </w:r>
      <w:r>
        <w:rPr>
          <w:spacing w:val="-4"/>
        </w:rPr>
        <w:t> </w:t>
      </w:r>
      <w:r>
        <w:rPr/>
        <w:t>onto</w:t>
      </w:r>
      <w:r>
        <w:rPr>
          <w:spacing w:val="-5"/>
        </w:rPr>
        <w:t> </w:t>
      </w:r>
      <w:r>
        <w:rPr/>
        <w:t>corn</w:t>
      </w:r>
      <w:r>
        <w:rPr>
          <w:spacing w:val="-4"/>
        </w:rPr>
        <w:t> </w:t>
      </w:r>
      <w:r>
        <w:rPr/>
        <w:t>cob</w:t>
      </w:r>
    </w:p>
    <w:p>
      <w:pPr>
        <w:spacing w:after="0"/>
        <w:sectPr>
          <w:pgSz w:w="11910" w:h="16840"/>
          <w:pgMar w:header="0" w:footer="987" w:top="1400" w:bottom="1260" w:left="42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0.970001pt;margin-top:233.078613pt;width:12pt;height:28.65pt;mso-position-horizontal-relative:page;mso-position-vertical-relative:page;z-index:157875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ln(1-F)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100"/>
        <w:ind w:left="1198"/>
      </w:pPr>
      <w:r>
        <w:rPr/>
        <w:pict>
          <v:group style="position:absolute;margin-left:87.074997pt;margin-top:-372.219116pt;width:428.7pt;height:372.85pt;mso-position-horizontal-relative:page;mso-position-vertical-relative:paragraph;z-index:15787008" coordorigin="1741,-7444" coordsize="8574,7457">
            <v:shape style="position:absolute;left:2740;top:-7215;width:5480;height:6452" coordorigin="2741,-7214" coordsize="5480,6452" path="m2803,-763l2803,-7214m2741,-763l2803,-763m2741,-1480l2803,-1480m2741,-2198l2803,-2198m2741,-2913l2803,-2913m2741,-3631l2803,-3631m2741,-4348l2803,-4348m2741,-5064l2803,-5064m2741,-5781l2803,-5781m2741,-6499l2803,-6499m2741,-7214l2803,-7214m2803,-7214l8220,-7214m2803,-7214l2803,-7152m3888,-7214l3888,-7152m4970,-7214l4970,-7152m6055,-7214l6055,-7152m7138,-7214l7138,-7152m8220,-7214l8220,-7152e" filled="false" stroked="true" strokeweight=".72pt" strokecolor="#858585">
              <v:path arrowok="t"/>
              <v:stroke dashstyle="solid"/>
            </v:shape>
            <v:shape style="position:absolute;left:4350;top:-5860;width:155;height:155" type="#_x0000_t75" stroked="false">
              <v:imagedata r:id="rId26" o:title=""/>
            </v:shape>
            <v:shape style="position:absolute;left:5983;top:-4245;width:140;height:140" coordorigin="5984,-4245" coordsize="140,140" path="m6054,-4245l5984,-4175,6054,-4105,6124,-4175,6054,-4245xe" filled="true" fillcolor="#4f81bc" stroked="false">
              <v:path arrowok="t"/>
              <v:fill type="solid"/>
            </v:shape>
            <v:shape style="position:absolute;left:5983;top:-4245;width:140;height:140" coordorigin="5984,-4245" coordsize="140,140" path="m6054,-4105l5984,-4175,6054,-4245,6124,-4175,6054,-4105xe" filled="false" stroked="true" strokeweight=".75pt" strokecolor="#497dba">
              <v:path arrowok="t"/>
              <v:stroke dashstyle="solid"/>
            </v:shape>
            <v:shape style="position:absolute;left:7601;top:-1364;width:155;height:155" type="#_x0000_t75" stroked="false">
              <v:imagedata r:id="rId33" o:title=""/>
            </v:shape>
            <v:rect style="position:absolute;left:4358;top:-5153;width:140;height:140" filled="true" fillcolor="#c0504d" stroked="false">
              <v:fill type="solid"/>
            </v:rect>
            <v:rect style="position:absolute;left:4358;top:-5153;width:140;height:140" filled="false" stroked="true" strokeweight=".75pt" strokecolor="#bd4a47">
              <v:stroke dashstyle="solid"/>
            </v:rect>
            <v:rect style="position:absolute;left:5983;top:-4248;width:140;height:140" filled="true" fillcolor="#c0504d" stroked="false">
              <v:fill type="solid"/>
            </v:rect>
            <v:rect style="position:absolute;left:5983;top:-4248;width:140;height:140" filled="false" stroked="true" strokeweight=".75pt" strokecolor="#bd4a47">
              <v:stroke dashstyle="solid"/>
            </v:rect>
            <v:rect style="position:absolute;left:7608;top:-3071;width:140;height:140" filled="true" fillcolor="#c0504d" stroked="false">
              <v:fill type="solid"/>
            </v:rect>
            <v:rect style="position:absolute;left:7608;top:-3071;width:140;height:140" filled="false" stroked="true" strokeweight=".75pt" strokecolor="#bd4a47">
              <v:stroke dashstyle="solid"/>
            </v:rect>
            <v:shape style="position:absolute;left:4428;top:-5995;width:3252;height:4496" coordorigin="4428,-5995" coordsize="3252,4496" path="m4428,-5995l7680,-1500m4428,-5995l7680,-1500m4428,-5128l7680,-3045m4428,-5128l7680,-3045e" filled="false" stroked="true" strokeweight=".72pt" strokecolor="#000000">
              <v:path arrowok="t"/>
              <v:stroke dashstyle="solid"/>
            </v:shape>
            <v:shape style="position:absolute;left:8810;top:-4327;width:135;height:135" type="#_x0000_t75" stroked="false">
              <v:imagedata r:id="rId31" o:title=""/>
            </v:shape>
            <v:rect style="position:absolute;left:8817;top:-3958;width:120;height:120" filled="true" fillcolor="#c0504d" stroked="false">
              <v:fill type="solid"/>
            </v:rect>
            <v:rect style="position:absolute;left:8817;top:-3958;width:120;height:120" filled="false" stroked="true" strokeweight=".72pt" strokecolor="#bd4a47">
              <v:stroke dashstyle="solid"/>
            </v:rect>
            <v:shape style="position:absolute;left:8685;top:-3535;width:384;height:360" coordorigin="8686,-3535" coordsize="384,360" path="m8686,-3535l9070,-3535m8686,-3175l9070,-3175e" filled="false" stroked="true" strokeweight=".72pt" strokecolor="#000000">
              <v:path arrowok="t"/>
              <v:stroke dashstyle="solid"/>
            </v:shape>
            <v:rect style="position:absolute;left:1749;top:-7437;width:8559;height:7442" filled="false" stroked="true" strokeweight=".75pt" strokecolor="#858585">
              <v:stroke dashstyle="solid"/>
            </v:rect>
            <v:shape style="position:absolute;left:2516;top:-730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52;top:-704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86;top:-704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870;top:-704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5953;top:-704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7037;top:-704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8070;top:-7048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304;top:-6861;width:7962;height:46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621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-0.0523x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0.7172</w:t>
                    </w:r>
                  </w:p>
                  <w:p>
                    <w:pPr>
                      <w:tabs>
                        <w:tab w:pos="6618" w:val="left" w:leader="none"/>
                      </w:tabs>
                      <w:spacing w:line="26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position w:val="-2"/>
                        <w:sz w:val="20"/>
                      </w:rPr>
                      <w:t>-0.5</w:t>
                      <w:tab/>
                    </w: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0.9736</w:t>
                    </w:r>
                  </w:p>
                </w:txbxContent>
              </v:textbox>
              <w10:wrap type="none"/>
            </v:shape>
            <v:shape style="position:absolute;left:2454;top:-5874;width:1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8556;top:-5933;width:1711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-0.0242x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0.7297</w:t>
                    </w:r>
                  </w:p>
                  <w:p>
                    <w:pPr>
                      <w:spacing w:line="240" w:lineRule="exact" w:before="0"/>
                      <w:ind w:left="0" w:right="19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0.9944</w:t>
                    </w:r>
                  </w:p>
                </w:txbxContent>
              </v:textbox>
              <w10:wrap type="none"/>
            </v:shape>
            <v:shape style="position:absolute;left:2304;top:-5157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-1.5</w:t>
                    </w:r>
                  </w:p>
                </w:txbxContent>
              </v:textbox>
              <w10:wrap type="none"/>
            </v:shape>
            <v:shape style="position:absolute;left:2304;top:-4440;width:333;height:91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-2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-2.5</w:t>
                    </w:r>
                  </w:p>
                </w:txbxContent>
              </v:textbox>
              <w10:wrap type="none"/>
            </v:shape>
            <v:shape style="position:absolute;left:9111;top:-4351;width:1010;height:128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ACC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RCC</w:t>
                    </w:r>
                  </w:p>
                  <w:p>
                    <w:pPr>
                      <w:spacing w:line="360" w:lineRule="atLeast" w:before="0"/>
                      <w:ind w:left="0" w:right="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Linear </w:t>
                    </w:r>
                    <w:r>
                      <w:rPr>
                        <w:rFonts w:ascii="Calibri"/>
                        <w:sz w:val="20"/>
                      </w:rPr>
                      <w:t>(ACC)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(ACC)</w:t>
                    </w:r>
                  </w:p>
                </w:txbxContent>
              </v:textbox>
              <w10:wrap type="none"/>
            </v:shape>
            <v:shape style="position:absolute;left:2454;top:-3006;width:1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-3</w:t>
                    </w:r>
                  </w:p>
                </w:txbxContent>
              </v:textbox>
              <w10:wrap type="none"/>
            </v:shape>
            <v:shape style="position:absolute;left:2304;top:-2289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-3.5</w:t>
                    </w:r>
                  </w:p>
                </w:txbxContent>
              </v:textbox>
              <w10:wrap type="none"/>
            </v:shape>
            <v:shape style="position:absolute;left:2454;top:-1572;width:1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-4</w:t>
                    </w:r>
                  </w:p>
                </w:txbxContent>
              </v:textbox>
              <w10:wrap type="none"/>
            </v:shape>
            <v:shape style="position:absolute;left:2304;top:-855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-4.5</w:t>
                    </w:r>
                  </w:p>
                </w:txbxContent>
              </v:textbox>
              <w10:wrap type="none"/>
            </v:shape>
            <v:shape style="position:absolute;left:5106;top:-692;width:83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(sec)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2"/>
        </w:rPr>
        <w:t> </w:t>
      </w:r>
      <w:r>
        <w:rPr/>
        <w:t>3.35</w:t>
      </w:r>
      <w:r>
        <w:rPr>
          <w:spacing w:val="-1"/>
        </w:rPr>
        <w:t> </w:t>
      </w:r>
      <w:r>
        <w:rPr/>
        <w:t>liquid</w:t>
      </w:r>
      <w:r>
        <w:rPr>
          <w:spacing w:val="-3"/>
        </w:rPr>
        <w:t> </w:t>
      </w:r>
      <w:r>
        <w:rPr/>
        <w:t>film</w:t>
      </w:r>
      <w:r>
        <w:rPr>
          <w:spacing w:val="-4"/>
        </w:rPr>
        <w:t> </w:t>
      </w:r>
      <w:r>
        <w:rPr/>
        <w:t>diffusion</w:t>
      </w:r>
      <w:r>
        <w:rPr>
          <w:spacing w:val="-3"/>
        </w:rPr>
        <w:t> </w:t>
      </w:r>
      <w:r>
        <w:rPr/>
        <w:t>kinetics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sorption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oil</w:t>
      </w:r>
      <w:r>
        <w:rPr>
          <w:spacing w:val="-3"/>
        </w:rPr>
        <w:t> </w:t>
      </w:r>
      <w:r>
        <w:rPr/>
        <w:t>onto</w:t>
      </w:r>
      <w:r>
        <w:rPr>
          <w:spacing w:val="-1"/>
        </w:rPr>
        <w:t> </w:t>
      </w:r>
      <w:r>
        <w:rPr/>
        <w:t>corn</w:t>
      </w:r>
      <w:r>
        <w:rPr>
          <w:spacing w:val="-1"/>
        </w:rPr>
        <w:t> </w:t>
      </w:r>
      <w:r>
        <w:rPr/>
        <w:t>cob</w:t>
      </w:r>
    </w:p>
    <w:p>
      <w:pPr>
        <w:spacing w:after="0"/>
        <w:sectPr>
          <w:pgSz w:w="11910" w:h="16840"/>
          <w:pgMar w:header="0" w:footer="987" w:top="1480" w:bottom="1260" w:left="420" w:right="0"/>
        </w:sectPr>
      </w:pPr>
    </w:p>
    <w:p>
      <w:pPr>
        <w:pStyle w:val="BodyText"/>
        <w:spacing w:before="173"/>
        <w:ind w:left="1198"/>
      </w:pPr>
      <w:r>
        <w:rPr/>
        <w:t>Table</w:t>
      </w:r>
      <w:r>
        <w:rPr>
          <w:spacing w:val="-2"/>
        </w:rPr>
        <w:t> </w:t>
      </w:r>
      <w:r>
        <w:rPr/>
        <w:t>3.17</w:t>
      </w:r>
      <w:r>
        <w:rPr>
          <w:spacing w:val="-2"/>
        </w:rPr>
        <w:t> </w:t>
      </w: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kinetics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crude</w:t>
      </w:r>
      <w:r>
        <w:rPr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sorption</w:t>
      </w:r>
      <w:r>
        <w:rPr>
          <w:spacing w:val="70"/>
        </w:rPr>
        <w:t> </w:t>
      </w:r>
      <w:r>
        <w:rPr/>
        <w:t>onto</w:t>
      </w:r>
      <w:r>
        <w:rPr>
          <w:spacing w:val="-4"/>
        </w:rPr>
        <w:t> </w:t>
      </w:r>
      <w:r>
        <w:rPr/>
        <w:t>corn</w:t>
      </w:r>
      <w:r>
        <w:rPr>
          <w:spacing w:val="-3"/>
        </w:rPr>
        <w:t> </w:t>
      </w:r>
      <w:r>
        <w:rPr/>
        <w:t>cob</w:t>
      </w:r>
    </w:p>
    <w:p>
      <w:pPr>
        <w:pStyle w:val="BodyText"/>
        <w:spacing w:before="11"/>
        <w:rPr>
          <w:sz w:val="16"/>
        </w:rPr>
      </w:pPr>
      <w:r>
        <w:rPr/>
        <w:pict>
          <v:shape style="position:absolute;margin-left:75.504005pt;margin-top:12.16559pt;width:478.9pt;height:.5pt;mso-position-horizontal-relative:page;mso-position-vertical-relative:paragraph;z-index:-15669248;mso-wrap-distance-left:0;mso-wrap-distance-right:0" coordorigin="1510,243" coordsize="9578,10" path="m4702,243l1510,243,1510,253,4702,253,4702,243xm4712,243l4703,243,4703,253,4712,253,4712,243xm7905,243l7895,243,4712,243,4712,253,7895,253,7905,253,7905,243xm11087,243l7905,243,7905,253,11087,253,11087,243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390" w:val="left" w:leader="none"/>
          <w:tab w:pos="7582" w:val="left" w:leader="none"/>
        </w:tabs>
        <w:spacing w:before="0"/>
        <w:ind w:left="1198" w:right="0" w:firstLine="0"/>
        <w:jc w:val="left"/>
        <w:rPr>
          <w:sz w:val="20"/>
        </w:rPr>
      </w:pPr>
      <w:r>
        <w:rPr>
          <w:sz w:val="20"/>
        </w:rPr>
        <w:t>Kinetic</w:t>
      </w:r>
      <w:r>
        <w:rPr>
          <w:spacing w:val="-3"/>
          <w:sz w:val="20"/>
        </w:rPr>
        <w:t> </w:t>
      </w:r>
      <w:r>
        <w:rPr>
          <w:sz w:val="20"/>
        </w:rPr>
        <w:t>model</w:t>
        <w:tab/>
        <w:t>ACC</w:t>
        <w:tab/>
        <w:t>RCC</w:t>
      </w:r>
    </w:p>
    <w:p>
      <w:pPr>
        <w:tabs>
          <w:tab w:pos="4390" w:val="left" w:leader="none"/>
          <w:tab w:pos="8017" w:val="right" w:leader="none"/>
        </w:tabs>
        <w:spacing w:before="220"/>
        <w:ind w:left="1198" w:right="0" w:firstLine="0"/>
        <w:jc w:val="left"/>
        <w:rPr>
          <w:sz w:val="20"/>
          <w:szCs w:val="20"/>
        </w:rPr>
      </w:pPr>
      <w:r>
        <w:rPr/>
        <w:pict>
          <v:shape style="position:absolute;margin-left:75.504005pt;margin-top:10.564822pt;width:478.9pt;height:.5pt;mso-position-horizontal-relative:page;mso-position-vertical-relative:paragraph;z-index:15789056" coordorigin="1510,211" coordsize="9578,10" path="m4702,211l1510,211,1510,221,4702,221,4702,211xm4712,211l4703,211,4703,221,4712,221,4712,211xm7905,211l7895,211,4712,211,4712,221,7895,221,7905,221,7905,211xm11087,211l7905,211,7905,221,11087,221,11087,211xe" filled="true" fillcolor="#000000" stroked="false">
            <v:path arrowok="t"/>
            <v:fill type="solid"/>
            <w10:wrap type="none"/>
          </v:shape>
        </w:pict>
      </w:r>
      <w:r>
        <w:rPr>
          <w:sz w:val="20"/>
          <w:szCs w:val="20"/>
        </w:rPr>
        <w:t>ϴ</w:t>
      </w:r>
      <w:r>
        <w:rPr>
          <w:sz w:val="20"/>
          <w:szCs w:val="20"/>
          <w:vertAlign w:val="subscript"/>
        </w:rPr>
        <w:t>o</w:t>
      </w:r>
      <w:r>
        <w:rPr>
          <w:spacing w:val="-3"/>
          <w:sz w:val="20"/>
          <w:szCs w:val="20"/>
          <w:vertAlign w:val="baseline"/>
        </w:rPr>
        <w:t> </w:t>
      </w:r>
      <w:r>
        <w:rPr>
          <w:sz w:val="20"/>
          <w:szCs w:val="20"/>
          <w:vertAlign w:val="baseline"/>
        </w:rPr>
        <w:t>exp</w:t>
      </w:r>
      <w:r>
        <w:rPr>
          <w:spacing w:val="-2"/>
          <w:sz w:val="20"/>
          <w:szCs w:val="20"/>
          <w:vertAlign w:val="baseline"/>
        </w:rPr>
        <w:t> </w:t>
      </w:r>
      <w:r>
        <w:rPr>
          <w:sz w:val="20"/>
          <w:szCs w:val="20"/>
          <w:vertAlign w:val="baseline"/>
        </w:rPr>
        <w:t>(mg/g)</w:t>
        <w:tab/>
        <w:t>2500</w:t>
        <w:tab/>
        <w:t>2080</w:t>
      </w:r>
    </w:p>
    <w:p>
      <w:pPr>
        <w:spacing w:before="241"/>
        <w:ind w:left="1198" w:right="0" w:firstLine="0"/>
        <w:jc w:val="left"/>
        <w:rPr>
          <w:sz w:val="20"/>
        </w:rPr>
      </w:pPr>
      <w:r>
        <w:rPr>
          <w:sz w:val="20"/>
        </w:rPr>
        <w:t>Lagergren</w:t>
      </w:r>
      <w:r>
        <w:rPr>
          <w:spacing w:val="-4"/>
          <w:sz w:val="20"/>
        </w:rPr>
        <w:t> </w:t>
      </w:r>
      <w:r>
        <w:rPr>
          <w:sz w:val="20"/>
        </w:rPr>
        <w:t>pseudo</w:t>
      </w:r>
      <w:r>
        <w:rPr>
          <w:spacing w:val="-4"/>
          <w:sz w:val="20"/>
        </w:rPr>
        <w:t> </w:t>
      </w:r>
      <w:r>
        <w:rPr>
          <w:sz w:val="20"/>
        </w:rPr>
        <w:t>first-order</w:t>
      </w:r>
    </w:p>
    <w:p>
      <w:pPr>
        <w:tabs>
          <w:tab w:pos="4390" w:val="left" w:leader="none"/>
          <w:tab w:pos="8295" w:val="right" w:leader="none"/>
        </w:tabs>
        <w:spacing w:before="244"/>
        <w:ind w:left="1198" w:right="0" w:firstLine="0"/>
        <w:jc w:val="left"/>
        <w:rPr>
          <w:sz w:val="20"/>
          <w:szCs w:val="20"/>
        </w:rPr>
      </w:pPr>
      <w:r>
        <w:rPr>
          <w:w w:val="95"/>
          <w:sz w:val="20"/>
          <w:szCs w:val="20"/>
        </w:rPr>
        <w:t>ϴ</w:t>
      </w:r>
      <w:r>
        <w:rPr>
          <w:w w:val="95"/>
          <w:sz w:val="20"/>
          <w:szCs w:val="20"/>
          <w:vertAlign w:val="subscript"/>
        </w:rPr>
        <w:t>o</w:t>
      </w:r>
      <w:r>
        <w:rPr>
          <w:spacing w:val="-11"/>
          <w:w w:val="95"/>
          <w:sz w:val="20"/>
          <w:szCs w:val="20"/>
          <w:vertAlign w:val="baseline"/>
        </w:rPr>
        <w:t> </w:t>
      </w:r>
      <w:r>
        <w:rPr>
          <w:w w:val="95"/>
          <w:sz w:val="20"/>
          <w:szCs w:val="20"/>
          <w:vertAlign w:val="baseline"/>
        </w:rPr>
        <w:t>calc</w:t>
      </w:r>
      <w:r>
        <w:rPr>
          <w:spacing w:val="17"/>
          <w:w w:val="95"/>
          <w:sz w:val="20"/>
          <w:szCs w:val="20"/>
          <w:vertAlign w:val="baseline"/>
        </w:rPr>
        <w:t> </w:t>
      </w:r>
      <w:r>
        <w:rPr>
          <w:w w:val="95"/>
          <w:sz w:val="20"/>
          <w:szCs w:val="20"/>
          <w:vertAlign w:val="baseline"/>
        </w:rPr>
        <w:t>(mg/g)</w:t>
        <w:tab/>
      </w:r>
      <w:r>
        <w:rPr>
          <w:sz w:val="20"/>
          <w:szCs w:val="20"/>
          <w:vertAlign w:val="baseline"/>
        </w:rPr>
        <w:t>5118.92</w:t>
        <w:tab/>
        <w:t>1002.95</w:t>
      </w:r>
    </w:p>
    <w:p>
      <w:pPr>
        <w:tabs>
          <w:tab w:pos="4390" w:val="left" w:leader="none"/>
          <w:tab w:pos="7582" w:val="left" w:leader="none"/>
        </w:tabs>
        <w:spacing w:before="241"/>
        <w:ind w:left="1198" w:right="0" w:firstLine="0"/>
        <w:jc w:val="left"/>
        <w:rPr>
          <w:sz w:val="20"/>
        </w:rPr>
      </w:pPr>
      <w:r>
        <w:rPr>
          <w:sz w:val="20"/>
        </w:rPr>
        <w:t>K</w:t>
      </w:r>
      <w:r>
        <w:rPr>
          <w:sz w:val="20"/>
          <w:vertAlign w:val="subscript"/>
        </w:rPr>
        <w:t>1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(sec-</w:t>
      </w: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)</w:t>
        <w:tab/>
        <w:t>-0.052</w:t>
        <w:tab/>
        <w:t>-0.024</w:t>
      </w:r>
    </w:p>
    <w:p>
      <w:pPr>
        <w:tabs>
          <w:tab w:pos="4390" w:val="left" w:leader="none"/>
          <w:tab w:pos="8187" w:val="right" w:leader="none"/>
        </w:tabs>
        <w:spacing w:before="241"/>
        <w:ind w:left="1198" w:right="0" w:firstLine="0"/>
        <w:jc w:val="left"/>
        <w:rPr>
          <w:sz w:val="20"/>
        </w:rPr>
      </w:pPr>
      <w:r>
        <w:rPr>
          <w:sz w:val="20"/>
        </w:rPr>
        <w:t>R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ab/>
        <w:t>0.9736</w:t>
        <w:tab/>
        <w:t>0.9943</w:t>
      </w:r>
    </w:p>
    <w:p>
      <w:pPr>
        <w:pStyle w:val="BodyText"/>
        <w:rPr>
          <w:sz w:val="20"/>
        </w:rPr>
      </w:pPr>
    </w:p>
    <w:p>
      <w:pPr>
        <w:spacing w:before="0"/>
        <w:ind w:left="1198" w:right="0" w:firstLine="0"/>
        <w:jc w:val="left"/>
        <w:rPr>
          <w:sz w:val="20"/>
        </w:rPr>
      </w:pPr>
      <w:r>
        <w:rPr>
          <w:sz w:val="20"/>
        </w:rPr>
        <w:t>Derived</w:t>
      </w:r>
      <w:r>
        <w:rPr>
          <w:spacing w:val="-8"/>
          <w:sz w:val="20"/>
        </w:rPr>
        <w:t> </w:t>
      </w:r>
      <w:r>
        <w:rPr>
          <w:sz w:val="20"/>
        </w:rPr>
        <w:t>pseudo</w:t>
      </w:r>
      <w:r>
        <w:rPr>
          <w:spacing w:val="-7"/>
          <w:sz w:val="20"/>
        </w:rPr>
        <w:t> </w:t>
      </w:r>
      <w:r>
        <w:rPr>
          <w:sz w:val="20"/>
        </w:rPr>
        <w:t>first-order</w:t>
      </w:r>
    </w:p>
    <w:p>
      <w:pPr>
        <w:pStyle w:val="BodyText"/>
        <w:rPr>
          <w:sz w:val="20"/>
        </w:rPr>
      </w:pPr>
    </w:p>
    <w:tbl>
      <w:tblPr>
        <w:tblW w:w="0" w:type="auto"/>
        <w:jc w:val="left"/>
        <w:tblInd w:w="1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4"/>
        <w:gridCol w:w="2687"/>
        <w:gridCol w:w="2120"/>
      </w:tblGrid>
      <w:tr>
        <w:trPr>
          <w:trHeight w:val="359" w:hRule="atLeast"/>
        </w:trPr>
        <w:tc>
          <w:tcPr>
            <w:tcW w:w="2624" w:type="dxa"/>
          </w:tcPr>
          <w:p>
            <w:pPr>
              <w:pStyle w:val="TableParagraph"/>
              <w:spacing w:line="241" w:lineRule="exact"/>
              <w:ind w:left="50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ϴ</w:t>
            </w:r>
            <w:r>
              <w:rPr>
                <w:w w:val="95"/>
                <w:sz w:val="20"/>
                <w:szCs w:val="20"/>
                <w:vertAlign w:val="subscript"/>
              </w:rPr>
              <w:t>o</w:t>
            </w:r>
            <w:r>
              <w:rPr>
                <w:spacing w:val="-8"/>
                <w:w w:val="95"/>
                <w:sz w:val="20"/>
                <w:szCs w:val="20"/>
                <w:vertAlign w:val="baseline"/>
              </w:rPr>
              <w:t> </w:t>
            </w:r>
            <w:r>
              <w:rPr>
                <w:w w:val="95"/>
                <w:sz w:val="20"/>
                <w:szCs w:val="20"/>
                <w:vertAlign w:val="baseline"/>
              </w:rPr>
              <w:t>calc</w:t>
            </w:r>
            <w:r>
              <w:rPr>
                <w:spacing w:val="22"/>
                <w:w w:val="95"/>
                <w:sz w:val="20"/>
                <w:szCs w:val="20"/>
                <w:vertAlign w:val="baseline"/>
              </w:rPr>
              <w:t> </w:t>
            </w:r>
            <w:r>
              <w:rPr>
                <w:w w:val="95"/>
                <w:sz w:val="20"/>
                <w:szCs w:val="20"/>
                <w:vertAlign w:val="baseline"/>
              </w:rPr>
              <w:t>(mg/g)</w:t>
            </w:r>
          </w:p>
        </w:tc>
        <w:tc>
          <w:tcPr>
            <w:tcW w:w="2687" w:type="dxa"/>
          </w:tcPr>
          <w:p>
            <w:pPr>
              <w:pStyle w:val="TableParagraph"/>
              <w:spacing w:line="241" w:lineRule="exact"/>
              <w:ind w:left="618"/>
              <w:rPr>
                <w:sz w:val="20"/>
              </w:rPr>
            </w:pPr>
            <w:r>
              <w:rPr>
                <w:sz w:val="20"/>
              </w:rPr>
              <w:t>1481.78</w:t>
            </w:r>
          </w:p>
        </w:tc>
        <w:tc>
          <w:tcPr>
            <w:tcW w:w="2120" w:type="dxa"/>
          </w:tcPr>
          <w:p>
            <w:pPr>
              <w:pStyle w:val="TableParagraph"/>
              <w:spacing w:line="241" w:lineRule="exact"/>
              <w:ind w:left="1123"/>
              <w:rPr>
                <w:sz w:val="20"/>
              </w:rPr>
            </w:pPr>
            <w:r>
              <w:rPr>
                <w:sz w:val="20"/>
              </w:rPr>
              <w:t>1510.20</w:t>
            </w:r>
          </w:p>
        </w:tc>
      </w:tr>
      <w:tr>
        <w:trPr>
          <w:trHeight w:val="363" w:hRule="atLeast"/>
        </w:trPr>
        <w:tc>
          <w:tcPr>
            <w:tcW w:w="2624" w:type="dxa"/>
          </w:tcPr>
          <w:p>
            <w:pPr>
              <w:pStyle w:val="TableParagraph"/>
              <w:spacing w:line="156" w:lineRule="auto" w:before="140"/>
              <w:ind w:left="50"/>
              <w:rPr>
                <w:sz w:val="13"/>
              </w:rPr>
            </w:pPr>
            <w:r>
              <w:rPr>
                <w:position w:val="-8"/>
                <w:sz w:val="20"/>
              </w:rPr>
              <w:t>K</w:t>
            </w:r>
            <w:r>
              <w:rPr>
                <w:sz w:val="13"/>
              </w:rPr>
              <w:t>1</w:t>
            </w:r>
          </w:p>
        </w:tc>
        <w:tc>
          <w:tcPr>
            <w:tcW w:w="2687" w:type="dxa"/>
          </w:tcPr>
          <w:p>
            <w:pPr>
              <w:pStyle w:val="TableParagraph"/>
              <w:spacing w:line="221" w:lineRule="exact" w:before="122"/>
              <w:ind w:left="618"/>
              <w:rPr>
                <w:sz w:val="20"/>
              </w:rPr>
            </w:pPr>
            <w:r>
              <w:rPr>
                <w:sz w:val="20"/>
              </w:rPr>
              <w:t>0.005</w:t>
            </w:r>
          </w:p>
        </w:tc>
        <w:tc>
          <w:tcPr>
            <w:tcW w:w="2120" w:type="dxa"/>
          </w:tcPr>
          <w:p>
            <w:pPr>
              <w:pStyle w:val="TableParagraph"/>
              <w:spacing w:line="221" w:lineRule="exact" w:before="122"/>
              <w:ind w:left="1123"/>
              <w:rPr>
                <w:sz w:val="20"/>
              </w:rPr>
            </w:pPr>
            <w:r>
              <w:rPr>
                <w:sz w:val="20"/>
              </w:rPr>
              <w:t>0.0028</w:t>
            </w:r>
          </w:p>
        </w:tc>
      </w:tr>
      <w:tr>
        <w:trPr>
          <w:trHeight w:val="484" w:hRule="atLeast"/>
        </w:trPr>
        <w:tc>
          <w:tcPr>
            <w:tcW w:w="2624" w:type="dxa"/>
          </w:tcPr>
          <w:p>
            <w:pPr>
              <w:pStyle w:val="TableParagraph"/>
              <w:spacing w:line="240" w:lineRule="auto" w:before="7"/>
              <w:ind w:left="0"/>
              <w:rPr>
                <w:sz w:val="21"/>
              </w:rPr>
            </w:pPr>
          </w:p>
          <w:p>
            <w:pPr>
              <w:pStyle w:val="TableParagraph"/>
              <w:spacing w:line="156" w:lineRule="auto"/>
              <w:ind w:left="50"/>
              <w:rPr>
                <w:sz w:val="13"/>
              </w:rPr>
            </w:pPr>
            <w:r>
              <w:rPr>
                <w:position w:val="-8"/>
                <w:sz w:val="20"/>
              </w:rPr>
              <w:t>R</w:t>
            </w:r>
            <w:r>
              <w:rPr>
                <w:sz w:val="13"/>
              </w:rPr>
              <w:t>2</w:t>
            </w:r>
          </w:p>
        </w:tc>
        <w:tc>
          <w:tcPr>
            <w:tcW w:w="2687" w:type="dxa"/>
          </w:tcPr>
          <w:p>
            <w:pPr>
              <w:pStyle w:val="TableParagraph"/>
              <w:spacing w:line="240" w:lineRule="auto"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line="221" w:lineRule="exact"/>
              <w:ind w:left="618"/>
              <w:rPr>
                <w:sz w:val="20"/>
              </w:rPr>
            </w:pPr>
            <w:r>
              <w:rPr>
                <w:sz w:val="20"/>
              </w:rPr>
              <w:t>0.8126</w:t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line="221" w:lineRule="exact"/>
              <w:ind w:left="1123"/>
              <w:rPr>
                <w:sz w:val="20"/>
              </w:rPr>
            </w:pPr>
            <w:r>
              <w:rPr>
                <w:sz w:val="20"/>
              </w:rPr>
              <w:t>0.9613</w:t>
            </w:r>
          </w:p>
        </w:tc>
      </w:tr>
      <w:tr>
        <w:trPr>
          <w:trHeight w:val="603" w:hRule="atLeast"/>
        </w:trPr>
        <w:tc>
          <w:tcPr>
            <w:tcW w:w="2624" w:type="dxa"/>
          </w:tcPr>
          <w:p>
            <w:pPr>
              <w:pStyle w:val="TableParagraph"/>
              <w:spacing w:line="240" w:lineRule="auto"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50"/>
              <w:rPr>
                <w:sz w:val="20"/>
              </w:rPr>
            </w:pPr>
            <w:r>
              <w:rPr>
                <w:sz w:val="20"/>
              </w:rPr>
              <w:t>Hill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second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order</w:t>
            </w:r>
          </w:p>
        </w:tc>
        <w:tc>
          <w:tcPr>
            <w:tcW w:w="26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2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91" w:hRule="atLeast"/>
        </w:trPr>
        <w:tc>
          <w:tcPr>
            <w:tcW w:w="2624" w:type="dxa"/>
          </w:tcPr>
          <w:p>
            <w:pPr>
              <w:pStyle w:val="TableParagraph"/>
              <w:spacing w:line="240" w:lineRule="auto" w:before="120"/>
              <w:ind w:left="50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ϴ</w:t>
            </w:r>
            <w:r>
              <w:rPr>
                <w:w w:val="95"/>
                <w:sz w:val="20"/>
                <w:szCs w:val="20"/>
                <w:vertAlign w:val="subscript"/>
              </w:rPr>
              <w:t>o</w:t>
            </w:r>
            <w:r>
              <w:rPr>
                <w:spacing w:val="-8"/>
                <w:w w:val="95"/>
                <w:sz w:val="20"/>
                <w:szCs w:val="20"/>
                <w:vertAlign w:val="baseline"/>
              </w:rPr>
              <w:t> </w:t>
            </w:r>
            <w:r>
              <w:rPr>
                <w:w w:val="95"/>
                <w:sz w:val="20"/>
                <w:szCs w:val="20"/>
                <w:vertAlign w:val="baseline"/>
              </w:rPr>
              <w:t>calc</w:t>
            </w:r>
            <w:r>
              <w:rPr>
                <w:spacing w:val="22"/>
                <w:w w:val="95"/>
                <w:sz w:val="20"/>
                <w:szCs w:val="20"/>
                <w:vertAlign w:val="baseline"/>
              </w:rPr>
              <w:t> </w:t>
            </w:r>
            <w:r>
              <w:rPr>
                <w:w w:val="95"/>
                <w:sz w:val="20"/>
                <w:szCs w:val="20"/>
                <w:vertAlign w:val="baseline"/>
              </w:rPr>
              <w:t>(mg/g)</w:t>
            </w:r>
          </w:p>
        </w:tc>
        <w:tc>
          <w:tcPr>
            <w:tcW w:w="2687" w:type="dxa"/>
          </w:tcPr>
          <w:p>
            <w:pPr>
              <w:pStyle w:val="TableParagraph"/>
              <w:spacing w:line="240" w:lineRule="auto" w:before="120"/>
              <w:ind w:left="618"/>
              <w:rPr>
                <w:sz w:val="20"/>
              </w:rPr>
            </w:pPr>
            <w:r>
              <w:rPr>
                <w:sz w:val="20"/>
              </w:rPr>
              <w:t>0.1514</w:t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120"/>
              <w:ind w:left="1123"/>
              <w:rPr>
                <w:sz w:val="20"/>
              </w:rPr>
            </w:pPr>
            <w:r>
              <w:rPr>
                <w:sz w:val="20"/>
              </w:rPr>
              <w:t>0.1587</w:t>
            </w:r>
          </w:p>
        </w:tc>
      </w:tr>
      <w:tr>
        <w:trPr>
          <w:trHeight w:val="471" w:hRule="atLeast"/>
        </w:trPr>
        <w:tc>
          <w:tcPr>
            <w:tcW w:w="2624" w:type="dxa"/>
          </w:tcPr>
          <w:p>
            <w:pPr>
              <w:pStyle w:val="TableParagraph"/>
              <w:spacing w:line="240" w:lineRule="auto" w:before="112"/>
              <w:ind w:left="50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2687" w:type="dxa"/>
          </w:tcPr>
          <w:p>
            <w:pPr>
              <w:pStyle w:val="TableParagraph"/>
              <w:spacing w:line="240" w:lineRule="auto" w:before="112"/>
              <w:ind w:left="618"/>
              <w:rPr>
                <w:sz w:val="20"/>
              </w:rPr>
            </w:pPr>
            <w:r>
              <w:rPr>
                <w:sz w:val="20"/>
              </w:rPr>
              <w:t>-0.0249</w:t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112"/>
              <w:ind w:left="1123"/>
              <w:rPr>
                <w:sz w:val="20"/>
              </w:rPr>
            </w:pPr>
            <w:r>
              <w:rPr>
                <w:sz w:val="20"/>
              </w:rPr>
              <w:t>-0.0137</w:t>
            </w:r>
          </w:p>
        </w:tc>
      </w:tr>
      <w:tr>
        <w:trPr>
          <w:trHeight w:val="846" w:hRule="atLeast"/>
        </w:trPr>
        <w:tc>
          <w:tcPr>
            <w:tcW w:w="2624" w:type="dxa"/>
          </w:tcPr>
          <w:p>
            <w:pPr>
              <w:pStyle w:val="TableParagraph"/>
              <w:spacing w:line="240" w:lineRule="auto" w:before="101"/>
              <w:ind w:left="50"/>
              <w:rPr>
                <w:sz w:val="13"/>
              </w:rPr>
            </w:pPr>
            <w:r>
              <w:rPr>
                <w:position w:val="-8"/>
                <w:sz w:val="20"/>
              </w:rPr>
              <w:t>R</w:t>
            </w:r>
            <w:r>
              <w:rPr>
                <w:sz w:val="13"/>
              </w:rPr>
              <w:t>2</w:t>
            </w:r>
          </w:p>
          <w:p>
            <w:pPr>
              <w:pStyle w:val="TableParagraph"/>
              <w:spacing w:line="240" w:lineRule="auto"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Ho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pseudo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second-order</w:t>
            </w:r>
          </w:p>
        </w:tc>
        <w:tc>
          <w:tcPr>
            <w:tcW w:w="2687" w:type="dxa"/>
          </w:tcPr>
          <w:p>
            <w:pPr>
              <w:pStyle w:val="TableParagraph"/>
              <w:spacing w:line="240" w:lineRule="auto" w:before="122"/>
              <w:ind w:left="618"/>
              <w:rPr>
                <w:sz w:val="20"/>
              </w:rPr>
            </w:pPr>
            <w:r>
              <w:rPr>
                <w:sz w:val="20"/>
              </w:rPr>
              <w:t>0.7827</w:t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122"/>
              <w:ind w:left="1123"/>
              <w:rPr>
                <w:sz w:val="20"/>
              </w:rPr>
            </w:pPr>
            <w:r>
              <w:rPr>
                <w:sz w:val="20"/>
              </w:rPr>
              <w:t>0.7078</w:t>
            </w:r>
          </w:p>
        </w:tc>
      </w:tr>
      <w:tr>
        <w:trPr>
          <w:trHeight w:val="603" w:hRule="atLeast"/>
        </w:trPr>
        <w:tc>
          <w:tcPr>
            <w:tcW w:w="2624" w:type="dxa"/>
          </w:tcPr>
          <w:p>
            <w:pPr>
              <w:pStyle w:val="TableParagraph"/>
              <w:spacing w:line="240" w:lineRule="auto"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ϴ</w:t>
            </w:r>
            <w:r>
              <w:rPr>
                <w:w w:val="95"/>
                <w:sz w:val="20"/>
                <w:szCs w:val="20"/>
                <w:vertAlign w:val="subscript"/>
              </w:rPr>
              <w:t>o</w:t>
            </w:r>
            <w:r>
              <w:rPr>
                <w:spacing w:val="-8"/>
                <w:w w:val="95"/>
                <w:sz w:val="20"/>
                <w:szCs w:val="20"/>
                <w:vertAlign w:val="baseline"/>
              </w:rPr>
              <w:t> </w:t>
            </w:r>
            <w:r>
              <w:rPr>
                <w:w w:val="95"/>
                <w:sz w:val="20"/>
                <w:szCs w:val="20"/>
                <w:vertAlign w:val="baseline"/>
              </w:rPr>
              <w:t>calc</w:t>
            </w:r>
            <w:r>
              <w:rPr>
                <w:spacing w:val="22"/>
                <w:w w:val="95"/>
                <w:sz w:val="20"/>
                <w:szCs w:val="20"/>
                <w:vertAlign w:val="baseline"/>
              </w:rPr>
              <w:t> </w:t>
            </w:r>
            <w:r>
              <w:rPr>
                <w:w w:val="95"/>
                <w:sz w:val="20"/>
                <w:szCs w:val="20"/>
                <w:vertAlign w:val="baseline"/>
              </w:rPr>
              <w:t>(mg/g)</w:t>
            </w:r>
          </w:p>
        </w:tc>
        <w:tc>
          <w:tcPr>
            <w:tcW w:w="2687" w:type="dxa"/>
          </w:tcPr>
          <w:p>
            <w:pPr>
              <w:pStyle w:val="TableParagraph"/>
              <w:spacing w:line="240" w:lineRule="auto"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618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1123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</w:tr>
      <w:tr>
        <w:trPr>
          <w:trHeight w:val="363" w:hRule="atLeast"/>
        </w:trPr>
        <w:tc>
          <w:tcPr>
            <w:tcW w:w="2624" w:type="dxa"/>
          </w:tcPr>
          <w:p>
            <w:pPr>
              <w:pStyle w:val="TableParagraph"/>
              <w:spacing w:line="156" w:lineRule="auto" w:before="140"/>
              <w:ind w:left="50"/>
              <w:rPr>
                <w:sz w:val="13"/>
              </w:rPr>
            </w:pPr>
            <w:r>
              <w:rPr>
                <w:position w:val="-8"/>
                <w:sz w:val="20"/>
              </w:rPr>
              <w:t>K</w:t>
            </w:r>
            <w:r>
              <w:rPr>
                <w:sz w:val="13"/>
              </w:rPr>
              <w:t>2</w:t>
            </w:r>
          </w:p>
        </w:tc>
        <w:tc>
          <w:tcPr>
            <w:tcW w:w="2687" w:type="dxa"/>
          </w:tcPr>
          <w:p>
            <w:pPr>
              <w:pStyle w:val="TableParagraph"/>
              <w:spacing w:line="221" w:lineRule="exact" w:before="122"/>
              <w:ind w:left="618"/>
              <w:rPr>
                <w:sz w:val="20"/>
              </w:rPr>
            </w:pPr>
            <w:r>
              <w:rPr>
                <w:sz w:val="20"/>
              </w:rPr>
              <w:t>2.92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x 10</w:t>
            </w:r>
            <w:r>
              <w:rPr>
                <w:sz w:val="20"/>
                <w:vertAlign w:val="superscript"/>
              </w:rPr>
              <w:t>-5</w:t>
            </w:r>
          </w:p>
        </w:tc>
        <w:tc>
          <w:tcPr>
            <w:tcW w:w="2120" w:type="dxa"/>
          </w:tcPr>
          <w:p>
            <w:pPr>
              <w:pStyle w:val="TableParagraph"/>
              <w:spacing w:line="221" w:lineRule="exact" w:before="122"/>
              <w:ind w:left="1123"/>
              <w:rPr>
                <w:sz w:val="20"/>
              </w:rPr>
            </w:pPr>
            <w:r>
              <w:rPr>
                <w:sz w:val="20"/>
              </w:rPr>
              <w:t>3.08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x 10</w:t>
            </w:r>
            <w:r>
              <w:rPr>
                <w:sz w:val="20"/>
                <w:vertAlign w:val="superscript"/>
              </w:rPr>
              <w:t>-5</w:t>
            </w:r>
          </w:p>
        </w:tc>
      </w:tr>
      <w:tr>
        <w:trPr>
          <w:trHeight w:val="482" w:hRule="atLeast"/>
        </w:trPr>
        <w:tc>
          <w:tcPr>
            <w:tcW w:w="2624" w:type="dxa"/>
          </w:tcPr>
          <w:p>
            <w:pPr>
              <w:pStyle w:val="TableParagraph"/>
              <w:spacing w:line="240" w:lineRule="auto" w:before="5"/>
              <w:ind w:left="0"/>
              <w:rPr>
                <w:sz w:val="21"/>
              </w:rPr>
            </w:pPr>
          </w:p>
          <w:p>
            <w:pPr>
              <w:pStyle w:val="TableParagraph"/>
              <w:spacing w:line="156" w:lineRule="auto"/>
              <w:ind w:left="50"/>
              <w:rPr>
                <w:sz w:val="13"/>
              </w:rPr>
            </w:pPr>
            <w:r>
              <w:rPr>
                <w:position w:val="-8"/>
                <w:sz w:val="20"/>
              </w:rPr>
              <w:t>R</w:t>
            </w:r>
            <w:r>
              <w:rPr>
                <w:sz w:val="13"/>
              </w:rPr>
              <w:t>2</w:t>
            </w:r>
          </w:p>
        </w:tc>
        <w:tc>
          <w:tcPr>
            <w:tcW w:w="2687" w:type="dxa"/>
          </w:tcPr>
          <w:p>
            <w:pPr>
              <w:pStyle w:val="TableParagraph"/>
              <w:spacing w:line="240" w:lineRule="auto"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21" w:lineRule="exact" w:before="1"/>
              <w:ind w:left="618"/>
              <w:rPr>
                <w:sz w:val="20"/>
              </w:rPr>
            </w:pPr>
            <w:r>
              <w:rPr>
                <w:sz w:val="20"/>
              </w:rPr>
              <w:t>0.9645</w:t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21" w:lineRule="exact" w:before="1"/>
              <w:ind w:left="1123"/>
              <w:rPr>
                <w:sz w:val="20"/>
              </w:rPr>
            </w:pPr>
            <w:r>
              <w:rPr>
                <w:sz w:val="20"/>
              </w:rPr>
              <w:t>0.976</w:t>
            </w:r>
          </w:p>
        </w:tc>
      </w:tr>
      <w:tr>
        <w:trPr>
          <w:trHeight w:val="603" w:hRule="atLeast"/>
        </w:trPr>
        <w:tc>
          <w:tcPr>
            <w:tcW w:w="2624" w:type="dxa"/>
          </w:tcPr>
          <w:p>
            <w:pPr>
              <w:pStyle w:val="TableParagraph"/>
              <w:spacing w:line="240" w:lineRule="auto"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50"/>
              <w:rPr>
                <w:sz w:val="20"/>
              </w:rPr>
            </w:pPr>
            <w:r>
              <w:rPr>
                <w:sz w:val="20"/>
              </w:rPr>
              <w:t>Intra-particle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diffusion</w:t>
            </w:r>
          </w:p>
        </w:tc>
        <w:tc>
          <w:tcPr>
            <w:tcW w:w="26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2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91" w:hRule="atLeast"/>
        </w:trPr>
        <w:tc>
          <w:tcPr>
            <w:tcW w:w="2624" w:type="dxa"/>
          </w:tcPr>
          <w:p>
            <w:pPr>
              <w:pStyle w:val="TableParagraph"/>
              <w:spacing w:line="240" w:lineRule="auto" w:before="120"/>
              <w:ind w:left="50"/>
              <w:rPr>
                <w:sz w:val="20"/>
              </w:rPr>
            </w:pPr>
            <w:r>
              <w:rPr>
                <w:spacing w:val="-1"/>
                <w:sz w:val="20"/>
              </w:rPr>
              <w:t>K</w:t>
            </w:r>
            <w:r>
              <w:rPr>
                <w:spacing w:val="-1"/>
                <w:sz w:val="20"/>
                <w:vertAlign w:val="subscript"/>
              </w:rPr>
              <w:t>d</w:t>
            </w:r>
            <w:r>
              <w:rPr>
                <w:spacing w:val="-20"/>
                <w:sz w:val="20"/>
                <w:vertAlign w:val="baseline"/>
              </w:rPr>
              <w:t> </w:t>
            </w:r>
            <w:r>
              <w:rPr>
                <w:spacing w:val="-1"/>
                <w:sz w:val="20"/>
                <w:vertAlign w:val="baseline"/>
              </w:rPr>
              <w:t>(meq/g/sec)</w:t>
            </w:r>
          </w:p>
        </w:tc>
        <w:tc>
          <w:tcPr>
            <w:tcW w:w="2687" w:type="dxa"/>
          </w:tcPr>
          <w:p>
            <w:pPr>
              <w:pStyle w:val="TableParagraph"/>
              <w:spacing w:line="240" w:lineRule="auto" w:before="120"/>
              <w:ind w:left="618"/>
              <w:rPr>
                <w:sz w:val="20"/>
              </w:rPr>
            </w:pPr>
            <w:r>
              <w:rPr>
                <w:sz w:val="20"/>
              </w:rPr>
              <w:t>171.59</w:t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120"/>
              <w:ind w:left="1123"/>
              <w:rPr>
                <w:sz w:val="20"/>
              </w:rPr>
            </w:pPr>
            <w:r>
              <w:rPr>
                <w:sz w:val="20"/>
              </w:rPr>
              <w:t>85.8</w:t>
            </w:r>
          </w:p>
        </w:tc>
      </w:tr>
      <w:tr>
        <w:trPr>
          <w:trHeight w:val="464" w:hRule="atLeast"/>
        </w:trPr>
        <w:tc>
          <w:tcPr>
            <w:tcW w:w="2624" w:type="dxa"/>
          </w:tcPr>
          <w:p>
            <w:pPr>
              <w:pStyle w:val="TableParagraph"/>
              <w:spacing w:line="240" w:lineRule="auto" w:before="111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2687" w:type="dxa"/>
          </w:tcPr>
          <w:p>
            <w:pPr>
              <w:pStyle w:val="TableParagraph"/>
              <w:spacing w:line="240" w:lineRule="auto" w:before="111"/>
              <w:ind w:left="618"/>
              <w:rPr>
                <w:sz w:val="20"/>
              </w:rPr>
            </w:pPr>
            <w:r>
              <w:rPr>
                <w:sz w:val="20"/>
              </w:rPr>
              <w:t>740.92</w:t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111"/>
              <w:ind w:left="1123"/>
              <w:rPr>
                <w:sz w:val="20"/>
              </w:rPr>
            </w:pPr>
            <w:r>
              <w:rPr>
                <w:sz w:val="20"/>
              </w:rPr>
              <w:t>1150.4</w:t>
            </w:r>
          </w:p>
        </w:tc>
      </w:tr>
      <w:tr>
        <w:trPr>
          <w:trHeight w:val="373" w:hRule="atLeast"/>
        </w:trPr>
        <w:tc>
          <w:tcPr>
            <w:tcW w:w="2624" w:type="dxa"/>
          </w:tcPr>
          <w:p>
            <w:pPr>
              <w:pStyle w:val="TableParagraph"/>
              <w:spacing w:line="156" w:lineRule="auto" w:before="149"/>
              <w:ind w:left="50"/>
              <w:rPr>
                <w:sz w:val="13"/>
              </w:rPr>
            </w:pPr>
            <w:r>
              <w:rPr>
                <w:position w:val="-8"/>
                <w:sz w:val="20"/>
              </w:rPr>
              <w:t>R</w:t>
            </w:r>
            <w:r>
              <w:rPr>
                <w:sz w:val="13"/>
              </w:rPr>
              <w:t>2</w:t>
            </w:r>
          </w:p>
        </w:tc>
        <w:tc>
          <w:tcPr>
            <w:tcW w:w="2687" w:type="dxa"/>
          </w:tcPr>
          <w:p>
            <w:pPr>
              <w:pStyle w:val="TableParagraph"/>
              <w:spacing w:line="221" w:lineRule="exact" w:before="132"/>
              <w:ind w:left="618"/>
              <w:rPr>
                <w:sz w:val="20"/>
              </w:rPr>
            </w:pPr>
            <w:r>
              <w:rPr>
                <w:sz w:val="20"/>
              </w:rPr>
              <w:t>0.9077</w:t>
            </w:r>
          </w:p>
        </w:tc>
        <w:tc>
          <w:tcPr>
            <w:tcW w:w="2120" w:type="dxa"/>
          </w:tcPr>
          <w:p>
            <w:pPr>
              <w:pStyle w:val="TableParagraph"/>
              <w:spacing w:line="221" w:lineRule="exact" w:before="132"/>
              <w:ind w:left="1123"/>
              <w:rPr>
                <w:sz w:val="20"/>
              </w:rPr>
            </w:pPr>
            <w:r>
              <w:rPr>
                <w:sz w:val="20"/>
              </w:rPr>
              <w:t>0.9962</w:t>
            </w:r>
          </w:p>
        </w:tc>
      </w:tr>
    </w:tbl>
    <w:p>
      <w:pPr>
        <w:pStyle w:val="BodyText"/>
        <w:spacing w:before="11"/>
        <w:rPr>
          <w:sz w:val="19"/>
        </w:rPr>
      </w:pPr>
    </w:p>
    <w:p>
      <w:pPr>
        <w:spacing w:before="1"/>
        <w:ind w:left="1198" w:right="0" w:firstLine="0"/>
        <w:jc w:val="left"/>
        <w:rPr>
          <w:sz w:val="20"/>
        </w:rPr>
      </w:pPr>
      <w:r>
        <w:rPr>
          <w:sz w:val="20"/>
        </w:rPr>
        <w:t>Liquid-film</w:t>
      </w:r>
      <w:r>
        <w:rPr>
          <w:spacing w:val="-6"/>
          <w:sz w:val="20"/>
        </w:rPr>
        <w:t> </w:t>
      </w:r>
      <w:r>
        <w:rPr>
          <w:sz w:val="20"/>
        </w:rPr>
        <w:t>diffusion</w:t>
      </w:r>
      <w:r>
        <w:rPr>
          <w:spacing w:val="-7"/>
          <w:sz w:val="20"/>
        </w:rPr>
        <w:t> </w:t>
      </w:r>
      <w:r>
        <w:rPr>
          <w:sz w:val="20"/>
        </w:rPr>
        <w:t>model</w:t>
      </w:r>
    </w:p>
    <w:p>
      <w:pPr>
        <w:pStyle w:val="BodyText"/>
        <w:spacing w:before="11"/>
        <w:rPr>
          <w:sz w:val="19"/>
        </w:rPr>
      </w:pPr>
    </w:p>
    <w:p>
      <w:pPr>
        <w:tabs>
          <w:tab w:pos="4390" w:val="left" w:leader="none"/>
          <w:tab w:pos="7582" w:val="left" w:leader="none"/>
        </w:tabs>
        <w:spacing w:before="0"/>
        <w:ind w:left="1198" w:right="0" w:firstLine="0"/>
        <w:jc w:val="left"/>
        <w:rPr>
          <w:sz w:val="20"/>
        </w:rPr>
      </w:pPr>
      <w:r>
        <w:rPr>
          <w:sz w:val="20"/>
        </w:rPr>
        <w:t>Kf</w:t>
      </w:r>
      <w:r>
        <w:rPr>
          <w:sz w:val="20"/>
          <w:vertAlign w:val="subscript"/>
        </w:rPr>
        <w:t>d</w:t>
      </w:r>
      <w:r>
        <w:rPr>
          <w:sz w:val="20"/>
          <w:vertAlign w:val="baseline"/>
        </w:rPr>
        <w:tab/>
        <w:t>-0.0523</w:t>
        <w:tab/>
        <w:t>-0.0242</w:t>
      </w:r>
    </w:p>
    <w:p>
      <w:pPr>
        <w:tabs>
          <w:tab w:pos="4390" w:val="left" w:leader="none"/>
          <w:tab w:pos="8187" w:val="right" w:leader="none"/>
        </w:tabs>
        <w:spacing w:before="241"/>
        <w:ind w:left="1198" w:right="0" w:firstLine="0"/>
        <w:jc w:val="left"/>
        <w:rPr>
          <w:sz w:val="20"/>
        </w:rPr>
      </w:pPr>
      <w:r>
        <w:rPr>
          <w:sz w:val="20"/>
        </w:rPr>
        <w:t>R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ab/>
        <w:t>0.9736</w:t>
        <w:tab/>
        <w:t>0.9944</w:t>
      </w:r>
    </w:p>
    <w:p>
      <w:pPr>
        <w:pStyle w:val="BodyText"/>
        <w:spacing w:before="10"/>
        <w:rPr>
          <w:sz w:val="16"/>
        </w:rPr>
      </w:pPr>
      <w:r>
        <w:rPr/>
        <w:pict>
          <v:rect style="position:absolute;margin-left:74.784004pt;margin-top:12.107224pt;width:479.586023pt;height:.479pt;mso-position-horizontal-relative:page;mso-position-vertical-relative:paragraph;z-index:-156687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6"/>
        </w:rPr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480" w:lineRule="auto" w:before="100"/>
        <w:ind w:left="1198" w:right="573"/>
        <w:jc w:val="both"/>
      </w:pPr>
      <w:r>
        <w:rPr/>
        <w:t>A comparison of</w:t>
      </w:r>
      <w:r>
        <w:rPr>
          <w:spacing w:val="1"/>
        </w:rPr>
        <w:t> </w:t>
      </w:r>
      <w:r>
        <w:rPr/>
        <w:t>the</w:t>
      </w:r>
      <w:r>
        <w:rPr>
          <w:spacing w:val="75"/>
        </w:rPr>
        <w:t> </w:t>
      </w:r>
      <w:r>
        <w:rPr/>
        <w:t>coefficient of correlation results</w:t>
      </w:r>
      <w:r>
        <w:rPr>
          <w:spacing w:val="75"/>
        </w:rPr>
        <w:t> </w:t>
      </w:r>
      <w:r>
        <w:rPr/>
        <w:t>presented in Table 3.17, indicated</w:t>
      </w:r>
      <w:r>
        <w:rPr>
          <w:spacing w:val="1"/>
        </w:rPr>
        <w:t> </w:t>
      </w:r>
      <w:r>
        <w:rPr/>
        <w:t>that crude oil sorption unto raw and acetylated corn cob does not follow hill second order</w:t>
      </w:r>
      <w:r>
        <w:rPr>
          <w:spacing w:val="1"/>
        </w:rPr>
        <w:t> </w:t>
      </w:r>
      <w:r>
        <w:rPr/>
        <w:t>expression.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ϴ</w:t>
      </w:r>
      <w:r>
        <w:rPr>
          <w:vertAlign w:val="subscript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values,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quite</w:t>
      </w:r>
      <w:r>
        <w:rPr>
          <w:spacing w:val="1"/>
          <w:vertAlign w:val="baseline"/>
        </w:rPr>
        <w:t> </w:t>
      </w:r>
      <w:r>
        <w:rPr>
          <w:vertAlign w:val="baseline"/>
        </w:rPr>
        <w:t>satisfactory and values are also fairly low when compared with ϴ</w:t>
      </w:r>
      <w:r>
        <w:rPr>
          <w:vertAlign w:val="subscript"/>
        </w:rPr>
        <w:t>o</w:t>
      </w:r>
      <w:r>
        <w:rPr>
          <w:vertAlign w:val="baseline"/>
        </w:rPr>
        <w:t> experimental.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derived</w:t>
      </w:r>
      <w:r>
        <w:rPr>
          <w:spacing w:val="27"/>
          <w:vertAlign w:val="baseline"/>
        </w:rPr>
        <w:t> </w:t>
      </w:r>
      <w:r>
        <w:rPr>
          <w:vertAlign w:val="baseline"/>
        </w:rPr>
        <w:t>pseudo</w:t>
      </w:r>
      <w:r>
        <w:rPr>
          <w:spacing w:val="28"/>
          <w:vertAlign w:val="baseline"/>
        </w:rPr>
        <w:t> </w:t>
      </w:r>
      <w:r>
        <w:rPr>
          <w:vertAlign w:val="baseline"/>
        </w:rPr>
        <w:t>first-order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Ho</w:t>
      </w:r>
      <w:r>
        <w:rPr>
          <w:spacing w:val="28"/>
          <w:vertAlign w:val="baseline"/>
        </w:rPr>
        <w:t> </w:t>
      </w:r>
      <w:r>
        <w:rPr>
          <w:vertAlign w:val="baseline"/>
        </w:rPr>
        <w:t>pseudo</w:t>
      </w:r>
      <w:r>
        <w:rPr>
          <w:spacing w:val="28"/>
          <w:vertAlign w:val="baseline"/>
        </w:rPr>
        <w:t> </w:t>
      </w:r>
      <w:r>
        <w:rPr>
          <w:vertAlign w:val="baseline"/>
        </w:rPr>
        <w:t>second-order</w:t>
      </w:r>
      <w:r>
        <w:rPr>
          <w:spacing w:val="29"/>
          <w:vertAlign w:val="baseline"/>
        </w:rPr>
        <w:t> </w:t>
      </w:r>
      <w:r>
        <w:rPr>
          <w:vertAlign w:val="baseline"/>
        </w:rPr>
        <w:t>expression</w:t>
      </w:r>
      <w:r>
        <w:rPr>
          <w:spacing w:val="29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29"/>
          <w:vertAlign w:val="baseline"/>
        </w:rPr>
        <w:t> </w:t>
      </w:r>
      <w:r>
        <w:rPr>
          <w:vertAlign w:val="baseline"/>
        </w:rPr>
        <w:t>a</w:t>
      </w:r>
      <w:r>
        <w:rPr>
          <w:spacing w:val="28"/>
          <w:vertAlign w:val="baseline"/>
        </w:rPr>
        <w:t> </w:t>
      </w:r>
      <w:r>
        <w:rPr>
          <w:vertAlign w:val="baseline"/>
        </w:rPr>
        <w:t>fair</w:t>
      </w:r>
      <w:r>
        <w:rPr>
          <w:spacing w:val="29"/>
          <w:vertAlign w:val="baseline"/>
        </w:rPr>
        <w:t> </w:t>
      </w:r>
      <w:r>
        <w:rPr>
          <w:vertAlign w:val="baseline"/>
        </w:rPr>
        <w:t>fit</w:t>
      </w:r>
      <w:r>
        <w:rPr>
          <w:spacing w:val="28"/>
          <w:vertAlign w:val="baseline"/>
        </w:rPr>
        <w:t> </w:t>
      </w:r>
      <w:r>
        <w:rPr>
          <w:vertAlign w:val="baseline"/>
        </w:rPr>
        <w:t>to</w:t>
      </w:r>
      <w:r>
        <w:rPr>
          <w:spacing w:val="-7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regression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(R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0.8126-0.976.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ϴ</w:t>
      </w:r>
      <w:r>
        <w:rPr>
          <w:vertAlign w:val="subscript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 are satisfactory when compared with ϴ</w:t>
      </w:r>
      <w:r>
        <w:rPr>
          <w:vertAlign w:val="subscript"/>
        </w:rPr>
        <w:t>o</w:t>
      </w:r>
      <w:r>
        <w:rPr>
          <w:vertAlign w:val="baseline"/>
        </w:rPr>
        <w:t> experimental value. The coefficient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correlation for the lagergren pseudo first-order expression were greater than 0.97 for both</w:t>
      </w:r>
      <w:r>
        <w:rPr>
          <w:spacing w:val="1"/>
          <w:vertAlign w:val="baseline"/>
        </w:rPr>
        <w:t> </w:t>
      </w:r>
      <w:r>
        <w:rPr>
          <w:vertAlign w:val="baseline"/>
        </w:rPr>
        <w:t>raw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acetylated</w:t>
      </w:r>
      <w:r>
        <w:rPr>
          <w:spacing w:val="1"/>
          <w:vertAlign w:val="baseline"/>
        </w:rPr>
        <w:t> </w:t>
      </w:r>
      <w:r>
        <w:rPr>
          <w:vertAlign w:val="baseline"/>
        </w:rPr>
        <w:t>corn</w:t>
      </w:r>
      <w:r>
        <w:rPr>
          <w:spacing w:val="1"/>
          <w:vertAlign w:val="baseline"/>
        </w:rPr>
        <w:t> </w:t>
      </w:r>
      <w:r>
        <w:rPr>
          <w:vertAlign w:val="baseline"/>
        </w:rPr>
        <w:t>cob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ϴ</w:t>
      </w:r>
      <w:r>
        <w:rPr>
          <w:vertAlign w:val="subscript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agree</w:t>
      </w:r>
      <w:r>
        <w:rPr>
          <w:spacing w:val="1"/>
          <w:vertAlign w:val="baseline"/>
        </w:rPr>
        <w:t> </w:t>
      </w:r>
      <w:r>
        <w:rPr>
          <w:vertAlign w:val="baseline"/>
        </w:rPr>
        <w:t>well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7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39"/>
          <w:vertAlign w:val="baseline"/>
        </w:rPr>
        <w:t> </w:t>
      </w:r>
      <w:r>
        <w:rPr>
          <w:vertAlign w:val="baseline"/>
        </w:rPr>
        <w:t>value.</w:t>
      </w:r>
      <w:r>
        <w:rPr>
          <w:spacing w:val="38"/>
          <w:vertAlign w:val="baseline"/>
        </w:rPr>
        <w:t> </w:t>
      </w:r>
      <w:r>
        <w:rPr>
          <w:vertAlign w:val="baseline"/>
        </w:rPr>
        <w:t>This</w:t>
      </w:r>
      <w:r>
        <w:rPr>
          <w:spacing w:val="40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39"/>
          <w:vertAlign w:val="baseline"/>
        </w:rPr>
        <w:t> </w:t>
      </w:r>
      <w:r>
        <w:rPr>
          <w:vertAlign w:val="baseline"/>
        </w:rPr>
        <w:t>implied</w:t>
      </w:r>
      <w:r>
        <w:rPr>
          <w:spacing w:val="39"/>
          <w:vertAlign w:val="baseline"/>
        </w:rPr>
        <w:t> </w:t>
      </w:r>
      <w:r>
        <w:rPr>
          <w:vertAlign w:val="baseline"/>
        </w:rPr>
        <w:t>that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40"/>
          <w:vertAlign w:val="baseline"/>
        </w:rPr>
        <w:t> </w:t>
      </w:r>
      <w:r>
        <w:rPr>
          <w:vertAlign w:val="baseline"/>
        </w:rPr>
        <w:t>of</w:t>
      </w:r>
      <w:r>
        <w:rPr>
          <w:spacing w:val="39"/>
          <w:vertAlign w:val="baseline"/>
        </w:rPr>
        <w:t> </w:t>
      </w:r>
      <w:r>
        <w:rPr>
          <w:vertAlign w:val="baseline"/>
        </w:rPr>
        <w:t>sorption</w:t>
      </w:r>
      <w:r>
        <w:rPr>
          <w:spacing w:val="39"/>
          <w:vertAlign w:val="baseline"/>
        </w:rPr>
        <w:t> </w:t>
      </w:r>
      <w:r>
        <w:rPr>
          <w:vertAlign w:val="baseline"/>
        </w:rPr>
        <w:t>of</w:t>
      </w:r>
      <w:r>
        <w:rPr>
          <w:spacing w:val="39"/>
          <w:vertAlign w:val="baseline"/>
        </w:rPr>
        <w:t> </w:t>
      </w:r>
      <w:r>
        <w:rPr>
          <w:vertAlign w:val="baseline"/>
        </w:rPr>
        <w:t>crude</w:t>
      </w:r>
      <w:r>
        <w:rPr>
          <w:spacing w:val="40"/>
          <w:vertAlign w:val="baseline"/>
        </w:rPr>
        <w:t> </w:t>
      </w:r>
      <w:r>
        <w:rPr>
          <w:vertAlign w:val="baseline"/>
        </w:rPr>
        <w:t>oil</w:t>
      </w:r>
      <w:r>
        <w:rPr>
          <w:spacing w:val="-73"/>
          <w:vertAlign w:val="baseline"/>
        </w:rPr>
        <w:t> </w:t>
      </w:r>
      <w:r>
        <w:rPr>
          <w:vertAlign w:val="baseline"/>
        </w:rPr>
        <w:t>unto corn cob conforms to pseudo first-order kinetic expression. Intra-particle diffusion and</w:t>
      </w:r>
      <w:r>
        <w:rPr>
          <w:spacing w:val="-72"/>
          <w:vertAlign w:val="baseline"/>
        </w:rPr>
        <w:t> </w:t>
      </w:r>
      <w:r>
        <w:rPr>
          <w:vertAlign w:val="baseline"/>
        </w:rPr>
        <w:t>liquid-film diffusion models were also used to further study the mechanism of crude oil</w:t>
      </w:r>
      <w:r>
        <w:rPr>
          <w:spacing w:val="1"/>
          <w:vertAlign w:val="baseline"/>
        </w:rPr>
        <w:t> </w:t>
      </w:r>
      <w:r>
        <w:rPr>
          <w:vertAlign w:val="baseline"/>
        </w:rPr>
        <w:t>sorption unto corn cob. For the intra-particle diffusion model, the intercept of the plot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indicated boundary layer effect. A large intercept implied greater contributions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 sorption in the rate-determining step. Intra-particle diffusion is the sole rate-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determining step if the plots is linear, and passed through the origin. From Table 3.17, as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indicated by high regression values for both raw and acetylated corn cob and also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intercept (c), it shows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plot did not pass through the</w:t>
      </w:r>
      <w:r>
        <w:rPr>
          <w:spacing w:val="75"/>
          <w:vertAlign w:val="baseline"/>
        </w:rPr>
        <w:t> </w:t>
      </w:r>
      <w:r>
        <w:rPr>
          <w:vertAlign w:val="baseline"/>
        </w:rPr>
        <w:t>origin, but</w:t>
      </w:r>
      <w:r>
        <w:rPr>
          <w:spacing w:val="1"/>
          <w:vertAlign w:val="baseline"/>
        </w:rPr>
        <w:t> </w:t>
      </w:r>
      <w:r>
        <w:rPr>
          <w:vertAlign w:val="baseline"/>
        </w:rPr>
        <w:t>was close to it. The deviation from origin was due to the difference in mass transfer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initial and final stages of the sorption process (Das and Mondal, 2011). The presence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boundary layer effect (c) showed the existence of surface sorption, indicating that intra-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11"/>
          <w:vertAlign w:val="baseline"/>
        </w:rPr>
        <w:t> </w:t>
      </w:r>
      <w:r>
        <w:rPr>
          <w:vertAlign w:val="baseline"/>
        </w:rPr>
        <w:t>diffusion</w:t>
      </w:r>
      <w:r>
        <w:rPr>
          <w:spacing w:val="10"/>
          <w:vertAlign w:val="baseline"/>
        </w:rPr>
        <w:t> </w:t>
      </w:r>
      <w:r>
        <w:rPr>
          <w:vertAlign w:val="baseline"/>
        </w:rPr>
        <w:t>expression</w:t>
      </w:r>
      <w:r>
        <w:rPr>
          <w:spacing w:val="10"/>
          <w:vertAlign w:val="baseline"/>
        </w:rPr>
        <w:t> </w:t>
      </w:r>
      <w:r>
        <w:rPr>
          <w:vertAlign w:val="baseline"/>
        </w:rPr>
        <w:t>is</w:t>
      </w:r>
      <w:r>
        <w:rPr>
          <w:spacing w:val="11"/>
          <w:vertAlign w:val="baseline"/>
        </w:rPr>
        <w:t> </w:t>
      </w:r>
      <w:r>
        <w:rPr>
          <w:vertAlign w:val="baseline"/>
        </w:rPr>
        <w:t>not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only</w:t>
      </w:r>
      <w:r>
        <w:rPr>
          <w:spacing w:val="8"/>
          <w:vertAlign w:val="baseline"/>
        </w:rPr>
        <w:t> </w:t>
      </w:r>
      <w:r>
        <w:rPr>
          <w:vertAlign w:val="baseline"/>
        </w:rPr>
        <w:t>rate</w:t>
      </w:r>
      <w:r>
        <w:rPr>
          <w:spacing w:val="12"/>
          <w:vertAlign w:val="baseline"/>
        </w:rPr>
        <w:t> </w:t>
      </w:r>
      <w:r>
        <w:rPr>
          <w:vertAlign w:val="baseline"/>
        </w:rPr>
        <w:t>determining</w:t>
      </w:r>
      <w:r>
        <w:rPr>
          <w:spacing w:val="10"/>
          <w:vertAlign w:val="baseline"/>
        </w:rPr>
        <w:t> </w:t>
      </w:r>
      <w:r>
        <w:rPr>
          <w:vertAlign w:val="baseline"/>
        </w:rPr>
        <w:t>step.</w:t>
      </w:r>
      <w:r>
        <w:rPr>
          <w:spacing w:val="9"/>
          <w:vertAlign w:val="baseline"/>
        </w:rPr>
        <w:t> </w:t>
      </w:r>
      <w:r>
        <w:rPr>
          <w:vertAlign w:val="baseline"/>
        </w:rPr>
        <w:t>Similarly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application</w:t>
      </w:r>
    </w:p>
    <w:p>
      <w:pPr>
        <w:spacing w:after="0" w:line="480" w:lineRule="auto"/>
        <w:jc w:val="both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spacing w:line="482" w:lineRule="auto" w:before="75"/>
        <w:ind w:left="1198" w:right="582"/>
        <w:jc w:val="both"/>
      </w:pPr>
      <w:r>
        <w:rPr/>
        <w:t>of liquid film diffusion model gave high curve linearity (0.9736 (ACC) and 0.9944 (RCC))</w:t>
      </w:r>
      <w:r>
        <w:rPr>
          <w:spacing w:val="1"/>
        </w:rPr>
        <w:t> </w:t>
      </w:r>
      <w:r>
        <w:rPr/>
        <w:t>indicating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high applicability of</w:t>
      </w:r>
      <w:r>
        <w:rPr>
          <w:spacing w:val="1"/>
        </w:rPr>
        <w:t> </w:t>
      </w:r>
      <w:r>
        <w:rPr/>
        <w:t>the model.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75" w:lineRule="auto"/>
        <w:ind w:left="1198" w:right="575"/>
        <w:jc w:val="both"/>
      </w:pPr>
      <w:r>
        <w:rPr/>
        <w:t>Results</w:t>
      </w:r>
      <w:r>
        <w:rPr>
          <w:spacing w:val="63"/>
        </w:rPr>
        <w:t> </w:t>
      </w:r>
      <w:r>
        <w:rPr/>
        <w:t>from</w:t>
      </w:r>
      <w:r>
        <w:rPr>
          <w:spacing w:val="63"/>
        </w:rPr>
        <w:t> </w:t>
      </w:r>
      <w:r>
        <w:rPr/>
        <w:t>our</w:t>
      </w:r>
      <w:r>
        <w:rPr>
          <w:spacing w:val="61"/>
        </w:rPr>
        <w:t> </w:t>
      </w:r>
      <w:r>
        <w:rPr/>
        <w:t>kinetic</w:t>
      </w:r>
      <w:r>
        <w:rPr>
          <w:spacing w:val="64"/>
        </w:rPr>
        <w:t> </w:t>
      </w:r>
      <w:r>
        <w:rPr/>
        <w:t>studies,</w:t>
      </w:r>
      <w:r>
        <w:rPr>
          <w:spacing w:val="63"/>
        </w:rPr>
        <w:t> </w:t>
      </w:r>
      <w:r>
        <w:rPr/>
        <w:t>revealed</w:t>
      </w:r>
      <w:r>
        <w:rPr>
          <w:spacing w:val="61"/>
        </w:rPr>
        <w:t> </w:t>
      </w:r>
      <w:r>
        <w:rPr/>
        <w:t>therefore</w:t>
      </w:r>
      <w:r>
        <w:rPr>
          <w:spacing w:val="63"/>
        </w:rPr>
        <w:t> </w:t>
      </w:r>
      <w:r>
        <w:rPr/>
        <w:t>that</w:t>
      </w:r>
      <w:r>
        <w:rPr>
          <w:spacing w:val="63"/>
        </w:rPr>
        <w:t> </w:t>
      </w:r>
      <w:r>
        <w:rPr/>
        <w:t>sorption</w:t>
      </w:r>
      <w:r>
        <w:rPr>
          <w:spacing w:val="64"/>
        </w:rPr>
        <w:t> </w:t>
      </w:r>
      <w:r>
        <w:rPr/>
        <w:t>of</w:t>
      </w:r>
      <w:r>
        <w:rPr>
          <w:spacing w:val="64"/>
        </w:rPr>
        <w:t> </w:t>
      </w:r>
      <w:r>
        <w:rPr/>
        <w:t>oil</w:t>
      </w:r>
      <w:r>
        <w:rPr>
          <w:spacing w:val="64"/>
        </w:rPr>
        <w:t> </w:t>
      </w:r>
      <w:r>
        <w:rPr/>
        <w:t>is</w:t>
      </w:r>
      <w:r>
        <w:rPr>
          <w:spacing w:val="62"/>
        </w:rPr>
        <w:t> </w:t>
      </w:r>
      <w:r>
        <w:rPr/>
        <w:t>by</w:t>
      </w:r>
      <w:r>
        <w:rPr>
          <w:spacing w:val="64"/>
        </w:rPr>
        <w:t> </w:t>
      </w:r>
      <w:r>
        <w:rPr/>
        <w:t>surface</w:t>
      </w:r>
      <w:r>
        <w:rPr>
          <w:spacing w:val="-72"/>
        </w:rPr>
        <w:t> </w:t>
      </w:r>
      <w:r>
        <w:rPr/>
        <w:t>reaction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into the</w:t>
      </w:r>
      <w:r>
        <w:rPr>
          <w:spacing w:val="1"/>
        </w:rPr>
        <w:t> </w:t>
      </w:r>
      <w:r>
        <w:rPr/>
        <w:t>pores</w:t>
      </w:r>
      <w:r>
        <w:rPr>
          <w:spacing w:val="1"/>
        </w:rPr>
        <w:t> </w:t>
      </w:r>
      <w:r>
        <w:rPr/>
        <w:t>of corn cob.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 with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elsewhere</w:t>
      </w:r>
      <w:r>
        <w:rPr>
          <w:spacing w:val="-1"/>
        </w:rPr>
        <w:t> </w:t>
      </w:r>
      <w:r>
        <w:rPr/>
        <w:t>[Uzoije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2"/>
        </w:rPr>
        <w:t> </w:t>
      </w:r>
      <w:r>
        <w:rPr/>
        <w:t>2011;</w:t>
      </w:r>
      <w:r>
        <w:rPr>
          <w:spacing w:val="-1"/>
        </w:rPr>
        <w:t> </w:t>
      </w:r>
      <w:r>
        <w:rPr/>
        <w:t>Aisien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</w:t>
      </w:r>
      <w:r>
        <w:rPr/>
        <w:t>.,</w:t>
      </w:r>
      <w:r>
        <w:rPr>
          <w:spacing w:val="-2"/>
        </w:rPr>
        <w:t> </w:t>
      </w:r>
      <w:r>
        <w:rPr/>
        <w:t>2011].</w:t>
      </w:r>
    </w:p>
    <w:p>
      <w:pPr>
        <w:spacing w:after="0" w:line="475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spacing w:before="75"/>
        <w:jc w:val="both"/>
      </w:pPr>
      <w:r>
        <w:rPr/>
        <w:t>3.7.3.</w:t>
      </w:r>
      <w:r>
        <w:rPr>
          <w:spacing w:val="30"/>
        </w:rPr>
        <w:t> </w:t>
      </w:r>
      <w:r>
        <w:rPr/>
        <w:t>Crude</w:t>
      </w:r>
      <w:r>
        <w:rPr>
          <w:spacing w:val="-4"/>
        </w:rPr>
        <w:t> </w:t>
      </w:r>
      <w:r>
        <w:rPr/>
        <w:t>oil</w:t>
      </w:r>
      <w:r>
        <w:rPr>
          <w:spacing w:val="-3"/>
        </w:rPr>
        <w:t> </w:t>
      </w:r>
      <w:r>
        <w:rPr/>
        <w:t>sorption</w:t>
      </w:r>
      <w:r>
        <w:rPr>
          <w:spacing w:val="-2"/>
        </w:rPr>
        <w:t> </w:t>
      </w:r>
      <w:r>
        <w:rPr/>
        <w:t>onto</w:t>
      </w:r>
      <w:r>
        <w:rPr>
          <w:spacing w:val="-4"/>
        </w:rPr>
        <w:t> </w:t>
      </w:r>
      <w:r>
        <w:rPr/>
        <w:t>Mango</w:t>
      </w:r>
      <w:r>
        <w:rPr>
          <w:spacing w:val="-3"/>
        </w:rPr>
        <w:t> </w:t>
      </w:r>
      <w:r>
        <w:rPr/>
        <w:t>kernel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before="1"/>
        <w:ind w:left="1198"/>
        <w:jc w:val="both"/>
      </w:pPr>
      <w:r>
        <w:rPr/>
        <w:t>Crude</w:t>
      </w:r>
      <w:r>
        <w:rPr>
          <w:spacing w:val="9"/>
        </w:rPr>
        <w:t> </w:t>
      </w:r>
      <w:r>
        <w:rPr/>
        <w:t>oil</w:t>
      </w:r>
      <w:r>
        <w:rPr>
          <w:spacing w:val="9"/>
        </w:rPr>
        <w:t> </w:t>
      </w:r>
      <w:r>
        <w:rPr/>
        <w:t>uptake</w:t>
      </w:r>
      <w:r>
        <w:rPr>
          <w:spacing w:val="11"/>
        </w:rPr>
        <w:t> </w:t>
      </w:r>
      <w:r>
        <w:rPr/>
        <w:t>was</w:t>
      </w:r>
      <w:r>
        <w:rPr>
          <w:spacing w:val="9"/>
        </w:rPr>
        <w:t> </w:t>
      </w:r>
      <w:r>
        <w:rPr/>
        <w:t>studied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batch</w:t>
      </w:r>
      <w:r>
        <w:rPr>
          <w:spacing w:val="10"/>
        </w:rPr>
        <w:t> </w:t>
      </w:r>
      <w:r>
        <w:rPr/>
        <w:t>experiments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results</w:t>
      </w:r>
      <w:r>
        <w:rPr>
          <w:spacing w:val="13"/>
        </w:rPr>
        <w:t> </w:t>
      </w:r>
      <w:r>
        <w:rPr/>
        <w:t>are</w:t>
      </w:r>
      <w:r>
        <w:rPr>
          <w:spacing w:val="9"/>
        </w:rPr>
        <w:t> </w:t>
      </w:r>
      <w:r>
        <w:rPr/>
        <w:t>illustrated</w:t>
      </w:r>
      <w:r>
        <w:rPr>
          <w:spacing w:val="9"/>
        </w:rPr>
        <w:t> </w:t>
      </w:r>
      <w:r>
        <w:rPr/>
        <w:t>in</w:t>
      </w:r>
      <w:r>
        <w:rPr>
          <w:spacing w:val="13"/>
        </w:rPr>
        <w:t> </w:t>
      </w:r>
      <w:r>
        <w:rPr/>
        <w:t>Figure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77" w:lineRule="auto"/>
        <w:ind w:left="1198" w:right="575"/>
        <w:jc w:val="both"/>
      </w:pPr>
      <w:r>
        <w:rPr/>
        <w:t>3.36. The results from Figure 3.36 as expected increased with increase in sorption time</w:t>
      </w:r>
      <w:r>
        <w:rPr>
          <w:spacing w:val="1"/>
        </w:rPr>
        <w:t> </w:t>
      </w:r>
      <w:r>
        <w:rPr/>
        <w:t>from 30 to 120 seconds. 120 seconds showed the maximum oil sorption capacity</w:t>
      </w:r>
      <w:r>
        <w:rPr>
          <w:spacing w:val="75"/>
        </w:rPr>
        <w:t> </w:t>
      </w:r>
      <w:r>
        <w:rPr/>
        <w:t>of</w:t>
      </w:r>
      <w:r>
        <w:rPr>
          <w:spacing w:val="1"/>
        </w:rPr>
        <w:t> </w:t>
      </w:r>
      <w:r>
        <w:rPr/>
        <w:t>1.34g/g for AMS and 1.13 for RMS, this may be due to initial adsorption onto the surface of</w:t>
      </w:r>
      <w:r>
        <w:rPr>
          <w:spacing w:val="-72"/>
        </w:rPr>
        <w:t> </w:t>
      </w:r>
      <w:r>
        <w:rPr/>
        <w:t>the material and subsequent penetration into the inner microscopic voids (Amer</w:t>
      </w:r>
      <w:r>
        <w:rPr>
          <w:sz w:val="25"/>
        </w:rPr>
        <w:t>et al.</w:t>
      </w:r>
      <w:r>
        <w:rPr/>
        <w:t>,</w:t>
      </w:r>
      <w:r>
        <w:rPr>
          <w:spacing w:val="1"/>
        </w:rPr>
        <w:t> </w:t>
      </w:r>
      <w:r>
        <w:rPr/>
        <w:t>2007). The results also showed the fast and stable nature of the process as only a slight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consistent with findings elsewhere (Hussein </w:t>
      </w:r>
      <w:r>
        <w:rPr>
          <w:sz w:val="25"/>
        </w:rPr>
        <w:t>et al</w:t>
      </w:r>
      <w:r>
        <w:rPr/>
        <w:t>., 2006; Nwankwere </w:t>
      </w:r>
      <w:r>
        <w:rPr>
          <w:sz w:val="25"/>
        </w:rPr>
        <w:t>et al</w:t>
      </w:r>
      <w:r>
        <w:rPr/>
        <w:t>., 2010). In all</w:t>
      </w:r>
      <w:r>
        <w:rPr>
          <w:spacing w:val="1"/>
        </w:rPr>
        <w:t> </w:t>
      </w:r>
      <w:r>
        <w:rPr/>
        <w:t>the</w:t>
      </w:r>
      <w:r>
        <w:rPr>
          <w:spacing w:val="75"/>
        </w:rPr>
        <w:t> </w:t>
      </w:r>
      <w:r>
        <w:rPr/>
        <w:t>period studied, acetylated mango kernel absorbed higher amount of oil compared to</w:t>
      </w:r>
      <w:r>
        <w:rPr>
          <w:spacing w:val="1"/>
        </w:rPr>
        <w:t> </w:t>
      </w:r>
      <w:r>
        <w:rPr/>
        <w:t>the native mango kernel. The effect of variation of material (modified and unmodified) on</w:t>
      </w:r>
      <w:r>
        <w:rPr>
          <w:spacing w:val="1"/>
        </w:rPr>
        <w:t> </w:t>
      </w:r>
      <w:r>
        <w:rPr/>
        <w:t>oil sorption was</w:t>
      </w:r>
      <w:r>
        <w:rPr>
          <w:spacing w:val="1"/>
        </w:rPr>
        <w:t> </w:t>
      </w:r>
      <w:r>
        <w:rPr/>
        <w:t>tested for statistical difference using ANOVA.</w:t>
      </w:r>
      <w:r>
        <w:rPr>
          <w:spacing w:val="1"/>
        </w:rPr>
        <w:t> </w:t>
      </w:r>
      <w:r>
        <w:rPr/>
        <w:t>Table 3.16 presents results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significant effects of time</w:t>
      </w:r>
      <w:r>
        <w:rPr>
          <w:spacing w:val="1"/>
        </w:rPr>
        <w:t> </w:t>
      </w:r>
      <w:r>
        <w:rPr/>
        <w:t>and acetylation on mango kernel oil</w:t>
      </w:r>
      <w:r>
        <w:rPr>
          <w:spacing w:val="75"/>
        </w:rPr>
        <w:t> </w:t>
      </w:r>
      <w:r>
        <w:rPr/>
        <w:t>sorption capacity.</w:t>
      </w:r>
      <w:r>
        <w:rPr>
          <w:spacing w:val="1"/>
        </w:rPr>
        <w:t> </w:t>
      </w:r>
      <w:r>
        <w:rPr/>
        <w:t>The null hypothesis (Ho), is that acetylation have not affected oil sorption capacity of</w:t>
      </w:r>
      <w:r>
        <w:rPr>
          <w:spacing w:val="1"/>
        </w:rPr>
        <w:t> </w:t>
      </w:r>
      <w:r>
        <w:rPr/>
        <w:t>mango kernel.</w:t>
      </w:r>
      <w:r>
        <w:rPr>
          <w:spacing w:val="1"/>
        </w:rPr>
        <w:t> </w:t>
      </w:r>
      <w:r>
        <w:rPr/>
        <w:t>Rejection of the hypothesis Ho implies the acceptance of the alternative</w:t>
      </w:r>
      <w:r>
        <w:rPr>
          <w:spacing w:val="1"/>
        </w:rPr>
        <w:t> </w:t>
      </w:r>
      <w:r>
        <w:rPr/>
        <w:t>hypothesis (H</w:t>
      </w:r>
      <w:r>
        <w:rPr>
          <w:vertAlign w:val="subscript"/>
        </w:rPr>
        <w:t>1</w:t>
      </w:r>
      <w:r>
        <w:rPr>
          <w:vertAlign w:val="baseline"/>
        </w:rPr>
        <w:t>), that acetylation have affected the oil sorption capacity. This statistic was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performed</w:t>
      </w:r>
      <w:r>
        <w:rPr>
          <w:spacing w:val="-3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5% 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level.</w:t>
      </w:r>
    </w:p>
    <w:p>
      <w:pPr>
        <w:pStyle w:val="BodyText"/>
        <w:spacing w:line="480" w:lineRule="auto"/>
        <w:ind w:left="1198" w:right="576"/>
        <w:jc w:val="both"/>
      </w:pPr>
      <w:r>
        <w:rPr/>
        <w:t>In this case we reject Ho if p-value is less than 0.05 and conclude that there is significant</w:t>
      </w:r>
      <w:r>
        <w:rPr>
          <w:spacing w:val="1"/>
        </w:rPr>
        <w:t> </w:t>
      </w:r>
      <w:r>
        <w:rPr/>
        <w:t>difference in the performance of the two variables. The results as presented in Table 3.16</w:t>
      </w:r>
      <w:r>
        <w:rPr>
          <w:spacing w:val="1"/>
        </w:rPr>
        <w:t> </w:t>
      </w:r>
      <w:r>
        <w:rPr/>
        <w:t>indicated that the P-value (0.045) is less than 0.05. This therefore, implied that time and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sorption</w:t>
      </w:r>
      <w:r>
        <w:rPr>
          <w:spacing w:val="-2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mango</w:t>
      </w:r>
      <w:r>
        <w:rPr>
          <w:spacing w:val="2"/>
        </w:rPr>
        <w:t> </w:t>
      </w:r>
      <w:r>
        <w:rPr/>
        <w:t>kernel.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426"/>
        <w:rPr>
          <w:sz w:val="20"/>
        </w:rPr>
      </w:pPr>
      <w:r>
        <w:rPr>
          <w:sz w:val="20"/>
        </w:rPr>
        <w:drawing>
          <wp:inline distT="0" distB="0" distL="0" distR="0">
            <wp:extent cx="5858375" cy="5535167"/>
            <wp:effectExtent l="0" t="0" r="0" b="0"/>
            <wp:docPr id="5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375" cy="553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198"/>
      </w:pPr>
      <w:r>
        <w:rPr/>
        <w:t>Figure</w:t>
      </w:r>
      <w:r>
        <w:rPr>
          <w:spacing w:val="-1"/>
        </w:rPr>
        <w:t> </w:t>
      </w:r>
      <w:r>
        <w:rPr/>
        <w:t>3.36:</w:t>
      </w:r>
      <w:r>
        <w:rPr>
          <w:spacing w:val="74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OSC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modified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unmodified</w:t>
      </w:r>
      <w:r>
        <w:rPr>
          <w:spacing w:val="-3"/>
        </w:rPr>
        <w:t> </w:t>
      </w:r>
      <w:r>
        <w:rPr/>
        <w:t>mango</w:t>
      </w:r>
      <w:r>
        <w:rPr>
          <w:spacing w:val="-3"/>
        </w:rPr>
        <w:t> </w:t>
      </w:r>
      <w:r>
        <w:rPr/>
        <w:t>kernel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spacing w:line="482" w:lineRule="auto" w:before="75"/>
        <w:ind w:left="1198" w:right="576"/>
        <w:jc w:val="both"/>
      </w:pPr>
      <w:r>
        <w:rPr/>
        <w:t>To understand the direction of these effects, regression analysis was performed. Eq. 3.13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3.14 presents regression equation.</w:t>
      </w:r>
    </w:p>
    <w:p>
      <w:pPr>
        <w:pStyle w:val="BodyText"/>
        <w:tabs>
          <w:tab w:pos="9586" w:val="right" w:leader="none"/>
        </w:tabs>
        <w:spacing w:line="285" w:lineRule="exact"/>
        <w:ind w:left="2638"/>
        <w:jc w:val="both"/>
      </w:pPr>
      <w:r>
        <w:rPr/>
        <w:t>OSC</w:t>
      </w:r>
      <w:r>
        <w:rPr>
          <w:spacing w:val="-2"/>
        </w:rPr>
        <w:t> </w:t>
      </w:r>
      <w:r>
        <w:rPr/>
        <w:t>= 0.735 +</w:t>
      </w:r>
      <w:r>
        <w:rPr>
          <w:spacing w:val="-1"/>
        </w:rPr>
        <w:t> </w:t>
      </w:r>
      <w:r>
        <w:rPr/>
        <w:t>0.00277T</w:t>
      </w:r>
      <w:r>
        <w:rPr>
          <w:spacing w:val="-1"/>
        </w:rPr>
        <w:t> </w:t>
      </w:r>
      <w:r>
        <w:rPr/>
        <w:t>RMS</w:t>
        <w:tab/>
        <w:t>3.13</w:t>
      </w:r>
    </w:p>
    <w:p>
      <w:pPr>
        <w:pStyle w:val="BodyText"/>
        <w:tabs>
          <w:tab w:pos="9586" w:val="right" w:leader="none"/>
        </w:tabs>
        <w:spacing w:before="291"/>
        <w:ind w:left="2638"/>
        <w:jc w:val="both"/>
      </w:pPr>
      <w:r>
        <w:rPr/>
        <w:t>OSC</w:t>
      </w:r>
      <w:r>
        <w:rPr>
          <w:spacing w:val="-2"/>
        </w:rPr>
        <w:t> </w:t>
      </w:r>
      <w:r>
        <w:rPr/>
        <w:t>= 0.790 +</w:t>
      </w:r>
      <w:r>
        <w:rPr>
          <w:spacing w:val="-1"/>
        </w:rPr>
        <w:t> </w:t>
      </w:r>
      <w:r>
        <w:rPr/>
        <w:t>0.00500T</w:t>
      </w:r>
      <w:r>
        <w:rPr>
          <w:spacing w:val="-1"/>
        </w:rPr>
        <w:t> </w:t>
      </w:r>
      <w:r>
        <w:rPr/>
        <w:t>AMS</w:t>
        <w:tab/>
        <w:t>3.14</w:t>
      </w:r>
    </w:p>
    <w:p>
      <w:pPr>
        <w:pStyle w:val="BodyText"/>
        <w:spacing w:line="480" w:lineRule="auto" w:before="289"/>
        <w:ind w:left="1198" w:right="579"/>
        <w:jc w:val="both"/>
      </w:pPr>
      <w:r>
        <w:rPr/>
        <w:t>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AMS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raw and</w:t>
      </w:r>
      <w:r>
        <w:rPr>
          <w:spacing w:val="1"/>
        </w:rPr>
        <w:t> </w:t>
      </w:r>
      <w:r>
        <w:rPr/>
        <w:t>acetylated mango kernel.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3.13</w:t>
      </w:r>
      <w:r>
        <w:rPr>
          <w:spacing w:val="1"/>
        </w:rPr>
        <w:t> </w:t>
      </w:r>
      <w:r>
        <w:rPr/>
        <w:t>and</w:t>
      </w:r>
      <w:r>
        <w:rPr>
          <w:spacing w:val="75"/>
        </w:rPr>
        <w:t> </w:t>
      </w:r>
      <w:r>
        <w:rPr/>
        <w:t>3.14</w:t>
      </w:r>
      <w:r>
        <w:rPr>
          <w:spacing w:val="1"/>
        </w:rPr>
        <w:t> </w:t>
      </w:r>
      <w:r>
        <w:rPr/>
        <w:t>showed that for every increase in oil sorption time, oil sorption capacity for mango kernel</w:t>
      </w:r>
      <w:r>
        <w:rPr>
          <w:spacing w:val="1"/>
        </w:rPr>
        <w:t> </w:t>
      </w:r>
      <w:r>
        <w:rPr/>
        <w:t>increased by 0.277% while, the sorption capacity for acetylated corn cob increased by</w:t>
      </w:r>
      <w:r>
        <w:rPr>
          <w:spacing w:val="1"/>
        </w:rPr>
        <w:t> </w:t>
      </w:r>
      <w:r>
        <w:rPr/>
        <w:t>0.5%. These findings, indicates that oil sorption capacity is affected by time, and that</w:t>
      </w:r>
      <w:r>
        <w:rPr>
          <w:spacing w:val="1"/>
        </w:rPr>
        <w:t> </w:t>
      </w:r>
      <w:r>
        <w:rPr/>
        <w:t>acetylation would cause a 50% rise on oil sorption capacity of mango kernel for every</w:t>
      </w:r>
      <w:r>
        <w:rPr>
          <w:spacing w:val="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 oil sorption</w:t>
      </w:r>
      <w:r>
        <w:rPr>
          <w:spacing w:val="-1"/>
        </w:rPr>
        <w:t> </w:t>
      </w:r>
      <w:r>
        <w:rPr/>
        <w:t>time.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spacing w:before="216"/>
        <w:jc w:val="both"/>
      </w:pPr>
      <w:r>
        <w:rPr/>
        <w:t>3.7.4</w:t>
      </w:r>
      <w:r>
        <w:rPr>
          <w:spacing w:val="37"/>
        </w:rPr>
        <w:t> </w:t>
      </w:r>
      <w:r>
        <w:rPr/>
        <w:t>Kinetics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crude</w:t>
      </w:r>
      <w:r>
        <w:rPr>
          <w:spacing w:val="-3"/>
        </w:rPr>
        <w:t> </w:t>
      </w:r>
      <w:r>
        <w:rPr/>
        <w:t>oil</w:t>
      </w:r>
      <w:r>
        <w:rPr>
          <w:spacing w:val="-1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onto</w:t>
      </w:r>
      <w:r>
        <w:rPr>
          <w:spacing w:val="-3"/>
        </w:rPr>
        <w:t> </w:t>
      </w:r>
      <w:r>
        <w:rPr/>
        <w:t>mango</w:t>
      </w:r>
      <w:r>
        <w:rPr>
          <w:spacing w:val="-1"/>
        </w:rPr>
        <w:t> </w:t>
      </w:r>
      <w:r>
        <w:rPr/>
        <w:t>kernel</w:t>
      </w:r>
    </w:p>
    <w:p>
      <w:pPr>
        <w:pStyle w:val="BodyText"/>
        <w:spacing w:line="477" w:lineRule="auto" w:before="289"/>
        <w:ind w:left="1198" w:right="573"/>
        <w:jc w:val="both"/>
      </w:pPr>
      <w:r>
        <w:rPr/>
        <w:t>The kinetics of sorption of crude oil unto mango kernel was studied by fitting obtained data</w:t>
      </w:r>
      <w:r>
        <w:rPr>
          <w:spacing w:val="-72"/>
        </w:rPr>
        <w:t> </w:t>
      </w:r>
      <w:r>
        <w:rPr/>
        <w:t>in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curves- derived pseudo first-order</w:t>
      </w:r>
      <w:r>
        <w:rPr>
          <w:spacing w:val="1"/>
        </w:rPr>
        <w:t> </w:t>
      </w:r>
      <w:r>
        <w:rPr/>
        <w:t>model, lagergren</w:t>
      </w:r>
      <w:r>
        <w:rPr>
          <w:spacing w:val="1"/>
        </w:rPr>
        <w:t> </w:t>
      </w:r>
      <w:r>
        <w:rPr/>
        <w:t>pseudo first-order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second order model (Hill </w:t>
      </w:r>
      <w:r>
        <w:rPr>
          <w:sz w:val="25"/>
        </w:rPr>
        <w:t>et al</w:t>
      </w:r>
      <w:r>
        <w:rPr/>
        <w:t>., 1998) and pseudo second order (Ho, 1995), intra-particle</w:t>
      </w:r>
      <w:r>
        <w:rPr>
          <w:spacing w:val="1"/>
        </w:rPr>
        <w:t> </w:t>
      </w:r>
      <w:r>
        <w:rPr/>
        <w:t>diffusion mechanism and liquid film diffusion. The linear plots of this kinetics and how to</w:t>
      </w:r>
      <w:r>
        <w:rPr>
          <w:spacing w:val="1"/>
        </w:rPr>
        <w:t> </w:t>
      </w:r>
      <w:r>
        <w:rPr/>
        <w:t>obtain rate constants are presented in Table 2.1. The predicted kinetics from the linear</w:t>
      </w:r>
      <w:r>
        <w:rPr>
          <w:spacing w:val="1"/>
        </w:rPr>
        <w:t> </w:t>
      </w:r>
      <w:r>
        <w:rPr/>
        <w:t>plots of lagergren pseudo first order, derived pseudo first order, second order model, Ho</w:t>
      </w:r>
      <w:r>
        <w:rPr>
          <w:spacing w:val="1"/>
        </w:rPr>
        <w:t> </w:t>
      </w:r>
      <w:r>
        <w:rPr/>
        <w:t>pseudo second-order, intra-particle diffusion model and liquid film diffusion model are</w:t>
      </w:r>
      <w:r>
        <w:rPr>
          <w:spacing w:val="1"/>
        </w:rPr>
        <w:t> </w:t>
      </w:r>
      <w:r>
        <w:rPr/>
        <w:t>presented in Figures 3.37, 3.38, 3.39, 3.40, 3.41, 3.42 respectively. The calculated kinetics</w:t>
      </w:r>
      <w:r>
        <w:rPr>
          <w:spacing w:val="1"/>
        </w:rPr>
        <w:t> </w:t>
      </w:r>
      <w:r>
        <w:rPr/>
        <w:t>derived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constants is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Table</w:t>
      </w:r>
      <w:r>
        <w:rPr>
          <w:spacing w:val="2"/>
        </w:rPr>
        <w:t> </w:t>
      </w:r>
      <w:r>
        <w:rPr/>
        <w:t>3.118.</w:t>
      </w:r>
    </w:p>
    <w:p>
      <w:pPr>
        <w:spacing w:after="0" w:line="477" w:lineRule="auto"/>
        <w:jc w:val="both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rPr>
          <w:sz w:val="28"/>
        </w:rPr>
      </w:pPr>
      <w:r>
        <w:rPr/>
        <w:pict>
          <v:shape style="position:absolute;margin-left:123.190002pt;margin-top:320.350098pt;width:12pt;height:43.55pt;mso-position-horizontal-relative:page;mso-position-vertical-relative:page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  <w:t>ln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7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  <w:t>(ϴo-ϴt)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2637" w:val="left" w:leader="none"/>
        </w:tabs>
        <w:ind w:left="1198"/>
      </w:pPr>
      <w:r>
        <w:rPr/>
        <w:pict>
          <v:group style="position:absolute;margin-left:109.275002pt;margin-top:-398.049133pt;width:409.85pt;height:391pt;mso-position-horizontal-relative:page;mso-position-vertical-relative:paragraph;z-index:15789568" coordorigin="2186,-7961" coordsize="8197,7820">
            <v:shape style="position:absolute;left:3184;top:-7730;width:5055;height:7059" coordorigin="3185,-7729" coordsize="5055,7059" path="m3247,-671l3247,-7729m3185,-671l3247,-671m3185,-1847l3247,-1847m3185,-3025l3247,-3025m3185,-4201l3247,-4201m3185,-5377l3247,-5377m3185,-6553l3247,-6553m3185,-7729l3247,-7729m3247,-7729l8239,-7729m3247,-7729l3247,-7667m3960,-7729l3960,-7667m4673,-7729l4673,-7667m5386,-7729l5386,-7667m6098,-7729l6098,-7667m6814,-7729l6814,-7667m7526,-7729l7526,-7667m8239,-7729l8239,-7667e" filled="false" stroked="true" strokeweight=".72pt" strokecolor="#858585">
              <v:path arrowok="t"/>
              <v:stroke dashstyle="solid"/>
            </v:shape>
            <v:shape style="position:absolute;left:4239;top:-7101;width:155;height:155" type="#_x0000_t75" stroked="false">
              <v:imagedata r:id="rId34" o:title=""/>
            </v:shape>
            <v:shape style="position:absolute;left:5308;top:-5981;width:155;height:155" type="#_x0000_t75" stroked="false">
              <v:imagedata r:id="rId33" o:title=""/>
            </v:shape>
            <v:shape style="position:absolute;left:6385;top:-5263;width:140;height:140" coordorigin="6385,-5263" coordsize="140,140" path="m6455,-5263l6385,-5193,6455,-5123,6525,-5193,6455,-5263xe" filled="true" fillcolor="#4f81bc" stroked="false">
              <v:path arrowok="t"/>
              <v:fill type="solid"/>
            </v:shape>
            <v:shape style="position:absolute;left:6385;top:-5263;width:140;height:140" coordorigin="6385,-5263" coordsize="140,140" path="m6455,-5123l6385,-5193,6455,-5263,6525,-5193,6455,-5123xe" filled="false" stroked="true" strokeweight=".75pt" strokecolor="#497dba">
              <v:path arrowok="t"/>
              <v:stroke dashstyle="solid"/>
            </v:shape>
            <v:shape style="position:absolute;left:7447;top:-4814;width:155;height:155" type="#_x0000_t75" stroked="false">
              <v:imagedata r:id="rId34" o:title=""/>
            </v:shape>
            <v:rect style="position:absolute;left:4246;top:-5397;width:140;height:140" filled="true" fillcolor="#c0504d" stroked="false">
              <v:fill type="solid"/>
            </v:rect>
            <v:rect style="position:absolute;left:4246;top:-5397;width:140;height:140" filled="false" stroked="true" strokeweight=".75pt" strokecolor="#bd4a47">
              <v:stroke dashstyle="solid"/>
            </v:rect>
            <v:rect style="position:absolute;left:5316;top:-5263;width:140;height:140" filled="true" fillcolor="#c0504d" stroked="false">
              <v:fill type="solid"/>
            </v:rect>
            <v:rect style="position:absolute;left:5316;top:-5263;width:140;height:140" filled="false" stroked="true" strokeweight=".75pt" strokecolor="#bd4a47">
              <v:stroke dashstyle="solid"/>
            </v:rect>
            <v:rect style="position:absolute;left:6385;top:-5122;width:140;height:140" filled="true" fillcolor="#c0504d" stroked="false">
              <v:fill type="solid"/>
            </v:rect>
            <v:rect style="position:absolute;left:6385;top:-5122;width:140;height:140" filled="false" stroked="true" strokeweight=".75pt" strokecolor="#bd4a47">
              <v:stroke dashstyle="solid"/>
            </v:rect>
            <v:rect style="position:absolute;left:7454;top:-2138;width:140;height:140" filled="true" fillcolor="#c0504d" stroked="false">
              <v:fill type="solid"/>
            </v:rect>
            <v:rect style="position:absolute;left:7454;top:-2138;width:140;height:140" filled="false" stroked="true" strokeweight=".75pt" strokecolor="#bd4a47">
              <v:stroke dashstyle="solid"/>
            </v:rect>
            <v:shape style="position:absolute;left:4317;top:-6849;width:3209;height:3927" coordorigin="4318,-6848" coordsize="3209,3927" path="m4318,-6848l7526,-4578m4318,-6848l7526,-4578m4318,-6848l7526,-4578m4318,-5896l7526,-2922m4318,-5896l7526,-2922e" filled="false" stroked="true" strokeweight=".72pt" strokecolor="#000000">
              <v:path arrowok="t"/>
              <v:stroke dashstyle="solid"/>
            </v:shape>
            <v:shape style="position:absolute;left:8827;top:-4660;width:135;height:135" type="#_x0000_t75" stroked="false">
              <v:imagedata r:id="rId31" o:title=""/>
            </v:shape>
            <v:rect style="position:absolute;left:8834;top:-4291;width:120;height:120" filled="true" fillcolor="#c0504d" stroked="false">
              <v:fill type="solid"/>
            </v:rect>
            <v:rect style="position:absolute;left:8834;top:-4291;width:120;height:120" filled="false" stroked="true" strokeweight=".72pt" strokecolor="#bd4a47">
              <v:stroke dashstyle="solid"/>
            </v:rect>
            <v:shape style="position:absolute;left:8702;top:-3871;width:384;height:363" coordorigin="8702,-3870" coordsize="384,363" path="m8702,-3870l9086,-3870m8702,-3508l9086,-3508e" filled="false" stroked="true" strokeweight=".72pt" strokecolor="#000000">
              <v:path arrowok="t"/>
              <v:stroke dashstyle="solid"/>
            </v:shape>
            <v:rect style="position:absolute;left:2193;top:-7954;width:8182;height:7805" filled="false" stroked="true" strokeweight=".75pt" strokecolor="#858585">
              <v:stroke dashstyle="solid"/>
            </v:rect>
            <v:shape style="position:absolute;left:2959;top:-782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95;top:-756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58;top:-756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571;top:-756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5284;top:-756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998;top:-756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6660;top:-756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7373;top:-756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8087;top:-756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8724;top:-7284;width:1610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-0.0107x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0.053</w:t>
                    </w:r>
                  </w:p>
                  <w:p>
                    <w:pPr>
                      <w:spacing w:line="240" w:lineRule="exact" w:before="0"/>
                      <w:ind w:left="316" w:right="334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0.9626</w:t>
                    </w:r>
                  </w:p>
                </w:txbxContent>
              </v:textbox>
              <w10:wrap type="none"/>
            </v:shape>
            <v:shape style="position:absolute;left:2747;top:-6648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-0.5</w:t>
                    </w:r>
                  </w:p>
                </w:txbxContent>
              </v:textbox>
              <w10:wrap type="none"/>
            </v:shape>
            <v:shape style="position:absolute;left:8724;top:-6022;width:1610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-0.0141x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0.358</w:t>
                    </w:r>
                  </w:p>
                  <w:p>
                    <w:pPr>
                      <w:spacing w:line="240" w:lineRule="exact" w:before="0"/>
                      <w:ind w:left="316" w:right="334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0.6691</w:t>
                    </w:r>
                  </w:p>
                </w:txbxContent>
              </v:textbox>
              <w10:wrap type="none"/>
            </v:shape>
            <v:shape style="position:absolute;left:2900;top:-5471;width:1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9129;top:-4686;width:39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AMS</w:t>
                    </w:r>
                  </w:p>
                </w:txbxContent>
              </v:textbox>
              <w10:wrap type="none"/>
            </v:shape>
            <v:shape style="position:absolute;left:2747;top:-4295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-1.5</w:t>
                    </w:r>
                  </w:p>
                </w:txbxContent>
              </v:textbox>
              <w10:wrap type="none"/>
            </v:shape>
            <v:shape style="position:absolute;left:9129;top:-4324;width:1059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RMS</w:t>
                    </w:r>
                  </w:p>
                  <w:p>
                    <w:pPr>
                      <w:spacing w:line="360" w:lineRule="atLeast" w:before="0"/>
                      <w:ind w:left="0" w:right="5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Linear (AMS)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(AMS)</w:t>
                    </w:r>
                  </w:p>
                </w:txbxContent>
              </v:textbox>
              <w10:wrap type="none"/>
            </v:shape>
            <v:shape style="position:absolute;left:2900;top:-3118;width:1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2747;top:-1941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-2.5</w:t>
                    </w:r>
                  </w:p>
                </w:txbxContent>
              </v:textbox>
              <w10:wrap type="none"/>
            </v:shape>
            <v:shape style="position:absolute;left:2900;top:-765;width:1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-3</w:t>
                    </w:r>
                  </w:p>
                </w:txbxContent>
              </v:textbox>
              <w10:wrap type="none"/>
            </v:shape>
            <v:shape style="position:absolute;left:5358;top:-601;width:79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time(sec)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1"/>
        </w:rPr>
        <w:t> </w:t>
      </w:r>
      <w:r>
        <w:rPr/>
        <w:t>3.37</w:t>
        <w:tab/>
        <w:t>lagergren</w:t>
      </w:r>
      <w:r>
        <w:rPr>
          <w:spacing w:val="-1"/>
        </w:rPr>
        <w:t> </w:t>
      </w:r>
      <w:r>
        <w:rPr/>
        <w:t>pseudo-first</w:t>
      </w:r>
      <w:r>
        <w:rPr>
          <w:spacing w:val="-2"/>
        </w:rPr>
        <w:t> </w:t>
      </w:r>
      <w:r>
        <w:rPr/>
        <w:t>order</w:t>
      </w:r>
      <w:r>
        <w:rPr>
          <w:spacing w:val="-3"/>
        </w:rPr>
        <w:t> </w:t>
      </w:r>
      <w:r>
        <w:rPr/>
        <w:t>kinetics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sorption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onto</w:t>
      </w:r>
      <w:r>
        <w:rPr>
          <w:spacing w:val="-4"/>
        </w:rPr>
        <w:t> </w:t>
      </w:r>
      <w:r>
        <w:rPr/>
        <w:t>mango</w:t>
      </w:r>
      <w:r>
        <w:rPr>
          <w:spacing w:val="-2"/>
        </w:rPr>
        <w:t> </w:t>
      </w:r>
      <w:r>
        <w:rPr/>
        <w:t>kernel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8"/>
        </w:rPr>
      </w:pPr>
    </w:p>
    <w:p>
      <w:pPr>
        <w:pStyle w:val="BodyText"/>
        <w:ind w:left="1289"/>
        <w:rPr>
          <w:sz w:val="20"/>
        </w:rPr>
      </w:pPr>
      <w:r>
        <w:rPr>
          <w:sz w:val="20"/>
        </w:rPr>
        <w:drawing>
          <wp:inline distT="0" distB="0" distL="0" distR="0">
            <wp:extent cx="5793527" cy="6501003"/>
            <wp:effectExtent l="0" t="0" r="0" b="0"/>
            <wp:docPr id="5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527" cy="650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2637" w:val="left" w:leader="none"/>
        </w:tabs>
        <w:spacing w:before="128"/>
        <w:ind w:left="1198"/>
      </w:pPr>
      <w:r>
        <w:rPr/>
        <w:t>Figure</w:t>
      </w:r>
      <w:r>
        <w:rPr>
          <w:spacing w:val="-1"/>
        </w:rPr>
        <w:t> </w:t>
      </w:r>
      <w:r>
        <w:rPr/>
        <w:t>3.38</w:t>
        <w:tab/>
        <w:t>derived</w:t>
      </w:r>
      <w:r>
        <w:rPr>
          <w:spacing w:val="-4"/>
        </w:rPr>
        <w:t> </w:t>
      </w:r>
      <w:r>
        <w:rPr/>
        <w:t>pseudo</w:t>
      </w:r>
      <w:r>
        <w:rPr>
          <w:spacing w:val="-3"/>
        </w:rPr>
        <w:t> </w:t>
      </w:r>
      <w:r>
        <w:rPr/>
        <w:t>first-order</w:t>
      </w:r>
      <w:r>
        <w:rPr>
          <w:spacing w:val="-4"/>
        </w:rPr>
        <w:t> </w:t>
      </w:r>
      <w:r>
        <w:rPr/>
        <w:t>kinetics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sorption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onto</w:t>
      </w:r>
      <w:r>
        <w:rPr>
          <w:spacing w:val="-2"/>
        </w:rPr>
        <w:t> </w:t>
      </w:r>
      <w:r>
        <w:rPr/>
        <w:t>mango</w:t>
      </w:r>
      <w:r>
        <w:rPr>
          <w:spacing w:val="-4"/>
        </w:rPr>
        <w:t> </w:t>
      </w:r>
      <w:r>
        <w:rPr/>
        <w:t>kernel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3.68pt;margin-top:305.081665pt;width:12pt;height:18.1pt;mso-position-horizontal-relative:page;mso-position-vertical-relative:page;z-index:1579110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0"/>
                      <w:szCs w:val="20"/>
                    </w:rPr>
                    <w:t>1/ϴ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100"/>
        <w:ind w:left="1198"/>
      </w:pPr>
      <w:r>
        <w:rPr/>
        <w:pict>
          <v:group style="position:absolute;margin-left:89.775002pt;margin-top:-459.099152pt;width:431.4pt;height:458.95pt;mso-position-horizontal-relative:page;mso-position-vertical-relative:paragraph;z-index:15790592" coordorigin="1796,-9182" coordsize="8628,9179">
            <v:shape style="position:absolute;left:3036;top:-8952;width:5242;height:8079" coordorigin="3036,-8952" coordsize="5242,8079" path="m3098,-936l3098,-8952m3036,-936l3098,-936m3036,-2080l3098,-2080m3036,-3228l3098,-3228m3036,-4372l3098,-4372m3036,-5517l3098,-5517m3036,-6662l3098,-6662m3036,-7807l3098,-7807m3036,-8952l3098,-8952m3098,-936l8278,-936m3098,-936l3098,-873m3840,-936l3840,-873m4579,-936l4579,-873m5318,-936l5318,-873m6058,-936l6058,-873m6799,-936l6799,-873m7538,-936l7538,-873m8278,-936l8278,-873e" filled="false" stroked="true" strokeweight=".72pt" strokecolor="#858585">
              <v:path arrowok="t"/>
              <v:stroke dashstyle="solid"/>
            </v:shape>
            <v:shape style="position:absolute;left:4132;top:-7313;width:155;height:155" type="#_x0000_t75" stroked="false">
              <v:imagedata r:id="rId34" o:title=""/>
            </v:shape>
            <v:shape style="position:absolute;left:5242;top:-5938;width:155;height:155" type="#_x0000_t75" stroked="false">
              <v:imagedata r:id="rId34" o:title=""/>
            </v:shape>
            <v:shape style="position:absolute;left:6351;top:-5480;width:155;height:155" type="#_x0000_t75" stroked="false">
              <v:imagedata r:id="rId26" o:title=""/>
            </v:shape>
            <v:shape style="position:absolute;left:7469;top:-1010;width:140;height:140" coordorigin="7469,-1009" coordsize="140,140" path="m7539,-1009l7469,-939,7539,-869,7609,-939,7539,-1009xe" filled="true" fillcolor="#4f81bc" stroked="false">
              <v:path arrowok="t"/>
              <v:fill type="solid"/>
            </v:shape>
            <v:shape style="position:absolute;left:7469;top:-1010;width:140;height:140" coordorigin="7469,-1009" coordsize="140,140" path="m7539,-869l7469,-939,7539,-1009,7609,-939,7539,-869xe" filled="false" stroked="true" strokeweight=".75pt" strokecolor="#497dba">
              <v:path arrowok="t"/>
              <v:stroke dashstyle="solid"/>
            </v:shape>
            <v:rect style="position:absolute;left:4139;top:-7878;width:140;height:140" filled="true" fillcolor="#c0504d" stroked="false">
              <v:fill type="solid"/>
            </v:rect>
            <v:rect style="position:absolute;left:4139;top:-7878;width:140;height:140" filled="false" stroked="true" strokeweight=".75pt" strokecolor="#bd4a47">
              <v:stroke dashstyle="solid"/>
            </v:rect>
            <v:rect style="position:absolute;left:5249;top:-7305;width:140;height:140" filled="true" fillcolor="#c0504d" stroked="false">
              <v:fill type="solid"/>
            </v:rect>
            <v:rect style="position:absolute;left:5249;top:-7305;width:140;height:140" filled="false" stroked="true" strokeweight=".75pt" strokecolor="#bd4a47">
              <v:stroke dashstyle="solid"/>
            </v:rect>
            <v:rect style="position:absolute;left:6359;top:-7305;width:140;height:140" filled="true" fillcolor="#c0504d" stroked="false">
              <v:fill type="solid"/>
            </v:rect>
            <v:rect style="position:absolute;left:6359;top:-7305;width:140;height:140" filled="false" stroked="true" strokeweight=".75pt" strokecolor="#bd4a47">
              <v:stroke dashstyle="solid"/>
            </v:rect>
            <v:rect style="position:absolute;left:7469;top:-6103;width:140;height:140" filled="true" fillcolor="#c0504d" stroked="false">
              <v:fill type="solid"/>
            </v:rect>
            <v:rect style="position:absolute;left:7469;top:-6103;width:140;height:140" filled="false" stroked="true" strokeweight=".75pt" strokecolor="#bd4a47">
              <v:stroke dashstyle="solid"/>
            </v:rect>
            <v:shape style="position:absolute;left:4209;top:-7877;width:3329;height:5919" coordorigin="4210,-7876" coordsize="3329,5919" path="m4210,-7761l7538,-1958m4210,-7761l7538,-1958m4210,-7876l7538,-6278m4210,-7876l7538,-6278e" filled="false" stroked="true" strokeweight=".72pt" strokecolor="#000000">
              <v:path arrowok="t"/>
              <v:stroke dashstyle="solid"/>
            </v:shape>
            <v:shape style="position:absolute;left:8868;top:-5566;width:135;height:135" type="#_x0000_t75" stroked="false">
              <v:imagedata r:id="rId31" o:title=""/>
            </v:shape>
            <v:rect style="position:absolute;left:8875;top:-5196;width:120;height:120" filled="true" fillcolor="#c0504d" stroked="false">
              <v:fill type="solid"/>
            </v:rect>
            <v:rect style="position:absolute;left:8875;top:-5196;width:120;height:120" filled="false" stroked="true" strokeweight=".72pt" strokecolor="#bd4a47">
              <v:stroke dashstyle="solid"/>
            </v:rect>
            <v:shape style="position:absolute;left:8743;top:-4774;width:384;height:1085" coordorigin="8743,-4773" coordsize="384,1085" path="m8743,-4773l9127,-4773m8743,-4411l9127,-4411m8743,-4051l9127,-4051m8743,-3688l9127,-3688e" filled="false" stroked="true" strokeweight=".72pt" strokecolor="#000000">
              <v:path arrowok="t"/>
              <v:stroke dashstyle="solid"/>
            </v:shape>
            <v:rect style="position:absolute;left:1803;top:-9175;width:8613;height:9164" filled="false" stroked="true" strokeweight=".75pt" strokecolor="#858585">
              <v:stroke dashstyle="solid"/>
            </v:rect>
            <v:shape style="position:absolute;left:2359;top:-9045;width:5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0.0014</w:t>
                    </w:r>
                  </w:p>
                </w:txbxContent>
              </v:textbox>
              <w10:wrap type="none"/>
            </v:shape>
            <v:shape style="position:absolute;left:2359;top:-7900;width:5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0.0012</w:t>
                    </w:r>
                  </w:p>
                </w:txbxContent>
              </v:textbox>
              <w10:wrap type="none"/>
            </v:shape>
            <v:shape style="position:absolute;left:8720;top:-7754;width:1656;height:89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-1E-05x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0.0015</w:t>
                    </w:r>
                  </w:p>
                  <w:p>
                    <w:pPr>
                      <w:spacing w:line="226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0.8388</w:t>
                    </w:r>
                  </w:p>
                  <w:p>
                    <w:pPr>
                      <w:spacing w:line="226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-3E-06x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0.0013</w:t>
                    </w:r>
                  </w:p>
                  <w:p>
                    <w:pPr>
                      <w:spacing w:line="240" w:lineRule="exact" w:before="1"/>
                      <w:ind w:left="0" w:right="16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0.8467</w:t>
                    </w:r>
                  </w:p>
                </w:txbxContent>
              </v:textbox>
              <w10:wrap type="none"/>
            </v:shape>
            <v:shape style="position:absolute;left:2460;top:-6755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</w:t>
                    </w:r>
                  </w:p>
                </w:txbxContent>
              </v:textbox>
              <w10:wrap type="none"/>
            </v:shape>
            <v:shape style="position:absolute;left:2359;top:-5609;width:576;height:13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0.0008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exact" w:before="169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0.0006</w:t>
                    </w:r>
                  </w:p>
                </w:txbxContent>
              </v:textbox>
              <w10:wrap type="none"/>
            </v:shape>
            <v:shape style="position:absolute;left:9170;top:-5589;width:1059;height:200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AMS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RMS</w:t>
                    </w:r>
                  </w:p>
                  <w:p>
                    <w:pPr>
                      <w:spacing w:line="355" w:lineRule="auto" w:before="118"/>
                      <w:ind w:left="0" w:right="18" w:firstLine="0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Linear (AMS)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Linear (AMS)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(RMS)</w:t>
                    </w:r>
                  </w:p>
                  <w:p>
                    <w:pPr>
                      <w:spacing w:line="240" w:lineRule="exact" w:before="1"/>
                      <w:ind w:left="0" w:right="0" w:firstLine="0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(RMS)</w:t>
                    </w:r>
                  </w:p>
                </w:txbxContent>
              </v:textbox>
              <w10:wrap type="none"/>
            </v:shape>
            <v:shape style="position:absolute;left:2359;top:-3319;width:5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0.0004</w:t>
                    </w:r>
                  </w:p>
                </w:txbxContent>
              </v:textbox>
              <w10:wrap type="none"/>
            </v:shape>
            <v:shape style="position:absolute;left:2359;top:-2173;width:5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0.0002</w:t>
                    </w:r>
                  </w:p>
                </w:txbxContent>
              </v:textbox>
              <w10:wrap type="none"/>
            </v:shape>
            <v:shape style="position:absolute;left:2813;top:-102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49;top:-76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39;top:-76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478;top:-76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5219;top:-76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958;top:-76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6648;top:-767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7388;top:-767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8128;top:-767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5283;top:-464;width:83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(sec)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2"/>
        </w:rPr>
        <w:t> </w:t>
      </w:r>
      <w:r>
        <w:rPr/>
        <w:t>3.39</w:t>
      </w:r>
      <w:r>
        <w:rPr>
          <w:spacing w:val="-1"/>
        </w:rPr>
        <w:t> </w:t>
      </w:r>
      <w:r>
        <w:rPr/>
        <w:t>Hill</w:t>
      </w:r>
      <w:r>
        <w:rPr>
          <w:spacing w:val="-2"/>
        </w:rPr>
        <w:t> </w:t>
      </w:r>
      <w:r>
        <w:rPr/>
        <w:t>second</w:t>
      </w:r>
      <w:r>
        <w:rPr>
          <w:spacing w:val="-5"/>
        </w:rPr>
        <w:t> </w:t>
      </w:r>
      <w:r>
        <w:rPr/>
        <w:t>order</w:t>
      </w:r>
      <w:r>
        <w:rPr>
          <w:spacing w:val="-3"/>
        </w:rPr>
        <w:t> </w:t>
      </w:r>
      <w:r>
        <w:rPr/>
        <w:t>kinetics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sorption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oil</w:t>
      </w:r>
      <w:r>
        <w:rPr>
          <w:spacing w:val="-1"/>
        </w:rPr>
        <w:t> </w:t>
      </w:r>
      <w:r>
        <w:rPr/>
        <w:t>onto</w:t>
      </w:r>
      <w:r>
        <w:rPr>
          <w:spacing w:val="-4"/>
        </w:rPr>
        <w:t> </w:t>
      </w:r>
      <w:r>
        <w:rPr/>
        <w:t>mango</w:t>
      </w:r>
      <w:r>
        <w:rPr>
          <w:spacing w:val="-2"/>
        </w:rPr>
        <w:t> </w:t>
      </w:r>
      <w:r>
        <w:rPr/>
        <w:t>kernel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97.40451pt;margin-top:346.672791pt;width:13.05pt;height:15.9pt;mso-position-horizontal-relative:page;mso-position-vertical-relative:page;z-index:15792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0"/>
                      <w:szCs w:val="20"/>
                    </w:rPr>
                    <w:t>t/ϴ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01"/>
        <w:ind w:left="1198"/>
      </w:pPr>
      <w:r>
        <w:rPr/>
        <w:pict>
          <v:group style="position:absolute;margin-left:83.025002pt;margin-top:-423.429138pt;width:444.15pt;height:427.35pt;mso-position-horizontal-relative:page;mso-position-vertical-relative:paragraph;z-index:15791616" coordorigin="1661,-8469" coordsize="8883,8547">
            <v:shape style="position:absolute;left:2635;top:-8237;width:5765;height:7448" coordorigin="2635,-8236" coordsize="5765,7448" path="m2698,-851l2698,-8236m2635,-851l2698,-851m2635,-2082l2698,-2082m2635,-3314l2698,-3314m2635,-4545l2698,-4545m2635,-5776l2698,-5776m2635,-7007l2698,-7007m2635,-8236l2698,-8236m2698,-851l8400,-851m2698,-851l2698,-789m3511,-851l3511,-789m4327,-851l4327,-789m5141,-851l5141,-789m5954,-851l5954,-789m6770,-851l6770,-789m7584,-851l7584,-789m8400,-851l8400,-789e" filled="false" stroked="true" strokeweight=".72pt" strokecolor="#858585">
              <v:path arrowok="t"/>
              <v:stroke dashstyle="solid"/>
            </v:shape>
            <v:shape style="position:absolute;left:3849;top:-3023;width:140;height:140" coordorigin="3849,-3022" coordsize="140,140" path="m3919,-3022l3849,-2952,3919,-2882,3989,-2952,3919,-3022xe" filled="true" fillcolor="#4f81bc" stroked="false">
              <v:path arrowok="t"/>
              <v:fill type="solid"/>
            </v:shape>
            <v:shape style="position:absolute;left:3849;top:-3023;width:140;height:140" coordorigin="3849,-3022" coordsize="140,140" path="m3919,-2882l3849,-2952,3919,-3022,3989,-2952,3919,-2882xe" filled="false" stroked="true" strokeweight=".75pt" strokecolor="#497dba">
              <v:path arrowok="t"/>
              <v:stroke dashstyle="solid"/>
            </v:shape>
            <v:shape style="position:absolute;left:5063;top:-4115;width:155;height:155" type="#_x0000_t75" stroked="false">
              <v:imagedata r:id="rId26" o:title=""/>
            </v:shape>
            <v:shape style="position:absolute;left:6285;top:-5259;width:155;height:155" type="#_x0000_t75" stroked="false">
              <v:imagedata r:id="rId26" o:title=""/>
            </v:shape>
            <v:shape style="position:absolute;left:7506;top:-6443;width:155;height:155" type="#_x0000_t75" stroked="false">
              <v:imagedata r:id="rId26" o:title=""/>
            </v:shape>
            <v:rect style="position:absolute;left:3849;top:-3071;width:140;height:140" filled="true" fillcolor="#c0504d" stroked="false">
              <v:fill type="solid"/>
            </v:rect>
            <v:rect style="position:absolute;left:3849;top:-3071;width:140;height:140" filled="false" stroked="true" strokeweight=".75pt" strokecolor="#bd4a47">
              <v:stroke dashstyle="solid"/>
            </v:rect>
            <v:rect style="position:absolute;left:5071;top:-5120;width:140;height:140" filled="true" fillcolor="#c0504d" stroked="false">
              <v:fill type="solid"/>
            </v:rect>
            <v:rect style="position:absolute;left:5071;top:-5120;width:140;height:140" filled="false" stroked="true" strokeweight=".75pt" strokecolor="#bd4a47">
              <v:stroke dashstyle="solid"/>
            </v:rect>
            <v:rect style="position:absolute;left:6292;top:-7079;width:140;height:140" filled="true" fillcolor="#c0504d" stroked="false">
              <v:fill type="solid"/>
            </v:rect>
            <v:rect style="position:absolute;left:6292;top:-7079;width:140;height:140" filled="false" stroked="true" strokeweight=".75pt" strokecolor="#bd4a47">
              <v:stroke dashstyle="solid"/>
            </v:rect>
            <v:rect style="position:absolute;left:7514;top:-7460;width:140;height:140" filled="true" fillcolor="#c0504d" stroked="false">
              <v:fill type="solid"/>
            </v:rect>
            <v:rect style="position:absolute;left:7514;top:-7460;width:140;height:140" filled="false" stroked="true" strokeweight=".75pt" strokecolor="#bd4a47">
              <v:stroke dashstyle="solid"/>
            </v:rect>
            <v:shape style="position:absolute;left:3919;top:-7879;width:3665;height:4954" coordorigin="3919,-7878" coordsize="3665,4954" path="m3919,-2925l7584,-6340m3919,-2925l7584,-6340m3919,-3342l7584,-7878m3919,-3342l7584,-7878e" filled="false" stroked="true" strokeweight=".72pt" strokecolor="#000000">
              <v:path arrowok="t"/>
              <v:stroke dashstyle="solid"/>
            </v:shape>
            <v:shape style="position:absolute;left:8988;top:-4805;width:135;height:135" type="#_x0000_t75" stroked="false">
              <v:imagedata r:id="rId31" o:title=""/>
            </v:shape>
            <v:rect style="position:absolute;left:8995;top:-4435;width:120;height:120" filled="true" fillcolor="#c0504d" stroked="false">
              <v:fill type="solid"/>
            </v:rect>
            <v:rect style="position:absolute;left:8995;top:-4435;width:120;height:120" filled="false" stroked="true" strokeweight=".72pt" strokecolor="#bd4a47">
              <v:stroke dashstyle="solid"/>
            </v:rect>
            <v:shape style="position:absolute;left:8863;top:-4013;width:384;height:363" coordorigin="8863,-4012" coordsize="384,363" path="m8863,-4012l9247,-4012m8863,-3650l9247,-3650e" filled="false" stroked="true" strokeweight=".72pt" strokecolor="#000000">
              <v:path arrowok="t"/>
              <v:stroke dashstyle="solid"/>
            </v:shape>
            <v:rect style="position:absolute;left:1668;top:-8462;width:8868;height:8532" filled="false" stroked="true" strokeweight=".75pt" strokecolor="#858585">
              <v:stroke dashstyle="solid"/>
            </v:rect>
            <v:shape style="position:absolute;left:2208;top:-8332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2208;top:-7101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8807;top:-7618;width:1687;height:103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0.6166x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15.175</w:t>
                    </w:r>
                  </w:p>
                  <w:p>
                    <w:pPr>
                      <w:spacing w:before="0"/>
                      <w:ind w:left="0" w:right="17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0.9996</w:t>
                    </w:r>
                  </w:p>
                  <w:p>
                    <w:pPr>
                      <w:spacing w:before="101"/>
                      <w:ind w:left="101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0.8193x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+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15.87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0.9342</w:t>
                    </w:r>
                  </w:p>
                </w:txbxContent>
              </v:textbox>
              <w10:wrap type="none"/>
            </v:shape>
            <v:shape style="position:absolute;left:2309;top:-587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2309;top:-463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9290;top:-4830;width:1059;height:128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AMS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RMS</w:t>
                    </w:r>
                  </w:p>
                  <w:p>
                    <w:pPr>
                      <w:spacing w:line="360" w:lineRule="atLeast" w:before="0"/>
                      <w:ind w:left="0" w:right="5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Linear (AMS)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(AMS)</w:t>
                    </w:r>
                  </w:p>
                </w:txbxContent>
              </v:textbox>
              <w10:wrap type="none"/>
            </v:shape>
            <v:shape style="position:absolute;left:2309;top:-340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309;top:-217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410;top:-94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46;top:-68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10;top:-68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225;top:-68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5040;top:-68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854;top:-68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6618;top:-68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7433;top:-68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8247;top:-68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5141;top:-382;width:83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(sec)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1"/>
        </w:rPr>
        <w:t> </w:t>
      </w:r>
      <w:r>
        <w:rPr/>
        <w:t>3.40</w:t>
      </w:r>
      <w:r>
        <w:rPr>
          <w:spacing w:val="-1"/>
        </w:rPr>
        <w:t> </w:t>
      </w:r>
      <w:r>
        <w:rPr/>
        <w:t>Ho</w:t>
      </w:r>
      <w:r>
        <w:rPr>
          <w:spacing w:val="-4"/>
        </w:rPr>
        <w:t> </w:t>
      </w:r>
      <w:r>
        <w:rPr/>
        <w:t>pseudo</w:t>
      </w:r>
      <w:r>
        <w:rPr>
          <w:spacing w:val="-5"/>
        </w:rPr>
        <w:t> </w:t>
      </w:r>
      <w:r>
        <w:rPr/>
        <w:t>second</w:t>
      </w:r>
      <w:r>
        <w:rPr>
          <w:spacing w:val="-3"/>
        </w:rPr>
        <w:t> </w:t>
      </w:r>
      <w:r>
        <w:rPr/>
        <w:t>order</w:t>
      </w:r>
      <w:r>
        <w:rPr>
          <w:spacing w:val="-2"/>
        </w:rPr>
        <w:t> </w:t>
      </w:r>
      <w:r>
        <w:rPr/>
        <w:t>kinetics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 sorption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onto</w:t>
      </w:r>
      <w:r>
        <w:rPr>
          <w:spacing w:val="-3"/>
        </w:rPr>
        <w:t> </w:t>
      </w:r>
      <w:r>
        <w:rPr/>
        <w:t>mango</w:t>
      </w:r>
      <w:r>
        <w:rPr>
          <w:spacing w:val="-4"/>
        </w:rPr>
        <w:t> </w:t>
      </w:r>
      <w:r>
        <w:rPr/>
        <w:t>kernel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94.04451pt;margin-top:293.312775pt;width:13.05pt;height:9.75pt;mso-position-horizontal-relative:page;mso-position-vertical-relative:page;z-index:15793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w w:val="99"/>
                      <w:sz w:val="20"/>
                      <w:szCs w:val="20"/>
                    </w:rPr>
                    <w:t>ϴ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2637" w:val="left" w:leader="none"/>
        </w:tabs>
        <w:spacing w:before="100"/>
        <w:ind w:left="1198"/>
      </w:pPr>
      <w:r>
        <w:rPr/>
        <w:pict>
          <v:group style="position:absolute;margin-left:81.675003pt;margin-top:-405.029144pt;width:440.8pt;height:403.1pt;mso-position-horizontal-relative:page;mso-position-vertical-relative:paragraph;z-index:15792640" coordorigin="1634,-8101" coordsize="8816,8062">
            <v:shape style="position:absolute;left:2709;top:-7870;width:5648;height:6963" coordorigin="2710,-7869" coordsize="5648,6963" path="m2772,-972l2772,-7869m2710,-972l2772,-972m2710,-1833l2772,-1833m2710,-2695l2772,-2695m2710,-3559l2772,-3559m2710,-4420l2772,-4420m2710,-5282l2772,-5282m2710,-6146l2772,-6146m2710,-7008l2772,-7008m2710,-7869l2772,-7869m2772,-972l8357,-972m2772,-972l2772,-907m3703,-972l3703,-907m4634,-972l4634,-907m5566,-972l5566,-907m6494,-972l6494,-907m7426,-972l7426,-907m8357,-972l8357,-907e" filled="false" stroked="true" strokeweight=".72pt" strokecolor="#858585">
              <v:path arrowok="t"/>
              <v:stroke dashstyle="solid"/>
            </v:shape>
            <v:shape style="position:absolute;left:5250;top:-4837;width:140;height:140" coordorigin="5250,-4836" coordsize="140,140" path="m5320,-4836l5250,-4766,5320,-4696,5390,-4766,5320,-4836xe" filled="true" fillcolor="#4f81bc" stroked="false">
              <v:path arrowok="t"/>
              <v:fill type="solid"/>
            </v:shape>
            <v:shape style="position:absolute;left:5250;top:-4837;width:140;height:140" coordorigin="5250,-4836" coordsize="140,140" path="m5320,-4696l5250,-4766,5320,-4836,5390,-4766,5320,-4696xe" filled="false" stroked="true" strokeweight=".75pt" strokecolor="#497dba">
              <v:path arrowok="t"/>
              <v:stroke dashstyle="solid"/>
            </v:shape>
            <v:shape style="position:absolute;left:6298;top:-6051;width:155;height:155" type="#_x0000_t75" stroked="false">
              <v:imagedata r:id="rId33" o:title=""/>
            </v:shape>
            <v:shape style="position:absolute;left:7108;top:-6569;width:155;height:155" type="#_x0000_t75" stroked="false">
              <v:imagedata r:id="rId33" o:title=""/>
            </v:shape>
            <v:shape style="position:absolute;left:7789;top:-6828;width:155;height:155" type="#_x0000_t75" stroked="false">
              <v:imagedata r:id="rId33" o:title=""/>
            </v:shape>
            <v:rect style="position:absolute;left:5250;top:-4750;width:140;height:140" filled="true" fillcolor="#c0504d" stroked="false">
              <v:fill type="solid"/>
            </v:rect>
            <v:rect style="position:absolute;left:5250;top:-4750;width:140;height:140" filled="false" stroked="true" strokeweight=".75pt" strokecolor="#bd4a47">
              <v:stroke dashstyle="solid"/>
            </v:rect>
            <v:rect style="position:absolute;left:6306;top:-4837;width:140;height:140" filled="true" fillcolor="#c0504d" stroked="false">
              <v:fill type="solid"/>
            </v:rect>
            <v:rect style="position:absolute;left:6306;top:-4837;width:140;height:140" filled="false" stroked="true" strokeweight=".75pt" strokecolor="#bd4a47">
              <v:stroke dashstyle="solid"/>
            </v:rect>
            <v:rect style="position:absolute;left:7116;top:-4923;width:140;height:140" filled="true" fillcolor="#c0504d" stroked="false">
              <v:fill type="solid"/>
            </v:rect>
            <v:rect style="position:absolute;left:7116;top:-4923;width:140;height:140" filled="false" stroked="true" strokeweight=".75pt" strokecolor="#bd4a47">
              <v:stroke dashstyle="solid"/>
            </v:rect>
            <v:rect style="position:absolute;left:7797;top:-5915;width:140;height:140" filled="true" fillcolor="#c0504d" stroked="false">
              <v:fill type="solid"/>
            </v:rect>
            <v:rect style="position:absolute;left:7797;top:-5915;width:140;height:140" filled="false" stroked="true" strokeweight=".75pt" strokecolor="#bd4a47">
              <v:stroke dashstyle="solid"/>
            </v:rect>
            <v:shape style="position:absolute;left:5320;top:-6919;width:2547;height:2427" coordorigin="5321,-6919" coordsize="2547,2427" path="m5321,-4924l7867,-6919m5321,-4924l7867,-6919m5321,-4492l7867,-5503m5321,-4492l7867,-5503e" filled="false" stroked="true" strokeweight=".72pt" strokecolor="#000000">
              <v:path arrowok="t"/>
              <v:stroke dashstyle="solid"/>
            </v:shape>
            <v:shape style="position:absolute;left:8894;top:-4680;width:135;height:135" type="#_x0000_t75" stroked="false">
              <v:imagedata r:id="rId31" o:title=""/>
            </v:shape>
            <v:rect style="position:absolute;left:8901;top:-4311;width:120;height:120" filled="true" fillcolor="#c0504d" stroked="false">
              <v:fill type="solid"/>
            </v:rect>
            <v:rect style="position:absolute;left:8901;top:-4311;width:120;height:120" filled="false" stroked="true" strokeweight=".72pt" strokecolor="#bd4a47">
              <v:stroke dashstyle="solid"/>
            </v:rect>
            <v:shape style="position:absolute;left:8769;top:-3888;width:384;height:360" coordorigin="8770,-3888" coordsize="384,360" path="m8770,-3888l9154,-3888m8770,-3528l9154,-3528e" filled="false" stroked="true" strokeweight=".72pt" strokecolor="#000000">
              <v:path arrowok="t"/>
              <v:stroke dashstyle="solid"/>
            </v:shape>
            <v:rect style="position:absolute;left:1641;top:-8094;width:8801;height:8047" filled="false" stroked="true" strokeweight=".75pt" strokecolor="#858585">
              <v:stroke dashstyle="solid"/>
            </v:rect>
            <v:shape style="position:absolute;left:2181;top:-7964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1600</w:t>
                    </w:r>
                  </w:p>
                </w:txbxContent>
              </v:textbox>
              <w10:wrap type="none"/>
            </v:shape>
            <v:shape style="position:absolute;left:8714;top:-7578;width:168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84.515x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453.81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0.9509</w:t>
                    </w:r>
                  </w:p>
                </w:txbxContent>
              </v:textbox>
              <w10:wrap type="none"/>
            </v:shape>
            <v:shape style="position:absolute;left:2181;top:-7101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1400</w:t>
                    </w:r>
                  </w:p>
                </w:txbxContent>
              </v:textbox>
              <w10:wrap type="none"/>
            </v:shape>
            <v:shape style="position:absolute;left:2181;top:-6239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1200</w:t>
                    </w:r>
                  </w:p>
                </w:txbxContent>
              </v:textbox>
              <w10:wrap type="none"/>
            </v:shape>
            <v:shape style="position:absolute;left:8714;top:-6052;width:168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42.867x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581.77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0.642</w:t>
                    </w:r>
                  </w:p>
                </w:txbxContent>
              </v:textbox>
              <w10:wrap type="none"/>
            </v:shape>
            <v:shape style="position:absolute;left:2181;top:-5376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2282;top:-4514;width:323;height:106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exact" w:before="13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9196;top:-4705;width:1059;height:128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AMS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RMS</w:t>
                    </w:r>
                  </w:p>
                  <w:p>
                    <w:pPr>
                      <w:spacing w:line="360" w:lineRule="atLeast" w:before="0"/>
                      <w:ind w:left="0" w:right="5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Linear (AMS)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(AMS)</w:t>
                    </w:r>
                  </w:p>
                </w:txbxContent>
              </v:textbox>
              <w10:wrap type="none"/>
            </v:shape>
            <v:shape style="position:absolute;left:2282;top:-2788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2282;top:-192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2484;top:-106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21;top:-80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51;top:-80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82;top:-80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385;top:-803;width:378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t1/2</w:t>
                    </w:r>
                  </w:p>
                </w:txbxContent>
              </v:textbox>
              <w10:wrap type="none"/>
            </v:shape>
            <v:shape style="position:absolute;left:6444;top:-80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324;top:-80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255;top:-80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1"/>
        </w:rPr>
        <w:t> </w:t>
      </w:r>
      <w:r>
        <w:rPr/>
        <w:t>3.41</w:t>
        <w:tab/>
        <w:t>intra-particle</w:t>
      </w:r>
      <w:r>
        <w:rPr>
          <w:spacing w:val="-1"/>
        </w:rPr>
        <w:t> </w:t>
      </w:r>
      <w:r>
        <w:rPr/>
        <w:t>diffusion</w:t>
      </w:r>
      <w:r>
        <w:rPr>
          <w:spacing w:val="-4"/>
        </w:rPr>
        <w:t> </w:t>
      </w:r>
      <w:r>
        <w:rPr/>
        <w:t>kinetics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sorption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oil</w:t>
      </w:r>
      <w:r>
        <w:rPr>
          <w:spacing w:val="-4"/>
        </w:rPr>
        <w:t> </w:t>
      </w:r>
      <w:r>
        <w:rPr/>
        <w:t>onto</w:t>
      </w:r>
      <w:r>
        <w:rPr>
          <w:spacing w:val="-4"/>
        </w:rPr>
        <w:t> </w:t>
      </w:r>
      <w:r>
        <w:rPr/>
        <w:t>mango</w:t>
      </w:r>
      <w:r>
        <w:rPr>
          <w:spacing w:val="-4"/>
        </w:rPr>
        <w:t> </w:t>
      </w:r>
      <w:r>
        <w:rPr/>
        <w:t>kernel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66.224998pt;margin-top:151.784988pt;width:447.55pt;height:403.85pt;mso-position-horizontal-relative:page;mso-position-vertical-relative:page;z-index:15793664" coordorigin="1324,3036" coordsize="8951,8077">
            <v:shape style="position:absolute;left:2323;top:3266;width:5808;height:7316" coordorigin="2323,3266" coordsize="5808,7316" path="m2386,10582l2386,3266m2323,10582l2386,10582m2323,9535l2386,9535m2323,8491l2386,8491m2323,7445l2386,7445m2323,6401l2386,6401m2323,5354l2386,5354m2323,4310l2386,4310m2323,3266l2386,3266m2386,3266l8131,3266m2386,3266l2386,3329m3535,3266l3535,3329m4685,3266l4685,3329m5832,3266l5832,3329m6982,3266l6982,3329m8131,3266l8131,3329e" filled="false" stroked="true" strokeweight=".72pt" strokecolor="#858585">
              <v:path arrowok="t"/>
              <v:stroke dashstyle="solid"/>
            </v:shape>
            <v:shape style="position:absolute;left:4032;top:5424;width:155;height:155" type="#_x0000_t75" stroked="false">
              <v:imagedata r:id="rId33" o:title=""/>
            </v:shape>
            <v:shape style="position:absolute;left:5755;top:7388;width:155;height:155" type="#_x0000_t75" stroked="false">
              <v:imagedata r:id="rId26" o:title=""/>
            </v:shape>
            <v:shape style="position:absolute;left:7478;top:9669;width:155;height:155" type="#_x0000_t75" stroked="false">
              <v:imagedata r:id="rId26" o:title=""/>
            </v:shape>
            <v:rect style="position:absolute;left:4039;top:6186;width:140;height:140" filled="true" fillcolor="#c0504d" stroked="false">
              <v:fill type="solid"/>
            </v:rect>
            <v:rect style="position:absolute;left:4039;top:6186;width:140;height:140" filled="false" stroked="true" strokeweight=".75pt" strokecolor="#bd4a47">
              <v:stroke dashstyle="solid"/>
            </v:rect>
            <v:rect style="position:absolute;left:5763;top:6351;width:140;height:140" filled="true" fillcolor="#c0504d" stroked="false">
              <v:fill type="solid"/>
            </v:rect>
            <v:rect style="position:absolute;left:5763;top:6351;width:140;height:140" filled="false" stroked="true" strokeweight=".75pt" strokecolor="#bd4a47">
              <v:stroke dashstyle="solid"/>
            </v:rect>
            <v:rect style="position:absolute;left:7486;top:6518;width:140;height:140" filled="true" fillcolor="#c0504d" stroked="false">
              <v:fill type="solid"/>
            </v:rect>
            <v:rect style="position:absolute;left:7486;top:6518;width:140;height:140" filled="false" stroked="true" strokeweight=".75pt" strokecolor="#bd4a47">
              <v:stroke dashstyle="solid"/>
            </v:rect>
            <v:shape style="position:absolute;left:4108;top:5448;width:3449;height:4246" coordorigin="4109,5448" coordsize="3449,4246" path="m4109,5448l7558,9694m4109,6257l7558,6588e" filled="false" stroked="true" strokeweight=".72pt" strokecolor="#000000">
              <v:path arrowok="t"/>
              <v:stroke dashstyle="solid"/>
            </v:shape>
            <v:shape style="position:absolute;left:8721;top:6463;width:135;height:135" type="#_x0000_t75" stroked="false">
              <v:imagedata r:id="rId31" o:title=""/>
            </v:shape>
            <v:rect style="position:absolute;left:8728;top:6832;width:120;height:120" filled="true" fillcolor="#c0504d" stroked="false">
              <v:fill type="solid"/>
            </v:rect>
            <v:rect style="position:absolute;left:8728;top:6832;width:120;height:120" filled="false" stroked="true" strokeweight=".72pt" strokecolor="#bd4a47">
              <v:stroke dashstyle="solid"/>
            </v:rect>
            <v:shape style="position:absolute;left:8596;top:7255;width:384;height:360" coordorigin="8597,7255" coordsize="384,360" path="m8597,7255l8981,7255m8597,7615l8981,7615e" filled="false" stroked="true" strokeweight=".72pt" strokecolor="#000000">
              <v:path arrowok="t"/>
              <v:stroke dashstyle="solid"/>
            </v:shape>
            <v:rect style="position:absolute;left:1332;top:3043;width:8936;height:8062" filled="false" stroked="true" strokeweight=".75pt" strokecolor="#858585">
              <v:stroke dashstyle="solid"/>
            </v:rect>
            <v:shape style="position:absolute;left:2098;top:317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34;top:343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33;top:343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582;top:343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5731;top:343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6880;top:343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7979;top:3432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885;top:4218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-0.5</w:t>
                    </w:r>
                  </w:p>
                </w:txbxContent>
              </v:textbox>
              <w10:wrap type="none"/>
            </v:shape>
            <v:shape style="position:absolute;left:8515;top:4025;width:1712;height:114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-0.0339x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0.0293</w:t>
                    </w:r>
                  </w:p>
                  <w:p>
                    <w:pPr>
                      <w:spacing w:before="0"/>
                      <w:ind w:left="367" w:right="385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0.9982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-0.0027x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1.3513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039;top:5263;width:1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1885;top:6308;width:335;height:12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9022;top:6439;width:1059;height:128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AMS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RMS</w:t>
                    </w:r>
                  </w:p>
                  <w:p>
                    <w:pPr>
                      <w:spacing w:line="360" w:lineRule="atLeast" w:before="0"/>
                      <w:ind w:left="0" w:right="5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Linear (AMS)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(AMS)</w:t>
                    </w:r>
                  </w:p>
                </w:txbxContent>
              </v:textbox>
              <w10:wrap type="none"/>
            </v:shape>
            <v:shape style="position:absolute;left:1885;top:8399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-2.5</w:t>
                    </w:r>
                  </w:p>
                </w:txbxContent>
              </v:textbox>
              <w10:wrap type="none"/>
            </v:shape>
            <v:shape style="position:absolute;left:2039;top:9443;width:1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-3</w:t>
                    </w:r>
                  </w:p>
                </w:txbxContent>
              </v:textbox>
              <w10:wrap type="none"/>
            </v:shape>
            <v:shape style="position:absolute;left:1885;top:10489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-3.5</w:t>
                    </w:r>
                  </w:p>
                </w:txbxContent>
              </v:textbox>
              <w10:wrap type="none"/>
            </v:shape>
            <v:shape style="position:absolute;left:4985;top:10640;width:569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</w:t>
                    </w:r>
                    <w:r>
                      <w:rPr>
                        <w:rFonts w:ascii="Calibri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(sec</w:t>
                    </w:r>
                    <w:r>
                      <w:rPr>
                        <w:rFonts w:ascii="Calibri"/>
                        <w:b/>
                        <w:sz w:val="20"/>
                        <w:vertAlign w:val="superscript"/>
                      </w:rPr>
                      <w:t>-1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0.120003pt;margin-top:331.98233pt;width:12pt;height:28.65pt;mso-position-horizontal-relative:page;mso-position-vertical-relative:page;z-index:1579417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ln(1-F)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spacing w:line="480" w:lineRule="auto" w:before="75"/>
        <w:ind w:left="1198" w:right="575"/>
        <w:jc w:val="both"/>
      </w:pPr>
      <w:r>
        <w:rPr/>
        <w:t>A comparison of the correlation coefficients results presented in Table 3.18 indicated that</w:t>
      </w:r>
      <w:r>
        <w:rPr>
          <w:spacing w:val="1"/>
        </w:rPr>
        <w:t> </w:t>
      </w:r>
      <w:r>
        <w:rPr/>
        <w:t>lagergren pseudo first-order, derived pseudo first-order and Hill second order expressions</w:t>
      </w:r>
      <w:r>
        <w:rPr>
          <w:spacing w:val="1"/>
        </w:rPr>
        <w:t> </w:t>
      </w:r>
      <w:r>
        <w:rPr/>
        <w:t>produced R</w:t>
      </w:r>
      <w:r>
        <w:rPr>
          <w:vertAlign w:val="superscript"/>
        </w:rPr>
        <w:t>2</w:t>
      </w:r>
      <w:r>
        <w:rPr>
          <w:vertAlign w:val="baseline"/>
        </w:rPr>
        <w:t> within 0.43≤ R ≥ 0.89 which are moderate and high (Dowine and Heath,</w:t>
      </w:r>
      <w:r>
        <w:rPr>
          <w:spacing w:val="1"/>
          <w:vertAlign w:val="baseline"/>
        </w:rPr>
        <w:t> </w:t>
      </w:r>
      <w:r>
        <w:rPr>
          <w:vertAlign w:val="baseline"/>
        </w:rPr>
        <w:t>1974). The derived pseudo first-order and Hill second order expressions produced ϴ</w:t>
      </w:r>
      <w:r>
        <w:rPr>
          <w:vertAlign w:val="subscript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 values reasonably close to the experimental value. However, the very high 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produced by the Ho pseudo second-order expression indicates that is the optimum</w:t>
      </w:r>
      <w:r>
        <w:rPr>
          <w:spacing w:val="1"/>
          <w:vertAlign w:val="baseline"/>
        </w:rPr>
        <w:t> </w:t>
      </w:r>
      <w:r>
        <w:rPr>
          <w:vertAlign w:val="baseline"/>
        </w:rPr>
        <w:t>kinetic</w:t>
      </w:r>
      <w:r>
        <w:rPr>
          <w:spacing w:val="-2"/>
          <w:vertAlign w:val="baseline"/>
        </w:rPr>
        <w:t> </w:t>
      </w:r>
      <w:r>
        <w:rPr>
          <w:vertAlign w:val="baseline"/>
        </w:rPr>
        <w:t>expression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explain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sorption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crude oil</w:t>
      </w:r>
      <w:r>
        <w:rPr>
          <w:spacing w:val="-1"/>
          <w:vertAlign w:val="baseline"/>
        </w:rPr>
        <w:t> </w:t>
      </w:r>
      <w:r>
        <w:rPr>
          <w:vertAlign w:val="baseline"/>
        </w:rPr>
        <w:t>unto</w:t>
      </w:r>
      <w:r>
        <w:rPr>
          <w:spacing w:val="-3"/>
          <w:vertAlign w:val="baseline"/>
        </w:rPr>
        <w:t> </w:t>
      </w:r>
      <w:r>
        <w:rPr>
          <w:vertAlign w:val="baseline"/>
        </w:rPr>
        <w:t>mango</w:t>
      </w:r>
      <w:r>
        <w:rPr>
          <w:spacing w:val="-2"/>
          <w:vertAlign w:val="baseline"/>
        </w:rPr>
        <w:t> </w:t>
      </w:r>
      <w:r>
        <w:rPr>
          <w:vertAlign w:val="baseline"/>
        </w:rPr>
        <w:t>kernel.</w:t>
      </w:r>
    </w:p>
    <w:p>
      <w:pPr>
        <w:pStyle w:val="BodyText"/>
        <w:spacing w:line="480" w:lineRule="auto" w:before="1"/>
        <w:ind w:left="1198" w:right="574"/>
        <w:jc w:val="both"/>
      </w:pPr>
      <w:r>
        <w:rPr/>
        <w:t>Intra-particle diffusion and liquid-film diffusion models were also used to further study the</w:t>
      </w:r>
      <w:r>
        <w:rPr>
          <w:spacing w:val="1"/>
        </w:rPr>
        <w:t> </w:t>
      </w:r>
      <w:r>
        <w:rPr/>
        <w:t>mechanism of crude oil sorption unto mango kernel. For the intra-particle diffusion model,</w:t>
      </w:r>
      <w:r>
        <w:rPr>
          <w:spacing w:val="1"/>
        </w:rPr>
        <w:t> </w:t>
      </w:r>
      <w:r>
        <w:rPr/>
        <w:t>the intercept of the plot indicated boundary layer effect. A large intercept indicated a</w:t>
      </w:r>
      <w:r>
        <w:rPr>
          <w:spacing w:val="1"/>
        </w:rPr>
        <w:t> </w:t>
      </w:r>
      <w:r>
        <w:rPr/>
        <w:t>greater contribution of the surface sorption in the rate-determining step. Intra-particle</w:t>
      </w:r>
      <w:r>
        <w:rPr>
          <w:spacing w:val="1"/>
        </w:rPr>
        <w:t> </w:t>
      </w:r>
      <w:r>
        <w:rPr/>
        <w:t>diffusion is the sole rate-determining step if the plot is linear, and passed through the</w:t>
      </w:r>
      <w:r>
        <w:rPr>
          <w:spacing w:val="1"/>
        </w:rPr>
        <w:t> </w:t>
      </w:r>
      <w:r>
        <w:rPr/>
        <w:t>origin. From Table 3.18, as indicated by high regression values for both raw and acetylated</w:t>
      </w:r>
      <w:r>
        <w:rPr>
          <w:spacing w:val="-72"/>
        </w:rPr>
        <w:t> </w:t>
      </w:r>
      <w:r>
        <w:rPr/>
        <w:t>mango kernel and also the presence of the intercept (c), it shows that the plot did not pass</w:t>
      </w:r>
      <w:r>
        <w:rPr>
          <w:spacing w:val="-72"/>
        </w:rPr>
        <w:t> </w:t>
      </w:r>
      <w:r>
        <w:rPr/>
        <w:t>through the origin, but was close to it. The deviation from origin was due to the difference</w:t>
      </w:r>
      <w:r>
        <w:rPr>
          <w:spacing w:val="1"/>
        </w:rPr>
        <w:t> </w:t>
      </w:r>
      <w:r>
        <w:rPr/>
        <w:t>in mass transfer in the initial and final stages of the sorption process (Das and Mondal,</w:t>
      </w:r>
      <w:r>
        <w:rPr>
          <w:spacing w:val="1"/>
        </w:rPr>
        <w:t> </w:t>
      </w:r>
      <w:r>
        <w:rPr/>
        <w:t>2011). The presence of boundary layer effect (c) showed the existence of surface sorption,</w:t>
      </w:r>
      <w:r>
        <w:rPr>
          <w:spacing w:val="-72"/>
        </w:rPr>
        <w:t> </w:t>
      </w:r>
      <w:r>
        <w:rPr/>
        <w:t>indicating that intra-particle diffusion expression is not the only rate determining step.</w:t>
      </w:r>
      <w:r>
        <w:rPr>
          <w:spacing w:val="1"/>
        </w:rPr>
        <w:t> </w:t>
      </w:r>
      <w:r>
        <w:rPr/>
        <w:t>Similarly the application of liquid film diffusion model gave high curve linearity (0.9982</w:t>
      </w:r>
      <w:r>
        <w:rPr>
          <w:spacing w:val="1"/>
        </w:rPr>
        <w:t> </w:t>
      </w:r>
      <w:r>
        <w:rPr/>
        <w:t>(AMS) and 1.0 (RMS) indicating a high applicability of the model. The R</w:t>
      </w:r>
      <w:r>
        <w:rPr>
          <w:vertAlign w:val="superscript"/>
        </w:rPr>
        <w:t>2</w:t>
      </w:r>
      <w:r>
        <w:rPr>
          <w:vertAlign w:val="baseline"/>
        </w:rPr>
        <w:t> values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liquid film diffusion model are higher than the intra-particle diffusion model, indicating that</w:t>
      </w:r>
      <w:r>
        <w:rPr>
          <w:spacing w:val="1"/>
          <w:vertAlign w:val="baseline"/>
        </w:rPr>
        <w:t> </w:t>
      </w:r>
      <w:r>
        <w:rPr>
          <w:vertAlign w:val="baseline"/>
        </w:rPr>
        <w:t>sorption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crude</w:t>
      </w:r>
      <w:r>
        <w:rPr>
          <w:spacing w:val="2"/>
          <w:vertAlign w:val="baseline"/>
        </w:rPr>
        <w:t> </w:t>
      </w:r>
      <w:r>
        <w:rPr>
          <w:vertAlign w:val="baseline"/>
        </w:rPr>
        <w:t>oil</w:t>
      </w:r>
      <w:r>
        <w:rPr>
          <w:spacing w:val="-2"/>
          <w:vertAlign w:val="baseline"/>
        </w:rPr>
        <w:t> </w:t>
      </w:r>
      <w:r>
        <w:rPr>
          <w:vertAlign w:val="baseline"/>
        </w:rPr>
        <w:t>unto</w:t>
      </w:r>
      <w:r>
        <w:rPr>
          <w:spacing w:val="-2"/>
          <w:vertAlign w:val="baseline"/>
        </w:rPr>
        <w:t> </w:t>
      </w:r>
      <w:r>
        <w:rPr>
          <w:vertAlign w:val="baseline"/>
        </w:rPr>
        <w:t>mango</w:t>
      </w:r>
      <w:r>
        <w:rPr>
          <w:spacing w:val="-3"/>
          <w:vertAlign w:val="baseline"/>
        </w:rPr>
        <w:t> </w:t>
      </w:r>
      <w:r>
        <w:rPr>
          <w:vertAlign w:val="baseline"/>
        </w:rPr>
        <w:t>kernel occurred more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surface.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75" w:lineRule="auto" w:before="75"/>
        <w:ind w:left="1198" w:right="576"/>
        <w:jc w:val="both"/>
      </w:pPr>
      <w:r>
        <w:rPr/>
        <w:t>Results from our kinetic studies</w:t>
      </w:r>
      <w:r>
        <w:rPr>
          <w:spacing w:val="75"/>
        </w:rPr>
        <w:t> </w:t>
      </w:r>
      <w:r>
        <w:rPr/>
        <w:t>revealed, therefore that sorption of oil is by surface</w:t>
      </w:r>
      <w:r>
        <w:rPr>
          <w:spacing w:val="1"/>
        </w:rPr>
        <w:t> </w:t>
      </w:r>
      <w:r>
        <w:rPr/>
        <w:t>reaction and diffusion into the pores of mango. This is in agreement with results elsewhere</w:t>
      </w:r>
      <w:r>
        <w:rPr>
          <w:spacing w:val="-72"/>
        </w:rPr>
        <w:t> </w:t>
      </w:r>
      <w:r>
        <w:rPr/>
        <w:t>[Uzoije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</w:t>
      </w:r>
      <w:r>
        <w:rPr/>
        <w:t>.,</w:t>
      </w:r>
      <w:r>
        <w:rPr>
          <w:spacing w:val="-2"/>
        </w:rPr>
        <w:t> </w:t>
      </w:r>
      <w:r>
        <w:rPr/>
        <w:t>2011;</w:t>
      </w:r>
      <w:r>
        <w:rPr>
          <w:spacing w:val="-1"/>
        </w:rPr>
        <w:t> </w:t>
      </w:r>
      <w:r>
        <w:rPr/>
        <w:t>Aisien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1"/>
        </w:rPr>
        <w:t> </w:t>
      </w:r>
      <w:r>
        <w:rPr/>
        <w:t>2011].</w:t>
      </w:r>
    </w:p>
    <w:p>
      <w:pPr>
        <w:spacing w:after="0" w:line="475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before="173"/>
        <w:ind w:left="1198"/>
      </w:pPr>
      <w:r>
        <w:rPr/>
        <w:t>Table</w:t>
      </w:r>
      <w:r>
        <w:rPr>
          <w:spacing w:val="-2"/>
        </w:rPr>
        <w:t> </w:t>
      </w:r>
      <w:r>
        <w:rPr/>
        <w:t>3.18</w:t>
      </w:r>
      <w:r>
        <w:rPr>
          <w:spacing w:val="-2"/>
        </w:rPr>
        <w:t> </w:t>
      </w: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kinetics</w:t>
      </w:r>
      <w:r>
        <w:rPr>
          <w:spacing w:val="-2"/>
        </w:rPr>
        <w:t> </w:t>
      </w:r>
      <w:r>
        <w:rPr/>
        <w:t>derived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plot</w:t>
      </w:r>
      <w:r>
        <w:rPr>
          <w:spacing w:val="-4"/>
        </w:rPr>
        <w:t> </w:t>
      </w:r>
      <w:r>
        <w:rPr/>
        <w:t>for mango</w:t>
      </w:r>
      <w:r>
        <w:rPr>
          <w:spacing w:val="-4"/>
        </w:rPr>
        <w:t> </w:t>
      </w:r>
      <w:r>
        <w:rPr/>
        <w:t>kernel</w:t>
      </w:r>
      <w:r>
        <w:rPr>
          <w:spacing w:val="-1"/>
        </w:rPr>
        <w:t> </w:t>
      </w:r>
      <w:r>
        <w:rPr/>
        <w:t>OSC</w:t>
      </w: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1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0"/>
        <w:gridCol w:w="2437"/>
        <w:gridCol w:w="4170"/>
      </w:tblGrid>
      <w:tr>
        <w:trPr>
          <w:trHeight w:val="482" w:hRule="atLeast"/>
        </w:trPr>
        <w:tc>
          <w:tcPr>
            <w:tcW w:w="2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Kinetic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330"/>
              <w:rPr>
                <w:sz w:val="20"/>
              </w:rPr>
            </w:pPr>
            <w:r>
              <w:rPr>
                <w:sz w:val="20"/>
              </w:rPr>
              <w:t>AMS</w:t>
            </w:r>
          </w:p>
        </w:tc>
        <w:tc>
          <w:tcPr>
            <w:tcW w:w="4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1085"/>
              <w:rPr>
                <w:sz w:val="20"/>
              </w:rPr>
            </w:pPr>
            <w:r>
              <w:rPr>
                <w:sz w:val="20"/>
              </w:rPr>
              <w:t>RMS</w:t>
            </w:r>
          </w:p>
        </w:tc>
      </w:tr>
      <w:tr>
        <w:trPr>
          <w:trHeight w:val="369" w:hRule="atLeast"/>
        </w:trPr>
        <w:tc>
          <w:tcPr>
            <w:tcW w:w="2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ϴ</w:t>
            </w:r>
            <w:r>
              <w:rPr>
                <w:sz w:val="20"/>
                <w:szCs w:val="20"/>
                <w:vertAlign w:val="subscript"/>
              </w:rPr>
              <w:t>o</w:t>
            </w:r>
            <w:r>
              <w:rPr>
                <w:spacing w:val="-3"/>
                <w:sz w:val="20"/>
                <w:szCs w:val="20"/>
                <w:vertAlign w:val="baseline"/>
              </w:rPr>
              <w:t> </w:t>
            </w:r>
            <w:r>
              <w:rPr>
                <w:sz w:val="20"/>
                <w:szCs w:val="20"/>
                <w:vertAlign w:val="baseline"/>
              </w:rPr>
              <w:t>exp</w:t>
            </w:r>
            <w:r>
              <w:rPr>
                <w:spacing w:val="-3"/>
                <w:sz w:val="20"/>
                <w:szCs w:val="20"/>
                <w:vertAlign w:val="baseline"/>
              </w:rPr>
              <w:t> </w:t>
            </w:r>
            <w:r>
              <w:rPr>
                <w:sz w:val="20"/>
                <w:szCs w:val="20"/>
                <w:vertAlign w:val="baseline"/>
              </w:rPr>
              <w:t>(mg/g)</w:t>
            </w:r>
          </w:p>
        </w:tc>
        <w:tc>
          <w:tcPr>
            <w:tcW w:w="24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exact"/>
              <w:ind w:left="330"/>
              <w:rPr>
                <w:sz w:val="20"/>
              </w:rPr>
            </w:pPr>
            <w:r>
              <w:rPr>
                <w:sz w:val="20"/>
              </w:rPr>
              <w:t>1340</w:t>
            </w:r>
          </w:p>
        </w:tc>
        <w:tc>
          <w:tcPr>
            <w:tcW w:w="4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exact"/>
              <w:ind w:left="1085"/>
              <w:rPr>
                <w:sz w:val="20"/>
              </w:rPr>
            </w:pPr>
            <w:r>
              <w:rPr>
                <w:sz w:val="20"/>
              </w:rPr>
              <w:t>1130</w:t>
            </w:r>
          </w:p>
        </w:tc>
      </w:tr>
      <w:tr>
        <w:trPr>
          <w:trHeight w:val="475" w:hRule="atLeast"/>
        </w:trPr>
        <w:tc>
          <w:tcPr>
            <w:tcW w:w="2970" w:type="dxa"/>
          </w:tcPr>
          <w:p>
            <w:pPr>
              <w:pStyle w:val="TableParagraph"/>
              <w:spacing w:line="240" w:lineRule="auto" w:before="111"/>
              <w:ind w:left="107"/>
              <w:rPr>
                <w:sz w:val="20"/>
              </w:rPr>
            </w:pPr>
            <w:r>
              <w:rPr>
                <w:sz w:val="20"/>
              </w:rPr>
              <w:t>Lagergren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pseudo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first-order</w:t>
            </w:r>
          </w:p>
        </w:tc>
        <w:tc>
          <w:tcPr>
            <w:tcW w:w="243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2970" w:type="dxa"/>
          </w:tcPr>
          <w:p>
            <w:pPr>
              <w:pStyle w:val="TableParagraph"/>
              <w:spacing w:line="240" w:lineRule="auto" w:before="121"/>
              <w:ind w:left="107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ϴ</w:t>
            </w:r>
            <w:r>
              <w:rPr>
                <w:w w:val="95"/>
                <w:sz w:val="20"/>
                <w:szCs w:val="20"/>
                <w:vertAlign w:val="subscript"/>
              </w:rPr>
              <w:t>o</w:t>
            </w:r>
            <w:r>
              <w:rPr>
                <w:spacing w:val="-8"/>
                <w:w w:val="95"/>
                <w:sz w:val="20"/>
                <w:szCs w:val="20"/>
                <w:vertAlign w:val="baseline"/>
              </w:rPr>
              <w:t> </w:t>
            </w:r>
            <w:r>
              <w:rPr>
                <w:w w:val="95"/>
                <w:sz w:val="20"/>
                <w:szCs w:val="20"/>
                <w:vertAlign w:val="baseline"/>
              </w:rPr>
              <w:t>calc</w:t>
            </w:r>
            <w:r>
              <w:rPr>
                <w:spacing w:val="22"/>
                <w:w w:val="95"/>
                <w:sz w:val="20"/>
                <w:szCs w:val="20"/>
                <w:vertAlign w:val="baseline"/>
              </w:rPr>
              <w:t> </w:t>
            </w:r>
            <w:r>
              <w:rPr>
                <w:w w:val="95"/>
                <w:sz w:val="20"/>
                <w:szCs w:val="20"/>
                <w:vertAlign w:val="baseline"/>
              </w:rPr>
              <w:t>(mg/g)</w:t>
            </w:r>
          </w:p>
        </w:tc>
        <w:tc>
          <w:tcPr>
            <w:tcW w:w="2437" w:type="dxa"/>
          </w:tcPr>
          <w:p>
            <w:pPr>
              <w:pStyle w:val="TableParagraph"/>
              <w:spacing w:line="240" w:lineRule="auto" w:before="121"/>
              <w:ind w:left="330"/>
              <w:rPr>
                <w:sz w:val="20"/>
              </w:rPr>
            </w:pPr>
            <w:r>
              <w:rPr>
                <w:sz w:val="20"/>
              </w:rPr>
              <w:t>0.948</w:t>
            </w:r>
          </w:p>
        </w:tc>
        <w:tc>
          <w:tcPr>
            <w:tcW w:w="4170" w:type="dxa"/>
          </w:tcPr>
          <w:p>
            <w:pPr>
              <w:pStyle w:val="TableParagraph"/>
              <w:spacing w:line="240" w:lineRule="auto" w:before="121"/>
              <w:ind w:left="1085"/>
              <w:rPr>
                <w:sz w:val="20"/>
              </w:rPr>
            </w:pPr>
            <w:r>
              <w:rPr>
                <w:sz w:val="20"/>
              </w:rPr>
              <w:t>0.699</w:t>
            </w:r>
          </w:p>
        </w:tc>
      </w:tr>
      <w:tr>
        <w:trPr>
          <w:trHeight w:val="482" w:hRule="atLeast"/>
        </w:trPr>
        <w:tc>
          <w:tcPr>
            <w:tcW w:w="2970" w:type="dxa"/>
          </w:tcPr>
          <w:p>
            <w:pPr>
              <w:pStyle w:val="TableParagraph"/>
              <w:spacing w:line="240" w:lineRule="auto" w:before="122"/>
              <w:ind w:left="107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z w:val="20"/>
                <w:vertAlign w:val="subscript"/>
              </w:rPr>
              <w:t>1</w:t>
            </w:r>
            <w:r>
              <w:rPr>
                <w:spacing w:val="-4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(sec-</w:t>
            </w:r>
            <w:r>
              <w:rPr>
                <w:sz w:val="20"/>
                <w:vertAlign w:val="superscript"/>
              </w:rPr>
              <w:t>1</w:t>
            </w:r>
            <w:r>
              <w:rPr>
                <w:sz w:val="20"/>
                <w:vertAlign w:val="baseline"/>
              </w:rPr>
              <w:t>)</w:t>
            </w:r>
          </w:p>
        </w:tc>
        <w:tc>
          <w:tcPr>
            <w:tcW w:w="2437" w:type="dxa"/>
          </w:tcPr>
          <w:p>
            <w:pPr>
              <w:pStyle w:val="TableParagraph"/>
              <w:spacing w:line="240" w:lineRule="auto" w:before="122"/>
              <w:ind w:left="330"/>
              <w:rPr>
                <w:sz w:val="20"/>
              </w:rPr>
            </w:pPr>
            <w:r>
              <w:rPr>
                <w:sz w:val="20"/>
              </w:rPr>
              <w:t>-1.07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-2</w:t>
            </w:r>
          </w:p>
        </w:tc>
        <w:tc>
          <w:tcPr>
            <w:tcW w:w="4170" w:type="dxa"/>
          </w:tcPr>
          <w:p>
            <w:pPr>
              <w:pStyle w:val="TableParagraph"/>
              <w:spacing w:line="240" w:lineRule="auto" w:before="122"/>
              <w:ind w:left="1085"/>
              <w:rPr>
                <w:sz w:val="20"/>
              </w:rPr>
            </w:pPr>
            <w:r>
              <w:rPr>
                <w:sz w:val="20"/>
              </w:rPr>
              <w:t>-1.41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-2</w:t>
            </w:r>
          </w:p>
        </w:tc>
      </w:tr>
      <w:tr>
        <w:trPr>
          <w:trHeight w:val="363" w:hRule="atLeast"/>
        </w:trPr>
        <w:tc>
          <w:tcPr>
            <w:tcW w:w="2970" w:type="dxa"/>
          </w:tcPr>
          <w:p>
            <w:pPr>
              <w:pStyle w:val="TableParagraph"/>
              <w:spacing w:line="156" w:lineRule="auto" w:before="140"/>
              <w:ind w:left="107"/>
              <w:rPr>
                <w:sz w:val="13"/>
              </w:rPr>
            </w:pPr>
            <w:r>
              <w:rPr>
                <w:position w:val="-8"/>
                <w:sz w:val="20"/>
              </w:rPr>
              <w:t>R</w:t>
            </w:r>
            <w:r>
              <w:rPr>
                <w:sz w:val="13"/>
              </w:rPr>
              <w:t>2</w:t>
            </w:r>
          </w:p>
        </w:tc>
        <w:tc>
          <w:tcPr>
            <w:tcW w:w="2437" w:type="dxa"/>
          </w:tcPr>
          <w:p>
            <w:pPr>
              <w:pStyle w:val="TableParagraph"/>
              <w:spacing w:line="221" w:lineRule="exact" w:before="122"/>
              <w:ind w:left="330"/>
              <w:rPr>
                <w:sz w:val="20"/>
              </w:rPr>
            </w:pPr>
            <w:r>
              <w:rPr>
                <w:sz w:val="20"/>
              </w:rPr>
              <w:t>0.9626</w:t>
            </w:r>
          </w:p>
        </w:tc>
        <w:tc>
          <w:tcPr>
            <w:tcW w:w="4170" w:type="dxa"/>
          </w:tcPr>
          <w:p>
            <w:pPr>
              <w:pStyle w:val="TableParagraph"/>
              <w:spacing w:line="221" w:lineRule="exact" w:before="122"/>
              <w:ind w:left="1085"/>
              <w:rPr>
                <w:sz w:val="20"/>
              </w:rPr>
            </w:pPr>
            <w:r>
              <w:rPr>
                <w:sz w:val="20"/>
              </w:rPr>
              <w:t>0.6691</w:t>
            </w:r>
          </w:p>
        </w:tc>
      </w:tr>
    </w:tbl>
    <w:p>
      <w:pPr>
        <w:spacing w:before="241"/>
        <w:ind w:left="1198" w:right="0" w:firstLine="0"/>
        <w:jc w:val="left"/>
        <w:rPr>
          <w:sz w:val="20"/>
        </w:rPr>
      </w:pPr>
      <w:r>
        <w:rPr>
          <w:sz w:val="20"/>
        </w:rPr>
        <w:t>Derived</w:t>
      </w:r>
      <w:r>
        <w:rPr>
          <w:spacing w:val="-6"/>
          <w:sz w:val="20"/>
        </w:rPr>
        <w:t> </w:t>
      </w:r>
      <w:r>
        <w:rPr>
          <w:sz w:val="20"/>
        </w:rPr>
        <w:t>pseudo</w:t>
      </w:r>
      <w:r>
        <w:rPr>
          <w:spacing w:val="-5"/>
          <w:sz w:val="20"/>
        </w:rPr>
        <w:t> </w:t>
      </w:r>
      <w:r>
        <w:rPr>
          <w:sz w:val="20"/>
        </w:rPr>
        <w:t>first-order</w:t>
      </w:r>
    </w:p>
    <w:p>
      <w:pPr>
        <w:pStyle w:val="BodyText"/>
        <w:rPr>
          <w:sz w:val="20"/>
        </w:rPr>
      </w:pPr>
    </w:p>
    <w:p>
      <w:pPr>
        <w:tabs>
          <w:tab w:pos="4390" w:val="left" w:leader="none"/>
          <w:tab w:pos="7582" w:val="left" w:leader="none"/>
        </w:tabs>
        <w:spacing w:before="0"/>
        <w:ind w:left="1198" w:right="0" w:firstLine="0"/>
        <w:jc w:val="left"/>
        <w:rPr>
          <w:sz w:val="20"/>
          <w:szCs w:val="20"/>
        </w:rPr>
      </w:pPr>
      <w:r>
        <w:rPr>
          <w:w w:val="95"/>
          <w:sz w:val="20"/>
          <w:szCs w:val="20"/>
        </w:rPr>
        <w:t>ϴ</w:t>
      </w:r>
      <w:r>
        <w:rPr>
          <w:w w:val="95"/>
          <w:sz w:val="20"/>
          <w:szCs w:val="20"/>
          <w:vertAlign w:val="subscript"/>
        </w:rPr>
        <w:t>o</w:t>
      </w:r>
      <w:r>
        <w:rPr>
          <w:spacing w:val="-11"/>
          <w:w w:val="95"/>
          <w:sz w:val="20"/>
          <w:szCs w:val="20"/>
          <w:vertAlign w:val="baseline"/>
        </w:rPr>
        <w:t> </w:t>
      </w:r>
      <w:r>
        <w:rPr>
          <w:w w:val="95"/>
          <w:sz w:val="20"/>
          <w:szCs w:val="20"/>
          <w:vertAlign w:val="baseline"/>
        </w:rPr>
        <w:t>calc</w:t>
      </w:r>
      <w:r>
        <w:rPr>
          <w:spacing w:val="17"/>
          <w:w w:val="95"/>
          <w:sz w:val="20"/>
          <w:szCs w:val="20"/>
          <w:vertAlign w:val="baseline"/>
        </w:rPr>
        <w:t> </w:t>
      </w:r>
      <w:r>
        <w:rPr>
          <w:w w:val="95"/>
          <w:sz w:val="20"/>
          <w:szCs w:val="20"/>
          <w:vertAlign w:val="baseline"/>
        </w:rPr>
        <w:t>(mg/g)</w:t>
        <w:tab/>
      </w:r>
      <w:r>
        <w:rPr>
          <w:sz w:val="20"/>
          <w:szCs w:val="20"/>
          <w:vertAlign w:val="baseline"/>
        </w:rPr>
        <w:t>818.11</w:t>
        <w:tab/>
        <w:t>759.00</w:t>
      </w:r>
    </w:p>
    <w:p>
      <w:pPr>
        <w:pStyle w:val="BodyText"/>
        <w:spacing w:before="12"/>
        <w:rPr>
          <w:sz w:val="19"/>
        </w:rPr>
      </w:pPr>
    </w:p>
    <w:p>
      <w:pPr>
        <w:tabs>
          <w:tab w:pos="4390" w:val="left" w:leader="none"/>
          <w:tab w:pos="7582" w:val="left" w:leader="none"/>
        </w:tabs>
        <w:spacing w:before="0"/>
        <w:ind w:left="1198" w:right="0" w:firstLine="0"/>
        <w:jc w:val="left"/>
        <w:rPr>
          <w:sz w:val="20"/>
        </w:rPr>
      </w:pPr>
      <w:r>
        <w:rPr>
          <w:sz w:val="20"/>
        </w:rPr>
        <w:t>K</w:t>
      </w: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ab/>
        <w:t>4.5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-3</w:t>
      </w:r>
      <w:r>
        <w:rPr>
          <w:sz w:val="20"/>
          <w:vertAlign w:val="baseline"/>
        </w:rPr>
        <w:tab/>
        <w:t>2.8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x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-3</w:t>
      </w: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1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6"/>
        <w:gridCol w:w="2908"/>
        <w:gridCol w:w="2102"/>
      </w:tblGrid>
      <w:tr>
        <w:trPr>
          <w:trHeight w:val="865" w:hRule="atLeast"/>
        </w:trPr>
        <w:tc>
          <w:tcPr>
            <w:tcW w:w="2386" w:type="dxa"/>
          </w:tcPr>
          <w:p>
            <w:pPr>
              <w:pStyle w:val="TableParagraph"/>
              <w:spacing w:line="153" w:lineRule="auto" w:before="38"/>
              <w:ind w:left="50"/>
              <w:rPr>
                <w:sz w:val="13"/>
              </w:rPr>
            </w:pPr>
            <w:r>
              <w:rPr>
                <w:position w:val="-8"/>
                <w:sz w:val="20"/>
              </w:rPr>
              <w:t>R</w:t>
            </w:r>
            <w:r>
              <w:rPr>
                <w:sz w:val="13"/>
              </w:rPr>
              <w:t>2</w:t>
            </w:r>
          </w:p>
          <w:p>
            <w:pPr>
              <w:pStyle w:val="TableParagraph"/>
              <w:spacing w:line="240" w:lineRule="auto" w:before="10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sz w:val="20"/>
              </w:rPr>
            </w:pPr>
            <w:r>
              <w:rPr>
                <w:sz w:val="20"/>
              </w:rPr>
              <w:t>Hill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second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order</w:t>
            </w:r>
          </w:p>
        </w:tc>
        <w:tc>
          <w:tcPr>
            <w:tcW w:w="2908" w:type="dxa"/>
          </w:tcPr>
          <w:p>
            <w:pPr>
              <w:pStyle w:val="TableParagraph"/>
              <w:spacing w:line="240" w:lineRule="auto" w:before="20"/>
              <w:ind w:left="856"/>
              <w:rPr>
                <w:sz w:val="20"/>
              </w:rPr>
            </w:pPr>
            <w:r>
              <w:rPr>
                <w:sz w:val="20"/>
              </w:rPr>
              <w:t>0.8675</w:t>
            </w:r>
          </w:p>
        </w:tc>
        <w:tc>
          <w:tcPr>
            <w:tcW w:w="2102" w:type="dxa"/>
          </w:tcPr>
          <w:p>
            <w:pPr>
              <w:pStyle w:val="TableParagraph"/>
              <w:spacing w:line="240" w:lineRule="auto" w:before="20"/>
              <w:ind w:left="1140"/>
              <w:rPr>
                <w:sz w:val="20"/>
              </w:rPr>
            </w:pPr>
            <w:r>
              <w:rPr>
                <w:sz w:val="20"/>
              </w:rPr>
              <w:t>0.7366</w:t>
            </w:r>
          </w:p>
        </w:tc>
      </w:tr>
      <w:tr>
        <w:trPr>
          <w:trHeight w:val="480" w:hRule="atLeast"/>
        </w:trPr>
        <w:tc>
          <w:tcPr>
            <w:tcW w:w="2386" w:type="dxa"/>
          </w:tcPr>
          <w:p>
            <w:pPr>
              <w:pStyle w:val="TableParagraph"/>
              <w:spacing w:line="240" w:lineRule="auto" w:before="120"/>
              <w:ind w:left="50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ϴ</w:t>
            </w:r>
            <w:r>
              <w:rPr>
                <w:w w:val="95"/>
                <w:sz w:val="20"/>
                <w:szCs w:val="20"/>
                <w:vertAlign w:val="subscript"/>
              </w:rPr>
              <w:t>o</w:t>
            </w:r>
            <w:r>
              <w:rPr>
                <w:spacing w:val="-8"/>
                <w:w w:val="95"/>
                <w:sz w:val="20"/>
                <w:szCs w:val="20"/>
                <w:vertAlign w:val="baseline"/>
              </w:rPr>
              <w:t> </w:t>
            </w:r>
            <w:r>
              <w:rPr>
                <w:w w:val="95"/>
                <w:sz w:val="20"/>
                <w:szCs w:val="20"/>
                <w:vertAlign w:val="baseline"/>
              </w:rPr>
              <w:t>calc</w:t>
            </w:r>
            <w:r>
              <w:rPr>
                <w:spacing w:val="22"/>
                <w:w w:val="95"/>
                <w:sz w:val="20"/>
                <w:szCs w:val="20"/>
                <w:vertAlign w:val="baseline"/>
              </w:rPr>
              <w:t> </w:t>
            </w:r>
            <w:r>
              <w:rPr>
                <w:w w:val="95"/>
                <w:sz w:val="20"/>
                <w:szCs w:val="20"/>
                <w:vertAlign w:val="baseline"/>
              </w:rPr>
              <w:t>(mg/g)</w:t>
            </w:r>
          </w:p>
        </w:tc>
        <w:tc>
          <w:tcPr>
            <w:tcW w:w="2908" w:type="dxa"/>
          </w:tcPr>
          <w:p>
            <w:pPr>
              <w:pStyle w:val="TableParagraph"/>
              <w:spacing w:line="240" w:lineRule="auto" w:before="120"/>
              <w:ind w:left="856"/>
              <w:rPr>
                <w:sz w:val="20"/>
              </w:rPr>
            </w:pPr>
            <w:r>
              <w:rPr>
                <w:sz w:val="20"/>
              </w:rPr>
              <w:t>666.67</w:t>
            </w:r>
          </w:p>
        </w:tc>
        <w:tc>
          <w:tcPr>
            <w:tcW w:w="2102" w:type="dxa"/>
          </w:tcPr>
          <w:p>
            <w:pPr>
              <w:pStyle w:val="TableParagraph"/>
              <w:spacing w:line="240" w:lineRule="auto" w:before="120"/>
              <w:ind w:left="1140"/>
              <w:rPr>
                <w:sz w:val="20"/>
              </w:rPr>
            </w:pPr>
            <w:r>
              <w:rPr>
                <w:sz w:val="20"/>
              </w:rPr>
              <w:t>769.23</w:t>
            </w:r>
          </w:p>
        </w:tc>
      </w:tr>
      <w:tr>
        <w:trPr>
          <w:trHeight w:val="482" w:hRule="atLeast"/>
        </w:trPr>
        <w:tc>
          <w:tcPr>
            <w:tcW w:w="2386" w:type="dxa"/>
          </w:tcPr>
          <w:p>
            <w:pPr>
              <w:pStyle w:val="TableParagraph"/>
              <w:spacing w:line="240" w:lineRule="auto" w:before="123"/>
              <w:ind w:left="50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2908" w:type="dxa"/>
          </w:tcPr>
          <w:p>
            <w:pPr>
              <w:pStyle w:val="TableParagraph"/>
              <w:spacing w:line="240" w:lineRule="auto" w:before="123"/>
              <w:ind w:left="856"/>
              <w:rPr>
                <w:sz w:val="20"/>
              </w:rPr>
            </w:pPr>
            <w:r>
              <w:rPr>
                <w:sz w:val="20"/>
              </w:rPr>
              <w:t>-1.0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-5</w:t>
            </w:r>
          </w:p>
        </w:tc>
        <w:tc>
          <w:tcPr>
            <w:tcW w:w="2102" w:type="dxa"/>
          </w:tcPr>
          <w:p>
            <w:pPr>
              <w:pStyle w:val="TableParagraph"/>
              <w:spacing w:line="240" w:lineRule="auto" w:before="123"/>
              <w:ind w:left="1140"/>
              <w:rPr>
                <w:sz w:val="20"/>
              </w:rPr>
            </w:pPr>
            <w:r>
              <w:rPr>
                <w:sz w:val="20"/>
              </w:rPr>
              <w:t>-3.0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-6</w:t>
            </w:r>
          </w:p>
        </w:tc>
      </w:tr>
      <w:tr>
        <w:trPr>
          <w:trHeight w:val="363" w:hRule="atLeast"/>
        </w:trPr>
        <w:tc>
          <w:tcPr>
            <w:tcW w:w="2386" w:type="dxa"/>
          </w:tcPr>
          <w:p>
            <w:pPr>
              <w:pStyle w:val="TableParagraph"/>
              <w:spacing w:line="156" w:lineRule="auto" w:before="140"/>
              <w:ind w:left="50"/>
              <w:rPr>
                <w:sz w:val="13"/>
              </w:rPr>
            </w:pPr>
            <w:r>
              <w:rPr>
                <w:position w:val="-8"/>
                <w:sz w:val="20"/>
              </w:rPr>
              <w:t>R</w:t>
            </w:r>
            <w:r>
              <w:rPr>
                <w:sz w:val="13"/>
              </w:rPr>
              <w:t>2</w:t>
            </w:r>
          </w:p>
        </w:tc>
        <w:tc>
          <w:tcPr>
            <w:tcW w:w="2908" w:type="dxa"/>
          </w:tcPr>
          <w:p>
            <w:pPr>
              <w:pStyle w:val="TableParagraph"/>
              <w:spacing w:line="221" w:lineRule="exact" w:before="122"/>
              <w:ind w:left="856"/>
              <w:rPr>
                <w:sz w:val="20"/>
              </w:rPr>
            </w:pPr>
            <w:r>
              <w:rPr>
                <w:sz w:val="20"/>
              </w:rPr>
              <w:t>0.8388</w:t>
            </w:r>
          </w:p>
        </w:tc>
        <w:tc>
          <w:tcPr>
            <w:tcW w:w="2102" w:type="dxa"/>
          </w:tcPr>
          <w:p>
            <w:pPr>
              <w:pStyle w:val="TableParagraph"/>
              <w:spacing w:line="221" w:lineRule="exact" w:before="122"/>
              <w:ind w:left="1140"/>
              <w:rPr>
                <w:sz w:val="20"/>
              </w:rPr>
            </w:pPr>
            <w:r>
              <w:rPr>
                <w:sz w:val="20"/>
              </w:rPr>
              <w:t>0.8467</w:t>
            </w:r>
          </w:p>
        </w:tc>
      </w:tr>
    </w:tbl>
    <w:p>
      <w:pPr>
        <w:pStyle w:val="BodyText"/>
        <w:spacing w:before="11"/>
        <w:rPr>
          <w:sz w:val="19"/>
        </w:rPr>
      </w:pPr>
    </w:p>
    <w:p>
      <w:pPr>
        <w:spacing w:before="1"/>
        <w:ind w:left="1198" w:right="0" w:firstLine="0"/>
        <w:jc w:val="left"/>
        <w:rPr>
          <w:sz w:val="20"/>
        </w:rPr>
      </w:pPr>
      <w:r>
        <w:rPr>
          <w:sz w:val="20"/>
        </w:rPr>
        <w:t>Ho</w:t>
      </w:r>
      <w:r>
        <w:rPr>
          <w:spacing w:val="-5"/>
          <w:sz w:val="20"/>
        </w:rPr>
        <w:t> </w:t>
      </w:r>
      <w:r>
        <w:rPr>
          <w:sz w:val="20"/>
        </w:rPr>
        <w:t>pseudo</w:t>
      </w:r>
      <w:r>
        <w:rPr>
          <w:spacing w:val="-1"/>
          <w:sz w:val="20"/>
        </w:rPr>
        <w:t> </w:t>
      </w:r>
      <w:r>
        <w:rPr>
          <w:sz w:val="20"/>
        </w:rPr>
        <w:t>second-order</w:t>
      </w:r>
    </w:p>
    <w:p>
      <w:pPr>
        <w:tabs>
          <w:tab w:pos="4390" w:val="left" w:leader="none"/>
          <w:tab w:pos="8077" w:val="right" w:leader="none"/>
        </w:tabs>
        <w:spacing w:before="243"/>
        <w:ind w:left="1198" w:right="0" w:firstLine="0"/>
        <w:jc w:val="left"/>
        <w:rPr>
          <w:sz w:val="20"/>
          <w:szCs w:val="20"/>
        </w:rPr>
      </w:pPr>
      <w:r>
        <w:rPr>
          <w:w w:val="95"/>
          <w:sz w:val="20"/>
          <w:szCs w:val="20"/>
        </w:rPr>
        <w:t>ϴ</w:t>
      </w:r>
      <w:r>
        <w:rPr>
          <w:w w:val="95"/>
          <w:sz w:val="20"/>
          <w:szCs w:val="20"/>
          <w:vertAlign w:val="subscript"/>
        </w:rPr>
        <w:t>o</w:t>
      </w:r>
      <w:r>
        <w:rPr>
          <w:spacing w:val="-11"/>
          <w:w w:val="95"/>
          <w:sz w:val="20"/>
          <w:szCs w:val="20"/>
          <w:vertAlign w:val="baseline"/>
        </w:rPr>
        <w:t> </w:t>
      </w:r>
      <w:r>
        <w:rPr>
          <w:w w:val="95"/>
          <w:sz w:val="20"/>
          <w:szCs w:val="20"/>
          <w:vertAlign w:val="baseline"/>
        </w:rPr>
        <w:t>calc</w:t>
      </w:r>
      <w:r>
        <w:rPr>
          <w:spacing w:val="17"/>
          <w:w w:val="95"/>
          <w:sz w:val="20"/>
          <w:szCs w:val="20"/>
          <w:vertAlign w:val="baseline"/>
        </w:rPr>
        <w:t> </w:t>
      </w:r>
      <w:r>
        <w:rPr>
          <w:w w:val="95"/>
          <w:sz w:val="20"/>
          <w:szCs w:val="20"/>
          <w:vertAlign w:val="baseline"/>
        </w:rPr>
        <w:t>(mg/g)</w:t>
        <w:tab/>
      </w:r>
      <w:r>
        <w:rPr>
          <w:sz w:val="20"/>
          <w:szCs w:val="20"/>
          <w:vertAlign w:val="baseline"/>
        </w:rPr>
        <w:t>1.134</w:t>
        <w:tab/>
        <w:t>1.221</w:t>
      </w:r>
    </w:p>
    <w:p>
      <w:pPr>
        <w:tabs>
          <w:tab w:pos="4390" w:val="left" w:leader="none"/>
          <w:tab w:pos="7582" w:val="left" w:leader="none"/>
        </w:tabs>
        <w:spacing w:before="241"/>
        <w:ind w:left="1198" w:right="0" w:firstLine="0"/>
        <w:jc w:val="left"/>
        <w:rPr>
          <w:sz w:val="20"/>
        </w:rPr>
      </w:pPr>
      <w:r>
        <w:rPr>
          <w:sz w:val="20"/>
        </w:rPr>
        <w:t>K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ab/>
        <w:t>8.5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-2</w:t>
      </w:r>
      <w:r>
        <w:rPr>
          <w:sz w:val="20"/>
          <w:vertAlign w:val="baseline"/>
        </w:rPr>
        <w:tab/>
        <w:t>9.4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x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-2</w:t>
      </w:r>
    </w:p>
    <w:p>
      <w:pPr>
        <w:tabs>
          <w:tab w:pos="4390" w:val="left" w:leader="none"/>
          <w:tab w:pos="8187" w:val="right" w:leader="none"/>
        </w:tabs>
        <w:spacing w:before="241"/>
        <w:ind w:left="1198" w:right="0" w:firstLine="0"/>
        <w:jc w:val="left"/>
        <w:rPr>
          <w:sz w:val="20"/>
        </w:rPr>
      </w:pPr>
      <w:r>
        <w:rPr>
          <w:sz w:val="20"/>
        </w:rPr>
        <w:t>R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ab/>
        <w:t>0.9996</w:t>
        <w:tab/>
        <w:t>0.9342</w:t>
      </w:r>
    </w:p>
    <w:p>
      <w:pPr>
        <w:pStyle w:val="BodyText"/>
        <w:rPr>
          <w:sz w:val="20"/>
        </w:rPr>
      </w:pPr>
    </w:p>
    <w:tbl>
      <w:tblPr>
        <w:tblW w:w="0" w:type="auto"/>
        <w:jc w:val="left"/>
        <w:tblInd w:w="1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4"/>
        <w:gridCol w:w="2516"/>
        <w:gridCol w:w="1948"/>
      </w:tblGrid>
      <w:tr>
        <w:trPr>
          <w:trHeight w:val="361" w:hRule="atLeast"/>
        </w:trPr>
        <w:tc>
          <w:tcPr>
            <w:tcW w:w="2624" w:type="dxa"/>
          </w:tcPr>
          <w:p>
            <w:pPr>
              <w:pStyle w:val="TableParagraph"/>
              <w:spacing w:line="241" w:lineRule="exact"/>
              <w:ind w:left="50"/>
              <w:rPr>
                <w:sz w:val="20"/>
              </w:rPr>
            </w:pPr>
            <w:r>
              <w:rPr>
                <w:sz w:val="20"/>
              </w:rPr>
              <w:t>Intra-particle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diffusion</w:t>
            </w:r>
          </w:p>
        </w:tc>
        <w:tc>
          <w:tcPr>
            <w:tcW w:w="4464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91" w:hRule="atLeast"/>
        </w:trPr>
        <w:tc>
          <w:tcPr>
            <w:tcW w:w="2624" w:type="dxa"/>
          </w:tcPr>
          <w:p>
            <w:pPr>
              <w:pStyle w:val="TableParagraph"/>
              <w:spacing w:line="240" w:lineRule="auto" w:before="120"/>
              <w:ind w:left="50"/>
              <w:rPr>
                <w:sz w:val="20"/>
              </w:rPr>
            </w:pPr>
            <w:r>
              <w:rPr>
                <w:spacing w:val="-1"/>
                <w:sz w:val="20"/>
              </w:rPr>
              <w:t>K</w:t>
            </w:r>
            <w:r>
              <w:rPr>
                <w:spacing w:val="-1"/>
                <w:sz w:val="20"/>
                <w:vertAlign w:val="subscript"/>
              </w:rPr>
              <w:t>d</w:t>
            </w:r>
            <w:r>
              <w:rPr>
                <w:spacing w:val="-20"/>
                <w:sz w:val="20"/>
                <w:vertAlign w:val="baseline"/>
              </w:rPr>
              <w:t> </w:t>
            </w:r>
            <w:r>
              <w:rPr>
                <w:spacing w:val="-1"/>
                <w:sz w:val="20"/>
                <w:vertAlign w:val="baseline"/>
              </w:rPr>
              <w:t>(meq/g/sec)</w:t>
            </w:r>
          </w:p>
        </w:tc>
        <w:tc>
          <w:tcPr>
            <w:tcW w:w="2516" w:type="dxa"/>
          </w:tcPr>
          <w:p>
            <w:pPr>
              <w:pStyle w:val="TableParagraph"/>
              <w:spacing w:line="240" w:lineRule="auto" w:before="120"/>
              <w:ind w:left="618"/>
              <w:rPr>
                <w:sz w:val="20"/>
              </w:rPr>
            </w:pPr>
            <w:r>
              <w:rPr>
                <w:sz w:val="20"/>
              </w:rPr>
              <w:t>84.515</w:t>
            </w:r>
          </w:p>
        </w:tc>
        <w:tc>
          <w:tcPr>
            <w:tcW w:w="1948" w:type="dxa"/>
          </w:tcPr>
          <w:p>
            <w:pPr>
              <w:pStyle w:val="TableParagraph"/>
              <w:spacing w:line="240" w:lineRule="auto" w:before="120"/>
              <w:ind w:left="0" w:right="46"/>
              <w:jc w:val="right"/>
              <w:rPr>
                <w:sz w:val="20"/>
              </w:rPr>
            </w:pPr>
            <w:r>
              <w:rPr>
                <w:sz w:val="20"/>
              </w:rPr>
              <w:t>42.967</w:t>
            </w:r>
          </w:p>
        </w:tc>
      </w:tr>
      <w:tr>
        <w:trPr>
          <w:trHeight w:val="353" w:hRule="atLeast"/>
        </w:trPr>
        <w:tc>
          <w:tcPr>
            <w:tcW w:w="2624" w:type="dxa"/>
          </w:tcPr>
          <w:p>
            <w:pPr>
              <w:pStyle w:val="TableParagraph"/>
              <w:spacing w:line="221" w:lineRule="exact" w:before="111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2516" w:type="dxa"/>
          </w:tcPr>
          <w:p>
            <w:pPr>
              <w:pStyle w:val="TableParagraph"/>
              <w:spacing w:line="221" w:lineRule="exact" w:before="111"/>
              <w:ind w:left="618"/>
              <w:rPr>
                <w:sz w:val="20"/>
              </w:rPr>
            </w:pPr>
            <w:r>
              <w:rPr>
                <w:sz w:val="20"/>
              </w:rPr>
              <w:t>453.81</w:t>
            </w:r>
          </w:p>
        </w:tc>
        <w:tc>
          <w:tcPr>
            <w:tcW w:w="1948" w:type="dxa"/>
          </w:tcPr>
          <w:p>
            <w:pPr>
              <w:pStyle w:val="TableParagraph"/>
              <w:spacing w:line="221" w:lineRule="exact" w:before="111"/>
              <w:ind w:left="0" w:right="46"/>
              <w:jc w:val="right"/>
              <w:rPr>
                <w:sz w:val="20"/>
              </w:rPr>
            </w:pPr>
            <w:r>
              <w:rPr>
                <w:sz w:val="20"/>
              </w:rPr>
              <w:t>581.77</w:t>
            </w:r>
          </w:p>
        </w:tc>
      </w:tr>
    </w:tbl>
    <w:p>
      <w:pPr>
        <w:pStyle w:val="BodyText"/>
        <w:spacing w:before="2"/>
        <w:rPr>
          <w:sz w:val="20"/>
        </w:rPr>
      </w:pPr>
    </w:p>
    <w:p>
      <w:pPr>
        <w:tabs>
          <w:tab w:pos="4390" w:val="left" w:leader="none"/>
          <w:tab w:pos="7582" w:val="left" w:leader="none"/>
        </w:tabs>
        <w:spacing w:before="0"/>
        <w:ind w:left="1198" w:right="0" w:firstLine="0"/>
        <w:jc w:val="left"/>
        <w:rPr>
          <w:sz w:val="20"/>
        </w:rPr>
      </w:pPr>
      <w:r>
        <w:rPr>
          <w:sz w:val="20"/>
        </w:rPr>
        <w:t>R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ab/>
        <w:t>0.9509</w:t>
        <w:tab/>
        <w:t>0.642</w:t>
      </w:r>
    </w:p>
    <w:p>
      <w:pPr>
        <w:pStyle w:val="BodyText"/>
        <w:spacing w:before="11"/>
        <w:rPr>
          <w:sz w:val="19"/>
        </w:rPr>
      </w:pPr>
    </w:p>
    <w:p>
      <w:pPr>
        <w:spacing w:before="1"/>
        <w:ind w:left="1198" w:right="0" w:firstLine="0"/>
        <w:jc w:val="left"/>
        <w:rPr>
          <w:sz w:val="20"/>
        </w:rPr>
      </w:pPr>
      <w:r>
        <w:rPr>
          <w:sz w:val="20"/>
        </w:rPr>
        <w:t>Liquid-film</w:t>
      </w:r>
      <w:r>
        <w:rPr>
          <w:spacing w:val="-4"/>
          <w:sz w:val="20"/>
        </w:rPr>
        <w:t> </w:t>
      </w:r>
      <w:r>
        <w:rPr>
          <w:sz w:val="20"/>
        </w:rPr>
        <w:t>diffusion</w:t>
      </w:r>
      <w:r>
        <w:rPr>
          <w:spacing w:val="-5"/>
          <w:sz w:val="20"/>
        </w:rPr>
        <w:t> </w:t>
      </w:r>
      <w:r>
        <w:rPr>
          <w:sz w:val="20"/>
        </w:rPr>
        <w:t>model</w:t>
      </w:r>
    </w:p>
    <w:p>
      <w:pPr>
        <w:pStyle w:val="BodyText"/>
        <w:spacing w:before="11"/>
        <w:rPr>
          <w:sz w:val="19"/>
        </w:rPr>
      </w:pPr>
    </w:p>
    <w:p>
      <w:pPr>
        <w:tabs>
          <w:tab w:pos="4390" w:val="left" w:leader="none"/>
          <w:tab w:pos="7582" w:val="left" w:leader="none"/>
        </w:tabs>
        <w:spacing w:before="0"/>
        <w:ind w:left="1198" w:right="0" w:firstLine="0"/>
        <w:jc w:val="left"/>
        <w:rPr>
          <w:sz w:val="20"/>
        </w:rPr>
      </w:pPr>
      <w:r>
        <w:rPr>
          <w:sz w:val="20"/>
        </w:rPr>
        <w:t>Kf</w:t>
      </w:r>
      <w:r>
        <w:rPr>
          <w:sz w:val="20"/>
          <w:vertAlign w:val="subscript"/>
        </w:rPr>
        <w:t>d</w:t>
      </w:r>
      <w:r>
        <w:rPr>
          <w:sz w:val="20"/>
          <w:vertAlign w:val="baseline"/>
        </w:rPr>
        <w:tab/>
        <w:t>-0.0339</w:t>
        <w:tab/>
        <w:t>-0.0293</w:t>
      </w:r>
    </w:p>
    <w:p>
      <w:pPr>
        <w:pStyle w:val="BodyText"/>
        <w:rPr>
          <w:sz w:val="20"/>
        </w:rPr>
      </w:pPr>
    </w:p>
    <w:p>
      <w:pPr>
        <w:tabs>
          <w:tab w:pos="4390" w:val="left" w:leader="none"/>
          <w:tab w:pos="7582" w:val="left" w:leader="none"/>
        </w:tabs>
        <w:spacing w:before="0"/>
        <w:ind w:left="1198" w:right="0" w:firstLine="0"/>
        <w:jc w:val="left"/>
        <w:rPr>
          <w:sz w:val="20"/>
        </w:rPr>
      </w:pPr>
      <w:r>
        <w:rPr>
          <w:sz w:val="20"/>
        </w:rPr>
        <w:t>R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ab/>
        <w:t>0.9982</w:t>
        <w:tab/>
        <w:t>1.0</w:t>
      </w:r>
    </w:p>
    <w:p>
      <w:pPr>
        <w:pStyle w:val="BodyText"/>
        <w:spacing w:before="9"/>
        <w:rPr>
          <w:sz w:val="16"/>
        </w:rPr>
      </w:pPr>
      <w:r>
        <w:rPr/>
        <w:pict>
          <v:rect style="position:absolute;margin-left:74.784004pt;margin-top:12.057224pt;width:479.586023pt;height:.479pt;mso-position-horizontal-relative:page;mso-position-vertical-relative:paragraph;z-index:-15662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6"/>
        </w:rPr>
        <w:sectPr>
          <w:pgSz w:w="11910" w:h="16840"/>
          <w:pgMar w:header="0" w:footer="987" w:top="1580" w:bottom="1260" w:left="420" w:right="0"/>
        </w:sectPr>
      </w:pPr>
    </w:p>
    <w:p>
      <w:pPr>
        <w:pStyle w:val="Heading3"/>
        <w:spacing w:before="75"/>
        <w:ind w:left="1228" w:right="1543"/>
        <w:jc w:val="center"/>
      </w:pPr>
      <w:r>
        <w:rPr/>
        <w:t>Chapter</w:t>
      </w:r>
      <w:r>
        <w:rPr>
          <w:spacing w:val="-6"/>
        </w:rPr>
        <w:t> </w:t>
      </w:r>
      <w:r>
        <w:rPr/>
        <w:t>Four</w:t>
      </w:r>
    </w:p>
    <w:p>
      <w:pPr>
        <w:pStyle w:val="BodyText"/>
        <w:spacing w:before="10"/>
        <w:rPr>
          <w:b/>
          <w:sz w:val="15"/>
        </w:rPr>
      </w:pPr>
    </w:p>
    <w:p>
      <w:pPr>
        <w:spacing w:before="100"/>
        <w:ind w:left="3358" w:right="0" w:firstLine="0"/>
        <w:jc w:val="left"/>
        <w:rPr>
          <w:b/>
          <w:sz w:val="24"/>
        </w:rPr>
      </w:pPr>
      <w:r>
        <w:rPr>
          <w:b/>
          <w:sz w:val="24"/>
        </w:rPr>
        <w:t>Conclusion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3"/>
        <w:numPr>
          <w:ilvl w:val="1"/>
          <w:numId w:val="15"/>
        </w:numPr>
        <w:tabs>
          <w:tab w:pos="1917" w:val="left" w:leader="none"/>
          <w:tab w:pos="1918" w:val="left" w:leader="none"/>
        </w:tabs>
        <w:spacing w:line="240" w:lineRule="auto" w:before="0" w:after="0"/>
        <w:ind w:left="1918" w:right="0" w:hanging="720"/>
        <w:jc w:val="left"/>
      </w:pPr>
      <w:r>
        <w:rPr/>
        <w:t>Conclusion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480" w:lineRule="auto" w:before="100"/>
        <w:ind w:left="1198" w:right="575"/>
        <w:jc w:val="both"/>
      </w:pPr>
      <w:r>
        <w:rPr/>
        <w:t>This work showed that corn cob acetylation has been affected by temperature and catalyst</w:t>
      </w:r>
      <w:r>
        <w:rPr>
          <w:spacing w:val="1"/>
        </w:rPr>
        <w:t> </w:t>
      </w:r>
      <w:r>
        <w:rPr/>
        <w:t>(NBS) while mango kernel acetylation has been affected by temperature, time and catalyst</w:t>
      </w:r>
      <w:r>
        <w:rPr>
          <w:spacing w:val="1"/>
        </w:rPr>
        <w:t> </w:t>
      </w:r>
      <w:r>
        <w:rPr/>
        <w:t>(NBS). The acetylation has been found to occur by surface reaction and intra-particle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mechanism,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substitution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hydroxyl</w:t>
      </w:r>
      <w:r>
        <w:rPr>
          <w:spacing w:val="1"/>
        </w:rPr>
        <w:t> </w:t>
      </w:r>
      <w:r>
        <w:rPr/>
        <w:t>(–OH)</w:t>
      </w:r>
      <w:r>
        <w:rPr>
          <w:spacing w:val="1"/>
        </w:rPr>
        <w:t> </w:t>
      </w:r>
      <w:r>
        <w:rPr/>
        <w:t>group</w:t>
      </w:r>
      <w:r>
        <w:rPr>
          <w:spacing w:val="75"/>
        </w:rPr>
        <w:t> </w:t>
      </w:r>
      <w:r>
        <w:rPr/>
        <w:t>by</w:t>
      </w:r>
      <w:r>
        <w:rPr>
          <w:spacing w:val="-72"/>
        </w:rPr>
        <w:t> </w:t>
      </w:r>
      <w:r>
        <w:rPr/>
        <w:t>acetate groups at 30</w:t>
      </w:r>
      <w:r>
        <w:rPr>
          <w:vertAlign w:val="superscript"/>
        </w:rPr>
        <w:t>o</w:t>
      </w:r>
      <w:r>
        <w:rPr>
          <w:vertAlign w:val="baseline"/>
        </w:rPr>
        <w:t>C and 100</w:t>
      </w:r>
      <w:r>
        <w:rPr>
          <w:vertAlign w:val="superscript"/>
        </w:rPr>
        <w:t>o</w:t>
      </w:r>
      <w:r>
        <w:rPr>
          <w:vertAlign w:val="baseline"/>
        </w:rPr>
        <w:t>C for corn cob and 100</w:t>
      </w:r>
      <w:r>
        <w:rPr>
          <w:vertAlign w:val="superscript"/>
        </w:rPr>
        <w:t>o</w:t>
      </w:r>
      <w:r>
        <w:rPr>
          <w:vertAlign w:val="baseline"/>
        </w:rPr>
        <w:t>C for mango kernel. Heat of</w:t>
      </w:r>
      <w:r>
        <w:rPr>
          <w:spacing w:val="1"/>
          <w:vertAlign w:val="baseline"/>
        </w:rPr>
        <w:t> </w:t>
      </w:r>
      <w:r>
        <w:rPr>
          <w:vertAlign w:val="baseline"/>
        </w:rPr>
        <w:t>acetylation and critical temperature of acetylation values were found to be (0.029 Jmol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and 0.814 K) and (0.8696 Jmol</w:t>
      </w:r>
      <w:r>
        <w:rPr>
          <w:vertAlign w:val="superscript"/>
        </w:rPr>
        <w:t>-1</w:t>
      </w:r>
      <w:r>
        <w:rPr>
          <w:vertAlign w:val="baseline"/>
        </w:rPr>
        <w:t> and 0.016 K) for corn cob and mango kernel 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 that the acetylation of corn cob and mango kernel can take place under mild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conditions. Results from XRD and FTIR suggested alteration in the chemical structure and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 increase in hydrophobicity of the acetylated corn cob and mango kernel.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sorption behavior of mango kernel and corn cob was greatly enhanced when modified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acetic anhydride. Sorption of oil was found to be controlled by pseudo first order kinetics,</w:t>
      </w:r>
      <w:r>
        <w:rPr>
          <w:spacing w:val="1"/>
          <w:vertAlign w:val="baseline"/>
        </w:rPr>
        <w:t> </w:t>
      </w:r>
      <w:r>
        <w:rPr>
          <w:vertAlign w:val="baseline"/>
        </w:rPr>
        <w:t>intra-particle diffusion and liquid-film diffusion mechanism for corn cob, while for mango</w:t>
      </w:r>
      <w:r>
        <w:rPr>
          <w:spacing w:val="1"/>
          <w:vertAlign w:val="baseline"/>
        </w:rPr>
        <w:t> </w:t>
      </w:r>
      <w:r>
        <w:rPr>
          <w:vertAlign w:val="baseline"/>
        </w:rPr>
        <w:t>kernel, it was Ho pseudo second order, intra-particle diffusion and liquid film diffusion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rapid</w:t>
      </w:r>
      <w:r>
        <w:rPr>
          <w:spacing w:val="1"/>
          <w:vertAlign w:val="baseline"/>
        </w:rPr>
        <w:t> </w:t>
      </w:r>
      <w:r>
        <w:rPr>
          <w:vertAlign w:val="baseline"/>
        </w:rPr>
        <w:t>uptake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75"/>
          <w:vertAlign w:val="baseline"/>
        </w:rPr>
        <w:t> </w:t>
      </w:r>
      <w:r>
        <w:rPr>
          <w:vertAlign w:val="baseline"/>
        </w:rPr>
        <w:t>acetylated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materials made them a very promising alternative sorbents for crude oil, considering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-1"/>
          <w:vertAlign w:val="baseline"/>
        </w:rPr>
        <w:t> </w:t>
      </w:r>
      <w:r>
        <w:rPr>
          <w:vertAlign w:val="baseline"/>
        </w:rPr>
        <w:t>are cheap,</w:t>
      </w:r>
      <w:r>
        <w:rPr>
          <w:spacing w:val="-3"/>
          <w:vertAlign w:val="baseline"/>
        </w:rPr>
        <w:t> </w:t>
      </w:r>
      <w:r>
        <w:rPr>
          <w:vertAlign w:val="baseline"/>
        </w:rPr>
        <w:t>readily available</w:t>
      </w:r>
      <w:r>
        <w:rPr>
          <w:spacing w:val="1"/>
          <w:vertAlign w:val="baseline"/>
        </w:rPr>
        <w:t> </w:t>
      </w:r>
      <w:r>
        <w:rPr>
          <w:vertAlign w:val="baseline"/>
        </w:rPr>
        <w:t>and are biodegradable.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numPr>
          <w:ilvl w:val="1"/>
          <w:numId w:val="15"/>
        </w:numPr>
        <w:tabs>
          <w:tab w:pos="1917" w:val="left" w:leader="none"/>
          <w:tab w:pos="1918" w:val="left" w:leader="none"/>
        </w:tabs>
        <w:spacing w:line="240" w:lineRule="auto" w:before="75" w:after="0"/>
        <w:ind w:left="1918" w:right="0" w:hanging="720"/>
        <w:jc w:val="left"/>
      </w:pPr>
      <w:r>
        <w:rPr/>
        <w:t>Recommendations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BodyText"/>
        <w:spacing w:line="480" w:lineRule="auto" w:before="1"/>
        <w:ind w:left="1198" w:right="576"/>
        <w:jc w:val="both"/>
      </w:pPr>
      <w:r>
        <w:rPr/>
        <w:t>The acetylation of corn cob and mango kernel using NBS as catalyst under mild conditions</w:t>
      </w:r>
      <w:r>
        <w:rPr>
          <w:spacing w:val="1"/>
        </w:rPr>
        <w:t> </w:t>
      </w:r>
      <w:r>
        <w:rPr/>
        <w:t>is therefore technically feasible and the products recommended as materials that could be</w:t>
      </w:r>
      <w:r>
        <w:rPr>
          <w:spacing w:val="1"/>
        </w:rPr>
        <w:t> </w:t>
      </w:r>
      <w:r>
        <w:rPr/>
        <w:t>used for cleansing aquatic environments, mangroves</w:t>
      </w:r>
      <w:r>
        <w:rPr>
          <w:spacing w:val="75"/>
        </w:rPr>
        <w:t> </w:t>
      </w:r>
      <w:r>
        <w:rPr/>
        <w:t>and wetlands of spilled oil films</w:t>
      </w:r>
      <w:r>
        <w:rPr>
          <w:spacing w:val="1"/>
        </w:rPr>
        <w:t> </w:t>
      </w:r>
      <w:r>
        <w:rPr/>
        <w:t>arising from oil exploration and exploitation of crude and refined petroleum products. The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72"/>
        </w:rPr>
        <w:t> </w:t>
      </w:r>
      <w:r>
        <w:rPr/>
        <w:t>materials makes acetylated corn cob and mango kernel a good substitute for commercial</w:t>
      </w:r>
      <w:r>
        <w:rPr>
          <w:spacing w:val="1"/>
        </w:rPr>
        <w:t> </w:t>
      </w:r>
      <w:r>
        <w:rPr/>
        <w:t>synthetic sorbents. Further research and development on the storage effect and reusability</w:t>
      </w:r>
      <w:r>
        <w:rPr>
          <w:spacing w:val="1"/>
        </w:rPr>
        <w:t> </w:t>
      </w:r>
      <w:r>
        <w:rPr/>
        <w:t>of acetylated corn cob and mango kernel should be developed as it is beneficial in oil spill</w:t>
      </w:r>
      <w:r>
        <w:rPr>
          <w:spacing w:val="1"/>
        </w:rPr>
        <w:t> </w:t>
      </w:r>
      <w:r>
        <w:rPr/>
        <w:t>cleanup operations. The research for more efficient methods to improve the sorption</w:t>
      </w:r>
      <w:r>
        <w:rPr>
          <w:spacing w:val="1"/>
        </w:rPr>
        <w:t> </w:t>
      </w:r>
      <w:r>
        <w:rPr/>
        <w:t>capacity of these acetylated materials should be encouraged. Research should also be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exploring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environmentally</w:t>
      </w:r>
      <w:r>
        <w:rPr>
          <w:spacing w:val="75"/>
        </w:rPr>
        <w:t> </w:t>
      </w:r>
      <w:r>
        <w:rPr/>
        <w:t>friendly</w:t>
      </w:r>
      <w:r>
        <w:rPr>
          <w:spacing w:val="1"/>
        </w:rPr>
        <w:t> </w:t>
      </w:r>
      <w:r>
        <w:rPr/>
        <w:t>catalysts; investigating more stringent acetylation conditions and using other cellulose</w:t>
      </w:r>
      <w:r>
        <w:rPr>
          <w:spacing w:val="1"/>
        </w:rPr>
        <w:t> </w:t>
      </w:r>
      <w:r>
        <w:rPr/>
        <w:t>based</w:t>
      </w:r>
      <w:r>
        <w:rPr>
          <w:spacing w:val="-3"/>
        </w:rPr>
        <w:t> </w:t>
      </w:r>
      <w:r>
        <w:rPr/>
        <w:t>products.</w:t>
      </w:r>
    </w:p>
    <w:p>
      <w:pPr>
        <w:pStyle w:val="BodyText"/>
        <w:spacing w:line="480" w:lineRule="auto" w:before="101"/>
        <w:ind w:left="1198" w:right="581"/>
        <w:jc w:val="both"/>
      </w:pPr>
      <w:r>
        <w:rPr/>
        <w:t>It is also recommended that more work be done on development of scale up industrial</w:t>
      </w:r>
      <w:r>
        <w:rPr>
          <w:spacing w:val="1"/>
        </w:rPr>
        <w:t> </w:t>
      </w:r>
      <w:r>
        <w:rPr/>
        <w:t>processes for the continuous mass production of acetylated materials for subsequent</w:t>
      </w:r>
      <w:r>
        <w:rPr>
          <w:spacing w:val="1"/>
        </w:rPr>
        <w:t> </w:t>
      </w:r>
      <w:r>
        <w:rPr/>
        <w:t>application.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spacing w:before="75"/>
        <w:ind w:left="1228" w:right="2976"/>
        <w:jc w:val="center"/>
      </w:pPr>
      <w:r>
        <w:rPr/>
        <w:t>REFERENCES</w:t>
      </w:r>
    </w:p>
    <w:p>
      <w:pPr>
        <w:pStyle w:val="BodyText"/>
        <w:rPr>
          <w:b/>
          <w:sz w:val="28"/>
        </w:rPr>
      </w:pPr>
    </w:p>
    <w:p>
      <w:pPr>
        <w:spacing w:line="470" w:lineRule="auto" w:before="193"/>
        <w:ind w:left="1918" w:right="582" w:hanging="720"/>
        <w:jc w:val="both"/>
        <w:rPr>
          <w:sz w:val="24"/>
        </w:rPr>
      </w:pPr>
      <w:r>
        <w:rPr>
          <w:sz w:val="24"/>
        </w:rPr>
        <w:t>Aboul-Gheit, A-K., Khalil, F.H., Abbdul-Moghny, T., (2006).Adsorption of spilled oil from sea</w:t>
      </w:r>
      <w:r>
        <w:rPr>
          <w:spacing w:val="-72"/>
          <w:sz w:val="24"/>
        </w:rPr>
        <w:t> </w:t>
      </w:r>
      <w:r>
        <w:rPr>
          <w:sz w:val="24"/>
        </w:rPr>
        <w:t>water</w:t>
      </w:r>
      <w:r>
        <w:rPr>
          <w:spacing w:val="-12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waste</w:t>
      </w:r>
      <w:r>
        <w:rPr>
          <w:spacing w:val="-10"/>
          <w:sz w:val="24"/>
        </w:rPr>
        <w:t> </w:t>
      </w:r>
      <w:r>
        <w:rPr>
          <w:sz w:val="24"/>
        </w:rPr>
        <w:t>plastic.</w:t>
      </w:r>
      <w:r>
        <w:rPr>
          <w:sz w:val="25"/>
        </w:rPr>
        <w:t>Oil</w:t>
      </w:r>
      <w:r>
        <w:rPr>
          <w:spacing w:val="-14"/>
          <w:sz w:val="25"/>
        </w:rPr>
        <w:t> </w:t>
      </w:r>
      <w:r>
        <w:rPr>
          <w:sz w:val="25"/>
        </w:rPr>
        <w:t>and</w:t>
      </w:r>
      <w:r>
        <w:rPr>
          <w:spacing w:val="-15"/>
          <w:sz w:val="25"/>
        </w:rPr>
        <w:t> </w:t>
      </w:r>
      <w:r>
        <w:rPr>
          <w:sz w:val="25"/>
        </w:rPr>
        <w:t>Gas</w:t>
      </w:r>
      <w:r>
        <w:rPr>
          <w:spacing w:val="-13"/>
          <w:sz w:val="25"/>
        </w:rPr>
        <w:t> </w:t>
      </w:r>
      <w:r>
        <w:rPr>
          <w:sz w:val="25"/>
        </w:rPr>
        <w:t>Technology</w:t>
      </w:r>
      <w:r>
        <w:rPr>
          <w:spacing w:val="-15"/>
          <w:sz w:val="25"/>
        </w:rPr>
        <w:t> </w:t>
      </w:r>
      <w:r>
        <w:rPr>
          <w:sz w:val="25"/>
        </w:rPr>
        <w:t>Revolution-</w:t>
      </w:r>
      <w:r>
        <w:rPr>
          <w:spacing w:val="-15"/>
          <w:sz w:val="25"/>
        </w:rPr>
        <w:t> </w:t>
      </w:r>
      <w:r>
        <w:rPr>
          <w:sz w:val="25"/>
        </w:rPr>
        <w:t>IFP</w:t>
      </w:r>
      <w:r>
        <w:rPr>
          <w:sz w:val="24"/>
        </w:rPr>
        <w:t>,</w:t>
      </w:r>
      <w:r>
        <w:rPr>
          <w:spacing w:val="-10"/>
          <w:sz w:val="24"/>
        </w:rPr>
        <w:t> </w:t>
      </w:r>
      <w:r>
        <w:rPr>
          <w:sz w:val="24"/>
        </w:rPr>
        <w:t>61(2):</w:t>
      </w:r>
      <w:r>
        <w:rPr>
          <w:spacing w:val="-12"/>
          <w:sz w:val="24"/>
        </w:rPr>
        <w:t> </w:t>
      </w:r>
      <w:r>
        <w:rPr>
          <w:sz w:val="24"/>
        </w:rPr>
        <w:t>259-268.</w:t>
      </w:r>
    </w:p>
    <w:p>
      <w:pPr>
        <w:pStyle w:val="BodyText"/>
        <w:spacing w:line="470" w:lineRule="auto" w:before="240"/>
        <w:ind w:left="1918" w:right="577" w:hanging="720"/>
        <w:jc w:val="both"/>
      </w:pPr>
      <w:r>
        <w:rPr/>
        <w:t>Adebajo, M.O., Frost, R.L., Klopprogge, J.T. and Carmody, O., (2003). Porous materials for</w:t>
      </w:r>
      <w:r>
        <w:rPr>
          <w:spacing w:val="1"/>
        </w:rPr>
        <w:t> </w:t>
      </w:r>
      <w:r>
        <w:rPr/>
        <w:t>oil spill cleanup: A review of synthesis and absorbing properties. </w:t>
      </w:r>
      <w:r>
        <w:rPr>
          <w:sz w:val="25"/>
        </w:rPr>
        <w:t>Porous Materials</w:t>
      </w:r>
      <w:r>
        <w:rPr/>
        <w:t>,</w:t>
      </w:r>
      <w:r>
        <w:rPr>
          <w:spacing w:val="1"/>
        </w:rPr>
        <w:t> </w:t>
      </w:r>
      <w:r>
        <w:rPr/>
        <w:t>10:</w:t>
      </w:r>
      <w:r>
        <w:rPr>
          <w:spacing w:val="-2"/>
        </w:rPr>
        <w:t> </w:t>
      </w:r>
      <w:r>
        <w:rPr/>
        <w:t>159-170.</w:t>
      </w:r>
    </w:p>
    <w:p>
      <w:pPr>
        <w:spacing w:line="465" w:lineRule="auto" w:before="251"/>
        <w:ind w:left="1918" w:right="577" w:hanging="720"/>
        <w:jc w:val="both"/>
        <w:rPr>
          <w:sz w:val="24"/>
        </w:rPr>
      </w:pPr>
      <w:r>
        <w:rPr>
          <w:sz w:val="24"/>
        </w:rPr>
        <w:t>Adebajo, M.O. and Frost, R.L., (2004a). Acetylation of raw cotton for oil spill cleanup</w:t>
      </w:r>
      <w:r>
        <w:rPr>
          <w:spacing w:val="1"/>
          <w:sz w:val="24"/>
        </w:rPr>
        <w:t> </w:t>
      </w:r>
      <w:r>
        <w:rPr>
          <w:sz w:val="24"/>
        </w:rPr>
        <w:t>application: an FTIR and 13C MAS NMR spectroscopic investigation. </w:t>
      </w:r>
      <w:r>
        <w:rPr>
          <w:sz w:val="25"/>
        </w:rPr>
        <w:t>Spectrochimica</w:t>
      </w:r>
      <w:r>
        <w:rPr>
          <w:spacing w:val="1"/>
          <w:sz w:val="25"/>
        </w:rPr>
        <w:t> </w:t>
      </w:r>
      <w:r>
        <w:rPr>
          <w:sz w:val="25"/>
        </w:rPr>
        <w:t>Acta,</w:t>
      </w:r>
      <w:r>
        <w:rPr>
          <w:spacing w:val="-14"/>
          <w:sz w:val="25"/>
        </w:rPr>
        <w:t> </w:t>
      </w:r>
      <w:r>
        <w:rPr>
          <w:sz w:val="25"/>
        </w:rPr>
        <w:t>Part</w:t>
      </w:r>
      <w:r>
        <w:rPr>
          <w:spacing w:val="-16"/>
          <w:sz w:val="25"/>
        </w:rPr>
        <w:t> </w:t>
      </w:r>
      <w:r>
        <w:rPr>
          <w:sz w:val="25"/>
        </w:rPr>
        <w:t>A:</w:t>
      </w:r>
      <w:r>
        <w:rPr>
          <w:spacing w:val="-14"/>
          <w:sz w:val="25"/>
        </w:rPr>
        <w:t> </w:t>
      </w:r>
      <w:r>
        <w:rPr>
          <w:sz w:val="25"/>
        </w:rPr>
        <w:t>Molecular</w:t>
      </w:r>
      <w:r>
        <w:rPr>
          <w:spacing w:val="-13"/>
          <w:sz w:val="25"/>
        </w:rPr>
        <w:t> </w:t>
      </w:r>
      <w:r>
        <w:rPr>
          <w:sz w:val="25"/>
        </w:rPr>
        <w:t>and</w:t>
      </w:r>
      <w:r>
        <w:rPr>
          <w:spacing w:val="-15"/>
          <w:sz w:val="25"/>
        </w:rPr>
        <w:t> </w:t>
      </w:r>
      <w:r>
        <w:rPr>
          <w:sz w:val="25"/>
        </w:rPr>
        <w:t>Biomolecular</w:t>
      </w:r>
      <w:r>
        <w:rPr>
          <w:spacing w:val="-16"/>
          <w:sz w:val="25"/>
        </w:rPr>
        <w:t> </w:t>
      </w:r>
      <w:r>
        <w:rPr>
          <w:sz w:val="25"/>
        </w:rPr>
        <w:t>Spectroscopy</w:t>
      </w:r>
      <w:r>
        <w:rPr>
          <w:sz w:val="24"/>
        </w:rPr>
        <w:t>,</w:t>
      </w:r>
      <w:r>
        <w:rPr>
          <w:spacing w:val="-10"/>
          <w:sz w:val="24"/>
        </w:rPr>
        <w:t> </w:t>
      </w:r>
      <w:r>
        <w:rPr>
          <w:sz w:val="24"/>
        </w:rPr>
        <w:t>60(10):</w:t>
      </w:r>
      <w:r>
        <w:rPr>
          <w:spacing w:val="-14"/>
          <w:sz w:val="24"/>
        </w:rPr>
        <w:t> </w:t>
      </w:r>
      <w:r>
        <w:rPr>
          <w:sz w:val="24"/>
        </w:rPr>
        <w:t>2315-2321.</w:t>
      </w:r>
    </w:p>
    <w:p>
      <w:pPr>
        <w:spacing w:line="465" w:lineRule="auto" w:before="245"/>
        <w:ind w:left="1918" w:right="576" w:hanging="720"/>
        <w:jc w:val="both"/>
        <w:rPr>
          <w:sz w:val="24"/>
        </w:rPr>
      </w:pPr>
      <w:r>
        <w:rPr>
          <w:sz w:val="24"/>
        </w:rPr>
        <w:t>Adebajo,</w:t>
      </w:r>
      <w:r>
        <w:rPr>
          <w:spacing w:val="1"/>
          <w:sz w:val="24"/>
        </w:rPr>
        <w:t> </w:t>
      </w:r>
      <w:r>
        <w:rPr>
          <w:sz w:val="24"/>
        </w:rPr>
        <w:t>M.O.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Frost,</w:t>
      </w:r>
      <w:r>
        <w:rPr>
          <w:spacing w:val="1"/>
          <w:sz w:val="24"/>
        </w:rPr>
        <w:t> </w:t>
      </w:r>
      <w:r>
        <w:rPr>
          <w:sz w:val="24"/>
        </w:rPr>
        <w:t>R.L.,</w:t>
      </w:r>
      <w:r>
        <w:rPr>
          <w:spacing w:val="1"/>
          <w:sz w:val="24"/>
        </w:rPr>
        <w:t> </w:t>
      </w:r>
      <w:r>
        <w:rPr>
          <w:sz w:val="24"/>
        </w:rPr>
        <w:t>(2004b).</w:t>
      </w:r>
      <w:r>
        <w:rPr>
          <w:spacing w:val="1"/>
          <w:sz w:val="24"/>
        </w:rPr>
        <w:t> </w:t>
      </w:r>
      <w:r>
        <w:rPr>
          <w:sz w:val="24"/>
        </w:rPr>
        <w:t>Infrared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13C-MAS</w:t>
      </w:r>
      <w:r>
        <w:rPr>
          <w:spacing w:val="1"/>
          <w:sz w:val="24"/>
        </w:rPr>
        <w:t> </w:t>
      </w:r>
      <w:r>
        <w:rPr>
          <w:sz w:val="24"/>
        </w:rPr>
        <w:t>Nuclear</w:t>
      </w:r>
      <w:r>
        <w:rPr>
          <w:spacing w:val="75"/>
          <w:sz w:val="24"/>
        </w:rPr>
        <w:t> </w:t>
      </w:r>
      <w:r>
        <w:rPr>
          <w:sz w:val="24"/>
        </w:rPr>
        <w:t>Magnetic</w:t>
      </w:r>
      <w:r>
        <w:rPr>
          <w:spacing w:val="1"/>
          <w:sz w:val="24"/>
        </w:rPr>
        <w:t> </w:t>
      </w:r>
      <w:r>
        <w:rPr>
          <w:sz w:val="24"/>
        </w:rPr>
        <w:t>Resonance Spectroscopic study of acetylation of cotton. </w:t>
      </w:r>
      <w:r>
        <w:rPr>
          <w:sz w:val="25"/>
        </w:rPr>
        <w:t>Spectrochimica Acta, Part</w:t>
      </w:r>
      <w:r>
        <w:rPr>
          <w:spacing w:val="1"/>
          <w:sz w:val="25"/>
        </w:rPr>
        <w:t> </w:t>
      </w:r>
      <w:r>
        <w:rPr>
          <w:sz w:val="25"/>
        </w:rPr>
        <w:t>A:</w:t>
      </w:r>
      <w:r>
        <w:rPr>
          <w:spacing w:val="-10"/>
          <w:sz w:val="25"/>
        </w:rPr>
        <w:t> </w:t>
      </w:r>
      <w:r>
        <w:rPr>
          <w:sz w:val="25"/>
        </w:rPr>
        <w:t>Molecular</w:t>
      </w:r>
      <w:r>
        <w:rPr>
          <w:spacing w:val="-9"/>
          <w:sz w:val="25"/>
        </w:rPr>
        <w:t> </w:t>
      </w:r>
      <w:r>
        <w:rPr>
          <w:sz w:val="25"/>
        </w:rPr>
        <w:t>and</w:t>
      </w:r>
      <w:r>
        <w:rPr>
          <w:spacing w:val="-11"/>
          <w:sz w:val="25"/>
        </w:rPr>
        <w:t> </w:t>
      </w:r>
      <w:r>
        <w:rPr>
          <w:sz w:val="25"/>
        </w:rPr>
        <w:t>Biomolecular</w:t>
      </w:r>
      <w:r>
        <w:rPr>
          <w:spacing w:val="-9"/>
          <w:sz w:val="25"/>
        </w:rPr>
        <w:t> </w:t>
      </w:r>
      <w:r>
        <w:rPr>
          <w:sz w:val="25"/>
        </w:rPr>
        <w:t>Spectroscopy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60(1-2):</w:t>
      </w:r>
      <w:r>
        <w:rPr>
          <w:spacing w:val="-7"/>
          <w:sz w:val="24"/>
        </w:rPr>
        <w:t> </w:t>
      </w:r>
      <w:r>
        <w:rPr>
          <w:sz w:val="24"/>
        </w:rPr>
        <w:t>449-453.</w:t>
      </w:r>
    </w:p>
    <w:p>
      <w:pPr>
        <w:pStyle w:val="BodyText"/>
        <w:spacing w:line="475" w:lineRule="auto" w:before="245"/>
        <w:ind w:left="1918" w:right="578" w:hanging="720"/>
        <w:jc w:val="both"/>
      </w:pPr>
      <w:r>
        <w:rPr/>
        <w:t>Adonis,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Martinez,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Riguelme,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Ancic,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Gonzalez,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Tapia,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(2003).susceptibility</w:t>
      </w:r>
      <w:r>
        <w:rPr>
          <w:spacing w:val="67"/>
        </w:rPr>
        <w:t> </w:t>
      </w:r>
      <w:r>
        <w:rPr/>
        <w:t>and</w:t>
      </w:r>
      <w:r>
        <w:rPr>
          <w:spacing w:val="68"/>
        </w:rPr>
        <w:t> </w:t>
      </w:r>
      <w:r>
        <w:rPr/>
        <w:t>exposure</w:t>
      </w:r>
      <w:r>
        <w:rPr>
          <w:spacing w:val="66"/>
        </w:rPr>
        <w:t> </w:t>
      </w:r>
      <w:r>
        <w:rPr/>
        <w:t>biomarkers</w:t>
      </w:r>
      <w:r>
        <w:rPr>
          <w:spacing w:val="68"/>
        </w:rPr>
        <w:t> </w:t>
      </w:r>
      <w:r>
        <w:rPr/>
        <w:t>in</w:t>
      </w:r>
      <w:r>
        <w:rPr>
          <w:spacing w:val="65"/>
        </w:rPr>
        <w:t> </w:t>
      </w:r>
      <w:r>
        <w:rPr/>
        <w:t>people</w:t>
      </w:r>
      <w:r>
        <w:rPr>
          <w:spacing w:val="69"/>
        </w:rPr>
        <w:t> </w:t>
      </w:r>
      <w:r>
        <w:rPr/>
        <w:t>exposed</w:t>
      </w:r>
      <w:r>
        <w:rPr>
          <w:spacing w:val="66"/>
        </w:rPr>
        <w:t> </w:t>
      </w:r>
      <w:r>
        <w:rPr/>
        <w:t>to</w:t>
      </w:r>
      <w:r>
        <w:rPr>
          <w:spacing w:val="67"/>
        </w:rPr>
        <w:t> </w:t>
      </w:r>
      <w:r>
        <w:rPr/>
        <w:t>PAHs</w:t>
      </w:r>
      <w:r>
        <w:rPr>
          <w:spacing w:val="68"/>
        </w:rPr>
        <w:t> </w:t>
      </w:r>
      <w:r>
        <w:rPr/>
        <w:t>from</w:t>
      </w:r>
      <w:r>
        <w:rPr>
          <w:spacing w:val="-73"/>
        </w:rPr>
        <w:t> </w:t>
      </w:r>
      <w:r>
        <w:rPr/>
        <w:t>diesel</w:t>
      </w:r>
      <w:r>
        <w:rPr>
          <w:spacing w:val="-2"/>
        </w:rPr>
        <w:t> </w:t>
      </w:r>
      <w:r>
        <w:rPr/>
        <w:t>exhaust.</w:t>
      </w:r>
      <w:r>
        <w:rPr>
          <w:spacing w:val="-3"/>
        </w:rPr>
        <w:t> </w:t>
      </w:r>
      <w:r>
        <w:rPr>
          <w:sz w:val="25"/>
        </w:rPr>
        <w:t>Toxicology</w:t>
      </w:r>
      <w:r>
        <w:rPr>
          <w:spacing w:val="-4"/>
          <w:sz w:val="25"/>
        </w:rPr>
        <w:t> </w:t>
      </w:r>
      <w:r>
        <w:rPr>
          <w:sz w:val="25"/>
        </w:rPr>
        <w:t>Letters</w:t>
      </w:r>
      <w:r>
        <w:rPr/>
        <w:t>,</w:t>
      </w:r>
      <w:r>
        <w:rPr>
          <w:spacing w:val="-3"/>
        </w:rPr>
        <w:t> </w:t>
      </w:r>
      <w:r>
        <w:rPr/>
        <w:t>144(1):</w:t>
      </w:r>
      <w:r>
        <w:rPr>
          <w:spacing w:val="-3"/>
        </w:rPr>
        <w:t> </w:t>
      </w:r>
      <w:r>
        <w:rPr/>
        <w:t>3-15.</w:t>
      </w:r>
    </w:p>
    <w:p>
      <w:pPr>
        <w:spacing w:line="463" w:lineRule="auto" w:before="226"/>
        <w:ind w:left="1918" w:right="577" w:hanging="720"/>
        <w:jc w:val="both"/>
        <w:rPr>
          <w:sz w:val="24"/>
        </w:rPr>
      </w:pPr>
      <w:r>
        <w:rPr>
          <w:sz w:val="24"/>
        </w:rPr>
        <w:t>Agency for Toxic Substances and Diseases Registry (ASTDR) (1996).</w:t>
      </w:r>
      <w:r>
        <w:rPr>
          <w:sz w:val="25"/>
        </w:rPr>
        <w:t>Polycyclic Aromatic</w:t>
      </w:r>
      <w:r>
        <w:rPr>
          <w:spacing w:val="1"/>
          <w:sz w:val="25"/>
        </w:rPr>
        <w:t> </w:t>
      </w:r>
      <w:r>
        <w:rPr>
          <w:sz w:val="25"/>
        </w:rPr>
        <w:t>Hydrocarbons (PAHs): ToxFAQs</w:t>
      </w:r>
      <w:r>
        <w:rPr>
          <w:sz w:val="24"/>
        </w:rPr>
        <w:t>.US Department of Health and Human Service,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Service.</w:t>
      </w:r>
      <w:r>
        <w:rPr>
          <w:spacing w:val="1"/>
          <w:sz w:val="24"/>
        </w:rPr>
        <w:t> </w:t>
      </w:r>
      <w:r>
        <w:rPr>
          <w:sz w:val="24"/>
        </w:rPr>
        <w:t>Atlanta GA.</w:t>
      </w:r>
      <w:r>
        <w:rPr>
          <w:spacing w:val="-3"/>
          <w:sz w:val="24"/>
        </w:rPr>
        <w:t> </w:t>
      </w:r>
      <w:r>
        <w:rPr>
          <w:sz w:val="24"/>
        </w:rPr>
        <w:t>Pp</w:t>
      </w:r>
      <w:r>
        <w:rPr>
          <w:spacing w:val="1"/>
          <w:sz w:val="24"/>
        </w:rPr>
        <w:t> </w:t>
      </w:r>
      <w:r>
        <w:rPr>
          <w:sz w:val="24"/>
        </w:rPr>
        <w:t>12-17.</w:t>
      </w:r>
    </w:p>
    <w:p>
      <w:pPr>
        <w:pStyle w:val="BodyText"/>
        <w:rPr>
          <w:sz w:val="21"/>
        </w:rPr>
      </w:pPr>
    </w:p>
    <w:p>
      <w:pPr>
        <w:spacing w:line="465" w:lineRule="auto" w:before="1"/>
        <w:ind w:left="1918" w:right="577" w:hanging="720"/>
        <w:jc w:val="both"/>
        <w:rPr>
          <w:sz w:val="24"/>
        </w:rPr>
      </w:pPr>
      <w:r>
        <w:rPr>
          <w:sz w:val="24"/>
        </w:rPr>
        <w:t>Agency for Toxic Substances and Diseases Registry (ASTDR) (1997).</w:t>
      </w:r>
      <w:r>
        <w:rPr>
          <w:sz w:val="25"/>
        </w:rPr>
        <w:t>Toxicological Profile</w:t>
      </w:r>
      <w:r>
        <w:rPr>
          <w:spacing w:val="1"/>
          <w:sz w:val="25"/>
        </w:rPr>
        <w:t> </w:t>
      </w:r>
      <w:r>
        <w:rPr>
          <w:sz w:val="25"/>
        </w:rPr>
        <w:t>for Benzene, Update (Final Report)</w:t>
      </w:r>
      <w:r>
        <w:rPr>
          <w:sz w:val="24"/>
        </w:rPr>
        <w:t>, NTIS Accession NO PB 78-101157. United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-1"/>
          <w:sz w:val="24"/>
        </w:rPr>
        <w:t> </w:t>
      </w:r>
      <w:r>
        <w:rPr>
          <w:sz w:val="24"/>
        </w:rPr>
        <w:t>Agency for</w:t>
      </w:r>
      <w:r>
        <w:rPr>
          <w:spacing w:val="-2"/>
          <w:sz w:val="24"/>
        </w:rPr>
        <w:t> </w:t>
      </w:r>
      <w:r>
        <w:rPr>
          <w:sz w:val="24"/>
        </w:rPr>
        <w:t>Toxic</w:t>
      </w:r>
      <w:r>
        <w:rPr>
          <w:spacing w:val="-2"/>
          <w:sz w:val="24"/>
        </w:rPr>
        <w:t> </w:t>
      </w:r>
      <w:r>
        <w:rPr>
          <w:sz w:val="24"/>
        </w:rPr>
        <w:t>Substances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Disease</w:t>
      </w:r>
      <w:r>
        <w:rPr>
          <w:spacing w:val="-1"/>
          <w:sz w:val="24"/>
        </w:rPr>
        <w:t> </w:t>
      </w:r>
      <w:r>
        <w:rPr>
          <w:sz w:val="24"/>
        </w:rPr>
        <w:t>Registry,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459.</w:t>
      </w:r>
    </w:p>
    <w:p>
      <w:pPr>
        <w:spacing w:after="0" w:line="465" w:lineRule="auto"/>
        <w:jc w:val="both"/>
        <w:rPr>
          <w:sz w:val="24"/>
        </w:rPr>
        <w:sectPr>
          <w:pgSz w:w="11910" w:h="16840"/>
          <w:pgMar w:header="0" w:footer="987" w:top="1140" w:bottom="1260" w:left="420" w:right="0"/>
        </w:sectPr>
      </w:pPr>
    </w:p>
    <w:p>
      <w:pPr>
        <w:spacing w:line="465" w:lineRule="auto" w:before="85"/>
        <w:ind w:left="1918" w:right="576" w:hanging="720"/>
        <w:jc w:val="both"/>
        <w:rPr>
          <w:sz w:val="24"/>
        </w:rPr>
      </w:pPr>
      <w:r>
        <w:rPr>
          <w:sz w:val="24"/>
        </w:rPr>
        <w:t>Agency for Toxic Substances and Diseases Registry (ASTDR), (2008a).</w:t>
      </w:r>
      <w:r>
        <w:rPr>
          <w:sz w:val="25"/>
        </w:rPr>
        <w:t>Toxicological Profile</w:t>
      </w:r>
      <w:r>
        <w:rPr>
          <w:spacing w:val="-76"/>
          <w:sz w:val="25"/>
        </w:rPr>
        <w:t> </w:t>
      </w:r>
      <w:r>
        <w:rPr>
          <w:sz w:val="25"/>
        </w:rPr>
        <w:t>for Toluene Update</w:t>
      </w:r>
      <w:r>
        <w:rPr>
          <w:sz w:val="24"/>
        </w:rPr>
        <w:t>. US department of health and human service, public health</w:t>
      </w:r>
      <w:r>
        <w:rPr>
          <w:spacing w:val="1"/>
          <w:sz w:val="24"/>
        </w:rPr>
        <w:t> </w:t>
      </w:r>
      <w:r>
        <w:rPr>
          <w:sz w:val="24"/>
        </w:rPr>
        <w:t>service.</w:t>
      </w:r>
      <w:r>
        <w:rPr>
          <w:spacing w:val="-1"/>
          <w:sz w:val="24"/>
        </w:rPr>
        <w:t> </w:t>
      </w:r>
      <w:r>
        <w:rPr>
          <w:sz w:val="24"/>
        </w:rPr>
        <w:t>Atlanta</w:t>
      </w:r>
      <w:r>
        <w:rPr>
          <w:spacing w:val="-2"/>
          <w:sz w:val="24"/>
        </w:rPr>
        <w:t> </w:t>
      </w:r>
      <w:r>
        <w:rPr>
          <w:sz w:val="24"/>
        </w:rPr>
        <w:t>GA.</w:t>
      </w:r>
      <w:r>
        <w:rPr>
          <w:spacing w:val="-2"/>
          <w:sz w:val="24"/>
        </w:rPr>
        <w:t> </w:t>
      </w:r>
      <w:r>
        <w:rPr>
          <w:sz w:val="24"/>
        </w:rPr>
        <w:t>Pp</w:t>
      </w:r>
      <w:r>
        <w:rPr>
          <w:spacing w:val="1"/>
          <w:sz w:val="24"/>
        </w:rPr>
        <w:t> </w:t>
      </w:r>
      <w:r>
        <w:rPr>
          <w:sz w:val="24"/>
        </w:rPr>
        <w:t>7-25.</w:t>
      </w:r>
    </w:p>
    <w:p>
      <w:pPr>
        <w:pStyle w:val="BodyText"/>
        <w:spacing w:line="463" w:lineRule="auto" w:before="247"/>
        <w:ind w:left="1918" w:right="576" w:hanging="720"/>
        <w:jc w:val="both"/>
      </w:pPr>
      <w:r>
        <w:rPr/>
        <w:t>Agency for Toxic Substances and Diseases Registry (ASTDR), (2008b).</w:t>
      </w:r>
      <w:r>
        <w:rPr>
          <w:sz w:val="25"/>
        </w:rPr>
        <w:t>Toxicological Profile</w:t>
      </w:r>
      <w:r>
        <w:rPr>
          <w:spacing w:val="-76"/>
          <w:sz w:val="25"/>
        </w:rPr>
        <w:t> </w:t>
      </w:r>
      <w:r>
        <w:rPr>
          <w:sz w:val="25"/>
        </w:rPr>
        <w:t>for Cresols. </w:t>
      </w:r>
      <w:r>
        <w:rPr/>
        <w:t>US department of health and human services, public health service.</w:t>
      </w:r>
      <w:r>
        <w:rPr>
          <w:spacing w:val="1"/>
        </w:rPr>
        <w:t> </w:t>
      </w:r>
      <w:r>
        <w:rPr/>
        <w:t>Atlanta</w:t>
      </w:r>
      <w:r>
        <w:rPr>
          <w:spacing w:val="-1"/>
        </w:rPr>
        <w:t> </w:t>
      </w:r>
      <w:r>
        <w:rPr/>
        <w:t>GA.</w:t>
      </w:r>
      <w:r>
        <w:rPr>
          <w:spacing w:val="-2"/>
        </w:rPr>
        <w:t> </w:t>
      </w:r>
      <w:r>
        <w:rPr/>
        <w:t>Pp</w:t>
      </w:r>
      <w:r>
        <w:rPr>
          <w:spacing w:val="1"/>
        </w:rPr>
        <w:t> </w:t>
      </w:r>
      <w:r>
        <w:rPr/>
        <w:t>9-15.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1918" w:right="576" w:hanging="720"/>
        <w:jc w:val="both"/>
      </w:pPr>
      <w:r>
        <w:rPr/>
        <w:t>Aisien, F.A., Ebewele, R.O and Hymore, F.K., (2011). Mathematical model of sorption</w:t>
      </w:r>
      <w:r>
        <w:rPr>
          <w:spacing w:val="1"/>
        </w:rPr>
        <w:t> </w:t>
      </w:r>
      <w:r>
        <w:rPr/>
        <w:t>kinetics of crude oil by rubber particles from scrap tyres, Leonardo</w:t>
      </w:r>
      <w:r>
        <w:rPr>
          <w:spacing w:val="75"/>
        </w:rPr>
        <w:t> </w:t>
      </w:r>
      <w:r>
        <w:rPr/>
        <w:t>Journal of</w:t>
      </w:r>
      <w:r>
        <w:rPr>
          <w:spacing w:val="1"/>
        </w:rPr>
        <w:t> </w:t>
      </w:r>
      <w:r>
        <w:rPr/>
        <w:t>Science 18:85-96</w:t>
      </w:r>
    </w:p>
    <w:p>
      <w:pPr>
        <w:spacing w:line="465" w:lineRule="auto" w:before="240"/>
        <w:ind w:left="1918" w:right="578" w:hanging="720"/>
        <w:jc w:val="both"/>
        <w:rPr>
          <w:sz w:val="24"/>
        </w:rPr>
      </w:pPr>
      <w:r>
        <w:rPr>
          <w:sz w:val="24"/>
        </w:rPr>
        <w:t>Aloko, D.F. and Adebayo, G.A., (1997). Production and characterization of activated carbon</w:t>
      </w:r>
      <w:r>
        <w:rPr>
          <w:spacing w:val="-72"/>
          <w:sz w:val="24"/>
        </w:rPr>
        <w:t> </w:t>
      </w:r>
      <w:r>
        <w:rPr>
          <w:sz w:val="24"/>
        </w:rPr>
        <w:t>from agricultural wastes (Rice husk and corn cob), </w:t>
      </w:r>
      <w:r>
        <w:rPr>
          <w:sz w:val="25"/>
        </w:rPr>
        <w:t>Journal of Engineering and</w:t>
      </w:r>
      <w:r>
        <w:rPr>
          <w:spacing w:val="1"/>
          <w:sz w:val="25"/>
        </w:rPr>
        <w:t> </w:t>
      </w:r>
      <w:r>
        <w:rPr>
          <w:sz w:val="25"/>
        </w:rPr>
        <w:t>Applied</w:t>
      </w:r>
      <w:r>
        <w:rPr>
          <w:spacing w:val="-6"/>
          <w:sz w:val="25"/>
        </w:rPr>
        <w:t> </w:t>
      </w:r>
      <w:r>
        <w:rPr>
          <w:sz w:val="25"/>
        </w:rPr>
        <w:t>Sciences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2(2):</w:t>
      </w:r>
      <w:r>
        <w:rPr>
          <w:spacing w:val="-3"/>
          <w:sz w:val="24"/>
        </w:rPr>
        <w:t> </w:t>
      </w:r>
      <w:r>
        <w:rPr>
          <w:sz w:val="24"/>
        </w:rPr>
        <w:t>440-444.</w:t>
      </w:r>
    </w:p>
    <w:p>
      <w:pPr>
        <w:pStyle w:val="BodyText"/>
        <w:spacing w:before="245"/>
        <w:ind w:left="1198"/>
        <w:jc w:val="both"/>
      </w:pPr>
      <w:r>
        <w:rPr/>
        <w:t>Alther,</w:t>
      </w:r>
      <w:r>
        <w:rPr>
          <w:spacing w:val="51"/>
        </w:rPr>
        <w:t> </w:t>
      </w:r>
      <w:r>
        <w:rPr/>
        <w:t>G.R.,</w:t>
      </w:r>
      <w:r>
        <w:rPr>
          <w:spacing w:val="51"/>
        </w:rPr>
        <w:t> </w:t>
      </w:r>
      <w:r>
        <w:rPr/>
        <w:t>(2001).</w:t>
      </w:r>
      <w:r>
        <w:rPr>
          <w:spacing w:val="53"/>
        </w:rPr>
        <w:t> </w:t>
      </w:r>
      <w:r>
        <w:rPr/>
        <w:t>How</w:t>
      </w:r>
      <w:r>
        <w:rPr>
          <w:spacing w:val="51"/>
        </w:rPr>
        <w:t> </w:t>
      </w:r>
      <w:r>
        <w:rPr/>
        <w:t>to</w:t>
      </w:r>
      <w:r>
        <w:rPr>
          <w:spacing w:val="51"/>
        </w:rPr>
        <w:t> </w:t>
      </w:r>
      <w:r>
        <w:rPr/>
        <w:t>remove</w:t>
      </w:r>
      <w:r>
        <w:rPr>
          <w:spacing w:val="53"/>
        </w:rPr>
        <w:t> </w:t>
      </w:r>
      <w:r>
        <w:rPr/>
        <w:t>emulsified</w:t>
      </w:r>
      <w:r>
        <w:rPr>
          <w:spacing w:val="51"/>
        </w:rPr>
        <w:t> </w:t>
      </w:r>
      <w:r>
        <w:rPr/>
        <w:t>oil</w:t>
      </w:r>
      <w:r>
        <w:rPr>
          <w:spacing w:val="52"/>
        </w:rPr>
        <w:t> </w:t>
      </w:r>
      <w:r>
        <w:rPr/>
        <w:t>from</w:t>
      </w:r>
      <w:r>
        <w:rPr>
          <w:spacing w:val="51"/>
        </w:rPr>
        <w:t> </w:t>
      </w:r>
      <w:r>
        <w:rPr/>
        <w:t>wastewater</w:t>
      </w:r>
      <w:r>
        <w:rPr>
          <w:spacing w:val="52"/>
        </w:rPr>
        <w:t> </w:t>
      </w:r>
      <w:r>
        <w:rPr/>
        <w:t>with</w:t>
      </w:r>
      <w:r>
        <w:rPr>
          <w:spacing w:val="54"/>
        </w:rPr>
        <w:t> </w:t>
      </w:r>
      <w:r>
        <w:rPr/>
        <w:t>organoclays,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1918" w:right="0" w:firstLine="0"/>
        <w:jc w:val="left"/>
        <w:rPr>
          <w:sz w:val="24"/>
        </w:rPr>
      </w:pPr>
      <w:r>
        <w:rPr>
          <w:w w:val="95"/>
          <w:sz w:val="25"/>
        </w:rPr>
        <w:t>Water</w:t>
      </w:r>
      <w:r>
        <w:rPr>
          <w:spacing w:val="16"/>
          <w:w w:val="95"/>
          <w:sz w:val="25"/>
        </w:rPr>
        <w:t> </w:t>
      </w:r>
      <w:r>
        <w:rPr>
          <w:w w:val="95"/>
          <w:sz w:val="25"/>
        </w:rPr>
        <w:t>Engineering</w:t>
      </w:r>
      <w:r>
        <w:rPr>
          <w:spacing w:val="17"/>
          <w:w w:val="95"/>
          <w:sz w:val="25"/>
        </w:rPr>
        <w:t> </w:t>
      </w:r>
      <w:r>
        <w:rPr>
          <w:w w:val="95"/>
          <w:sz w:val="25"/>
        </w:rPr>
        <w:t>and</w:t>
      </w:r>
      <w:r>
        <w:rPr>
          <w:spacing w:val="20"/>
          <w:w w:val="95"/>
          <w:sz w:val="25"/>
        </w:rPr>
        <w:t> </w:t>
      </w:r>
      <w:r>
        <w:rPr>
          <w:w w:val="95"/>
          <w:sz w:val="25"/>
        </w:rPr>
        <w:t>Management.</w:t>
      </w:r>
      <w:r>
        <w:rPr>
          <w:w w:val="95"/>
          <w:sz w:val="24"/>
        </w:rPr>
        <w:t>,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148(7):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27-29.</w:t>
      </w:r>
    </w:p>
    <w:p>
      <w:pPr>
        <w:pStyle w:val="BodyText"/>
        <w:spacing w:before="8"/>
        <w:rPr>
          <w:sz w:val="43"/>
        </w:rPr>
      </w:pPr>
    </w:p>
    <w:p>
      <w:pPr>
        <w:pStyle w:val="BodyText"/>
        <w:spacing w:line="465" w:lineRule="auto"/>
        <w:ind w:left="1918" w:right="576" w:hanging="720"/>
        <w:jc w:val="both"/>
      </w:pPr>
      <w:r>
        <w:rPr/>
        <w:t>Amer,</w:t>
      </w:r>
      <w:r>
        <w:rPr>
          <w:spacing w:val="1"/>
        </w:rPr>
        <w:t> </w:t>
      </w:r>
      <w:r>
        <w:rPr/>
        <w:t>A.A.,</w:t>
      </w:r>
      <w:r>
        <w:rPr>
          <w:spacing w:val="1"/>
        </w:rPr>
        <w:t> </w:t>
      </w:r>
      <w:r>
        <w:rPr/>
        <w:t>El-Maghrahy,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Malash,</w:t>
      </w:r>
      <w:r>
        <w:rPr>
          <w:spacing w:val="1"/>
        </w:rPr>
        <w:t> </w:t>
      </w:r>
      <w:r>
        <w:rPr/>
        <w:t>G.F.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Nahla,</w:t>
      </w:r>
      <w:r>
        <w:rPr>
          <w:spacing w:val="1"/>
        </w:rPr>
        <w:t> </w:t>
      </w:r>
      <w:r>
        <w:rPr/>
        <w:t>T.A.,</w:t>
      </w:r>
      <w:r>
        <w:rPr>
          <w:spacing w:val="1"/>
        </w:rPr>
        <w:t> </w:t>
      </w:r>
      <w:r>
        <w:rPr/>
        <w:t>(2007).Extensive</w:t>
      </w:r>
      <w:r>
        <w:rPr>
          <w:spacing w:val="1"/>
        </w:rPr>
        <w:t> </w:t>
      </w:r>
      <w:r>
        <w:rPr/>
        <w:t>characterization of raw barley straw and study of the effect of steam pretreatment.</w:t>
      </w:r>
      <w:r>
        <w:rPr>
          <w:sz w:val="25"/>
        </w:rPr>
        <w:t>J.</w:t>
      </w:r>
      <w:r>
        <w:rPr>
          <w:spacing w:val="-76"/>
          <w:sz w:val="25"/>
        </w:rPr>
        <w:t> </w:t>
      </w:r>
      <w:r>
        <w:rPr>
          <w:sz w:val="25"/>
        </w:rPr>
        <w:t>Applied</w:t>
      </w:r>
      <w:r>
        <w:rPr>
          <w:spacing w:val="-8"/>
          <w:sz w:val="25"/>
        </w:rPr>
        <w:t> </w:t>
      </w:r>
      <w:r>
        <w:rPr>
          <w:sz w:val="25"/>
        </w:rPr>
        <w:t>Science</w:t>
      </w:r>
      <w:r>
        <w:rPr>
          <w:spacing w:val="-4"/>
          <w:sz w:val="25"/>
        </w:rPr>
        <w:t> </w:t>
      </w:r>
      <w:r>
        <w:rPr>
          <w:sz w:val="25"/>
        </w:rPr>
        <w:t>Resources,</w:t>
      </w:r>
      <w:r>
        <w:rPr>
          <w:spacing w:val="-5"/>
          <w:sz w:val="25"/>
        </w:rPr>
        <w:t> </w:t>
      </w:r>
      <w:r>
        <w:rPr/>
        <w:t>3(1):</w:t>
      </w:r>
      <w:r>
        <w:rPr>
          <w:spacing w:val="-4"/>
        </w:rPr>
        <w:t> </w:t>
      </w:r>
      <w:r>
        <w:rPr/>
        <w:t>1336-1342.</w:t>
      </w:r>
    </w:p>
    <w:p>
      <w:pPr>
        <w:pStyle w:val="BodyText"/>
        <w:spacing w:line="470" w:lineRule="auto" w:before="245"/>
        <w:ind w:left="1918" w:right="573" w:hanging="720"/>
        <w:jc w:val="both"/>
      </w:pPr>
      <w:r>
        <w:rPr/>
        <w:t>American Standards for Testing and Materials (ASTM) (1994). D4442-84: Standard Test</w:t>
      </w:r>
      <w:r>
        <w:rPr>
          <w:spacing w:val="1"/>
        </w:rPr>
        <w:t> </w:t>
      </w:r>
      <w:r>
        <w:rPr/>
        <w:t>Method For Direct Moisture Content of Wood and Wood Based Materials. </w:t>
      </w:r>
      <w:r>
        <w:rPr>
          <w:sz w:val="25"/>
        </w:rPr>
        <w:t>ASTM</w:t>
      </w:r>
      <w:r>
        <w:rPr/>
        <w:t>, 04-</w:t>
      </w:r>
      <w:r>
        <w:rPr>
          <w:spacing w:val="1"/>
        </w:rPr>
        <w:t> </w:t>
      </w:r>
      <w:r>
        <w:rPr/>
        <w:t>09:</w:t>
      </w:r>
      <w:r>
        <w:rPr>
          <w:spacing w:val="-2"/>
        </w:rPr>
        <w:t> </w:t>
      </w:r>
      <w:r>
        <w:rPr/>
        <w:t>514-518.</w:t>
      </w:r>
    </w:p>
    <w:p>
      <w:pPr>
        <w:spacing w:after="0" w:line="470" w:lineRule="auto"/>
        <w:jc w:val="both"/>
        <w:sectPr>
          <w:pgSz w:w="11910" w:h="16840"/>
          <w:pgMar w:header="0" w:footer="987" w:top="1120" w:bottom="1260" w:left="420" w:right="0"/>
        </w:sectPr>
      </w:pPr>
    </w:p>
    <w:p>
      <w:pPr>
        <w:pStyle w:val="BodyText"/>
        <w:spacing w:line="465" w:lineRule="auto" w:before="75"/>
        <w:ind w:left="1918" w:right="580" w:hanging="720"/>
        <w:jc w:val="both"/>
      </w:pPr>
      <w:r>
        <w:rPr/>
        <w:t>Annunciado,</w:t>
      </w:r>
      <w:r>
        <w:rPr>
          <w:spacing w:val="1"/>
        </w:rPr>
        <w:t> </w:t>
      </w:r>
      <w:r>
        <w:rPr/>
        <w:t>T.R.,</w:t>
      </w:r>
      <w:r>
        <w:rPr>
          <w:spacing w:val="1"/>
        </w:rPr>
        <w:t> </w:t>
      </w:r>
      <w:r>
        <w:rPr/>
        <w:t>Sydenstricker,</w:t>
      </w:r>
      <w:r>
        <w:rPr>
          <w:spacing w:val="1"/>
        </w:rPr>
        <w:t> </w:t>
      </w:r>
      <w:r>
        <w:rPr/>
        <w:t>T.H.D.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Amico,</w:t>
      </w:r>
      <w:r>
        <w:rPr>
          <w:spacing w:val="1"/>
        </w:rPr>
        <w:t> </w:t>
      </w:r>
      <w:r>
        <w:rPr/>
        <w:t>S.C.,</w:t>
      </w:r>
      <w:r>
        <w:rPr>
          <w:spacing w:val="1"/>
        </w:rPr>
        <w:t> </w:t>
      </w:r>
      <w:r>
        <w:rPr/>
        <w:t>(2005).</w:t>
      </w:r>
      <w:r>
        <w:rPr>
          <w:spacing w:val="76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investigation of various vegetable fibers as sorbents materials for oil spills. </w:t>
      </w:r>
      <w:r>
        <w:rPr>
          <w:sz w:val="25"/>
        </w:rPr>
        <w:t>Marine</w:t>
      </w:r>
      <w:r>
        <w:rPr>
          <w:spacing w:val="1"/>
          <w:sz w:val="25"/>
        </w:rPr>
        <w:t> </w:t>
      </w:r>
      <w:r>
        <w:rPr>
          <w:sz w:val="25"/>
        </w:rPr>
        <w:t>Pollution</w:t>
      </w:r>
      <w:r>
        <w:rPr>
          <w:spacing w:val="-6"/>
          <w:sz w:val="25"/>
        </w:rPr>
        <w:t> </w:t>
      </w:r>
      <w:r>
        <w:rPr>
          <w:sz w:val="25"/>
        </w:rPr>
        <w:t>Bulletin</w:t>
      </w:r>
      <w:r>
        <w:rPr/>
        <w:t>,</w:t>
      </w:r>
      <w:r>
        <w:rPr>
          <w:spacing w:val="-2"/>
        </w:rPr>
        <w:t> </w:t>
      </w:r>
      <w:r>
        <w:rPr/>
        <w:t>50(11):</w:t>
      </w:r>
      <w:r>
        <w:rPr>
          <w:spacing w:val="-3"/>
        </w:rPr>
        <w:t> </w:t>
      </w:r>
      <w:r>
        <w:rPr/>
        <w:t>1340-1346.</w:t>
      </w:r>
    </w:p>
    <w:p>
      <w:pPr>
        <w:pStyle w:val="BodyText"/>
        <w:spacing w:line="468" w:lineRule="auto" w:before="237"/>
        <w:ind w:left="1918" w:right="578" w:hanging="720"/>
        <w:jc w:val="both"/>
      </w:pPr>
      <w:r>
        <w:rPr/>
        <w:t>Anonymous, (2008). Article: NOSDRA Detects 1150 Oil Spill Sites. </w:t>
      </w:r>
      <w:r>
        <w:rPr>
          <w:sz w:val="25"/>
        </w:rPr>
        <w:t>Newspaper This Day</w:t>
      </w:r>
      <w:r>
        <w:rPr/>
        <w:t>,</w:t>
      </w:r>
      <w:r>
        <w:rPr>
          <w:spacing w:val="1"/>
        </w:rPr>
        <w:t> </w:t>
      </w:r>
      <w:r>
        <w:rPr/>
        <w:t>Jan.</w:t>
      </w:r>
      <w:r>
        <w:rPr>
          <w:spacing w:val="-1"/>
        </w:rPr>
        <w:t> </w:t>
      </w:r>
      <w:r>
        <w:rPr/>
        <w:t>25.</w:t>
      </w:r>
    </w:p>
    <w:p>
      <w:pPr>
        <w:pStyle w:val="BodyText"/>
        <w:rPr>
          <w:sz w:val="21"/>
        </w:rPr>
      </w:pPr>
    </w:p>
    <w:p>
      <w:pPr>
        <w:pStyle w:val="BodyText"/>
        <w:spacing w:line="465" w:lineRule="auto"/>
        <w:ind w:left="1918" w:right="573" w:hanging="720"/>
        <w:jc w:val="both"/>
      </w:pPr>
      <w:r>
        <w:rPr/>
        <w:t>Armstrong, B., Hutchinson, E., Unwin, J., and Fletcher, T., (2004). Lung cancer risk after</w:t>
      </w:r>
      <w:r>
        <w:rPr>
          <w:spacing w:val="1"/>
        </w:rPr>
        <w:t> </w:t>
      </w:r>
      <w:r>
        <w:rPr/>
        <w:t>exposure to poly cyclic hydrocarbons: a review and meta-analysis. </w:t>
      </w:r>
      <w:r>
        <w:rPr>
          <w:sz w:val="25"/>
        </w:rPr>
        <w:t>Environment</w:t>
      </w:r>
      <w:r>
        <w:rPr>
          <w:spacing w:val="1"/>
          <w:sz w:val="25"/>
        </w:rPr>
        <w:t> </w:t>
      </w:r>
      <w:r>
        <w:rPr>
          <w:sz w:val="25"/>
        </w:rPr>
        <w:t>Health</w:t>
      </w:r>
      <w:r>
        <w:rPr>
          <w:spacing w:val="-6"/>
          <w:sz w:val="25"/>
        </w:rPr>
        <w:t> </w:t>
      </w:r>
      <w:r>
        <w:rPr>
          <w:sz w:val="25"/>
        </w:rPr>
        <w:t>Perspect</w:t>
      </w:r>
      <w:r>
        <w:rPr/>
        <w:t>ive</w:t>
      </w:r>
      <w:r>
        <w:rPr>
          <w:spacing w:val="-1"/>
        </w:rPr>
        <w:t> </w:t>
      </w:r>
      <w:r>
        <w:rPr/>
        <w:t>112(9):</w:t>
      </w:r>
      <w:r>
        <w:rPr>
          <w:spacing w:val="-3"/>
        </w:rPr>
        <w:t> </w:t>
      </w:r>
      <w:r>
        <w:rPr/>
        <w:t>970-978.</w:t>
      </w:r>
    </w:p>
    <w:p>
      <w:pPr>
        <w:pStyle w:val="BodyText"/>
        <w:spacing w:line="468" w:lineRule="auto" w:before="238"/>
        <w:ind w:left="1918" w:right="578" w:hanging="720"/>
        <w:jc w:val="both"/>
      </w:pPr>
      <w:r>
        <w:rPr/>
        <w:t>Aynechi,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>
          <w:sz w:val="25"/>
        </w:rPr>
        <w:t>Oil</w:t>
      </w:r>
      <w:r>
        <w:rPr>
          <w:spacing w:val="1"/>
          <w:sz w:val="25"/>
        </w:rPr>
        <w:t> </w:t>
      </w:r>
      <w:r>
        <w:rPr>
          <w:sz w:val="25"/>
        </w:rPr>
        <w:t>Spill</w:t>
      </w:r>
      <w:r>
        <w:rPr>
          <w:spacing w:val="1"/>
          <w:sz w:val="25"/>
        </w:rPr>
        <w:t> </w:t>
      </w:r>
      <w:r>
        <w:rPr>
          <w:sz w:val="25"/>
        </w:rPr>
        <w:t>Response</w:t>
      </w:r>
      <w:r>
        <w:rPr/>
        <w:t>,</w:t>
      </w:r>
      <w:r>
        <w:rPr>
          <w:spacing w:val="1"/>
        </w:rPr>
        <w:t> </w:t>
      </w:r>
      <w:hyperlink r:id="rId73">
        <w:r>
          <w:rPr/>
          <w:t>http://www.darwin.bio.uci.edu/-</w:t>
        </w:r>
      </w:hyperlink>
      <w:r>
        <w:rPr>
          <w:spacing w:val="1"/>
        </w:rPr>
        <w:t> </w:t>
      </w:r>
      <w:r>
        <w:rPr/>
        <w:t>sustain/global.html.Retrived:</w:t>
      </w:r>
      <w:r>
        <w:rPr>
          <w:spacing w:val="-3"/>
        </w:rPr>
        <w:t> </w:t>
      </w:r>
      <w:r>
        <w:rPr/>
        <w:t>30</w:t>
      </w:r>
      <w:r>
        <w:rPr>
          <w:spacing w:val="1"/>
        </w:rPr>
        <w:t> </w:t>
      </w:r>
      <w:r>
        <w:rPr/>
        <w:t>June</w:t>
      </w:r>
      <w:r>
        <w:rPr>
          <w:spacing w:val="1"/>
        </w:rPr>
        <w:t> </w:t>
      </w:r>
      <w:r>
        <w:rPr/>
        <w:t>2012.</w:t>
      </w:r>
    </w:p>
    <w:p>
      <w:pPr>
        <w:spacing w:line="465" w:lineRule="auto" w:before="134"/>
        <w:ind w:left="1630" w:right="577" w:hanging="432"/>
        <w:jc w:val="both"/>
        <w:rPr>
          <w:sz w:val="24"/>
        </w:rPr>
      </w:pPr>
      <w:r>
        <w:rPr>
          <w:sz w:val="24"/>
        </w:rPr>
        <w:t>Azubuike, C.P and Okhamafe, A.O., (2012). Physicochemical, spectroscopic and thermal</w:t>
      </w:r>
      <w:r>
        <w:rPr>
          <w:spacing w:val="1"/>
          <w:sz w:val="24"/>
        </w:rPr>
        <w:t> </w:t>
      </w:r>
      <w:r>
        <w:rPr>
          <w:sz w:val="24"/>
        </w:rPr>
        <w:t>properties of microcrystalline cellulose derived from corn cobs, </w:t>
      </w:r>
      <w:r>
        <w:rPr>
          <w:sz w:val="25"/>
        </w:rPr>
        <w:t>International journal of</w:t>
      </w:r>
      <w:r>
        <w:rPr>
          <w:spacing w:val="-76"/>
          <w:sz w:val="25"/>
        </w:rPr>
        <w:t> </w:t>
      </w:r>
      <w:r>
        <w:rPr>
          <w:sz w:val="25"/>
        </w:rPr>
        <w:t>recycling</w:t>
      </w:r>
      <w:r>
        <w:rPr>
          <w:spacing w:val="-8"/>
          <w:sz w:val="25"/>
        </w:rPr>
        <w:t> </w:t>
      </w:r>
      <w:r>
        <w:rPr>
          <w:sz w:val="25"/>
        </w:rPr>
        <w:t>organic</w:t>
      </w:r>
      <w:r>
        <w:rPr>
          <w:spacing w:val="-5"/>
          <w:sz w:val="25"/>
        </w:rPr>
        <w:t> </w:t>
      </w:r>
      <w:r>
        <w:rPr>
          <w:sz w:val="25"/>
        </w:rPr>
        <w:t>waste</w:t>
      </w:r>
      <w:r>
        <w:rPr>
          <w:spacing w:val="-6"/>
          <w:sz w:val="25"/>
        </w:rPr>
        <w:t> </w:t>
      </w:r>
      <w:r>
        <w:rPr>
          <w:sz w:val="25"/>
        </w:rPr>
        <w:t>in</w:t>
      </w:r>
      <w:r>
        <w:rPr>
          <w:spacing w:val="-5"/>
          <w:sz w:val="25"/>
        </w:rPr>
        <w:t> </w:t>
      </w:r>
      <w:r>
        <w:rPr>
          <w:sz w:val="25"/>
        </w:rPr>
        <w:t>agriculture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1:9.</w:t>
      </w:r>
    </w:p>
    <w:p>
      <w:pPr>
        <w:spacing w:line="460" w:lineRule="auto" w:before="237"/>
        <w:ind w:left="1918" w:right="580" w:hanging="720"/>
        <w:jc w:val="both"/>
        <w:rPr>
          <w:sz w:val="24"/>
        </w:rPr>
      </w:pPr>
      <w:r>
        <w:rPr>
          <w:sz w:val="24"/>
        </w:rPr>
        <w:t>Badejo,</w:t>
      </w:r>
      <w:r>
        <w:rPr>
          <w:spacing w:val="-10"/>
          <w:sz w:val="24"/>
        </w:rPr>
        <w:t> </w:t>
      </w:r>
      <w:r>
        <w:rPr>
          <w:sz w:val="24"/>
        </w:rPr>
        <w:t>O.T.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Nwilo,</w:t>
      </w:r>
      <w:r>
        <w:rPr>
          <w:spacing w:val="-11"/>
          <w:sz w:val="24"/>
        </w:rPr>
        <w:t> </w:t>
      </w:r>
      <w:r>
        <w:rPr>
          <w:sz w:val="24"/>
        </w:rPr>
        <w:t>P.C.,</w:t>
      </w:r>
      <w:r>
        <w:rPr>
          <w:spacing w:val="-10"/>
          <w:sz w:val="24"/>
        </w:rPr>
        <w:t> </w:t>
      </w:r>
      <w:r>
        <w:rPr>
          <w:sz w:val="24"/>
        </w:rPr>
        <w:t>(2004).</w:t>
      </w:r>
      <w:r>
        <w:rPr>
          <w:spacing w:val="-9"/>
          <w:sz w:val="24"/>
        </w:rPr>
        <w:t> </w:t>
      </w:r>
      <w:r>
        <w:rPr>
          <w:sz w:val="25"/>
        </w:rPr>
        <w:t>Management</w:t>
      </w:r>
      <w:r>
        <w:rPr>
          <w:spacing w:val="-13"/>
          <w:sz w:val="25"/>
        </w:rPr>
        <w:t> </w:t>
      </w:r>
      <w:r>
        <w:rPr>
          <w:sz w:val="25"/>
        </w:rPr>
        <w:t>of</w:t>
      </w:r>
      <w:r>
        <w:rPr>
          <w:spacing w:val="-14"/>
          <w:sz w:val="25"/>
        </w:rPr>
        <w:t> </w:t>
      </w:r>
      <w:r>
        <w:rPr>
          <w:sz w:val="25"/>
        </w:rPr>
        <w:t>Oil</w:t>
      </w:r>
      <w:r>
        <w:rPr>
          <w:spacing w:val="-14"/>
          <w:sz w:val="25"/>
        </w:rPr>
        <w:t> </w:t>
      </w:r>
      <w:r>
        <w:rPr>
          <w:sz w:val="25"/>
        </w:rPr>
        <w:t>Spill</w:t>
      </w:r>
      <w:r>
        <w:rPr>
          <w:spacing w:val="-15"/>
          <w:sz w:val="25"/>
        </w:rPr>
        <w:t> </w:t>
      </w:r>
      <w:r>
        <w:rPr>
          <w:sz w:val="25"/>
        </w:rPr>
        <w:t>Dispersal</w:t>
      </w:r>
      <w:r>
        <w:rPr>
          <w:spacing w:val="-12"/>
          <w:sz w:val="25"/>
        </w:rPr>
        <w:t> </w:t>
      </w:r>
      <w:r>
        <w:rPr>
          <w:sz w:val="25"/>
        </w:rPr>
        <w:t>Along</w:t>
      </w:r>
      <w:r>
        <w:rPr>
          <w:spacing w:val="-12"/>
          <w:sz w:val="25"/>
        </w:rPr>
        <w:t> </w:t>
      </w:r>
      <w:r>
        <w:rPr>
          <w:sz w:val="25"/>
        </w:rPr>
        <w:t>the</w:t>
      </w:r>
      <w:r>
        <w:rPr>
          <w:spacing w:val="-14"/>
          <w:sz w:val="25"/>
        </w:rPr>
        <w:t> </w:t>
      </w:r>
      <w:r>
        <w:rPr>
          <w:sz w:val="25"/>
        </w:rPr>
        <w:t>Nigerian</w:t>
      </w:r>
      <w:r>
        <w:rPr>
          <w:spacing w:val="-75"/>
          <w:sz w:val="25"/>
        </w:rPr>
        <w:t> </w:t>
      </w:r>
      <w:r>
        <w:rPr>
          <w:sz w:val="25"/>
        </w:rPr>
        <w:t>Coastal</w:t>
      </w:r>
      <w:r>
        <w:rPr>
          <w:spacing w:val="-3"/>
          <w:sz w:val="25"/>
        </w:rPr>
        <w:t> </w:t>
      </w:r>
      <w:r>
        <w:rPr>
          <w:sz w:val="25"/>
        </w:rPr>
        <w:t>Areas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ISPRS</w:t>
      </w:r>
      <w:r>
        <w:rPr>
          <w:spacing w:val="73"/>
          <w:sz w:val="24"/>
        </w:rPr>
        <w:t> </w:t>
      </w:r>
      <w:r>
        <w:rPr>
          <w:sz w:val="24"/>
        </w:rPr>
        <w:t>Congress,</w:t>
      </w:r>
      <w:r>
        <w:rPr>
          <w:spacing w:val="-2"/>
          <w:sz w:val="24"/>
        </w:rPr>
        <w:t> </w:t>
      </w:r>
      <w:r>
        <w:rPr>
          <w:sz w:val="24"/>
        </w:rPr>
        <w:t>Istanbul,</w:t>
      </w:r>
      <w:r>
        <w:rPr>
          <w:spacing w:val="-3"/>
          <w:sz w:val="24"/>
        </w:rPr>
        <w:t> </w:t>
      </w:r>
      <w:r>
        <w:rPr>
          <w:sz w:val="24"/>
        </w:rPr>
        <w:t>Turkey.</w:t>
      </w:r>
    </w:p>
    <w:p>
      <w:pPr>
        <w:spacing w:line="465" w:lineRule="auto" w:before="251"/>
        <w:ind w:left="1918" w:right="575" w:hanging="720"/>
        <w:jc w:val="both"/>
        <w:rPr>
          <w:sz w:val="24"/>
        </w:rPr>
      </w:pPr>
      <w:r>
        <w:rPr>
          <w:sz w:val="24"/>
        </w:rPr>
        <w:t>Balternas, P. and Vaisis, V., (2005).Experimental Investigation of Thermal Modification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Sorption</w:t>
      </w:r>
      <w:r>
        <w:rPr>
          <w:spacing w:val="1"/>
          <w:sz w:val="24"/>
        </w:rPr>
        <w:t> </w:t>
      </w:r>
      <w:r>
        <w:rPr>
          <w:sz w:val="24"/>
        </w:rPr>
        <w:t>Qualities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Biosorbents.</w:t>
      </w:r>
      <w:r>
        <w:rPr>
          <w:spacing w:val="1"/>
          <w:sz w:val="24"/>
        </w:rPr>
        <w:t> </w:t>
      </w:r>
      <w:r>
        <w:rPr>
          <w:sz w:val="25"/>
        </w:rPr>
        <w:t>Environmental</w:t>
      </w:r>
      <w:r>
        <w:rPr>
          <w:spacing w:val="1"/>
          <w:sz w:val="25"/>
        </w:rPr>
        <w:t> </w:t>
      </w:r>
      <w:r>
        <w:rPr>
          <w:sz w:val="25"/>
        </w:rPr>
        <w:t>Engineering</w:t>
      </w:r>
      <w:r>
        <w:rPr>
          <w:spacing w:val="1"/>
          <w:sz w:val="25"/>
        </w:rPr>
        <w:t> </w:t>
      </w:r>
      <w:r>
        <w:rPr>
          <w:sz w:val="25"/>
        </w:rPr>
        <w:t>Landscape</w:t>
      </w:r>
      <w:r>
        <w:rPr>
          <w:spacing w:val="-5"/>
          <w:sz w:val="25"/>
        </w:rPr>
        <w:t> </w:t>
      </w:r>
      <w:r>
        <w:rPr>
          <w:sz w:val="25"/>
        </w:rPr>
        <w:t>Management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13(1):</w:t>
      </w:r>
      <w:r>
        <w:rPr>
          <w:spacing w:val="-3"/>
          <w:sz w:val="24"/>
        </w:rPr>
        <w:t> </w:t>
      </w:r>
      <w:r>
        <w:rPr>
          <w:sz w:val="24"/>
        </w:rPr>
        <w:t>3-8.</w:t>
      </w:r>
    </w:p>
    <w:p>
      <w:pPr>
        <w:pStyle w:val="BodyText"/>
        <w:spacing w:line="470" w:lineRule="auto" w:before="125"/>
        <w:ind w:left="1630" w:right="578" w:hanging="432"/>
        <w:jc w:val="both"/>
      </w:pPr>
      <w:r>
        <w:rPr/>
        <w:t>Banerjee, S.S., Joshi, M.V. and Jayaram, R.V., (2006). Treatment of oil spills using organo-</w:t>
      </w:r>
      <w:r>
        <w:rPr>
          <w:spacing w:val="1"/>
        </w:rPr>
        <w:t> </w:t>
      </w:r>
      <w:r>
        <w:rPr/>
        <w:t>fly</w:t>
      </w:r>
      <w:r>
        <w:rPr>
          <w:spacing w:val="-1"/>
        </w:rPr>
        <w:t> </w:t>
      </w:r>
      <w:r>
        <w:rPr/>
        <w:t>ash.</w:t>
      </w:r>
      <w:r>
        <w:rPr>
          <w:spacing w:val="-2"/>
        </w:rPr>
        <w:t> </w:t>
      </w:r>
      <w:r>
        <w:rPr>
          <w:sz w:val="25"/>
        </w:rPr>
        <w:t>Desalination,</w:t>
      </w:r>
      <w:r>
        <w:rPr>
          <w:spacing w:val="-6"/>
          <w:sz w:val="25"/>
        </w:rPr>
        <w:t> </w:t>
      </w:r>
      <w:r>
        <w:rPr/>
        <w:t>195:32-39</w:t>
      </w:r>
    </w:p>
    <w:p>
      <w:pPr>
        <w:spacing w:after="0" w:line="47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spacing w:line="470" w:lineRule="auto" w:before="75"/>
        <w:ind w:left="1918" w:right="577" w:hanging="720"/>
        <w:jc w:val="both"/>
        <w:rPr>
          <w:sz w:val="24"/>
        </w:rPr>
      </w:pPr>
      <w:r>
        <w:rPr>
          <w:sz w:val="24"/>
        </w:rPr>
        <w:t>Bayat, A., Aghamiri, S.F., Moheb, A. and Vakili-Nezhaad, G.R., (2005).Oil spill cleanup from</w:t>
      </w:r>
      <w:r>
        <w:rPr>
          <w:spacing w:val="-72"/>
          <w:sz w:val="24"/>
        </w:rPr>
        <w:t> </w:t>
      </w:r>
      <w:r>
        <w:rPr>
          <w:sz w:val="24"/>
        </w:rPr>
        <w:t>seawater by sorbent materials.</w:t>
      </w:r>
      <w:r>
        <w:rPr>
          <w:sz w:val="25"/>
        </w:rPr>
        <w:t>Journal of Chemical Engineering Technology, </w:t>
      </w:r>
      <w:r>
        <w:rPr>
          <w:sz w:val="24"/>
        </w:rPr>
        <w:t>28:</w:t>
      </w:r>
      <w:r>
        <w:rPr>
          <w:spacing w:val="1"/>
          <w:sz w:val="24"/>
        </w:rPr>
        <w:t> </w:t>
      </w:r>
      <w:r>
        <w:rPr>
          <w:sz w:val="24"/>
        </w:rPr>
        <w:t>1525-1528.</w:t>
      </w:r>
    </w:p>
    <w:p>
      <w:pPr>
        <w:pStyle w:val="BodyText"/>
        <w:spacing w:before="12"/>
        <w:rPr>
          <w:sz w:val="20"/>
        </w:rPr>
      </w:pPr>
    </w:p>
    <w:p>
      <w:pPr>
        <w:pStyle w:val="BodyText"/>
        <w:spacing w:line="465" w:lineRule="auto"/>
        <w:ind w:left="1918" w:right="579" w:hanging="720"/>
        <w:jc w:val="both"/>
      </w:pPr>
      <w:r>
        <w:rPr/>
        <w:t>Bodîrlãu, R. and Teacã, C.A., (2009). Fourier Transform Infrared Spectroscopy and thermal</w:t>
      </w:r>
      <w:r>
        <w:rPr>
          <w:spacing w:val="-72"/>
        </w:rPr>
        <w:t> </w:t>
      </w:r>
      <w:r>
        <w:rPr/>
        <w:t>analysis of lignocellulose fillers treated with organic anhydrides. </w:t>
      </w:r>
      <w:r>
        <w:rPr>
          <w:sz w:val="25"/>
        </w:rPr>
        <w:t>Romanian Journal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-5"/>
          <w:sz w:val="25"/>
        </w:rPr>
        <w:t> </w:t>
      </w:r>
      <w:r>
        <w:rPr>
          <w:sz w:val="25"/>
        </w:rPr>
        <w:t>Physics</w:t>
      </w:r>
      <w:r>
        <w:rPr/>
        <w:t>,</w:t>
      </w:r>
      <w:r>
        <w:rPr>
          <w:spacing w:val="-2"/>
        </w:rPr>
        <w:t> </w:t>
      </w:r>
      <w:r>
        <w:rPr/>
        <w:t>Bucharest,</w:t>
      </w:r>
      <w:r>
        <w:rPr>
          <w:spacing w:val="-2"/>
        </w:rPr>
        <w:t> </w:t>
      </w:r>
      <w:r>
        <w:rPr/>
        <w:t>54(1-2):</w:t>
      </w:r>
      <w:r>
        <w:rPr>
          <w:spacing w:val="-3"/>
        </w:rPr>
        <w:t> </w:t>
      </w:r>
      <w:r>
        <w:rPr/>
        <w:t>93-104.</w:t>
      </w:r>
    </w:p>
    <w:p>
      <w:pPr>
        <w:pStyle w:val="BodyText"/>
        <w:spacing w:line="470" w:lineRule="auto" w:before="245"/>
        <w:ind w:left="1918" w:right="573" w:hanging="720"/>
        <w:jc w:val="both"/>
      </w:pPr>
      <w:r>
        <w:rPr/>
        <w:t>Bolanle, K.S. and Alhassan, S., (2012). Bioethanol potentials of corn cob hydrolysed using</w:t>
      </w:r>
      <w:r>
        <w:rPr>
          <w:spacing w:val="1"/>
        </w:rPr>
        <w:t> </w:t>
      </w:r>
      <w:r>
        <w:rPr/>
        <w:t>celluloses of aspergillus niger and penicillum decumbens </w:t>
      </w:r>
      <w:r>
        <w:rPr>
          <w:sz w:val="25"/>
        </w:rPr>
        <w:t>EXCLI Journals, </w:t>
      </w:r>
      <w:r>
        <w:rPr/>
        <w:t>11:468-</w:t>
      </w:r>
      <w:r>
        <w:rPr>
          <w:spacing w:val="1"/>
        </w:rPr>
        <w:t> </w:t>
      </w:r>
      <w:r>
        <w:rPr/>
        <w:t>479.</w:t>
      </w:r>
    </w:p>
    <w:p>
      <w:pPr>
        <w:pStyle w:val="BodyText"/>
        <w:spacing w:line="480" w:lineRule="auto" w:before="11"/>
        <w:ind w:left="1918" w:right="583" w:hanging="720"/>
        <w:jc w:val="both"/>
      </w:pPr>
      <w:r>
        <w:rPr/>
        <w:t>Breitenbeck, G.A., Grace, B., Holiday, M. and Assoc. (1997). Louisiana applied oil spill</w:t>
      </w:r>
      <w:r>
        <w:rPr>
          <w:spacing w:val="1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program,</w:t>
      </w:r>
      <w:r>
        <w:rPr>
          <w:spacing w:val="-3"/>
        </w:rPr>
        <w:t> </w:t>
      </w:r>
      <w:r>
        <w:rPr/>
        <w:t>OSTRADP</w:t>
      </w:r>
      <w:r>
        <w:rPr>
          <w:spacing w:val="-1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Report</w:t>
      </w:r>
      <w:r>
        <w:rPr>
          <w:spacing w:val="1"/>
        </w:rPr>
        <w:t> </w:t>
      </w:r>
      <w:r>
        <w:rPr/>
        <w:t>series</w:t>
      </w:r>
      <w:r>
        <w:rPr>
          <w:spacing w:val="-1"/>
        </w:rPr>
        <w:t> </w:t>
      </w:r>
      <w:r>
        <w:rPr/>
        <w:t>96-001.</w:t>
      </w:r>
    </w:p>
    <w:p>
      <w:pPr>
        <w:pStyle w:val="BodyText"/>
        <w:spacing w:before="1"/>
        <w:ind w:left="1198"/>
        <w:jc w:val="both"/>
      </w:pPr>
      <w:r>
        <w:rPr/>
        <w:t>Brody,</w:t>
      </w:r>
      <w:r>
        <w:rPr>
          <w:spacing w:val="-4"/>
        </w:rPr>
        <w:t> </w:t>
      </w:r>
      <w:r>
        <w:rPr/>
        <w:t>T.,</w:t>
      </w:r>
      <w:r>
        <w:rPr>
          <w:spacing w:val="-4"/>
        </w:rPr>
        <w:t> </w:t>
      </w:r>
      <w:r>
        <w:rPr/>
        <w:t>(1994).Nutritional</w:t>
      </w:r>
      <w:r>
        <w:rPr>
          <w:spacing w:val="-3"/>
        </w:rPr>
        <w:t> </w:t>
      </w:r>
      <w:r>
        <w:rPr/>
        <w:t>biochemistry,</w:t>
      </w:r>
      <w:r>
        <w:rPr>
          <w:spacing w:val="-4"/>
        </w:rPr>
        <w:t> </w:t>
      </w:r>
      <w:r>
        <w:rPr/>
        <w:t>New</w:t>
      </w:r>
      <w:r>
        <w:rPr>
          <w:spacing w:val="-4"/>
        </w:rPr>
        <w:t> </w:t>
      </w:r>
      <w:r>
        <w:rPr/>
        <w:t>York</w:t>
      </w:r>
      <w:r>
        <w:rPr>
          <w:spacing w:val="-4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press, pp</w:t>
      </w:r>
      <w:r>
        <w:rPr>
          <w:spacing w:val="-5"/>
        </w:rPr>
        <w:t> </w:t>
      </w:r>
      <w:r>
        <w:rPr/>
        <w:t>450-459.</w:t>
      </w:r>
    </w:p>
    <w:p>
      <w:pPr>
        <w:pStyle w:val="BodyText"/>
        <w:rPr>
          <w:sz w:val="28"/>
        </w:rPr>
      </w:pPr>
    </w:p>
    <w:p>
      <w:pPr>
        <w:pStyle w:val="BodyText"/>
        <w:spacing w:line="460" w:lineRule="auto" w:before="180"/>
        <w:ind w:left="1918" w:right="575" w:hanging="720"/>
        <w:jc w:val="both"/>
      </w:pPr>
      <w:r>
        <w:rPr/>
        <w:t>Buist, I., McCourt, J., Potter, S., Ross, S. and Trudel, K., (1999).In situ burning.</w:t>
      </w:r>
      <w:r>
        <w:rPr>
          <w:sz w:val="25"/>
        </w:rPr>
        <w:t>Pure</w:t>
      </w:r>
      <w:r>
        <w:rPr>
          <w:spacing w:val="1"/>
          <w:sz w:val="25"/>
        </w:rPr>
        <w:t> </w:t>
      </w:r>
      <w:r>
        <w:rPr>
          <w:sz w:val="25"/>
        </w:rPr>
        <w:t>Applied</w:t>
      </w:r>
      <w:r>
        <w:rPr>
          <w:spacing w:val="-6"/>
          <w:sz w:val="25"/>
        </w:rPr>
        <w:t> </w:t>
      </w:r>
      <w:r>
        <w:rPr>
          <w:sz w:val="25"/>
        </w:rPr>
        <w:t>Chemistry</w:t>
      </w:r>
      <w:r>
        <w:rPr/>
        <w:t>,</w:t>
      </w:r>
      <w:r>
        <w:rPr>
          <w:spacing w:val="-2"/>
        </w:rPr>
        <w:t> </w:t>
      </w:r>
      <w:r>
        <w:rPr/>
        <w:t>71(1):</w:t>
      </w:r>
      <w:r>
        <w:rPr>
          <w:spacing w:val="-3"/>
        </w:rPr>
        <w:t> </w:t>
      </w:r>
      <w:r>
        <w:rPr/>
        <w:t>43-65.</w:t>
      </w:r>
    </w:p>
    <w:p>
      <w:pPr>
        <w:spacing w:line="472" w:lineRule="auto" w:before="11"/>
        <w:ind w:left="1918" w:right="578" w:hanging="720"/>
        <w:jc w:val="both"/>
        <w:rPr>
          <w:sz w:val="24"/>
        </w:rPr>
      </w:pPr>
      <w:r>
        <w:rPr>
          <w:sz w:val="24"/>
        </w:rPr>
        <w:t>Bukowski,</w:t>
      </w:r>
      <w:r>
        <w:rPr>
          <w:spacing w:val="1"/>
          <w:sz w:val="24"/>
        </w:rPr>
        <w:t> </w:t>
      </w:r>
      <w:r>
        <w:rPr>
          <w:sz w:val="24"/>
        </w:rPr>
        <w:t>J.A.,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epidemiological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relating</w:t>
      </w:r>
      <w:r>
        <w:rPr>
          <w:spacing w:val="1"/>
          <w:sz w:val="24"/>
        </w:rPr>
        <w:t> </w:t>
      </w:r>
      <w:r>
        <w:rPr>
          <w:sz w:val="24"/>
        </w:rPr>
        <w:t>toluene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reproductive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outcomes.</w:t>
      </w:r>
      <w:r>
        <w:rPr>
          <w:spacing w:val="-16"/>
          <w:sz w:val="24"/>
        </w:rPr>
        <w:t> </w:t>
      </w:r>
      <w:r>
        <w:rPr>
          <w:sz w:val="25"/>
        </w:rPr>
        <w:t>Regulationand</w:t>
      </w:r>
      <w:r>
        <w:rPr>
          <w:spacing w:val="-19"/>
          <w:sz w:val="25"/>
        </w:rPr>
        <w:t> </w:t>
      </w:r>
      <w:r>
        <w:rPr>
          <w:sz w:val="25"/>
        </w:rPr>
        <w:t>Toxicological</w:t>
      </w:r>
      <w:r>
        <w:rPr>
          <w:spacing w:val="-19"/>
          <w:sz w:val="25"/>
        </w:rPr>
        <w:t> </w:t>
      </w:r>
      <w:r>
        <w:rPr>
          <w:sz w:val="25"/>
        </w:rPr>
        <w:t>pharmacology</w:t>
      </w:r>
      <w:r>
        <w:rPr>
          <w:sz w:val="24"/>
        </w:rPr>
        <w:t>.</w:t>
      </w:r>
      <w:r>
        <w:rPr>
          <w:spacing w:val="-16"/>
          <w:sz w:val="24"/>
        </w:rPr>
        <w:t> </w:t>
      </w:r>
      <w:r>
        <w:rPr>
          <w:sz w:val="24"/>
        </w:rPr>
        <w:t>33:</w:t>
      </w:r>
      <w:r>
        <w:rPr>
          <w:spacing w:val="-16"/>
          <w:sz w:val="24"/>
        </w:rPr>
        <w:t> </w:t>
      </w:r>
      <w:r>
        <w:rPr>
          <w:sz w:val="24"/>
        </w:rPr>
        <w:t>147-156.</w:t>
      </w:r>
    </w:p>
    <w:p>
      <w:pPr>
        <w:pStyle w:val="BodyText"/>
        <w:spacing w:line="470" w:lineRule="auto"/>
        <w:ind w:left="1918" w:right="579" w:hanging="720"/>
        <w:jc w:val="both"/>
      </w:pPr>
      <w:r>
        <w:rPr/>
        <w:t>Bulut,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Ozacar,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Sengil,</w:t>
      </w:r>
      <w:r>
        <w:rPr>
          <w:spacing w:val="1"/>
        </w:rPr>
        <w:t> </w:t>
      </w:r>
      <w:r>
        <w:rPr/>
        <w:t>I.A.,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malachite</w:t>
      </w:r>
      <w:r>
        <w:rPr>
          <w:spacing w:val="1"/>
        </w:rPr>
        <w:t> </w:t>
      </w:r>
      <w:r>
        <w:rPr/>
        <w:t>green</w:t>
      </w:r>
      <w:r>
        <w:rPr>
          <w:spacing w:val="75"/>
        </w:rPr>
        <w:t> </w:t>
      </w:r>
      <w:r>
        <w:rPr/>
        <w:t>onto</w:t>
      </w:r>
      <w:r>
        <w:rPr>
          <w:spacing w:val="1"/>
        </w:rPr>
        <w:t> </w:t>
      </w:r>
      <w:r>
        <w:rPr/>
        <w:t>bentonite: equilibrium and kinetic studies and process design. </w:t>
      </w:r>
      <w:r>
        <w:rPr>
          <w:sz w:val="25"/>
        </w:rPr>
        <w:t>Micro.Meso. Material</w:t>
      </w:r>
      <w:r>
        <w:rPr>
          <w:spacing w:val="1"/>
          <w:sz w:val="25"/>
        </w:rPr>
        <w:t> </w:t>
      </w:r>
      <w:r>
        <w:rPr/>
        <w:t>115:234-246.</w:t>
      </w:r>
    </w:p>
    <w:p>
      <w:pPr>
        <w:spacing w:line="465" w:lineRule="auto" w:before="235"/>
        <w:ind w:left="1918" w:right="579" w:hanging="720"/>
        <w:jc w:val="both"/>
        <w:rPr>
          <w:sz w:val="24"/>
        </w:rPr>
      </w:pPr>
      <w:r>
        <w:rPr>
          <w:sz w:val="24"/>
        </w:rPr>
        <w:t>Burgeir, J., Tseng, F., Jessup, D. and Clapp, R., (2002).</w:t>
      </w:r>
      <w:r>
        <w:rPr>
          <w:sz w:val="25"/>
        </w:rPr>
        <w:t>Oil: A Life Cycle Analysis of Its</w:t>
      </w:r>
      <w:r>
        <w:rPr>
          <w:spacing w:val="1"/>
          <w:sz w:val="25"/>
        </w:rPr>
        <w:t> </w:t>
      </w:r>
      <w:r>
        <w:rPr>
          <w:sz w:val="25"/>
        </w:rPr>
        <w:t>Health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Environmental</w:t>
      </w:r>
      <w:r>
        <w:rPr>
          <w:spacing w:val="1"/>
          <w:sz w:val="25"/>
        </w:rPr>
        <w:t> </w:t>
      </w:r>
      <w:r>
        <w:rPr>
          <w:sz w:val="25"/>
        </w:rPr>
        <w:t>Impacts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Center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Global</w:t>
      </w:r>
      <w:r>
        <w:rPr>
          <w:spacing w:val="1"/>
          <w:sz w:val="24"/>
        </w:rPr>
        <w:t> </w:t>
      </w:r>
      <w:r>
        <w:rPr>
          <w:sz w:val="24"/>
        </w:rPr>
        <w:t>Environment.Havard</w:t>
      </w:r>
      <w:r>
        <w:rPr>
          <w:spacing w:val="-3"/>
          <w:sz w:val="24"/>
        </w:rPr>
        <w:t> </w:t>
      </w:r>
      <w:r>
        <w:rPr>
          <w:sz w:val="24"/>
        </w:rPr>
        <w:t>medical School.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1-79.</w:t>
      </w:r>
    </w:p>
    <w:p>
      <w:pPr>
        <w:spacing w:after="0" w:line="465" w:lineRule="auto"/>
        <w:jc w:val="both"/>
        <w:rPr>
          <w:sz w:val="24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75" w:lineRule="auto" w:before="75"/>
        <w:ind w:left="1918" w:right="578" w:hanging="720"/>
        <w:jc w:val="both"/>
      </w:pPr>
      <w:r>
        <w:rPr/>
        <w:t>Burns, K.A., Codi, S., Pratt, C., Swannell, R.J.P. and Duke, N.C., (1999).Assessing the oil</w:t>
      </w:r>
      <w:r>
        <w:rPr>
          <w:spacing w:val="1"/>
        </w:rPr>
        <w:t> </w:t>
      </w:r>
      <w:r>
        <w:rPr/>
        <w:t>degrading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endogenous</w:t>
      </w:r>
      <w:r>
        <w:rPr>
          <w:spacing w:val="1"/>
        </w:rPr>
        <w:t> </w:t>
      </w:r>
      <w:r>
        <w:rPr/>
        <w:t>micro-organisms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wetlands.</w:t>
      </w:r>
      <w:r>
        <w:rPr>
          <w:sz w:val="25"/>
        </w:rPr>
        <w:t>Mangroves</w:t>
      </w:r>
      <w:r>
        <w:rPr>
          <w:spacing w:val="-5"/>
          <w:sz w:val="25"/>
        </w:rPr>
        <w:t> </w:t>
      </w:r>
      <w:r>
        <w:rPr>
          <w:sz w:val="25"/>
        </w:rPr>
        <w:t>and</w:t>
      </w:r>
      <w:r>
        <w:rPr>
          <w:spacing w:val="-6"/>
          <w:sz w:val="25"/>
        </w:rPr>
        <w:t> </w:t>
      </w:r>
      <w:r>
        <w:rPr>
          <w:sz w:val="25"/>
        </w:rPr>
        <w:t>Salt</w:t>
      </w:r>
      <w:r>
        <w:rPr>
          <w:spacing w:val="-8"/>
          <w:sz w:val="25"/>
        </w:rPr>
        <w:t> </w:t>
      </w:r>
      <w:r>
        <w:rPr>
          <w:sz w:val="25"/>
        </w:rPr>
        <w:t>Marshes,</w:t>
      </w:r>
      <w:r>
        <w:rPr>
          <w:spacing w:val="-6"/>
          <w:sz w:val="25"/>
        </w:rPr>
        <w:t> </w:t>
      </w:r>
      <w:r>
        <w:rPr/>
        <w:t>3:</w:t>
      </w:r>
      <w:r>
        <w:rPr>
          <w:spacing w:val="-3"/>
        </w:rPr>
        <w:t> </w:t>
      </w:r>
      <w:r>
        <w:rPr/>
        <w:t>67-83.</w:t>
      </w:r>
    </w:p>
    <w:p>
      <w:pPr>
        <w:spacing w:line="468" w:lineRule="auto" w:before="226"/>
        <w:ind w:left="1918" w:right="573" w:hanging="720"/>
        <w:jc w:val="both"/>
        <w:rPr>
          <w:sz w:val="24"/>
        </w:rPr>
      </w:pPr>
      <w:r>
        <w:rPr>
          <w:sz w:val="24"/>
        </w:rPr>
        <w:t>Carr, R.L. Jr., (1965). Evaluating flow properties of solids, </w:t>
      </w:r>
      <w:r>
        <w:rPr>
          <w:sz w:val="25"/>
        </w:rPr>
        <w:t>Chemical Engineering, </w:t>
      </w:r>
      <w:r>
        <w:rPr>
          <w:sz w:val="24"/>
        </w:rPr>
        <w:t>72: 163-</w:t>
      </w:r>
      <w:r>
        <w:rPr>
          <w:spacing w:val="1"/>
          <w:sz w:val="24"/>
        </w:rPr>
        <w:t> </w:t>
      </w:r>
      <w:r>
        <w:rPr>
          <w:sz w:val="24"/>
        </w:rPr>
        <w:t>168.</w:t>
      </w:r>
    </w:p>
    <w:p>
      <w:pPr>
        <w:pStyle w:val="BodyText"/>
        <w:spacing w:before="11"/>
        <w:rPr>
          <w:sz w:val="20"/>
        </w:rPr>
      </w:pPr>
    </w:p>
    <w:p>
      <w:pPr>
        <w:spacing w:line="472" w:lineRule="auto" w:before="1"/>
        <w:ind w:left="1918" w:right="579" w:hanging="720"/>
        <w:jc w:val="both"/>
        <w:rPr>
          <w:sz w:val="24"/>
        </w:rPr>
      </w:pPr>
      <w:r>
        <w:rPr>
          <w:sz w:val="24"/>
        </w:rPr>
        <w:t>Cetin, N.S. and Ozmen, N., (2010). Acetylation of wood composites and fourier transform</w:t>
      </w:r>
      <w:r>
        <w:rPr>
          <w:spacing w:val="1"/>
          <w:sz w:val="24"/>
        </w:rPr>
        <w:t> </w:t>
      </w:r>
      <w:r>
        <w:rPr>
          <w:sz w:val="24"/>
        </w:rPr>
        <w:t>infrared</w:t>
      </w:r>
      <w:r>
        <w:rPr>
          <w:spacing w:val="-10"/>
          <w:sz w:val="24"/>
        </w:rPr>
        <w:t> </w:t>
      </w:r>
      <w:r>
        <w:rPr>
          <w:sz w:val="24"/>
        </w:rPr>
        <w:t>spectroscopic</w:t>
      </w:r>
      <w:r>
        <w:rPr>
          <w:spacing w:val="-6"/>
          <w:sz w:val="24"/>
        </w:rPr>
        <w:t> </w:t>
      </w:r>
      <w:r>
        <w:rPr>
          <w:sz w:val="24"/>
        </w:rPr>
        <w:t>studies,</w:t>
      </w:r>
      <w:r>
        <w:rPr>
          <w:spacing w:val="-7"/>
          <w:sz w:val="24"/>
        </w:rPr>
        <w:t> </w:t>
      </w:r>
      <w:r>
        <w:rPr>
          <w:sz w:val="25"/>
        </w:rPr>
        <w:t>African</w:t>
      </w:r>
      <w:r>
        <w:rPr>
          <w:spacing w:val="-11"/>
          <w:sz w:val="25"/>
        </w:rPr>
        <w:t> </w:t>
      </w:r>
      <w:r>
        <w:rPr>
          <w:sz w:val="25"/>
        </w:rPr>
        <w:t>Journal</w:t>
      </w:r>
      <w:r>
        <w:rPr>
          <w:spacing w:val="-11"/>
          <w:sz w:val="25"/>
        </w:rPr>
        <w:t> </w:t>
      </w:r>
      <w:r>
        <w:rPr>
          <w:sz w:val="25"/>
        </w:rPr>
        <w:t>of</w:t>
      </w:r>
      <w:r>
        <w:rPr>
          <w:spacing w:val="-11"/>
          <w:sz w:val="25"/>
        </w:rPr>
        <w:t> </w:t>
      </w:r>
      <w:r>
        <w:rPr>
          <w:sz w:val="25"/>
        </w:rPr>
        <w:t>Biotechnology,</w:t>
      </w:r>
      <w:r>
        <w:rPr>
          <w:spacing w:val="-12"/>
          <w:sz w:val="25"/>
        </w:rPr>
        <w:t> </w:t>
      </w:r>
      <w:r>
        <w:rPr>
          <w:sz w:val="24"/>
        </w:rPr>
        <w:t>40:31-40.</w:t>
      </w:r>
    </w:p>
    <w:p>
      <w:pPr>
        <w:pStyle w:val="BodyText"/>
        <w:spacing w:line="472" w:lineRule="auto" w:before="234"/>
        <w:ind w:left="1918" w:right="581" w:hanging="720"/>
        <w:jc w:val="both"/>
      </w:pPr>
      <w:r>
        <w:rPr/>
        <w:t>Chen Y. and Cheng X., (2008). Preparation and characterization analysis of rice husk high</w:t>
      </w:r>
      <w:r>
        <w:rPr>
          <w:spacing w:val="1"/>
        </w:rPr>
        <w:t> </w:t>
      </w:r>
      <w:r>
        <w:rPr/>
        <w:t>boiling</w:t>
      </w:r>
      <w:r>
        <w:rPr>
          <w:spacing w:val="-6"/>
        </w:rPr>
        <w:t> </w:t>
      </w:r>
      <w:r>
        <w:rPr/>
        <w:t>solvent</w:t>
      </w:r>
      <w:r>
        <w:rPr>
          <w:spacing w:val="-5"/>
        </w:rPr>
        <w:t> </w:t>
      </w:r>
      <w:r>
        <w:rPr/>
        <w:t>lignin.</w:t>
      </w:r>
      <w:r>
        <w:rPr>
          <w:spacing w:val="-5"/>
        </w:rPr>
        <w:t> </w:t>
      </w:r>
      <w:r>
        <w:rPr>
          <w:sz w:val="25"/>
        </w:rPr>
        <w:t>Journal</w:t>
      </w:r>
      <w:r>
        <w:rPr>
          <w:spacing w:val="-7"/>
          <w:sz w:val="25"/>
        </w:rPr>
        <w:t> </w:t>
      </w:r>
      <w:r>
        <w:rPr>
          <w:sz w:val="25"/>
        </w:rPr>
        <w:t>of</w:t>
      </w:r>
      <w:r>
        <w:rPr>
          <w:spacing w:val="-8"/>
          <w:sz w:val="25"/>
        </w:rPr>
        <w:t> </w:t>
      </w:r>
      <w:r>
        <w:rPr>
          <w:sz w:val="25"/>
        </w:rPr>
        <w:t>Forestry</w:t>
      </w:r>
      <w:r>
        <w:rPr>
          <w:spacing w:val="-8"/>
          <w:sz w:val="25"/>
        </w:rPr>
        <w:t> </w:t>
      </w:r>
      <w:r>
        <w:rPr>
          <w:sz w:val="25"/>
        </w:rPr>
        <w:t>Research</w:t>
      </w:r>
      <w:r>
        <w:rPr/>
        <w:t>,</w:t>
      </w:r>
      <w:r>
        <w:rPr>
          <w:spacing w:val="-5"/>
        </w:rPr>
        <w:t> </w:t>
      </w:r>
      <w:r>
        <w:rPr/>
        <w:t>19(2):</w:t>
      </w:r>
      <w:r>
        <w:rPr>
          <w:spacing w:val="-6"/>
        </w:rPr>
        <w:t> </w:t>
      </w:r>
      <w:r>
        <w:rPr/>
        <w:t>159-163.</w:t>
      </w:r>
    </w:p>
    <w:p>
      <w:pPr>
        <w:spacing w:line="460" w:lineRule="auto" w:before="224"/>
        <w:ind w:left="1918" w:right="576" w:hanging="720"/>
        <w:jc w:val="both"/>
        <w:rPr>
          <w:sz w:val="24"/>
        </w:rPr>
      </w:pPr>
      <w:r>
        <w:rPr>
          <w:sz w:val="24"/>
        </w:rPr>
        <w:t>Choi, H.M. and Cloud, R.M., (1992). Natural sorbent in oil spill cleanup.</w:t>
      </w:r>
      <w:r>
        <w:rPr>
          <w:sz w:val="25"/>
        </w:rPr>
        <w:t>Environmental</w:t>
      </w:r>
      <w:r>
        <w:rPr>
          <w:spacing w:val="1"/>
          <w:sz w:val="25"/>
        </w:rPr>
        <w:t> </w:t>
      </w:r>
      <w:r>
        <w:rPr>
          <w:sz w:val="25"/>
        </w:rPr>
        <w:t>Science</w:t>
      </w:r>
      <w:r>
        <w:rPr>
          <w:spacing w:val="-4"/>
          <w:sz w:val="25"/>
        </w:rPr>
        <w:t> </w:t>
      </w:r>
      <w:r>
        <w:rPr>
          <w:sz w:val="25"/>
        </w:rPr>
        <w:t>and</w:t>
      </w:r>
      <w:r>
        <w:rPr>
          <w:spacing w:val="-6"/>
          <w:sz w:val="25"/>
        </w:rPr>
        <w:t> </w:t>
      </w:r>
      <w:r>
        <w:rPr>
          <w:sz w:val="25"/>
        </w:rPr>
        <w:t>Technology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26 (4):</w:t>
      </w:r>
      <w:r>
        <w:rPr>
          <w:spacing w:val="-4"/>
          <w:sz w:val="24"/>
        </w:rPr>
        <w:t> </w:t>
      </w:r>
      <w:r>
        <w:rPr>
          <w:sz w:val="24"/>
        </w:rPr>
        <w:t>772-776.</w:t>
      </w:r>
    </w:p>
    <w:p>
      <w:pPr>
        <w:pStyle w:val="BodyText"/>
        <w:spacing w:line="475" w:lineRule="auto" w:before="251"/>
        <w:ind w:left="1918" w:right="579" w:hanging="720"/>
        <w:jc w:val="both"/>
      </w:pPr>
      <w:r>
        <w:rPr/>
        <w:t>Choi, H.M. and Moreau, J.P., (1993). Oil sorption behavior of various sorbents studied by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scanning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microscopy.</w:t>
      </w:r>
      <w:r>
        <w:rPr>
          <w:sz w:val="25"/>
        </w:rPr>
        <w:t>Journal</w:t>
      </w:r>
      <w:r>
        <w:rPr>
          <w:spacing w:val="-12"/>
          <w:sz w:val="25"/>
        </w:rPr>
        <w:t> </w:t>
      </w:r>
      <w:r>
        <w:rPr>
          <w:sz w:val="25"/>
        </w:rPr>
        <w:t>of</w:t>
      </w:r>
      <w:r>
        <w:rPr>
          <w:spacing w:val="-11"/>
          <w:sz w:val="25"/>
        </w:rPr>
        <w:t> </w:t>
      </w:r>
      <w:r>
        <w:rPr>
          <w:sz w:val="25"/>
        </w:rPr>
        <w:t>Microscopic</w:t>
      </w:r>
      <w:r>
        <w:rPr>
          <w:spacing w:val="-13"/>
          <w:sz w:val="25"/>
        </w:rPr>
        <w:t> </w:t>
      </w:r>
      <w:r>
        <w:rPr>
          <w:sz w:val="25"/>
        </w:rPr>
        <w:t>Research</w:t>
      </w:r>
      <w:r>
        <w:rPr>
          <w:spacing w:val="-10"/>
          <w:sz w:val="25"/>
        </w:rPr>
        <w:t> </w:t>
      </w:r>
      <w:r>
        <w:rPr>
          <w:sz w:val="25"/>
        </w:rPr>
        <w:t>Tech</w:t>
      </w:r>
      <w:r>
        <w:rPr/>
        <w:t>nology,</w:t>
      </w:r>
      <w:r>
        <w:rPr>
          <w:spacing w:val="-10"/>
        </w:rPr>
        <w:t> </w:t>
      </w:r>
      <w:r>
        <w:rPr/>
        <w:t>25(5-6):</w:t>
      </w:r>
      <w:r>
        <w:rPr>
          <w:spacing w:val="-10"/>
        </w:rPr>
        <w:t> </w:t>
      </w:r>
      <w:r>
        <w:rPr/>
        <w:t>447-455.</w:t>
      </w:r>
    </w:p>
    <w:p>
      <w:pPr>
        <w:pStyle w:val="BodyText"/>
        <w:spacing w:line="472" w:lineRule="auto" w:before="233"/>
        <w:ind w:left="1918" w:right="582" w:hanging="720"/>
        <w:jc w:val="both"/>
      </w:pPr>
      <w:r>
        <w:rPr/>
        <w:t>Choi, H.M., Kwon, H. and Moreau, J., (1993). Cotton nonwovens as oil spill cleanup</w:t>
      </w:r>
      <w:r>
        <w:rPr>
          <w:spacing w:val="1"/>
        </w:rPr>
        <w:t> </w:t>
      </w:r>
      <w:r>
        <w:rPr/>
        <w:t>sorbents</w:t>
      </w:r>
      <w:r>
        <w:rPr>
          <w:spacing w:val="-4"/>
        </w:rPr>
        <w:t> </w:t>
      </w:r>
      <w:r>
        <w:rPr>
          <w:sz w:val="25"/>
        </w:rPr>
        <w:t>Textile</w:t>
      </w:r>
      <w:r>
        <w:rPr>
          <w:spacing w:val="-4"/>
          <w:sz w:val="25"/>
        </w:rPr>
        <w:t> </w:t>
      </w:r>
      <w:r>
        <w:rPr>
          <w:sz w:val="25"/>
        </w:rPr>
        <w:t>Research</w:t>
      </w:r>
      <w:r>
        <w:rPr>
          <w:spacing w:val="-6"/>
          <w:sz w:val="25"/>
        </w:rPr>
        <w:t> </w:t>
      </w:r>
      <w:r>
        <w:rPr>
          <w:sz w:val="25"/>
        </w:rPr>
        <w:t>Journal</w:t>
      </w:r>
      <w:r>
        <w:rPr/>
        <w:t>.,</w:t>
      </w:r>
      <w:r>
        <w:rPr>
          <w:spacing w:val="-3"/>
        </w:rPr>
        <w:t> </w:t>
      </w:r>
      <w:r>
        <w:rPr/>
        <w:t>63(4):</w:t>
      </w:r>
      <w:r>
        <w:rPr>
          <w:spacing w:val="-4"/>
        </w:rPr>
        <w:t> </w:t>
      </w:r>
      <w:r>
        <w:rPr/>
        <w:t>211-218.</w:t>
      </w:r>
    </w:p>
    <w:p>
      <w:pPr>
        <w:spacing w:line="470" w:lineRule="auto" w:before="235"/>
        <w:ind w:left="1918" w:right="584" w:hanging="720"/>
        <w:jc w:val="both"/>
        <w:rPr>
          <w:sz w:val="24"/>
        </w:rPr>
      </w:pPr>
      <w:r>
        <w:rPr>
          <w:sz w:val="24"/>
        </w:rPr>
        <w:t>Choi, H.M., (1996). Needle punched cotton nonwovens and other natural fibers as oil</w:t>
      </w:r>
      <w:r>
        <w:rPr>
          <w:spacing w:val="1"/>
          <w:sz w:val="24"/>
        </w:rPr>
        <w:t> </w:t>
      </w:r>
      <w:r>
        <w:rPr>
          <w:sz w:val="24"/>
        </w:rPr>
        <w:t>cleanup</w:t>
      </w:r>
      <w:r>
        <w:rPr>
          <w:spacing w:val="-8"/>
          <w:sz w:val="24"/>
        </w:rPr>
        <w:t> </w:t>
      </w:r>
      <w:r>
        <w:rPr>
          <w:sz w:val="24"/>
        </w:rPr>
        <w:t>sorbents.</w:t>
      </w:r>
      <w:r>
        <w:rPr>
          <w:spacing w:val="-5"/>
          <w:sz w:val="24"/>
        </w:rPr>
        <w:t> </w:t>
      </w:r>
      <w:r>
        <w:rPr>
          <w:sz w:val="25"/>
        </w:rPr>
        <w:t>Environment</w:t>
      </w:r>
      <w:r>
        <w:rPr>
          <w:spacing w:val="-11"/>
          <w:sz w:val="25"/>
        </w:rPr>
        <w:t> </w:t>
      </w:r>
      <w:r>
        <w:rPr>
          <w:sz w:val="25"/>
        </w:rPr>
        <w:t>Science</w:t>
      </w:r>
      <w:r>
        <w:rPr>
          <w:spacing w:val="-8"/>
          <w:sz w:val="25"/>
        </w:rPr>
        <w:t> </w:t>
      </w:r>
      <w:r>
        <w:rPr>
          <w:sz w:val="25"/>
        </w:rPr>
        <w:t>and</w:t>
      </w:r>
      <w:r>
        <w:rPr>
          <w:spacing w:val="-9"/>
          <w:sz w:val="25"/>
        </w:rPr>
        <w:t> </w:t>
      </w:r>
      <w:r>
        <w:rPr>
          <w:sz w:val="25"/>
        </w:rPr>
        <w:t>Health,</w:t>
      </w:r>
      <w:r>
        <w:rPr>
          <w:spacing w:val="-11"/>
          <w:sz w:val="25"/>
        </w:rPr>
        <w:t> </w:t>
      </w:r>
      <w:r>
        <w:rPr>
          <w:sz w:val="24"/>
        </w:rPr>
        <w:t>31(6):</w:t>
      </w:r>
      <w:r>
        <w:rPr>
          <w:spacing w:val="-7"/>
          <w:sz w:val="24"/>
        </w:rPr>
        <w:t> </w:t>
      </w:r>
      <w:r>
        <w:rPr>
          <w:sz w:val="24"/>
        </w:rPr>
        <w:t>1441–1457.</w:t>
      </w:r>
    </w:p>
    <w:p>
      <w:pPr>
        <w:spacing w:line="465" w:lineRule="auto" w:before="230"/>
        <w:ind w:left="1918" w:right="573" w:hanging="720"/>
        <w:jc w:val="both"/>
        <w:rPr>
          <w:sz w:val="24"/>
        </w:rPr>
      </w:pPr>
      <w:r>
        <w:rPr>
          <w:sz w:val="24"/>
        </w:rPr>
        <w:t>Christodoulou, N.C., (2002). </w:t>
      </w:r>
      <w:r>
        <w:rPr>
          <w:sz w:val="25"/>
        </w:rPr>
        <w:t>Porous and Magnetic Inorganic Based Composite Materials</w:t>
      </w:r>
      <w:r>
        <w:rPr>
          <w:spacing w:val="1"/>
          <w:sz w:val="25"/>
        </w:rPr>
        <w:t> </w:t>
      </w:r>
      <w:r>
        <w:rPr>
          <w:sz w:val="25"/>
        </w:rPr>
        <w:t>Used as</w:t>
      </w:r>
      <w:r>
        <w:rPr>
          <w:spacing w:val="1"/>
          <w:sz w:val="25"/>
        </w:rPr>
        <w:t> </w:t>
      </w:r>
      <w:r>
        <w:rPr>
          <w:sz w:val="25"/>
        </w:rPr>
        <w:t>a Sorbent for Cleaning Water and the</w:t>
      </w:r>
      <w:r>
        <w:rPr>
          <w:spacing w:val="1"/>
          <w:sz w:val="25"/>
        </w:rPr>
        <w:t> </w:t>
      </w:r>
      <w:r>
        <w:rPr>
          <w:sz w:val="25"/>
        </w:rPr>
        <w:t>Environment from Oil</w:t>
      </w:r>
      <w:r>
        <w:rPr>
          <w:spacing w:val="1"/>
          <w:sz w:val="25"/>
        </w:rPr>
        <w:t> </w:t>
      </w:r>
      <w:r>
        <w:rPr>
          <w:sz w:val="25"/>
        </w:rPr>
        <w:t>Spill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patent:</w:t>
      </w:r>
      <w:r>
        <w:rPr>
          <w:spacing w:val="-1"/>
          <w:sz w:val="24"/>
        </w:rPr>
        <w:t> </w:t>
      </w:r>
      <w:r>
        <w:rPr>
          <w:sz w:val="24"/>
        </w:rPr>
        <w:t>PCT/CY00/00003.</w:t>
      </w:r>
    </w:p>
    <w:p>
      <w:pPr>
        <w:spacing w:after="0" w:line="465" w:lineRule="auto"/>
        <w:jc w:val="both"/>
        <w:rPr>
          <w:sz w:val="24"/>
        </w:rPr>
        <w:sectPr>
          <w:pgSz w:w="11910" w:h="16840"/>
          <w:pgMar w:header="0" w:footer="987" w:top="1140" w:bottom="1260" w:left="420" w:right="0"/>
        </w:sectPr>
      </w:pPr>
    </w:p>
    <w:p>
      <w:pPr>
        <w:spacing w:line="465" w:lineRule="auto" w:before="75"/>
        <w:ind w:left="1918" w:right="573" w:hanging="720"/>
        <w:jc w:val="both"/>
        <w:rPr>
          <w:sz w:val="25"/>
        </w:rPr>
      </w:pPr>
      <w:r>
        <w:rPr>
          <w:sz w:val="24"/>
        </w:rPr>
        <w:t>Chum,</w:t>
      </w:r>
      <w:r>
        <w:rPr>
          <w:spacing w:val="1"/>
          <w:sz w:val="24"/>
        </w:rPr>
        <w:t> </w:t>
      </w:r>
      <w:r>
        <w:rPr>
          <w:sz w:val="24"/>
        </w:rPr>
        <w:t>H.L.,</w:t>
      </w:r>
      <w:r>
        <w:rPr>
          <w:spacing w:val="1"/>
          <w:sz w:val="24"/>
        </w:rPr>
        <w:t> </w:t>
      </w:r>
      <w:r>
        <w:rPr>
          <w:sz w:val="24"/>
        </w:rPr>
        <w:t>Douglas,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Feinberg,</w:t>
      </w:r>
      <w:r>
        <w:rPr>
          <w:spacing w:val="1"/>
          <w:sz w:val="24"/>
        </w:rPr>
        <w:t> </w:t>
      </w:r>
      <w:r>
        <w:rPr>
          <w:sz w:val="24"/>
        </w:rPr>
        <w:t>D.A.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Schroeder,</w:t>
      </w:r>
      <w:r>
        <w:rPr>
          <w:spacing w:val="1"/>
          <w:sz w:val="24"/>
        </w:rPr>
        <w:t> </w:t>
      </w:r>
      <w:r>
        <w:rPr>
          <w:sz w:val="24"/>
        </w:rPr>
        <w:t>H.A.,(1985),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pretreatments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biomass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enzymatic</w:t>
      </w:r>
      <w:r>
        <w:rPr>
          <w:spacing w:val="1"/>
          <w:sz w:val="24"/>
        </w:rPr>
        <w:t> </w:t>
      </w:r>
      <w:r>
        <w:rPr>
          <w:sz w:val="24"/>
        </w:rPr>
        <w:t>hydrolysis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cellulose,</w:t>
      </w:r>
      <w:r>
        <w:rPr>
          <w:spacing w:val="1"/>
          <w:sz w:val="24"/>
        </w:rPr>
        <w:t> </w:t>
      </w:r>
      <w:r>
        <w:rPr>
          <w:sz w:val="25"/>
        </w:rPr>
        <w:t>Solar</w:t>
      </w:r>
      <w:r>
        <w:rPr>
          <w:spacing w:val="1"/>
          <w:sz w:val="25"/>
        </w:rPr>
        <w:t> </w:t>
      </w:r>
      <w:r>
        <w:rPr>
          <w:sz w:val="25"/>
        </w:rPr>
        <w:t>energy</w:t>
      </w:r>
      <w:r>
        <w:rPr>
          <w:spacing w:val="1"/>
          <w:sz w:val="25"/>
        </w:rPr>
        <w:t> </w:t>
      </w:r>
      <w:r>
        <w:rPr>
          <w:sz w:val="25"/>
        </w:rPr>
        <w:t>research</w:t>
      </w:r>
      <w:r>
        <w:rPr>
          <w:spacing w:val="-6"/>
          <w:sz w:val="25"/>
        </w:rPr>
        <w:t> </w:t>
      </w:r>
      <w:r>
        <w:rPr>
          <w:sz w:val="25"/>
        </w:rPr>
        <w:t>institute</w:t>
      </w:r>
      <w:r>
        <w:rPr>
          <w:spacing w:val="-5"/>
          <w:sz w:val="25"/>
        </w:rPr>
        <w:t> </w:t>
      </w:r>
      <w:r>
        <w:rPr>
          <w:sz w:val="25"/>
        </w:rPr>
        <w:t>Golden</w:t>
      </w:r>
      <w:r>
        <w:rPr>
          <w:spacing w:val="-4"/>
          <w:sz w:val="25"/>
        </w:rPr>
        <w:t> </w:t>
      </w:r>
      <w:r>
        <w:rPr>
          <w:sz w:val="25"/>
        </w:rPr>
        <w:t>CO,</w:t>
      </w:r>
    </w:p>
    <w:p>
      <w:pPr>
        <w:pStyle w:val="BodyText"/>
        <w:spacing w:line="475" w:lineRule="auto" w:before="247"/>
        <w:ind w:left="1918" w:right="581" w:hanging="720"/>
        <w:jc w:val="both"/>
      </w:pPr>
      <w:r>
        <w:rPr/>
        <w:t>Chung and Vennosa, A.D., (2008). Effect of sand particle size, oil contamination and water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sorbents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wicking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wetland.</w:t>
      </w:r>
      <w:r>
        <w:rPr>
          <w:sz w:val="25"/>
        </w:rPr>
        <w:t>Intl</w:t>
      </w:r>
      <w:r>
        <w:rPr>
          <w:spacing w:val="-6"/>
          <w:sz w:val="25"/>
        </w:rPr>
        <w:t> </w:t>
      </w:r>
      <w:r>
        <w:rPr>
          <w:sz w:val="25"/>
        </w:rPr>
        <w:t>Oil</w:t>
      </w:r>
      <w:r>
        <w:rPr>
          <w:spacing w:val="-5"/>
          <w:sz w:val="25"/>
        </w:rPr>
        <w:t> </w:t>
      </w:r>
      <w:r>
        <w:rPr>
          <w:sz w:val="25"/>
        </w:rPr>
        <w:t>Spill</w:t>
      </w:r>
      <w:r>
        <w:rPr>
          <w:spacing w:val="-6"/>
          <w:sz w:val="25"/>
        </w:rPr>
        <w:t> </w:t>
      </w:r>
      <w:r>
        <w:rPr>
          <w:sz w:val="25"/>
        </w:rPr>
        <w:t>Conference,</w:t>
      </w:r>
      <w:r>
        <w:rPr>
          <w:spacing w:val="-5"/>
          <w:sz w:val="25"/>
        </w:rPr>
        <w:t> </w:t>
      </w:r>
      <w:r>
        <w:rPr/>
        <w:t>Ohio,</w:t>
      </w:r>
      <w:r>
        <w:rPr>
          <w:spacing w:val="-5"/>
        </w:rPr>
        <w:t> </w:t>
      </w:r>
      <w:r>
        <w:rPr/>
        <w:t>Pp.</w:t>
      </w:r>
      <w:r>
        <w:rPr>
          <w:spacing w:val="-4"/>
        </w:rPr>
        <w:t> </w:t>
      </w:r>
      <w:r>
        <w:rPr/>
        <w:t>537-540.</w:t>
      </w:r>
    </w:p>
    <w:p>
      <w:pPr>
        <w:pStyle w:val="BodyText"/>
        <w:spacing w:line="468" w:lineRule="auto" w:before="224"/>
        <w:ind w:left="1918" w:right="573" w:hanging="720"/>
        <w:jc w:val="both"/>
      </w:pPr>
      <w:r>
        <w:rPr/>
        <w:t>Coxeter,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Hope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feathers.</w:t>
      </w:r>
      <w:r>
        <w:rPr>
          <w:spacing w:val="1"/>
        </w:rPr>
        <w:t> </w:t>
      </w:r>
      <w:r>
        <w:rPr>
          <w:sz w:val="25"/>
        </w:rPr>
        <w:t>Business</w:t>
      </w:r>
      <w:r>
        <w:rPr>
          <w:spacing w:val="1"/>
          <w:sz w:val="25"/>
        </w:rPr>
        <w:t> </w:t>
      </w:r>
      <w:r>
        <w:rPr>
          <w:sz w:val="25"/>
        </w:rPr>
        <w:t>Week</w:t>
      </w:r>
      <w:r>
        <w:rPr/>
        <w:t>,</w:t>
      </w:r>
      <w:r>
        <w:rPr>
          <w:spacing w:val="1"/>
        </w:rPr>
        <w:t> </w:t>
      </w:r>
      <w:r>
        <w:rPr/>
        <w:t>76.</w:t>
      </w:r>
      <w:hyperlink r:id="rId74">
        <w:r>
          <w:rPr>
            <w:color w:val="0000FF"/>
            <w:u w:val="single" w:color="0000FF"/>
          </w:rPr>
          <w:t>http://www.businessweek.com/archives/1994/b338184.arc.htm?campaign_id=se</w:t>
        </w:r>
      </w:hyperlink>
    </w:p>
    <w:p>
      <w:pPr>
        <w:pStyle w:val="BodyText"/>
        <w:spacing w:before="16"/>
        <w:ind w:left="1918"/>
      </w:pPr>
      <w:hyperlink r:id="rId74">
        <w:r>
          <w:rPr>
            <w:color w:val="0000FF"/>
            <w:u w:val="single" w:color="0000FF"/>
          </w:rPr>
          <w:t>arch</w:t>
        </w:r>
      </w:hyperlink>
      <w:r>
        <w:rPr/>
        <w:t>.</w:t>
      </w:r>
      <w:r>
        <w:rPr>
          <w:spacing w:val="-4"/>
        </w:rPr>
        <w:t> </w:t>
      </w:r>
      <w:r>
        <w:rPr/>
        <w:t>Retrieved:</w:t>
      </w:r>
      <w:r>
        <w:rPr>
          <w:spacing w:val="-3"/>
        </w:rPr>
        <w:t> </w:t>
      </w:r>
      <w:r>
        <w:rPr/>
        <w:t>30 June</w:t>
      </w:r>
      <w:r>
        <w:rPr>
          <w:spacing w:val="-1"/>
        </w:rPr>
        <w:t> </w:t>
      </w:r>
      <w:r>
        <w:rPr/>
        <w:t>2012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191"/>
        <w:ind w:left="1918" w:right="578" w:hanging="720"/>
        <w:jc w:val="both"/>
      </w:pPr>
      <w:r>
        <w:rPr/>
        <w:t>Das, B. and Mondal, N.K., (2011). Calcerous soil as a new adsorbent to remove lead from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solution:</w:t>
      </w:r>
      <w:r>
        <w:rPr>
          <w:spacing w:val="1"/>
        </w:rPr>
        <w:t> </w:t>
      </w:r>
      <w:r>
        <w:rPr/>
        <w:t>Equilibrium,</w:t>
      </w:r>
      <w:r>
        <w:rPr>
          <w:spacing w:val="1"/>
        </w:rPr>
        <w:t> </w:t>
      </w:r>
      <w:r>
        <w:rPr/>
        <w:t>Kinetics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Thermodynamics</w:t>
      </w:r>
      <w:r>
        <w:rPr>
          <w:spacing w:val="1"/>
        </w:rPr>
        <w:t> </w:t>
      </w:r>
      <w:r>
        <w:rPr/>
        <w:t>study.</w:t>
      </w:r>
      <w:r>
        <w:rPr>
          <w:spacing w:val="75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Technology,</w:t>
      </w:r>
      <w:r>
        <w:rPr>
          <w:spacing w:val="-2"/>
        </w:rPr>
        <w:t> </w:t>
      </w:r>
      <w:r>
        <w:rPr/>
        <w:t>1(4):515-530.</w:t>
      </w:r>
    </w:p>
    <w:p>
      <w:pPr>
        <w:spacing w:line="470" w:lineRule="auto" w:before="229"/>
        <w:ind w:left="1918" w:right="577" w:hanging="720"/>
        <w:jc w:val="both"/>
        <w:rPr>
          <w:sz w:val="24"/>
        </w:rPr>
      </w:pPr>
      <w:r>
        <w:rPr>
          <w:sz w:val="24"/>
        </w:rPr>
        <w:t>Dara, S.S., (1991). </w:t>
      </w:r>
      <w:r>
        <w:rPr>
          <w:sz w:val="25"/>
        </w:rPr>
        <w:t>Experiments and calculations in engineering chemistry</w:t>
      </w:r>
      <w:r>
        <w:rPr>
          <w:sz w:val="24"/>
        </w:rPr>
        <w:t>, S. Chand and</w:t>
      </w:r>
      <w:r>
        <w:rPr>
          <w:spacing w:val="1"/>
          <w:sz w:val="24"/>
        </w:rPr>
        <w:t> </w:t>
      </w:r>
      <w:r>
        <w:rPr>
          <w:sz w:val="24"/>
        </w:rPr>
        <w:t>Co.</w:t>
      </w:r>
      <w:r>
        <w:rPr>
          <w:spacing w:val="-3"/>
          <w:sz w:val="24"/>
        </w:rPr>
        <w:t> </w:t>
      </w:r>
      <w:r>
        <w:rPr>
          <w:sz w:val="24"/>
        </w:rPr>
        <w:t>Ltd.,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Delhi,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185-191.</w:t>
      </w:r>
    </w:p>
    <w:p>
      <w:pPr>
        <w:pStyle w:val="BodyText"/>
        <w:spacing w:line="470" w:lineRule="auto" w:before="250"/>
        <w:ind w:left="1918" w:right="575" w:hanging="720"/>
        <w:jc w:val="both"/>
      </w:pPr>
      <w:r>
        <w:rPr/>
        <w:t>Deschamps, G., Carvel, H., Bonedom, M., Bonnin, C. and</w:t>
      </w:r>
      <w:r>
        <w:rPr>
          <w:spacing w:val="1"/>
        </w:rPr>
        <w:t> </w:t>
      </w:r>
      <w:r>
        <w:rPr/>
        <w:t>Vigroles, C., (2003). Oil removal</w:t>
      </w:r>
      <w:r>
        <w:rPr>
          <w:spacing w:val="1"/>
        </w:rPr>
        <w:t> </w:t>
      </w:r>
      <w:r>
        <w:rPr/>
        <w:t>from water by selective sorption on hydrophobic cotton fibers: study of sorption</w:t>
      </w:r>
      <w:r>
        <w:rPr>
          <w:spacing w:val="1"/>
        </w:rPr>
        <w:t> </w:t>
      </w:r>
      <w:r>
        <w:rPr/>
        <w:t>properties and comparism with cotton fiber-based sorbents. </w:t>
      </w:r>
      <w:r>
        <w:rPr>
          <w:sz w:val="25"/>
        </w:rPr>
        <w:t>Environmental Science</w:t>
      </w:r>
      <w:r>
        <w:rPr>
          <w:spacing w:val="1"/>
          <w:sz w:val="25"/>
        </w:rPr>
        <w:t> </w:t>
      </w:r>
      <w:r>
        <w:rPr>
          <w:sz w:val="25"/>
        </w:rPr>
        <w:t>Technology</w:t>
      </w:r>
      <w:r>
        <w:rPr/>
        <w:t>,</w:t>
      </w:r>
      <w:r>
        <w:rPr>
          <w:spacing w:val="-2"/>
        </w:rPr>
        <w:t> </w:t>
      </w:r>
      <w:r>
        <w:rPr/>
        <w:t>37(5):</w:t>
      </w:r>
      <w:r>
        <w:rPr>
          <w:spacing w:val="-3"/>
        </w:rPr>
        <w:t> </w:t>
      </w:r>
      <w:r>
        <w:rPr/>
        <w:t>1013-1015.</w:t>
      </w:r>
    </w:p>
    <w:p>
      <w:pPr>
        <w:pStyle w:val="BodyText"/>
        <w:spacing w:line="465" w:lineRule="auto" w:before="241"/>
        <w:ind w:left="1918" w:right="575" w:hanging="720"/>
        <w:jc w:val="both"/>
      </w:pPr>
      <w:r>
        <w:rPr/>
        <w:t>Delaune, R.D. Lindau, C.W. and Jugsujinda, A., (1999). Effectiveness of "Nochar" solidifier</w:t>
      </w:r>
      <w:r>
        <w:rPr>
          <w:spacing w:val="1"/>
        </w:rPr>
        <w:t> </w:t>
      </w:r>
      <w:r>
        <w:rPr/>
        <w:t>polymer in removing oil from open water in coastal wetlands.</w:t>
      </w:r>
      <w:r>
        <w:rPr>
          <w:sz w:val="25"/>
        </w:rPr>
        <w:t>Spill Science and</w:t>
      </w:r>
      <w:r>
        <w:rPr>
          <w:spacing w:val="1"/>
          <w:sz w:val="25"/>
        </w:rPr>
        <w:t> </w:t>
      </w:r>
      <w:r>
        <w:rPr>
          <w:sz w:val="25"/>
        </w:rPr>
        <w:t>Technology</w:t>
      </w:r>
      <w:r>
        <w:rPr>
          <w:spacing w:val="-5"/>
          <w:sz w:val="25"/>
        </w:rPr>
        <w:t> </w:t>
      </w:r>
      <w:r>
        <w:rPr>
          <w:sz w:val="25"/>
        </w:rPr>
        <w:t>Bulletin</w:t>
      </w:r>
      <w:r>
        <w:rPr/>
        <w:t>,</w:t>
      </w:r>
      <w:r>
        <w:rPr>
          <w:spacing w:val="-2"/>
        </w:rPr>
        <w:t> </w:t>
      </w:r>
      <w:r>
        <w:rPr/>
        <w:t>5(5-6):</w:t>
      </w:r>
      <w:r>
        <w:rPr>
          <w:spacing w:val="-4"/>
        </w:rPr>
        <w:t> </w:t>
      </w:r>
      <w:r>
        <w:rPr/>
        <w:t>357-359.</w:t>
      </w:r>
    </w:p>
    <w:p>
      <w:pPr>
        <w:spacing w:after="0" w:line="465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spacing w:line="465" w:lineRule="auto" w:before="75"/>
        <w:ind w:left="1918" w:right="579" w:hanging="720"/>
        <w:jc w:val="both"/>
        <w:rPr>
          <w:sz w:val="24"/>
        </w:rPr>
      </w:pPr>
      <w:r>
        <w:rPr>
          <w:sz w:val="24"/>
        </w:rPr>
        <w:t>Diya’uddeen, B.H., Mohammed, I.A., Ahmed, A.S. and Jibril, B.T., (2008). Production of</w:t>
      </w:r>
      <w:r>
        <w:rPr>
          <w:spacing w:val="1"/>
          <w:sz w:val="24"/>
        </w:rPr>
        <w:t> </w:t>
      </w:r>
      <w:r>
        <w:rPr>
          <w:sz w:val="24"/>
        </w:rPr>
        <w:t>activated</w:t>
      </w:r>
      <w:r>
        <w:rPr>
          <w:spacing w:val="1"/>
          <w:sz w:val="24"/>
        </w:rPr>
        <w:t> </w:t>
      </w:r>
      <w:r>
        <w:rPr>
          <w:sz w:val="24"/>
        </w:rPr>
        <w:t>carbon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utilization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crude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spillage</w:t>
      </w:r>
      <w:r>
        <w:rPr>
          <w:spacing w:val="1"/>
          <w:sz w:val="24"/>
        </w:rPr>
        <w:t> </w:t>
      </w:r>
      <w:r>
        <w:rPr>
          <w:sz w:val="24"/>
        </w:rPr>
        <w:t>cleanup.</w:t>
      </w:r>
      <w:r>
        <w:rPr>
          <w:spacing w:val="1"/>
          <w:sz w:val="24"/>
        </w:rPr>
        <w:t> </w:t>
      </w:r>
      <w:r>
        <w:rPr>
          <w:sz w:val="25"/>
        </w:rPr>
        <w:t>Agricultural</w:t>
      </w:r>
      <w:r>
        <w:rPr>
          <w:spacing w:val="1"/>
          <w:sz w:val="25"/>
        </w:rPr>
        <w:t> </w:t>
      </w:r>
      <w:r>
        <w:rPr>
          <w:sz w:val="25"/>
        </w:rPr>
        <w:t>Engineering</w:t>
      </w:r>
      <w:r>
        <w:rPr>
          <w:spacing w:val="-9"/>
          <w:sz w:val="25"/>
        </w:rPr>
        <w:t> </w:t>
      </w:r>
      <w:r>
        <w:rPr>
          <w:sz w:val="25"/>
        </w:rPr>
        <w:t>International:</w:t>
      </w:r>
      <w:r>
        <w:rPr>
          <w:spacing w:val="-8"/>
          <w:sz w:val="25"/>
        </w:rPr>
        <w:t> </w:t>
      </w:r>
      <w:r>
        <w:rPr>
          <w:sz w:val="25"/>
        </w:rPr>
        <w:t>the</w:t>
      </w:r>
      <w:r>
        <w:rPr>
          <w:spacing w:val="-6"/>
          <w:sz w:val="25"/>
        </w:rPr>
        <w:t> </w:t>
      </w:r>
      <w:r>
        <w:rPr>
          <w:sz w:val="25"/>
        </w:rPr>
        <w:t>Cigr</w:t>
      </w:r>
      <w:r>
        <w:rPr>
          <w:spacing w:val="-8"/>
          <w:sz w:val="25"/>
        </w:rPr>
        <w:t> </w:t>
      </w:r>
      <w:r>
        <w:rPr>
          <w:sz w:val="25"/>
        </w:rPr>
        <w:t>Ejournal,</w:t>
      </w:r>
      <w:r>
        <w:rPr>
          <w:spacing w:val="-4"/>
          <w:sz w:val="25"/>
        </w:rPr>
        <w:t> </w:t>
      </w:r>
      <w:r>
        <w:rPr>
          <w:sz w:val="25"/>
        </w:rPr>
        <w:t>P</w:t>
      </w:r>
      <w:r>
        <w:rPr>
          <w:sz w:val="24"/>
        </w:rPr>
        <w:t>p.</w:t>
      </w:r>
      <w:r>
        <w:rPr>
          <w:spacing w:val="-6"/>
          <w:sz w:val="24"/>
        </w:rPr>
        <w:t> </w:t>
      </w:r>
      <w:r>
        <w:rPr>
          <w:sz w:val="24"/>
        </w:rPr>
        <w:t>1-9.</w:t>
      </w:r>
    </w:p>
    <w:p>
      <w:pPr>
        <w:pStyle w:val="BodyText"/>
        <w:spacing w:line="480" w:lineRule="auto" w:before="247"/>
        <w:ind w:left="1918" w:right="583" w:hanging="720"/>
        <w:jc w:val="both"/>
      </w:pPr>
      <w:r>
        <w:rPr/>
        <w:t>Dowine,</w:t>
      </w:r>
      <w:r>
        <w:rPr>
          <w:spacing w:val="41"/>
        </w:rPr>
        <w:t> </w:t>
      </w:r>
      <w:r>
        <w:rPr/>
        <w:t>N.M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Heath,</w:t>
      </w:r>
      <w:r>
        <w:rPr>
          <w:spacing w:val="43"/>
        </w:rPr>
        <w:t> </w:t>
      </w:r>
      <w:r>
        <w:rPr/>
        <w:t>R.W.,</w:t>
      </w:r>
      <w:r>
        <w:rPr>
          <w:spacing w:val="41"/>
        </w:rPr>
        <w:t> </w:t>
      </w:r>
      <w:r>
        <w:rPr/>
        <w:t>(1974)</w:t>
      </w:r>
      <w:r>
        <w:rPr>
          <w:spacing w:val="42"/>
        </w:rPr>
        <w:t> </w:t>
      </w:r>
      <w:r>
        <w:rPr/>
        <w:t>Basic</w:t>
      </w:r>
      <w:r>
        <w:rPr>
          <w:spacing w:val="42"/>
        </w:rPr>
        <w:t> </w:t>
      </w:r>
      <w:r>
        <w:rPr/>
        <w:t>Statistical</w:t>
      </w:r>
      <w:r>
        <w:rPr>
          <w:spacing w:val="42"/>
        </w:rPr>
        <w:t> </w:t>
      </w:r>
      <w:r>
        <w:rPr/>
        <w:t>Methods,</w:t>
      </w:r>
      <w:r>
        <w:rPr>
          <w:spacing w:val="43"/>
        </w:rPr>
        <w:t> </w:t>
      </w:r>
      <w:r>
        <w:rPr/>
        <w:t>fourth</w:t>
      </w:r>
      <w:r>
        <w:rPr>
          <w:spacing w:val="42"/>
        </w:rPr>
        <w:t> </w:t>
      </w:r>
      <w:r>
        <w:rPr/>
        <w:t>ed.</w:t>
      </w:r>
      <w:r>
        <w:rPr>
          <w:spacing w:val="40"/>
        </w:rPr>
        <w:t> </w:t>
      </w:r>
      <w:r>
        <w:rPr/>
        <w:t>Harper</w:t>
      </w:r>
      <w:r>
        <w:rPr>
          <w:spacing w:val="42"/>
        </w:rPr>
        <w:t> </w:t>
      </w:r>
      <w:r>
        <w:rPr/>
        <w:t>and</w:t>
      </w:r>
      <w:r>
        <w:rPr>
          <w:spacing w:val="-73"/>
        </w:rPr>
        <w:t> </w:t>
      </w:r>
      <w:r>
        <w:rPr/>
        <w:t>Row,</w:t>
      </w:r>
      <w:r>
        <w:rPr>
          <w:spacing w:val="-3"/>
        </w:rPr>
        <w:t> </w:t>
      </w:r>
      <w:r>
        <w:rPr/>
        <w:t>New</w:t>
      </w:r>
      <w:r>
        <w:rPr>
          <w:spacing w:val="-2"/>
        </w:rPr>
        <w:t> </w:t>
      </w:r>
      <w:r>
        <w:rPr/>
        <w:t>York.</w:t>
      </w:r>
    </w:p>
    <w:p>
      <w:pPr>
        <w:pStyle w:val="BodyText"/>
        <w:spacing w:line="475" w:lineRule="auto" w:before="238"/>
        <w:ind w:left="1918" w:right="573" w:hanging="720"/>
        <w:jc w:val="both"/>
      </w:pPr>
      <w:r>
        <w:rPr/>
        <w:t>Duke, N.C., Burns, K.A., Swanell, R.P.J, Dalhause, O. and Ropp, R.J., (2000). Dispersant</w:t>
      </w:r>
      <w:r>
        <w:rPr>
          <w:spacing w:val="1"/>
        </w:rPr>
        <w:t> </w:t>
      </w:r>
      <w:r>
        <w:rPr/>
        <w:t>used and a bioremediation strategy as alternate means of reducing impacts of large</w:t>
      </w:r>
      <w:r>
        <w:rPr>
          <w:spacing w:val="1"/>
        </w:rPr>
        <w:t> </w:t>
      </w:r>
      <w:r>
        <w:rPr/>
        <w:t>oil spills on mangroves: The Gladstone field trials. </w:t>
      </w:r>
      <w:r>
        <w:rPr>
          <w:sz w:val="25"/>
        </w:rPr>
        <w:t>Marine Pollution Bulletin</w:t>
      </w:r>
      <w:r>
        <w:rPr/>
        <w:t>, 41(7-</w:t>
      </w:r>
      <w:r>
        <w:rPr>
          <w:spacing w:val="1"/>
        </w:rPr>
        <w:t> </w:t>
      </w:r>
      <w:r>
        <w:rPr/>
        <w:t>12):</w:t>
      </w:r>
      <w:r>
        <w:rPr>
          <w:spacing w:val="-3"/>
        </w:rPr>
        <w:t> </w:t>
      </w:r>
      <w:r>
        <w:rPr/>
        <w:t>403-412.</w:t>
      </w:r>
    </w:p>
    <w:p>
      <w:pPr>
        <w:pStyle w:val="BodyText"/>
        <w:spacing w:line="463" w:lineRule="auto" w:before="241"/>
        <w:ind w:left="1918" w:right="577" w:hanging="720"/>
        <w:jc w:val="both"/>
      </w:pPr>
      <w:r>
        <w:rPr/>
        <w:t>Eka, O. U. and Udotong, I. R., (2003). A case study of effects of incessant oil spills from</w:t>
      </w:r>
      <w:r>
        <w:rPr>
          <w:spacing w:val="1"/>
        </w:rPr>
        <w:t> </w:t>
      </w:r>
      <w:r>
        <w:rPr/>
        <w:t>Mobil producing Nigeria unlimited on human health in Akwa-Ibom State. </w:t>
      </w:r>
      <w:r>
        <w:rPr>
          <w:sz w:val="25"/>
        </w:rPr>
        <w:t>In: </w:t>
      </w:r>
      <w:r>
        <w:rPr/>
        <w:t>E. N.</w:t>
      </w:r>
      <w:r>
        <w:rPr>
          <w:spacing w:val="1"/>
        </w:rPr>
        <w:t> </w:t>
      </w:r>
      <w:r>
        <w:rPr/>
        <w:t>Ainna,</w:t>
      </w:r>
      <w:r>
        <w:rPr>
          <w:spacing w:val="-9"/>
        </w:rPr>
        <w:t> </w:t>
      </w:r>
      <w:r>
        <w:rPr/>
        <w:t>O.</w:t>
      </w:r>
      <w:r>
        <w:rPr>
          <w:spacing w:val="-8"/>
        </w:rPr>
        <w:t> </w:t>
      </w:r>
      <w:r>
        <w:rPr/>
        <w:t>B.</w:t>
      </w:r>
      <w:r>
        <w:rPr>
          <w:spacing w:val="-8"/>
        </w:rPr>
        <w:t> </w:t>
      </w:r>
      <w:r>
        <w:rPr/>
        <w:t>Ekop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Attah</w:t>
      </w:r>
      <w:r>
        <w:rPr>
          <w:spacing w:val="-8"/>
        </w:rPr>
        <w:t> </w:t>
      </w:r>
      <w:r>
        <w:rPr/>
        <w:t>V.I.</w:t>
      </w:r>
      <w:r>
        <w:rPr>
          <w:spacing w:val="-8"/>
        </w:rPr>
        <w:t> </w:t>
      </w:r>
      <w:r>
        <w:rPr/>
        <w:t>(Eds),</w:t>
      </w:r>
      <w:r>
        <w:rPr>
          <w:spacing w:val="-6"/>
        </w:rPr>
        <w:t> </w:t>
      </w:r>
      <w:r>
        <w:rPr>
          <w:sz w:val="25"/>
        </w:rPr>
        <w:t>Environmental</w:t>
      </w:r>
      <w:r>
        <w:rPr>
          <w:spacing w:val="-10"/>
          <w:sz w:val="25"/>
        </w:rPr>
        <w:t> </w:t>
      </w:r>
      <w:r>
        <w:rPr>
          <w:sz w:val="25"/>
        </w:rPr>
        <w:t>Pollution</w:t>
      </w:r>
      <w:r>
        <w:rPr>
          <w:spacing w:val="-10"/>
          <w:sz w:val="25"/>
        </w:rPr>
        <w:t> </w:t>
      </w:r>
      <w:r>
        <w:rPr>
          <w:sz w:val="25"/>
        </w:rPr>
        <w:t>and</w:t>
      </w:r>
      <w:r>
        <w:rPr>
          <w:spacing w:val="-9"/>
          <w:sz w:val="25"/>
        </w:rPr>
        <w:t> </w:t>
      </w:r>
      <w:r>
        <w:rPr>
          <w:sz w:val="25"/>
        </w:rPr>
        <w:t>Management</w:t>
      </w:r>
      <w:r>
        <w:rPr>
          <w:spacing w:val="-11"/>
          <w:sz w:val="25"/>
        </w:rPr>
        <w:t> </w:t>
      </w:r>
      <w:r>
        <w:rPr>
          <w:sz w:val="25"/>
        </w:rPr>
        <w:t>in</w:t>
      </w:r>
      <w:r>
        <w:rPr>
          <w:spacing w:val="-76"/>
          <w:sz w:val="25"/>
        </w:rPr>
        <w:t> </w:t>
      </w:r>
      <w:r>
        <w:rPr>
          <w:sz w:val="25"/>
        </w:rPr>
        <w:t>the</w:t>
      </w:r>
      <w:r>
        <w:rPr>
          <w:spacing w:val="-4"/>
          <w:sz w:val="25"/>
        </w:rPr>
        <w:t> </w:t>
      </w:r>
      <w:r>
        <w:rPr>
          <w:sz w:val="25"/>
        </w:rPr>
        <w:t>Tropics,</w:t>
      </w:r>
      <w:r>
        <w:rPr>
          <w:spacing w:val="-6"/>
          <w:sz w:val="25"/>
        </w:rPr>
        <w:t> </w:t>
      </w:r>
      <w:r>
        <w:rPr/>
        <w:t>SNAAP</w:t>
      </w:r>
      <w:r>
        <w:rPr>
          <w:spacing w:val="-2"/>
        </w:rPr>
        <w:t> </w:t>
      </w:r>
      <w:r>
        <w:rPr/>
        <w:t>Press</w:t>
      </w:r>
      <w:r>
        <w:rPr>
          <w:spacing w:val="-1"/>
        </w:rPr>
        <w:t> </w:t>
      </w:r>
      <w:r>
        <w:rPr/>
        <w:t>Limited</w:t>
      </w:r>
      <w:r>
        <w:rPr>
          <w:spacing w:val="-2"/>
        </w:rPr>
        <w:t> </w:t>
      </w:r>
      <w:r>
        <w:rPr/>
        <w:t>Enugu,</w:t>
      </w:r>
      <w:r>
        <w:rPr>
          <w:spacing w:val="-2"/>
        </w:rPr>
        <w:t> </w:t>
      </w:r>
      <w:r>
        <w:rPr/>
        <w:t>pp.</w:t>
      </w:r>
      <w:r>
        <w:rPr>
          <w:spacing w:val="-3"/>
        </w:rPr>
        <w:t> </w:t>
      </w:r>
      <w:r>
        <w:rPr/>
        <w:t>204-229.</w:t>
      </w:r>
    </w:p>
    <w:p>
      <w:pPr>
        <w:spacing w:line="465" w:lineRule="auto" w:before="243"/>
        <w:ind w:left="1918" w:right="576" w:hanging="720"/>
        <w:jc w:val="both"/>
        <w:rPr>
          <w:sz w:val="24"/>
        </w:rPr>
      </w:pPr>
      <w:r>
        <w:rPr>
          <w:sz w:val="24"/>
        </w:rPr>
        <w:t>English, B., (1997). Filters, sorbents and geotextiles.</w:t>
      </w:r>
      <w:r>
        <w:rPr>
          <w:sz w:val="25"/>
        </w:rPr>
        <w:t>In: </w:t>
      </w:r>
      <w:r>
        <w:rPr>
          <w:sz w:val="24"/>
        </w:rPr>
        <w:t>Rowell, R.M., Young, R.A and</w:t>
      </w:r>
      <w:r>
        <w:rPr>
          <w:spacing w:val="1"/>
          <w:sz w:val="24"/>
        </w:rPr>
        <w:t> </w:t>
      </w:r>
      <w:r>
        <w:rPr>
          <w:sz w:val="24"/>
        </w:rPr>
        <w:t>Rowell J.K. (Eds), </w:t>
      </w:r>
      <w:r>
        <w:rPr>
          <w:sz w:val="25"/>
        </w:rPr>
        <w:t>Paper and Composites from Agro-Based Resources</w:t>
      </w:r>
      <w:r>
        <w:rPr>
          <w:sz w:val="24"/>
        </w:rPr>
        <w:t>, CRC press,</w:t>
      </w:r>
      <w:r>
        <w:rPr>
          <w:spacing w:val="1"/>
          <w:sz w:val="24"/>
        </w:rPr>
        <w:t> </w:t>
      </w:r>
      <w:r>
        <w:rPr>
          <w:sz w:val="24"/>
        </w:rPr>
        <w:t>Lewis</w:t>
      </w:r>
      <w:r>
        <w:rPr>
          <w:spacing w:val="-1"/>
          <w:sz w:val="24"/>
        </w:rPr>
        <w:t> </w:t>
      </w:r>
      <w:r>
        <w:rPr>
          <w:sz w:val="24"/>
        </w:rPr>
        <w:t>publishers, Boca</w:t>
      </w:r>
      <w:r>
        <w:rPr>
          <w:spacing w:val="-1"/>
          <w:sz w:val="24"/>
        </w:rPr>
        <w:t> </w:t>
      </w:r>
      <w:r>
        <w:rPr>
          <w:sz w:val="24"/>
        </w:rPr>
        <w:t>Raton,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403-425.</w:t>
      </w:r>
    </w:p>
    <w:p>
      <w:pPr>
        <w:spacing w:line="460" w:lineRule="auto" w:before="245"/>
        <w:ind w:left="1918" w:right="578" w:hanging="720"/>
        <w:jc w:val="both"/>
        <w:rPr>
          <w:sz w:val="24"/>
        </w:rPr>
      </w:pPr>
      <w:r>
        <w:rPr>
          <w:sz w:val="24"/>
        </w:rPr>
        <w:t>European</w:t>
      </w:r>
      <w:r>
        <w:rPr>
          <w:spacing w:val="1"/>
          <w:sz w:val="24"/>
        </w:rPr>
        <w:t> </w:t>
      </w:r>
      <w:r>
        <w:rPr>
          <w:sz w:val="24"/>
        </w:rPr>
        <w:t>Commission</w:t>
      </w:r>
      <w:r>
        <w:rPr>
          <w:spacing w:val="1"/>
          <w:sz w:val="24"/>
        </w:rPr>
        <w:t> </w:t>
      </w:r>
      <w:r>
        <w:rPr>
          <w:sz w:val="24"/>
        </w:rPr>
        <w:t>(2002).Polyaromatic</w:t>
      </w:r>
      <w:r>
        <w:rPr>
          <w:spacing w:val="1"/>
          <w:sz w:val="24"/>
        </w:rPr>
        <w:t> </w:t>
      </w:r>
      <w:r>
        <w:rPr>
          <w:sz w:val="24"/>
        </w:rPr>
        <w:t>hydrocarbons-occurrence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food.</w:t>
      </w:r>
      <w:r>
        <w:rPr>
          <w:sz w:val="25"/>
        </w:rPr>
        <w:t>Dietary</w:t>
      </w:r>
      <w:r>
        <w:rPr>
          <w:spacing w:val="1"/>
          <w:sz w:val="25"/>
        </w:rPr>
        <w:t> </w:t>
      </w:r>
      <w:r>
        <w:rPr>
          <w:sz w:val="25"/>
        </w:rPr>
        <w:t>Exposure</w:t>
      </w:r>
      <w:r>
        <w:rPr>
          <w:spacing w:val="-9"/>
          <w:sz w:val="25"/>
        </w:rPr>
        <w:t> </w:t>
      </w:r>
      <w:r>
        <w:rPr>
          <w:sz w:val="25"/>
        </w:rPr>
        <w:t>and</w:t>
      </w:r>
      <w:r>
        <w:rPr>
          <w:spacing w:val="-11"/>
          <w:sz w:val="25"/>
        </w:rPr>
        <w:t> </w:t>
      </w:r>
      <w:r>
        <w:rPr>
          <w:sz w:val="25"/>
        </w:rPr>
        <w:t>Health</w:t>
      </w:r>
      <w:r>
        <w:rPr>
          <w:spacing w:val="-10"/>
          <w:sz w:val="25"/>
        </w:rPr>
        <w:t> </w:t>
      </w:r>
      <w:r>
        <w:rPr>
          <w:sz w:val="25"/>
        </w:rPr>
        <w:t>Effects</w:t>
      </w:r>
      <w:r>
        <w:rPr>
          <w:sz w:val="24"/>
        </w:rPr>
        <w:t>,</w:t>
      </w:r>
      <w:r>
        <w:rPr>
          <w:spacing w:val="-8"/>
          <w:sz w:val="24"/>
        </w:rPr>
        <w:t> </w:t>
      </w:r>
      <w:r>
        <w:rPr>
          <w:sz w:val="24"/>
        </w:rPr>
        <w:t>scientific</w:t>
      </w:r>
      <w:r>
        <w:rPr>
          <w:spacing w:val="-7"/>
          <w:sz w:val="24"/>
        </w:rPr>
        <w:t> </w:t>
      </w:r>
      <w:r>
        <w:rPr>
          <w:sz w:val="24"/>
        </w:rPr>
        <w:t>committee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food.</w:t>
      </w:r>
      <w:r>
        <w:rPr>
          <w:spacing w:val="-7"/>
          <w:sz w:val="24"/>
        </w:rPr>
        <w:t> </w:t>
      </w:r>
      <w:r>
        <w:rPr>
          <w:sz w:val="24"/>
        </w:rPr>
        <w:t>4</w:t>
      </w:r>
      <w:r>
        <w:rPr>
          <w:spacing w:val="-7"/>
          <w:sz w:val="24"/>
        </w:rPr>
        <w:t> </w:t>
      </w:r>
      <w:r>
        <w:rPr>
          <w:sz w:val="24"/>
        </w:rPr>
        <w:t>December</w:t>
      </w:r>
      <w:r>
        <w:rPr>
          <w:spacing w:val="-7"/>
          <w:sz w:val="24"/>
        </w:rPr>
        <w:t> </w:t>
      </w:r>
      <w:r>
        <w:rPr>
          <w:sz w:val="24"/>
        </w:rPr>
        <w:t>2002.</w:t>
      </w:r>
    </w:p>
    <w:p>
      <w:pPr>
        <w:pStyle w:val="BodyText"/>
        <w:spacing w:line="475" w:lineRule="auto" w:before="251"/>
        <w:ind w:left="1918" w:right="582" w:hanging="720"/>
        <w:jc w:val="both"/>
      </w:pPr>
      <w:r>
        <w:rPr/>
        <w:t>Eyong, E.U., Umoh, B., Ebong, P.E., Eteng, M.U., Antai, A.B. and Akpa, A.O., (2004).</w:t>
      </w:r>
      <w:r>
        <w:rPr>
          <w:spacing w:val="1"/>
        </w:rPr>
        <w:t> </w:t>
      </w:r>
      <w:r>
        <w:rPr/>
        <w:t>Haematoxic effects following ingestion of Nigerian crude oil and crude oil polluted</w:t>
      </w:r>
      <w:r>
        <w:rPr>
          <w:spacing w:val="1"/>
        </w:rPr>
        <w:t> </w:t>
      </w:r>
      <w:r>
        <w:rPr/>
        <w:t>shellfish</w:t>
      </w:r>
      <w:r>
        <w:rPr>
          <w:spacing w:val="-8"/>
        </w:rPr>
        <w:t> </w:t>
      </w:r>
      <w:r>
        <w:rPr/>
        <w:t>by</w:t>
      </w:r>
      <w:r>
        <w:rPr>
          <w:spacing w:val="-7"/>
        </w:rPr>
        <w:t> </w:t>
      </w:r>
      <w:r>
        <w:rPr/>
        <w:t>rats.</w:t>
      </w:r>
      <w:r>
        <w:rPr>
          <w:spacing w:val="-8"/>
        </w:rPr>
        <w:t> </w:t>
      </w:r>
      <w:r>
        <w:rPr>
          <w:sz w:val="25"/>
        </w:rPr>
        <w:t>Nigerian</w:t>
      </w:r>
      <w:r>
        <w:rPr>
          <w:spacing w:val="-10"/>
          <w:sz w:val="25"/>
        </w:rPr>
        <w:t> </w:t>
      </w:r>
      <w:r>
        <w:rPr>
          <w:sz w:val="25"/>
        </w:rPr>
        <w:t>Journal</w:t>
      </w:r>
      <w:r>
        <w:rPr>
          <w:spacing w:val="-11"/>
          <w:sz w:val="25"/>
        </w:rPr>
        <w:t> </w:t>
      </w:r>
      <w:r>
        <w:rPr>
          <w:sz w:val="25"/>
        </w:rPr>
        <w:t>of</w:t>
      </w:r>
      <w:r>
        <w:rPr>
          <w:spacing w:val="-11"/>
          <w:sz w:val="25"/>
        </w:rPr>
        <w:t> </w:t>
      </w:r>
      <w:r>
        <w:rPr>
          <w:sz w:val="25"/>
        </w:rPr>
        <w:t>Physiological</w:t>
      </w:r>
      <w:r>
        <w:rPr>
          <w:spacing w:val="-10"/>
          <w:sz w:val="25"/>
        </w:rPr>
        <w:t> </w:t>
      </w:r>
      <w:r>
        <w:rPr>
          <w:sz w:val="25"/>
        </w:rPr>
        <w:t>Sciences</w:t>
      </w:r>
      <w:r>
        <w:rPr/>
        <w:t>,</w:t>
      </w:r>
      <w:r>
        <w:rPr>
          <w:spacing w:val="-8"/>
        </w:rPr>
        <w:t> </w:t>
      </w:r>
      <w:r>
        <w:rPr/>
        <w:t>19(1-2):</w:t>
      </w:r>
      <w:r>
        <w:rPr>
          <w:spacing w:val="-9"/>
        </w:rPr>
        <w:t> </w:t>
      </w:r>
      <w:r>
        <w:rPr/>
        <w:t>1-6.</w:t>
      </w:r>
    </w:p>
    <w:p>
      <w:pPr>
        <w:spacing w:after="0" w:line="475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spacing w:line="470" w:lineRule="auto" w:before="85"/>
        <w:ind w:left="1918" w:right="577" w:hanging="720"/>
        <w:jc w:val="both"/>
        <w:rPr>
          <w:sz w:val="24"/>
        </w:rPr>
      </w:pPr>
      <w:r>
        <w:rPr>
          <w:sz w:val="24"/>
        </w:rPr>
        <w:t>Fingas, M. and Charles, J., (2001).</w:t>
      </w:r>
      <w:r>
        <w:rPr>
          <w:sz w:val="25"/>
        </w:rPr>
        <w:t>Basics of Oil Spill Clean Up</w:t>
      </w:r>
      <w:r>
        <w:rPr>
          <w:sz w:val="24"/>
        </w:rPr>
        <w:t>, Second Edition, Lewis</w:t>
      </w:r>
      <w:r>
        <w:rPr>
          <w:spacing w:val="1"/>
          <w:sz w:val="24"/>
        </w:rPr>
        <w:t> </w:t>
      </w:r>
      <w:r>
        <w:rPr>
          <w:sz w:val="24"/>
        </w:rPr>
        <w:t>publishers,</w:t>
      </w:r>
      <w:r>
        <w:rPr>
          <w:spacing w:val="-2"/>
          <w:sz w:val="24"/>
        </w:rPr>
        <w:t> </w:t>
      </w:r>
      <w:r>
        <w:rPr>
          <w:sz w:val="24"/>
        </w:rPr>
        <w:t>CRC</w:t>
      </w:r>
      <w:r>
        <w:rPr>
          <w:spacing w:val="-2"/>
          <w:sz w:val="24"/>
        </w:rPr>
        <w:t> </w:t>
      </w:r>
      <w:r>
        <w:rPr>
          <w:sz w:val="24"/>
        </w:rPr>
        <w:t>Press.</w:t>
      </w:r>
      <w:r>
        <w:rPr>
          <w:spacing w:val="-3"/>
          <w:sz w:val="24"/>
        </w:rPr>
        <w:t> </w:t>
      </w:r>
      <w:r>
        <w:rPr>
          <w:sz w:val="24"/>
        </w:rPr>
        <w:t>Pp</w:t>
      </w:r>
      <w:r>
        <w:rPr>
          <w:spacing w:val="-1"/>
          <w:sz w:val="24"/>
        </w:rPr>
        <w:t> </w:t>
      </w:r>
      <w:r>
        <w:rPr>
          <w:sz w:val="24"/>
        </w:rPr>
        <w:t>122-128.</w:t>
      </w:r>
    </w:p>
    <w:p>
      <w:pPr>
        <w:pStyle w:val="BodyText"/>
        <w:spacing w:line="480" w:lineRule="auto" w:before="250"/>
        <w:ind w:left="1918" w:right="580" w:hanging="720"/>
        <w:jc w:val="both"/>
      </w:pP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(FAO).,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at:</w:t>
      </w:r>
      <w:r>
        <w:rPr>
          <w:spacing w:val="1"/>
        </w:rPr>
        <w:t> </w:t>
      </w:r>
      <w:hyperlink r:id="rId75">
        <w:r>
          <w:rPr>
            <w:color w:val="0000FF"/>
            <w:u w:val="single" w:color="0000FF"/>
          </w:rPr>
          <w:t>http://apps.fao.org/default.htm</w:t>
        </w:r>
      </w:hyperlink>
      <w:r>
        <w:rPr/>
        <w:t>. Retrieved 31</w:t>
      </w:r>
      <w:r>
        <w:rPr>
          <w:spacing w:val="-1"/>
        </w:rPr>
        <w:t> </w:t>
      </w:r>
      <w:r>
        <w:rPr/>
        <w:t>July,</w:t>
      </w:r>
      <w:r>
        <w:rPr>
          <w:spacing w:val="-1"/>
        </w:rPr>
        <w:t> </w:t>
      </w:r>
      <w:r>
        <w:rPr/>
        <w:t>2013</w:t>
      </w:r>
    </w:p>
    <w:p>
      <w:pPr>
        <w:pStyle w:val="BodyText"/>
        <w:spacing w:line="480" w:lineRule="auto" w:before="241"/>
        <w:ind w:left="1918" w:right="583" w:hanging="720"/>
        <w:jc w:val="both"/>
      </w:pPr>
      <w:r>
        <w:rPr/>
        <w:t>Folasegun, A.D. and Kovo, G.A., (2014). Simultaneous Adsorption of Ni(II) and Mn(II) ions</w:t>
      </w:r>
      <w:r>
        <w:rPr>
          <w:spacing w:val="1"/>
        </w:rPr>
        <w:t> </w:t>
      </w:r>
      <w:r>
        <w:rPr/>
        <w:t>from Aqueous Solution unto a Nigerian Kaolinite Clay. Journal of Materials Research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Technology,</w:t>
      </w:r>
      <w:r>
        <w:rPr>
          <w:spacing w:val="3"/>
        </w:rPr>
        <w:t> </w:t>
      </w:r>
      <w:r>
        <w:rPr/>
        <w:t>3(2): 129-141.</w:t>
      </w:r>
    </w:p>
    <w:p>
      <w:pPr>
        <w:pStyle w:val="BodyText"/>
        <w:spacing w:line="480" w:lineRule="auto" w:before="240"/>
        <w:ind w:left="1918" w:right="575" w:hanging="720"/>
        <w:jc w:val="both"/>
      </w:pPr>
      <w:r>
        <w:rPr/>
        <w:t>Fowomola, M.A., (2010). Some nutrients and anti-nutrients contents of mango (mangifera</w:t>
      </w:r>
      <w:r>
        <w:rPr>
          <w:spacing w:val="1"/>
        </w:rPr>
        <w:t> </w:t>
      </w:r>
      <w:r>
        <w:rPr/>
        <w:t>indica)</w:t>
      </w:r>
      <w:r>
        <w:rPr>
          <w:spacing w:val="-3"/>
        </w:rPr>
        <w:t> </w:t>
      </w:r>
      <w:r>
        <w:rPr/>
        <w:t>seed.</w:t>
      </w:r>
      <w:r>
        <w:rPr>
          <w:spacing w:val="-2"/>
        </w:rPr>
        <w:t> </w:t>
      </w:r>
      <w:r>
        <w:rPr/>
        <w:t>African 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r>
        <w:rPr/>
        <w:t>Science,</w:t>
      </w:r>
      <w:r>
        <w:rPr>
          <w:spacing w:val="-2"/>
        </w:rPr>
        <w:t> </w:t>
      </w:r>
      <w:r>
        <w:rPr/>
        <w:t>4:472-476.</w:t>
      </w:r>
    </w:p>
    <w:p>
      <w:pPr>
        <w:pStyle w:val="BodyText"/>
        <w:spacing w:line="472" w:lineRule="auto" w:before="240"/>
        <w:ind w:left="1918" w:right="575" w:hanging="720"/>
        <w:jc w:val="both"/>
      </w:pPr>
      <w:r>
        <w:rPr/>
        <w:t>French, J.E., Lacks, G.D., Trempus, C., Dunnick, J.K., Foley, J., Mahler, J., Tice, R.R. and</w:t>
      </w:r>
      <w:r>
        <w:rPr>
          <w:spacing w:val="1"/>
        </w:rPr>
        <w:t> </w:t>
      </w:r>
      <w:r>
        <w:rPr/>
        <w:t>Tennant, R.W., (2001). Loss of heterozygosity frequency at trp 53 locus in p53</w:t>
      </w:r>
      <w:r>
        <w:rPr>
          <w:spacing w:val="1"/>
        </w:rPr>
        <w:t> </w:t>
      </w:r>
      <w:r>
        <w:rPr/>
        <w:t>deficient (+/-) mouse tumors in carcinogens and tissue deficiency.</w:t>
      </w:r>
      <w:r>
        <w:rPr>
          <w:sz w:val="25"/>
        </w:rPr>
        <w:t>Carcinogenesis</w:t>
      </w:r>
      <w:r>
        <w:rPr/>
        <w:t>,</w:t>
      </w:r>
      <w:r>
        <w:rPr>
          <w:spacing w:val="1"/>
        </w:rPr>
        <w:t> </w:t>
      </w:r>
      <w:r>
        <w:rPr/>
        <w:t>22910:</w:t>
      </w:r>
      <w:r>
        <w:rPr>
          <w:spacing w:val="-2"/>
        </w:rPr>
        <w:t> </w:t>
      </w:r>
      <w:r>
        <w:rPr/>
        <w:t>99-106.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98"/>
        <w:jc w:val="both"/>
      </w:pPr>
      <w:r>
        <w:rPr/>
        <w:t>Friends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Earth</w:t>
      </w:r>
      <w:r>
        <w:rPr>
          <w:spacing w:val="42"/>
        </w:rPr>
        <w:t> </w:t>
      </w:r>
      <w:r>
        <w:rPr/>
        <w:t>Netherlands</w:t>
      </w:r>
      <w:r>
        <w:rPr>
          <w:spacing w:val="40"/>
        </w:rPr>
        <w:t> </w:t>
      </w:r>
      <w:r>
        <w:rPr/>
        <w:t>(FEN),</w:t>
      </w:r>
      <w:r>
        <w:rPr>
          <w:spacing w:val="40"/>
        </w:rPr>
        <w:t> </w:t>
      </w:r>
      <w:r>
        <w:rPr/>
        <w:t>(2009).</w:t>
      </w:r>
      <w:r>
        <w:rPr>
          <w:spacing w:val="38"/>
        </w:rPr>
        <w:t> </w:t>
      </w:r>
      <w:r>
        <w:rPr/>
        <w:t>Oil</w:t>
      </w:r>
      <w:r>
        <w:rPr>
          <w:spacing w:val="39"/>
        </w:rPr>
        <w:t> </w:t>
      </w:r>
      <w:r>
        <w:rPr/>
        <w:t>Spills</w:t>
      </w:r>
      <w:r>
        <w:rPr>
          <w:spacing w:val="42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Niger</w:t>
      </w:r>
      <w:r>
        <w:rPr>
          <w:spacing w:val="41"/>
        </w:rPr>
        <w:t> </w:t>
      </w:r>
      <w:r>
        <w:rPr/>
        <w:t>Delta</w:t>
      </w:r>
      <w:r>
        <w:rPr>
          <w:spacing w:val="39"/>
        </w:rPr>
        <w:t> </w:t>
      </w:r>
      <w:r>
        <w:rPr/>
        <w:t>in</w:t>
      </w:r>
      <w:r>
        <w:rPr>
          <w:spacing w:val="41"/>
        </w:rPr>
        <w:t> </w:t>
      </w:r>
      <w:r>
        <w:rPr/>
        <w:t>Nigeria.</w:t>
      </w:r>
    </w:p>
    <w:p>
      <w:pPr>
        <w:pStyle w:val="BodyText"/>
        <w:spacing w:before="1"/>
        <w:rPr>
          <w:sz w:val="23"/>
        </w:rPr>
      </w:pPr>
    </w:p>
    <w:p>
      <w:pPr>
        <w:pStyle w:val="Heading2"/>
        <w:ind w:left="1918"/>
      </w:pPr>
      <w:r>
        <w:rPr>
          <w:w w:val="95"/>
        </w:rPr>
        <w:t>Milieu</w:t>
      </w:r>
      <w:r>
        <w:rPr>
          <w:spacing w:val="9"/>
          <w:w w:val="95"/>
        </w:rPr>
        <w:t> </w:t>
      </w:r>
      <w:r>
        <w:rPr>
          <w:w w:val="95"/>
        </w:rPr>
        <w:t>Defensie,1-2.</w:t>
      </w:r>
    </w:p>
    <w:p>
      <w:pPr>
        <w:pStyle w:val="BodyText"/>
        <w:spacing w:before="10"/>
        <w:rPr>
          <w:sz w:val="43"/>
        </w:rPr>
      </w:pPr>
    </w:p>
    <w:p>
      <w:pPr>
        <w:spacing w:line="465" w:lineRule="auto" w:before="0"/>
        <w:ind w:left="1918" w:right="577" w:hanging="720"/>
        <w:jc w:val="both"/>
        <w:rPr>
          <w:sz w:val="24"/>
        </w:rPr>
      </w:pPr>
      <w:r>
        <w:rPr>
          <w:sz w:val="24"/>
        </w:rPr>
        <w:t>Frost,</w:t>
      </w:r>
      <w:r>
        <w:rPr>
          <w:spacing w:val="70"/>
          <w:sz w:val="24"/>
        </w:rPr>
        <w:t> </w:t>
      </w:r>
      <w:r>
        <w:rPr>
          <w:sz w:val="24"/>
        </w:rPr>
        <w:t>R.,</w:t>
      </w:r>
      <w:r>
        <w:rPr>
          <w:spacing w:val="73"/>
          <w:sz w:val="24"/>
        </w:rPr>
        <w:t> </w:t>
      </w:r>
      <w:r>
        <w:rPr>
          <w:sz w:val="24"/>
        </w:rPr>
        <w:t>Camody,</w:t>
      </w:r>
      <w:r>
        <w:rPr>
          <w:spacing w:val="71"/>
          <w:sz w:val="24"/>
        </w:rPr>
        <w:t> </w:t>
      </w:r>
      <w:r>
        <w:rPr>
          <w:sz w:val="24"/>
        </w:rPr>
        <w:t>D.,</w:t>
      </w:r>
      <w:r>
        <w:rPr>
          <w:spacing w:val="70"/>
          <w:sz w:val="24"/>
        </w:rPr>
        <w:t> </w:t>
      </w:r>
      <w:r>
        <w:rPr>
          <w:sz w:val="24"/>
        </w:rPr>
        <w:t>Yunfei,</w:t>
      </w:r>
      <w:r>
        <w:rPr>
          <w:spacing w:val="72"/>
          <w:sz w:val="24"/>
        </w:rPr>
        <w:t> </w:t>
      </w:r>
      <w:r>
        <w:rPr>
          <w:sz w:val="24"/>
        </w:rPr>
        <w:t>X.,</w:t>
      </w:r>
      <w:r>
        <w:rPr>
          <w:spacing w:val="70"/>
          <w:sz w:val="24"/>
        </w:rPr>
        <w:t> </w:t>
      </w:r>
      <w:r>
        <w:rPr>
          <w:sz w:val="24"/>
        </w:rPr>
        <w:t>Kokot,</w:t>
      </w:r>
      <w:r>
        <w:rPr>
          <w:spacing w:val="74"/>
          <w:sz w:val="24"/>
        </w:rPr>
        <w:t> </w:t>
      </w:r>
      <w:r>
        <w:rPr>
          <w:sz w:val="24"/>
        </w:rPr>
        <w:t>S.,</w:t>
      </w:r>
      <w:r>
        <w:rPr>
          <w:spacing w:val="71"/>
          <w:sz w:val="24"/>
        </w:rPr>
        <w:t> </w:t>
      </w:r>
      <w:r>
        <w:rPr>
          <w:sz w:val="24"/>
        </w:rPr>
        <w:t>(2007).</w:t>
      </w:r>
      <w:r>
        <w:rPr>
          <w:spacing w:val="71"/>
          <w:sz w:val="24"/>
        </w:rPr>
        <w:t> </w:t>
      </w:r>
      <w:r>
        <w:rPr>
          <w:sz w:val="24"/>
        </w:rPr>
        <w:t>Adsorption</w:t>
      </w:r>
      <w:r>
        <w:rPr>
          <w:spacing w:val="72"/>
          <w:sz w:val="24"/>
        </w:rPr>
        <w:t> </w:t>
      </w:r>
      <w:r>
        <w:rPr>
          <w:sz w:val="24"/>
        </w:rPr>
        <w:t>of</w:t>
      </w:r>
      <w:r>
        <w:rPr>
          <w:spacing w:val="71"/>
          <w:sz w:val="24"/>
        </w:rPr>
        <w:t> </w:t>
      </w:r>
      <w:r>
        <w:rPr>
          <w:sz w:val="24"/>
        </w:rPr>
        <w:t>hydrocarbons</w:t>
      </w:r>
      <w:r>
        <w:rPr>
          <w:spacing w:val="73"/>
          <w:sz w:val="24"/>
        </w:rPr>
        <w:t> </w:t>
      </w:r>
      <w:r>
        <w:rPr>
          <w:sz w:val="24"/>
        </w:rPr>
        <w:t>on</w:t>
      </w:r>
      <w:r>
        <w:rPr>
          <w:spacing w:val="-73"/>
          <w:sz w:val="24"/>
        </w:rPr>
        <w:t> </w:t>
      </w:r>
      <w:r>
        <w:rPr>
          <w:sz w:val="24"/>
        </w:rPr>
        <w:t>organo-clays - implications for oil spill remediation. </w:t>
      </w:r>
      <w:r>
        <w:rPr>
          <w:sz w:val="25"/>
        </w:rPr>
        <w:t>Journal of Colloid and Interface</w:t>
      </w:r>
      <w:r>
        <w:rPr>
          <w:spacing w:val="-76"/>
          <w:sz w:val="25"/>
        </w:rPr>
        <w:t> </w:t>
      </w:r>
      <w:r>
        <w:rPr>
          <w:sz w:val="25"/>
        </w:rPr>
        <w:t>Science,</w:t>
      </w:r>
      <w:r>
        <w:rPr>
          <w:spacing w:val="-5"/>
          <w:sz w:val="25"/>
        </w:rPr>
        <w:t> </w:t>
      </w:r>
      <w:r>
        <w:rPr>
          <w:sz w:val="24"/>
        </w:rPr>
        <w:t>305(1):</w:t>
      </w:r>
      <w:r>
        <w:rPr>
          <w:spacing w:val="-2"/>
          <w:sz w:val="24"/>
        </w:rPr>
        <w:t> </w:t>
      </w:r>
      <w:r>
        <w:rPr>
          <w:sz w:val="24"/>
        </w:rPr>
        <w:t>17-24.</w:t>
      </w:r>
    </w:p>
    <w:p>
      <w:pPr>
        <w:spacing w:line="470" w:lineRule="auto" w:before="246"/>
        <w:ind w:left="1918" w:right="581" w:hanging="720"/>
        <w:jc w:val="both"/>
        <w:rPr>
          <w:sz w:val="25"/>
        </w:rPr>
      </w:pPr>
      <w:r>
        <w:rPr>
          <w:sz w:val="24"/>
        </w:rPr>
        <w:t>Ghalambhor, A., (1995). Evaluation and characterization of sorbents in removal of oil</w:t>
      </w:r>
      <w:r>
        <w:rPr>
          <w:spacing w:val="1"/>
          <w:sz w:val="24"/>
        </w:rPr>
        <w:t> </w:t>
      </w:r>
      <w:r>
        <w:rPr>
          <w:sz w:val="24"/>
        </w:rPr>
        <w:t>spills.</w:t>
      </w:r>
      <w:r>
        <w:rPr>
          <w:sz w:val="25"/>
        </w:rPr>
        <w:t>Louisiana</w:t>
      </w:r>
      <w:r>
        <w:rPr>
          <w:spacing w:val="55"/>
          <w:sz w:val="25"/>
        </w:rPr>
        <w:t> </w:t>
      </w:r>
      <w:r>
        <w:rPr>
          <w:sz w:val="25"/>
        </w:rPr>
        <w:t>Applied</w:t>
      </w:r>
      <w:r>
        <w:rPr>
          <w:spacing w:val="56"/>
          <w:sz w:val="25"/>
        </w:rPr>
        <w:t> </w:t>
      </w:r>
      <w:r>
        <w:rPr>
          <w:sz w:val="25"/>
        </w:rPr>
        <w:t>Oil</w:t>
      </w:r>
      <w:r>
        <w:rPr>
          <w:spacing w:val="57"/>
          <w:sz w:val="25"/>
        </w:rPr>
        <w:t> </w:t>
      </w:r>
      <w:r>
        <w:rPr>
          <w:sz w:val="25"/>
        </w:rPr>
        <w:t>Spill</w:t>
      </w:r>
      <w:r>
        <w:rPr>
          <w:spacing w:val="56"/>
          <w:sz w:val="25"/>
        </w:rPr>
        <w:t> </w:t>
      </w:r>
      <w:r>
        <w:rPr>
          <w:sz w:val="25"/>
        </w:rPr>
        <w:t>Research</w:t>
      </w:r>
      <w:r>
        <w:rPr>
          <w:spacing w:val="55"/>
          <w:sz w:val="25"/>
        </w:rPr>
        <w:t> </w:t>
      </w:r>
      <w:r>
        <w:rPr>
          <w:sz w:val="25"/>
        </w:rPr>
        <w:t>and</w:t>
      </w:r>
      <w:r>
        <w:rPr>
          <w:spacing w:val="57"/>
          <w:sz w:val="25"/>
        </w:rPr>
        <w:t> </w:t>
      </w:r>
      <w:r>
        <w:rPr>
          <w:sz w:val="25"/>
        </w:rPr>
        <w:t>Development</w:t>
      </w:r>
      <w:r>
        <w:rPr>
          <w:spacing w:val="57"/>
          <w:sz w:val="25"/>
        </w:rPr>
        <w:t> </w:t>
      </w:r>
      <w:r>
        <w:rPr>
          <w:sz w:val="25"/>
        </w:rPr>
        <w:t>Program</w:t>
      </w:r>
      <w:r>
        <w:rPr>
          <w:spacing w:val="56"/>
          <w:sz w:val="25"/>
        </w:rPr>
        <w:t> </w:t>
      </w:r>
      <w:r>
        <w:rPr>
          <w:sz w:val="25"/>
        </w:rPr>
        <w:t>OSRADP</w:t>
      </w:r>
    </w:p>
    <w:p>
      <w:pPr>
        <w:spacing w:after="0" w:line="470" w:lineRule="auto"/>
        <w:jc w:val="both"/>
        <w:rPr>
          <w:sz w:val="25"/>
        </w:rPr>
        <w:sectPr>
          <w:pgSz w:w="11910" w:h="16840"/>
          <w:pgMar w:header="0" w:footer="987" w:top="1120" w:bottom="1260" w:left="420" w:right="0"/>
        </w:sectPr>
      </w:pPr>
    </w:p>
    <w:p>
      <w:pPr>
        <w:spacing w:line="470" w:lineRule="auto" w:before="85"/>
        <w:ind w:left="1918" w:right="575" w:firstLine="0"/>
        <w:jc w:val="left"/>
        <w:rPr>
          <w:sz w:val="24"/>
        </w:rPr>
      </w:pPr>
      <w:r>
        <w:rPr>
          <w:sz w:val="25"/>
        </w:rPr>
        <w:t>Technical</w:t>
      </w:r>
      <w:r>
        <w:rPr>
          <w:spacing w:val="15"/>
          <w:sz w:val="25"/>
        </w:rPr>
        <w:t> </w:t>
      </w:r>
      <w:r>
        <w:rPr>
          <w:sz w:val="25"/>
        </w:rPr>
        <w:t>Report</w:t>
      </w:r>
      <w:r>
        <w:rPr>
          <w:spacing w:val="14"/>
          <w:sz w:val="25"/>
        </w:rPr>
        <w:t> </w:t>
      </w:r>
      <w:r>
        <w:rPr>
          <w:sz w:val="25"/>
        </w:rPr>
        <w:t>Series,</w:t>
      </w:r>
      <w:r>
        <w:rPr>
          <w:spacing w:val="17"/>
          <w:sz w:val="25"/>
        </w:rPr>
        <w:t> </w:t>
      </w:r>
      <w:r>
        <w:rPr>
          <w:sz w:val="24"/>
        </w:rPr>
        <w:t>Louisiana</w:t>
      </w:r>
      <w:r>
        <w:rPr>
          <w:spacing w:val="20"/>
          <w:sz w:val="24"/>
        </w:rPr>
        <w:t> </w:t>
      </w:r>
      <w:r>
        <w:rPr>
          <w:sz w:val="24"/>
        </w:rPr>
        <w:t>Oil</w:t>
      </w:r>
      <w:r>
        <w:rPr>
          <w:spacing w:val="22"/>
          <w:sz w:val="24"/>
        </w:rPr>
        <w:t> </w:t>
      </w:r>
      <w:r>
        <w:rPr>
          <w:sz w:val="24"/>
        </w:rPr>
        <w:t>Spill</w:t>
      </w:r>
      <w:r>
        <w:rPr>
          <w:spacing w:val="21"/>
          <w:sz w:val="24"/>
        </w:rPr>
        <w:t> </w:t>
      </w:r>
      <w:r>
        <w:rPr>
          <w:sz w:val="24"/>
        </w:rPr>
        <w:t>Coordinators</w:t>
      </w:r>
      <w:r>
        <w:rPr>
          <w:spacing w:val="21"/>
          <w:sz w:val="24"/>
        </w:rPr>
        <w:t> </w:t>
      </w:r>
      <w:r>
        <w:rPr>
          <w:sz w:val="24"/>
        </w:rPr>
        <w:t>Office,Baton</w:t>
      </w:r>
      <w:r>
        <w:rPr>
          <w:spacing w:val="21"/>
          <w:sz w:val="24"/>
        </w:rPr>
        <w:t> </w:t>
      </w:r>
      <w:r>
        <w:rPr>
          <w:sz w:val="24"/>
        </w:rPr>
        <w:t>Rouge-</w:t>
      </w:r>
      <w:r>
        <w:rPr>
          <w:spacing w:val="-72"/>
          <w:sz w:val="24"/>
        </w:rPr>
        <w:t> </w:t>
      </w:r>
      <w:r>
        <w:rPr>
          <w:sz w:val="24"/>
        </w:rPr>
        <w:t>Louisiana.</w:t>
      </w:r>
    </w:p>
    <w:p>
      <w:pPr>
        <w:pStyle w:val="BodyText"/>
        <w:spacing w:before="250"/>
        <w:ind w:left="1198"/>
        <w:jc w:val="both"/>
      </w:pPr>
      <w:r>
        <w:rPr/>
        <w:t>Greene,</w:t>
      </w:r>
      <w:r>
        <w:rPr>
          <w:spacing w:val="11"/>
        </w:rPr>
        <w:t> </w:t>
      </w:r>
      <w:r>
        <w:rPr/>
        <w:t>G.,</w:t>
      </w:r>
      <w:r>
        <w:rPr>
          <w:spacing w:val="12"/>
        </w:rPr>
        <w:t> </w:t>
      </w:r>
      <w:r>
        <w:rPr/>
        <w:t>Mackary,</w:t>
      </w:r>
      <w:r>
        <w:rPr>
          <w:spacing w:val="15"/>
        </w:rPr>
        <w:t> </w:t>
      </w:r>
      <w:r>
        <w:rPr/>
        <w:t>D.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Overall,</w:t>
      </w:r>
      <w:r>
        <w:rPr>
          <w:spacing w:val="12"/>
        </w:rPr>
        <w:t> </w:t>
      </w:r>
      <w:r>
        <w:rPr/>
        <w:t>J.,</w:t>
      </w:r>
      <w:r>
        <w:rPr>
          <w:spacing w:val="12"/>
        </w:rPr>
        <w:t> </w:t>
      </w:r>
      <w:r>
        <w:rPr/>
        <w:t>(1975).</w:t>
      </w:r>
      <w:r>
        <w:rPr>
          <w:spacing w:val="11"/>
        </w:rPr>
        <w:t> </w:t>
      </w:r>
      <w:r>
        <w:rPr/>
        <w:t>Cleanup</w:t>
      </w:r>
      <w:r>
        <w:rPr>
          <w:spacing w:val="12"/>
        </w:rPr>
        <w:t> </w:t>
      </w:r>
      <w:r>
        <w:rPr/>
        <w:t>after</w:t>
      </w:r>
      <w:r>
        <w:rPr>
          <w:spacing w:val="12"/>
        </w:rPr>
        <w:t> </w:t>
      </w:r>
      <w:r>
        <w:rPr/>
        <w:t>territorial</w:t>
      </w:r>
      <w:r>
        <w:rPr>
          <w:spacing w:val="13"/>
        </w:rPr>
        <w:t> </w:t>
      </w:r>
      <w:r>
        <w:rPr/>
        <w:t>oil</w:t>
      </w:r>
      <w:r>
        <w:rPr>
          <w:spacing w:val="12"/>
        </w:rPr>
        <w:t> </w:t>
      </w:r>
      <w:r>
        <w:rPr/>
        <w:t>spills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arctic.</w:t>
      </w:r>
    </w:p>
    <w:p>
      <w:pPr>
        <w:pStyle w:val="BodyText"/>
        <w:spacing w:before="3"/>
        <w:rPr>
          <w:sz w:val="23"/>
        </w:rPr>
      </w:pPr>
    </w:p>
    <w:p>
      <w:pPr>
        <w:spacing w:before="1"/>
        <w:ind w:left="1918" w:right="0" w:firstLine="0"/>
        <w:jc w:val="left"/>
        <w:rPr>
          <w:sz w:val="24"/>
        </w:rPr>
      </w:pPr>
      <w:r>
        <w:rPr>
          <w:w w:val="95"/>
          <w:sz w:val="25"/>
        </w:rPr>
        <w:t>Short</w:t>
      </w:r>
      <w:r>
        <w:rPr>
          <w:spacing w:val="17"/>
          <w:w w:val="95"/>
          <w:sz w:val="25"/>
        </w:rPr>
        <w:t> </w:t>
      </w:r>
      <w:r>
        <w:rPr>
          <w:w w:val="95"/>
          <w:sz w:val="25"/>
        </w:rPr>
        <w:t>Papers,</w:t>
      </w:r>
      <w:r>
        <w:rPr>
          <w:spacing w:val="17"/>
          <w:w w:val="95"/>
          <w:sz w:val="25"/>
        </w:rPr>
        <w:t> </w:t>
      </w:r>
      <w:r>
        <w:rPr>
          <w:w w:val="95"/>
          <w:sz w:val="24"/>
        </w:rPr>
        <w:t>140-142.</w:t>
      </w:r>
    </w:p>
    <w:p>
      <w:pPr>
        <w:pStyle w:val="BodyText"/>
        <w:spacing w:before="7"/>
        <w:rPr>
          <w:sz w:val="43"/>
        </w:rPr>
      </w:pPr>
    </w:p>
    <w:p>
      <w:pPr>
        <w:spacing w:line="470" w:lineRule="auto" w:before="0"/>
        <w:ind w:left="1918" w:right="577" w:hanging="720"/>
        <w:jc w:val="both"/>
        <w:rPr>
          <w:sz w:val="24"/>
        </w:rPr>
      </w:pPr>
      <w:r>
        <w:rPr>
          <w:sz w:val="24"/>
        </w:rPr>
        <w:t>Hassan,</w:t>
      </w:r>
      <w:r>
        <w:rPr>
          <w:spacing w:val="17"/>
          <w:sz w:val="24"/>
        </w:rPr>
        <w:t> </w:t>
      </w:r>
      <w:r>
        <w:rPr>
          <w:sz w:val="24"/>
        </w:rPr>
        <w:t>A.B.,</w:t>
      </w:r>
      <w:r>
        <w:rPr>
          <w:spacing w:val="17"/>
          <w:sz w:val="24"/>
        </w:rPr>
        <w:t> </w:t>
      </w:r>
      <w:r>
        <w:rPr>
          <w:sz w:val="24"/>
        </w:rPr>
        <w:t>Abolarin,</w:t>
      </w:r>
      <w:r>
        <w:rPr>
          <w:spacing w:val="18"/>
          <w:sz w:val="24"/>
        </w:rPr>
        <w:t> </w:t>
      </w:r>
      <w:r>
        <w:rPr>
          <w:sz w:val="24"/>
        </w:rPr>
        <w:t>M.S.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Ratchel,</w:t>
      </w:r>
      <w:r>
        <w:rPr>
          <w:spacing w:val="18"/>
          <w:sz w:val="24"/>
        </w:rPr>
        <w:t> </w:t>
      </w:r>
      <w:r>
        <w:rPr>
          <w:sz w:val="24"/>
        </w:rPr>
        <w:t>U.,</w:t>
      </w:r>
      <w:r>
        <w:rPr>
          <w:spacing w:val="18"/>
          <w:sz w:val="24"/>
        </w:rPr>
        <w:t> </w:t>
      </w:r>
      <w:r>
        <w:rPr>
          <w:sz w:val="24"/>
        </w:rPr>
        <w:t>(2006).</w:t>
      </w:r>
      <w:r>
        <w:rPr>
          <w:spacing w:val="17"/>
          <w:sz w:val="24"/>
        </w:rPr>
        <w:t> </w:t>
      </w:r>
      <w:r>
        <w:rPr>
          <w:sz w:val="24"/>
        </w:rPr>
        <w:t>Investigation</w:t>
      </w:r>
      <w:r>
        <w:rPr>
          <w:spacing w:val="21"/>
          <w:sz w:val="24"/>
        </w:rPr>
        <w:t> </w:t>
      </w:r>
      <w:r>
        <w:rPr>
          <w:sz w:val="24"/>
        </w:rPr>
        <w:t>on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use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palm</w:t>
      </w:r>
      <w:r>
        <w:rPr>
          <w:spacing w:val="19"/>
          <w:sz w:val="24"/>
        </w:rPr>
        <w:t> </w:t>
      </w:r>
      <w:r>
        <w:rPr>
          <w:sz w:val="24"/>
        </w:rPr>
        <w:t>oil</w:t>
      </w:r>
      <w:r>
        <w:rPr>
          <w:spacing w:val="-72"/>
          <w:sz w:val="24"/>
        </w:rPr>
        <w:t> </w:t>
      </w:r>
      <w:r>
        <w:rPr>
          <w:spacing w:val="-1"/>
          <w:sz w:val="24"/>
        </w:rPr>
        <w:t>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lubricating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oil.</w:t>
      </w:r>
      <w:r>
        <w:rPr>
          <w:spacing w:val="-1"/>
          <w:sz w:val="25"/>
        </w:rPr>
        <w:t>Leonardo</w:t>
      </w:r>
      <w:r>
        <w:rPr>
          <w:spacing w:val="-19"/>
          <w:sz w:val="25"/>
        </w:rPr>
        <w:t> </w:t>
      </w:r>
      <w:r>
        <w:rPr>
          <w:spacing w:val="-1"/>
          <w:sz w:val="25"/>
        </w:rPr>
        <w:t>Electronic</w:t>
      </w:r>
      <w:r>
        <w:rPr>
          <w:spacing w:val="-18"/>
          <w:sz w:val="25"/>
        </w:rPr>
        <w:t> </w:t>
      </w:r>
      <w:r>
        <w:rPr>
          <w:spacing w:val="-1"/>
          <w:sz w:val="25"/>
        </w:rPr>
        <w:t>Journal</w:t>
      </w:r>
      <w:r>
        <w:rPr>
          <w:spacing w:val="-14"/>
          <w:sz w:val="25"/>
        </w:rPr>
        <w:t> </w:t>
      </w:r>
      <w:r>
        <w:rPr>
          <w:spacing w:val="-1"/>
          <w:sz w:val="25"/>
        </w:rPr>
        <w:t>of</w:t>
      </w:r>
      <w:r>
        <w:rPr>
          <w:spacing w:val="-18"/>
          <w:sz w:val="25"/>
        </w:rPr>
        <w:t> </w:t>
      </w:r>
      <w:r>
        <w:rPr>
          <w:sz w:val="25"/>
        </w:rPr>
        <w:t>Practices</w:t>
      </w:r>
      <w:r>
        <w:rPr>
          <w:spacing w:val="-17"/>
          <w:sz w:val="25"/>
        </w:rPr>
        <w:t> </w:t>
      </w:r>
      <w:r>
        <w:rPr>
          <w:sz w:val="25"/>
        </w:rPr>
        <w:t>and</w:t>
      </w:r>
      <w:r>
        <w:rPr>
          <w:spacing w:val="-15"/>
          <w:sz w:val="25"/>
        </w:rPr>
        <w:t> </w:t>
      </w:r>
      <w:r>
        <w:rPr>
          <w:sz w:val="25"/>
        </w:rPr>
        <w:t>Techniques</w:t>
      </w:r>
      <w:r>
        <w:rPr>
          <w:sz w:val="24"/>
        </w:rPr>
        <w:t>,</w:t>
      </w:r>
      <w:r>
        <w:rPr>
          <w:spacing w:val="-15"/>
          <w:sz w:val="24"/>
        </w:rPr>
        <w:t> </w:t>
      </w:r>
      <w:r>
        <w:rPr>
          <w:sz w:val="24"/>
        </w:rPr>
        <w:t>8:</w:t>
      </w:r>
      <w:r>
        <w:rPr>
          <w:spacing w:val="-15"/>
          <w:sz w:val="24"/>
        </w:rPr>
        <w:t> </w:t>
      </w:r>
      <w:r>
        <w:rPr>
          <w:sz w:val="24"/>
        </w:rPr>
        <w:t>1-8.</w:t>
      </w:r>
    </w:p>
    <w:p>
      <w:pPr>
        <w:pStyle w:val="BodyText"/>
        <w:spacing w:line="465" w:lineRule="auto" w:before="241"/>
        <w:ind w:left="1918" w:right="576" w:hanging="720"/>
        <w:jc w:val="both"/>
      </w:pPr>
      <w:r>
        <w:rPr/>
        <w:t>Haussard, M., Gaballah, I., Kanari, N., De Donato, P., Barrés, O. and Villieras, F., (2003).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hydrocarbons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bark.</w:t>
      </w:r>
      <w:r>
        <w:rPr>
          <w:spacing w:val="1"/>
        </w:rPr>
        <w:t> </w:t>
      </w:r>
      <w:r>
        <w:rPr>
          <w:sz w:val="25"/>
        </w:rPr>
        <w:t>Water</w:t>
      </w:r>
      <w:r>
        <w:rPr>
          <w:spacing w:val="1"/>
          <w:sz w:val="25"/>
        </w:rPr>
        <w:t> </w:t>
      </w:r>
      <w:r>
        <w:rPr>
          <w:sz w:val="25"/>
        </w:rPr>
        <w:t>Resources</w:t>
      </w:r>
      <w:r>
        <w:rPr/>
        <w:t>,</w:t>
      </w:r>
      <w:r>
        <w:rPr>
          <w:spacing w:val="-2"/>
        </w:rPr>
        <w:t> </w:t>
      </w:r>
      <w:r>
        <w:rPr/>
        <w:t>37(2):</w:t>
      </w:r>
      <w:r>
        <w:rPr>
          <w:spacing w:val="-3"/>
        </w:rPr>
        <w:t> </w:t>
      </w:r>
      <w:r>
        <w:rPr/>
        <w:t>362–374.</w:t>
      </w:r>
    </w:p>
    <w:p>
      <w:pPr>
        <w:spacing w:line="475" w:lineRule="auto" w:before="235"/>
        <w:ind w:left="1918" w:right="574" w:hanging="720"/>
        <w:jc w:val="both"/>
        <w:rPr>
          <w:sz w:val="24"/>
        </w:rPr>
      </w:pPr>
      <w:r>
        <w:rPr>
          <w:sz w:val="24"/>
        </w:rPr>
        <w:t>Heinze, T., (2005).</w:t>
      </w:r>
      <w:r>
        <w:rPr>
          <w:sz w:val="25"/>
        </w:rPr>
        <w:t>Carboxyl Methyl Esters of Cellulose and Starch- A Review</w:t>
      </w:r>
      <w:r>
        <w:rPr>
          <w:sz w:val="24"/>
        </w:rPr>
        <w:t>, Centre of</w:t>
      </w:r>
      <w:r>
        <w:rPr>
          <w:spacing w:val="1"/>
          <w:sz w:val="24"/>
        </w:rPr>
        <w:t> </w:t>
      </w:r>
      <w:r>
        <w:rPr>
          <w:sz w:val="24"/>
        </w:rPr>
        <w:t>Excellence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Polysaccharide</w:t>
      </w:r>
      <w:r>
        <w:rPr>
          <w:spacing w:val="1"/>
          <w:sz w:val="24"/>
        </w:rPr>
        <w:t> </w:t>
      </w:r>
      <w:r>
        <w:rPr>
          <w:sz w:val="24"/>
        </w:rPr>
        <w:t>Research,</w:t>
      </w:r>
      <w:r>
        <w:rPr>
          <w:spacing w:val="1"/>
          <w:sz w:val="24"/>
        </w:rPr>
        <w:t> </w:t>
      </w:r>
      <w:r>
        <w:rPr>
          <w:sz w:val="24"/>
        </w:rPr>
        <w:t>Friedrich</w:t>
      </w:r>
      <w:r>
        <w:rPr>
          <w:spacing w:val="1"/>
          <w:sz w:val="24"/>
        </w:rPr>
        <w:t> </w:t>
      </w:r>
      <w:r>
        <w:rPr>
          <w:sz w:val="24"/>
        </w:rPr>
        <w:t>Schiller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Jera,</w:t>
      </w:r>
      <w:r>
        <w:rPr>
          <w:spacing w:val="1"/>
          <w:sz w:val="24"/>
        </w:rPr>
        <w:t> </w:t>
      </w:r>
      <w:r>
        <w:rPr>
          <w:sz w:val="24"/>
        </w:rPr>
        <w:t>Humboldstrasse,</w:t>
      </w:r>
      <w:r>
        <w:rPr>
          <w:spacing w:val="-2"/>
          <w:sz w:val="24"/>
        </w:rPr>
        <w:t> </w:t>
      </w:r>
      <w:r>
        <w:rPr>
          <w:sz w:val="24"/>
        </w:rPr>
        <w:t>3:</w:t>
      </w:r>
      <w:r>
        <w:rPr>
          <w:spacing w:val="-2"/>
          <w:sz w:val="24"/>
        </w:rPr>
        <w:t> </w:t>
      </w:r>
      <w:r>
        <w:rPr>
          <w:sz w:val="24"/>
        </w:rPr>
        <w:t>13–29.</w:t>
      </w:r>
    </w:p>
    <w:p>
      <w:pPr>
        <w:pStyle w:val="BodyText"/>
        <w:spacing w:line="472" w:lineRule="auto" w:before="243"/>
        <w:ind w:left="1918" w:right="583" w:hanging="720"/>
        <w:jc w:val="both"/>
      </w:pPr>
      <w:r>
        <w:rPr/>
        <w:t>Hill, C A S., Jones, D., Strickland, G., and Cetin, N S., (1998).Kinetics and mechanistic</w:t>
      </w:r>
      <w:r>
        <w:rPr>
          <w:spacing w:val="1"/>
        </w:rPr>
        <w:t> </w:t>
      </w:r>
      <w:r>
        <w:rPr/>
        <w:t>aspects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acetylation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wood</w:t>
      </w:r>
      <w:r>
        <w:rPr>
          <w:spacing w:val="-10"/>
        </w:rPr>
        <w:t> </w:t>
      </w:r>
      <w:r>
        <w:rPr/>
        <w:t>with</w:t>
      </w:r>
      <w:r>
        <w:rPr>
          <w:spacing w:val="-8"/>
        </w:rPr>
        <w:t> </w:t>
      </w:r>
      <w:r>
        <w:rPr/>
        <w:t>acetic</w:t>
      </w:r>
      <w:r>
        <w:rPr>
          <w:spacing w:val="-6"/>
        </w:rPr>
        <w:t> </w:t>
      </w:r>
      <w:r>
        <w:rPr/>
        <w:t>anhydride.</w:t>
      </w:r>
      <w:r>
        <w:rPr>
          <w:sz w:val="25"/>
        </w:rPr>
        <w:t>Holzforscung</w:t>
      </w:r>
      <w:r>
        <w:rPr/>
        <w:t>,</w:t>
      </w:r>
      <w:r>
        <w:rPr>
          <w:spacing w:val="-9"/>
        </w:rPr>
        <w:t> </w:t>
      </w:r>
      <w:r>
        <w:rPr/>
        <w:t>52:</w:t>
      </w:r>
      <w:r>
        <w:rPr>
          <w:spacing w:val="-10"/>
        </w:rPr>
        <w:t> </w:t>
      </w:r>
      <w:r>
        <w:rPr/>
        <w:t>623-629.</w:t>
      </w:r>
    </w:p>
    <w:p>
      <w:pPr>
        <w:spacing w:before="224"/>
        <w:ind w:left="1198" w:right="0" w:firstLine="0"/>
        <w:jc w:val="both"/>
        <w:rPr>
          <w:sz w:val="25"/>
        </w:rPr>
      </w:pPr>
      <w:r>
        <w:rPr>
          <w:sz w:val="24"/>
        </w:rPr>
        <w:t>Hill,</w:t>
      </w:r>
      <w:r>
        <w:rPr>
          <w:spacing w:val="134"/>
          <w:sz w:val="24"/>
        </w:rPr>
        <w:t> </w:t>
      </w:r>
      <w:r>
        <w:rPr>
          <w:sz w:val="24"/>
        </w:rPr>
        <w:t>C.A.S.,  </w:t>
      </w:r>
      <w:r>
        <w:rPr>
          <w:spacing w:val="57"/>
          <w:sz w:val="24"/>
        </w:rPr>
        <w:t> </w:t>
      </w:r>
      <w:r>
        <w:rPr>
          <w:sz w:val="24"/>
        </w:rPr>
        <w:t>(2006a).  </w:t>
      </w:r>
      <w:r>
        <w:rPr>
          <w:spacing w:val="59"/>
          <w:sz w:val="24"/>
        </w:rPr>
        <w:t> </w:t>
      </w:r>
      <w:r>
        <w:rPr>
          <w:sz w:val="25"/>
        </w:rPr>
        <w:t>Acetylated  </w:t>
      </w:r>
      <w:r>
        <w:rPr>
          <w:spacing w:val="49"/>
          <w:sz w:val="25"/>
        </w:rPr>
        <w:t> </w:t>
      </w:r>
      <w:r>
        <w:rPr>
          <w:sz w:val="25"/>
        </w:rPr>
        <w:t>wood:  </w:t>
      </w:r>
      <w:r>
        <w:rPr>
          <w:spacing w:val="48"/>
          <w:sz w:val="25"/>
        </w:rPr>
        <w:t> </w:t>
      </w:r>
      <w:r>
        <w:rPr>
          <w:sz w:val="25"/>
        </w:rPr>
        <w:t>The  </w:t>
      </w:r>
      <w:r>
        <w:rPr>
          <w:spacing w:val="50"/>
          <w:sz w:val="25"/>
        </w:rPr>
        <w:t> </w:t>
      </w:r>
      <w:r>
        <w:rPr>
          <w:sz w:val="25"/>
        </w:rPr>
        <w:t>science  </w:t>
      </w:r>
      <w:r>
        <w:rPr>
          <w:spacing w:val="50"/>
          <w:sz w:val="25"/>
        </w:rPr>
        <w:t> </w:t>
      </w:r>
      <w:r>
        <w:rPr>
          <w:sz w:val="25"/>
        </w:rPr>
        <w:t>behind  </w:t>
      </w:r>
      <w:r>
        <w:rPr>
          <w:spacing w:val="49"/>
          <w:sz w:val="25"/>
        </w:rPr>
        <w:t> </w:t>
      </w:r>
      <w:r>
        <w:rPr>
          <w:sz w:val="25"/>
        </w:rPr>
        <w:t>the  </w:t>
      </w:r>
      <w:r>
        <w:rPr>
          <w:spacing w:val="49"/>
          <w:sz w:val="25"/>
        </w:rPr>
        <w:t> </w:t>
      </w:r>
      <w:r>
        <w:rPr>
          <w:sz w:val="25"/>
        </w:rPr>
        <w:t>material.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918"/>
      </w:pPr>
      <w:hyperlink r:id="rId76">
        <w:r>
          <w:rPr/>
          <w:t>http://www.accoya.com/download.asp.</w:t>
        </w:r>
        <w:r>
          <w:rPr>
            <w:spacing w:val="-10"/>
          </w:rPr>
          <w:t> </w:t>
        </w:r>
      </w:hyperlink>
      <w:r>
        <w:rPr/>
        <w:t>Retrieved</w:t>
      </w:r>
      <w:r>
        <w:rPr>
          <w:spacing w:val="-10"/>
        </w:rPr>
        <w:t> </w:t>
      </w:r>
      <w:r>
        <w:rPr/>
        <w:t>03/06/2012.</w:t>
      </w:r>
    </w:p>
    <w:p>
      <w:pPr>
        <w:pStyle w:val="BodyText"/>
        <w:rPr>
          <w:sz w:val="28"/>
        </w:rPr>
      </w:pPr>
    </w:p>
    <w:p>
      <w:pPr>
        <w:spacing w:line="468" w:lineRule="auto" w:before="182"/>
        <w:ind w:left="1918" w:right="577" w:hanging="720"/>
        <w:jc w:val="both"/>
        <w:rPr>
          <w:sz w:val="24"/>
        </w:rPr>
      </w:pPr>
      <w:r>
        <w:rPr>
          <w:sz w:val="24"/>
        </w:rPr>
        <w:t>Hill, C.A.S,. (2006b). </w:t>
      </w:r>
      <w:r>
        <w:rPr>
          <w:sz w:val="25"/>
        </w:rPr>
        <w:t>Wood Modification: Chemical, Thermal and Other Processes</w:t>
      </w:r>
      <w:r>
        <w:rPr>
          <w:sz w:val="24"/>
        </w:rPr>
        <w:t>. John</w:t>
      </w:r>
      <w:r>
        <w:rPr>
          <w:spacing w:val="1"/>
          <w:sz w:val="24"/>
        </w:rPr>
        <w:t> </w:t>
      </w:r>
      <w:r>
        <w:rPr>
          <w:sz w:val="24"/>
        </w:rPr>
        <w:t>Wiley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Sons,</w:t>
      </w:r>
      <w:r>
        <w:rPr>
          <w:spacing w:val="-1"/>
          <w:sz w:val="24"/>
        </w:rPr>
        <w:t> </w:t>
      </w:r>
      <w:r>
        <w:rPr>
          <w:sz w:val="24"/>
        </w:rPr>
        <w:t>Chichester</w:t>
      </w:r>
      <w:r>
        <w:rPr>
          <w:spacing w:val="-1"/>
          <w:sz w:val="24"/>
        </w:rPr>
        <w:t> </w:t>
      </w:r>
      <w:r>
        <w:rPr>
          <w:sz w:val="24"/>
        </w:rPr>
        <w:t>Sussex,</w:t>
      </w:r>
      <w:r>
        <w:rPr>
          <w:spacing w:val="-2"/>
          <w:sz w:val="24"/>
        </w:rPr>
        <w:t> </w:t>
      </w:r>
      <w:r>
        <w:rPr>
          <w:sz w:val="24"/>
        </w:rPr>
        <w:t>Uk.</w:t>
      </w:r>
      <w:r>
        <w:rPr>
          <w:spacing w:val="2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 </w:t>
      </w:r>
      <w:r>
        <w:rPr>
          <w:sz w:val="24"/>
        </w:rPr>
        <w:t>35-47.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70" w:lineRule="auto"/>
        <w:ind w:left="1918" w:right="579" w:hanging="720"/>
        <w:jc w:val="both"/>
      </w:pPr>
      <w:r>
        <w:rPr/>
        <w:t>Hitzman, D.O. and Okia, B., (1968). Method of removing oil from polluted water using</w:t>
      </w:r>
      <w:r>
        <w:rPr>
          <w:spacing w:val="1"/>
        </w:rPr>
        <w:t> </w:t>
      </w:r>
      <w:r>
        <w:rPr/>
        <w:t>expanded</w:t>
      </w:r>
      <w:r>
        <w:rPr>
          <w:spacing w:val="-3"/>
        </w:rPr>
        <w:t> </w:t>
      </w:r>
      <w:r>
        <w:rPr/>
        <w:t>vermiculite.</w:t>
      </w:r>
      <w:r>
        <w:rPr>
          <w:sz w:val="25"/>
        </w:rPr>
        <w:t>US</w:t>
      </w:r>
      <w:r>
        <w:rPr>
          <w:spacing w:val="-5"/>
          <w:sz w:val="25"/>
        </w:rPr>
        <w:t> </w:t>
      </w:r>
      <w:r>
        <w:rPr>
          <w:sz w:val="25"/>
        </w:rPr>
        <w:t>Patent,</w:t>
      </w:r>
      <w:r>
        <w:rPr>
          <w:spacing w:val="-7"/>
          <w:sz w:val="25"/>
        </w:rPr>
        <w:t> </w:t>
      </w:r>
      <w:r>
        <w:rPr>
          <w:sz w:val="25"/>
        </w:rPr>
        <w:t>No.3414511</w:t>
      </w:r>
      <w:r>
        <w:rPr/>
        <w:t>.</w:t>
      </w:r>
    </w:p>
    <w:p>
      <w:pPr>
        <w:spacing w:after="0" w:line="470" w:lineRule="auto"/>
        <w:jc w:val="both"/>
        <w:sectPr>
          <w:pgSz w:w="11910" w:h="16840"/>
          <w:pgMar w:header="0" w:footer="987" w:top="1120" w:bottom="1260" w:left="420" w:right="0"/>
        </w:sectPr>
      </w:pPr>
    </w:p>
    <w:p>
      <w:pPr>
        <w:pStyle w:val="BodyText"/>
        <w:spacing w:line="482" w:lineRule="auto" w:before="75"/>
        <w:ind w:left="1918" w:right="580" w:hanging="720"/>
        <w:jc w:val="both"/>
      </w:pPr>
      <w:r>
        <w:rPr/>
        <w:t>Ho, Y.S.,(1995). Adsorption of Heavy Metals from waste streams by peat. PhD thesis,</w:t>
      </w:r>
      <w:r>
        <w:rPr>
          <w:spacing w:val="1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Birmingham,</w:t>
      </w:r>
      <w:r>
        <w:rPr>
          <w:spacing w:val="-1"/>
        </w:rPr>
        <w:t> </w:t>
      </w:r>
      <w:r>
        <w:rPr/>
        <w:t>UK.</w:t>
      </w:r>
    </w:p>
    <w:p>
      <w:pPr>
        <w:pStyle w:val="BodyText"/>
        <w:spacing w:line="480" w:lineRule="auto" w:before="235"/>
        <w:ind w:left="1918" w:right="573" w:hanging="720"/>
        <w:jc w:val="both"/>
      </w:pPr>
      <w:r>
        <w:rPr/>
        <w:t>Hofle, G., Steglich, W. and Vorbroggen, H., (1978).4–Dimethylamino pyridines as highly</w:t>
      </w:r>
      <w:r>
        <w:rPr>
          <w:spacing w:val="1"/>
        </w:rPr>
        <w:t> </w:t>
      </w:r>
      <w:r>
        <w:rPr/>
        <w:t>active acylation catalyst. Angew Chemical, International Edition England. 17: 569-</w:t>
      </w:r>
      <w:r>
        <w:rPr>
          <w:spacing w:val="1"/>
        </w:rPr>
        <w:t> </w:t>
      </w:r>
      <w:r>
        <w:rPr/>
        <w:t>583.</w:t>
      </w:r>
    </w:p>
    <w:p>
      <w:pPr>
        <w:spacing w:line="463" w:lineRule="auto" w:before="229"/>
        <w:ind w:left="1918" w:right="580" w:hanging="720"/>
        <w:jc w:val="both"/>
        <w:rPr>
          <w:sz w:val="24"/>
        </w:rPr>
      </w:pPr>
      <w:r>
        <w:rPr>
          <w:sz w:val="24"/>
        </w:rPr>
        <w:t>Homan, W., Tjeerdsma, B., Beckers, E. and Joressen, A,. (2000). </w:t>
      </w:r>
      <w:r>
        <w:rPr>
          <w:sz w:val="25"/>
        </w:rPr>
        <w:t>Structura1 and other</w:t>
      </w:r>
      <w:r>
        <w:rPr>
          <w:spacing w:val="1"/>
          <w:sz w:val="25"/>
        </w:rPr>
        <w:t> </w:t>
      </w:r>
      <w:r>
        <w:rPr>
          <w:sz w:val="25"/>
        </w:rPr>
        <w:t>properties</w:t>
      </w:r>
      <w:r>
        <w:rPr>
          <w:spacing w:val="-10"/>
          <w:sz w:val="25"/>
        </w:rPr>
        <w:t> </w:t>
      </w:r>
      <w:r>
        <w:rPr>
          <w:sz w:val="25"/>
        </w:rPr>
        <w:t>of</w:t>
      </w:r>
      <w:r>
        <w:rPr>
          <w:spacing w:val="-10"/>
          <w:sz w:val="25"/>
        </w:rPr>
        <w:t> </w:t>
      </w:r>
      <w:r>
        <w:rPr>
          <w:sz w:val="25"/>
        </w:rPr>
        <w:t>modified</w:t>
      </w:r>
      <w:r>
        <w:rPr>
          <w:spacing w:val="-10"/>
          <w:sz w:val="25"/>
        </w:rPr>
        <w:t> </w:t>
      </w:r>
      <w:r>
        <w:rPr>
          <w:sz w:val="25"/>
        </w:rPr>
        <w:t>wood.</w:t>
      </w:r>
      <w:r>
        <w:rPr>
          <w:spacing w:val="-9"/>
          <w:sz w:val="25"/>
        </w:rPr>
        <w:t> </w:t>
      </w:r>
      <w:r>
        <w:rPr>
          <w:sz w:val="24"/>
        </w:rPr>
        <w:t>Congress</w:t>
      </w:r>
      <w:r>
        <w:rPr>
          <w:spacing w:val="-7"/>
          <w:sz w:val="24"/>
        </w:rPr>
        <w:t> </w:t>
      </w:r>
      <w:r>
        <w:rPr>
          <w:sz w:val="24"/>
        </w:rPr>
        <w:t>WCTE,</w:t>
      </w:r>
      <w:r>
        <w:rPr>
          <w:spacing w:val="-8"/>
          <w:sz w:val="24"/>
        </w:rPr>
        <w:t> </w:t>
      </w:r>
      <w:r>
        <w:rPr>
          <w:sz w:val="24"/>
        </w:rPr>
        <w:t>Whistler,</w:t>
      </w:r>
      <w:r>
        <w:rPr>
          <w:spacing w:val="-9"/>
          <w:sz w:val="24"/>
        </w:rPr>
        <w:t> </w:t>
      </w:r>
      <w:r>
        <w:rPr>
          <w:sz w:val="24"/>
        </w:rPr>
        <w:t>Canada.</w:t>
      </w:r>
      <w:r>
        <w:rPr>
          <w:spacing w:val="-5"/>
          <w:sz w:val="24"/>
        </w:rPr>
        <w:t> </w:t>
      </w:r>
      <w:r>
        <w:rPr>
          <w:sz w:val="24"/>
        </w:rPr>
        <w:t>Pp</w:t>
      </w:r>
      <w:r>
        <w:rPr>
          <w:spacing w:val="-6"/>
          <w:sz w:val="24"/>
        </w:rPr>
        <w:t> </w:t>
      </w:r>
      <w:r>
        <w:rPr>
          <w:sz w:val="24"/>
        </w:rPr>
        <w:t>433-441.</w:t>
      </w:r>
    </w:p>
    <w:p>
      <w:pPr>
        <w:pStyle w:val="BodyText"/>
        <w:spacing w:line="475" w:lineRule="auto" w:before="245"/>
        <w:ind w:left="1918" w:right="576" w:hanging="720"/>
        <w:jc w:val="both"/>
      </w:pPr>
      <w:r>
        <w:rPr/>
        <w:t>Hulla, L.E., French, J.E. and Dunnick, J.K., (2001). Chromosome 11 allotropes reflect a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carcinogenesis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heterozygous</w:t>
      </w:r>
      <w:r>
        <w:rPr>
          <w:spacing w:val="1"/>
        </w:rPr>
        <w:t> </w:t>
      </w:r>
      <w:r>
        <w:rPr/>
        <w:t>p-53</w:t>
      </w:r>
      <w:r>
        <w:rPr>
          <w:spacing w:val="1"/>
        </w:rPr>
        <w:t> </w:t>
      </w:r>
      <w:r>
        <w:rPr/>
        <w:t>deficient</w:t>
      </w:r>
      <w:r>
        <w:rPr>
          <w:spacing w:val="1"/>
        </w:rPr>
        <w:t> </w:t>
      </w:r>
      <w:r>
        <w:rPr/>
        <w:t>mice.</w:t>
      </w:r>
      <w:r>
        <w:rPr>
          <w:spacing w:val="1"/>
        </w:rPr>
        <w:t> </w:t>
      </w:r>
      <w:r>
        <w:rPr>
          <w:sz w:val="25"/>
        </w:rPr>
        <w:t>Carcinogenesis</w:t>
      </w:r>
      <w:r>
        <w:rPr/>
        <w:t>,</w:t>
      </w:r>
      <w:r>
        <w:rPr>
          <w:spacing w:val="-2"/>
        </w:rPr>
        <w:t> </w:t>
      </w:r>
      <w:r>
        <w:rPr/>
        <w:t>229(10):</w:t>
      </w:r>
      <w:r>
        <w:rPr>
          <w:spacing w:val="-2"/>
        </w:rPr>
        <w:t> </w:t>
      </w:r>
      <w:r>
        <w:rPr/>
        <w:t>69-98.</w:t>
      </w:r>
    </w:p>
    <w:p>
      <w:pPr>
        <w:spacing w:line="465" w:lineRule="auto" w:before="233"/>
        <w:ind w:left="1918" w:right="577" w:hanging="720"/>
        <w:jc w:val="both"/>
        <w:rPr>
          <w:sz w:val="24"/>
        </w:rPr>
      </w:pPr>
      <w:r>
        <w:rPr>
          <w:sz w:val="24"/>
        </w:rPr>
        <w:t>Hussein, M., Amer, A.A. and Sawsan, I.I., (2008). Oil spill sorption using carbonized pith</w:t>
      </w:r>
      <w:r>
        <w:rPr>
          <w:spacing w:val="1"/>
          <w:sz w:val="24"/>
        </w:rPr>
        <w:t> </w:t>
      </w:r>
      <w:r>
        <w:rPr>
          <w:sz w:val="24"/>
        </w:rPr>
        <w:t>bagasse:</w:t>
      </w:r>
      <w:r>
        <w:rPr>
          <w:spacing w:val="1"/>
          <w:sz w:val="24"/>
        </w:rPr>
        <w:t> </w:t>
      </w:r>
      <w:r>
        <w:rPr>
          <w:sz w:val="24"/>
        </w:rPr>
        <w:t>trial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practical</w:t>
      </w:r>
      <w:r>
        <w:rPr>
          <w:spacing w:val="1"/>
          <w:sz w:val="24"/>
        </w:rPr>
        <w:t> </w:t>
      </w:r>
      <w:r>
        <w:rPr>
          <w:sz w:val="24"/>
        </w:rPr>
        <w:t>application.</w:t>
      </w:r>
      <w:r>
        <w:rPr>
          <w:spacing w:val="1"/>
          <w:sz w:val="24"/>
        </w:rPr>
        <w:t> </w:t>
      </w:r>
      <w:r>
        <w:rPr>
          <w:sz w:val="25"/>
        </w:rPr>
        <w:t>International</w:t>
      </w:r>
      <w:r>
        <w:rPr>
          <w:spacing w:val="1"/>
          <w:sz w:val="25"/>
        </w:rPr>
        <w:t> </w:t>
      </w:r>
      <w:r>
        <w:rPr>
          <w:sz w:val="25"/>
        </w:rPr>
        <w:t>Journal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Environmental</w:t>
      </w:r>
      <w:r>
        <w:rPr>
          <w:spacing w:val="-76"/>
          <w:sz w:val="25"/>
        </w:rPr>
        <w:t> </w:t>
      </w:r>
      <w:r>
        <w:rPr>
          <w:sz w:val="25"/>
        </w:rPr>
        <w:t>Science</w:t>
      </w:r>
      <w:r>
        <w:rPr>
          <w:spacing w:val="-4"/>
          <w:sz w:val="25"/>
        </w:rPr>
        <w:t> </w:t>
      </w:r>
      <w:r>
        <w:rPr>
          <w:sz w:val="25"/>
        </w:rPr>
        <w:t>and</w:t>
      </w:r>
      <w:r>
        <w:rPr>
          <w:spacing w:val="-6"/>
          <w:sz w:val="25"/>
        </w:rPr>
        <w:t> </w:t>
      </w:r>
      <w:r>
        <w:rPr>
          <w:sz w:val="25"/>
        </w:rPr>
        <w:t>Technology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5(2):</w:t>
      </w:r>
      <w:r>
        <w:rPr>
          <w:spacing w:val="-4"/>
          <w:sz w:val="24"/>
        </w:rPr>
        <w:t> </w:t>
      </w:r>
      <w:r>
        <w:rPr>
          <w:sz w:val="24"/>
        </w:rPr>
        <w:t>233-242.</w:t>
      </w:r>
    </w:p>
    <w:p>
      <w:pPr>
        <w:pStyle w:val="BodyText"/>
        <w:spacing w:line="480" w:lineRule="auto" w:before="248"/>
        <w:ind w:left="1918" w:right="584" w:hanging="720"/>
        <w:jc w:val="both"/>
      </w:pPr>
      <w:r>
        <w:rPr/>
        <w:t>Ibemesi, J.A. (2004). Physical chemistry for tertiary institutions, Part 1. SAN Press Enugu,</w:t>
      </w:r>
      <w:r>
        <w:rPr>
          <w:spacing w:val="1"/>
        </w:rPr>
        <w:t> </w:t>
      </w:r>
      <w:r>
        <w:rPr/>
        <w:t>Second</w:t>
      </w:r>
      <w:r>
        <w:rPr>
          <w:spacing w:val="-2"/>
        </w:rPr>
        <w:t> </w:t>
      </w:r>
      <w:r>
        <w:rPr/>
        <w:t>Edition,</w:t>
      </w:r>
      <w:r>
        <w:rPr>
          <w:spacing w:val="1"/>
        </w:rPr>
        <w:t> </w:t>
      </w:r>
      <w:r>
        <w:rPr/>
        <w:t>pp</w:t>
      </w:r>
      <w:r>
        <w:rPr>
          <w:spacing w:val="-2"/>
        </w:rPr>
        <w:t> </w:t>
      </w:r>
      <w:r>
        <w:rPr/>
        <w:t>189-210.</w:t>
      </w:r>
    </w:p>
    <w:p>
      <w:pPr>
        <w:pStyle w:val="BodyText"/>
        <w:spacing w:line="480" w:lineRule="auto"/>
        <w:ind w:left="1918" w:right="584" w:hanging="720"/>
        <w:jc w:val="both"/>
      </w:pPr>
      <w:r>
        <w:rPr/>
        <w:t>Igwe, J.C., Abia, A.A., (2006). A bioseparation process for removing heavy metals from</w:t>
      </w:r>
      <w:r>
        <w:rPr>
          <w:spacing w:val="1"/>
        </w:rPr>
        <w:t> </w:t>
      </w:r>
      <w:r>
        <w:rPr/>
        <w:t>wastewater</w:t>
      </w:r>
      <w:r>
        <w:rPr>
          <w:spacing w:val="-4"/>
        </w:rPr>
        <w:t> </w:t>
      </w:r>
      <w:r>
        <w:rPr/>
        <w:t>using</w:t>
      </w:r>
      <w:r>
        <w:rPr>
          <w:spacing w:val="-3"/>
        </w:rPr>
        <w:t> </w:t>
      </w:r>
      <w:r>
        <w:rPr/>
        <w:t>biosorbents.</w:t>
      </w:r>
      <w:r>
        <w:rPr>
          <w:spacing w:val="-3"/>
        </w:rPr>
        <w:t> </w:t>
      </w:r>
      <w:r>
        <w:rPr/>
        <w:t>African</w:t>
      </w:r>
      <w:r>
        <w:rPr>
          <w:spacing w:val="-2"/>
        </w:rPr>
        <w:t> </w:t>
      </w:r>
      <w:r>
        <w:rPr/>
        <w:t>Journal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Biotechnology,</w:t>
      </w:r>
      <w:r>
        <w:rPr>
          <w:spacing w:val="-4"/>
        </w:rPr>
        <w:t> </w:t>
      </w:r>
      <w:r>
        <w:rPr/>
        <w:t>5 (12),</w:t>
      </w:r>
      <w:r>
        <w:rPr>
          <w:spacing w:val="-5"/>
        </w:rPr>
        <w:t> </w:t>
      </w:r>
      <w:r>
        <w:rPr/>
        <w:t>1167-1179.</w:t>
      </w:r>
    </w:p>
    <w:p>
      <w:pPr>
        <w:pStyle w:val="BodyText"/>
        <w:spacing w:line="480" w:lineRule="auto"/>
        <w:ind w:left="1918" w:right="578" w:hanging="720"/>
        <w:jc w:val="both"/>
      </w:pPr>
      <w:r>
        <w:rPr/>
        <w:t>Indrayam, Y., Yusuf, S., Hadi, Y.S., Nandika, D. and Ibach, R.E., (2000). Dry wood termite</w:t>
      </w:r>
      <w:r>
        <w:rPr>
          <w:spacing w:val="1"/>
        </w:rPr>
        <w:t> </w:t>
      </w:r>
      <w:r>
        <w:rPr/>
        <w:t>resitance of acetylated and polymerized tributylin acrylate (TBTA) Indonesian and</w:t>
      </w:r>
      <w:r>
        <w:rPr>
          <w:spacing w:val="1"/>
        </w:rPr>
        <w:t> </w:t>
      </w:r>
      <w:r>
        <w:rPr/>
        <w:t>USA wood, in proceedings of the 3</w:t>
      </w:r>
      <w:r>
        <w:rPr>
          <w:vertAlign w:val="superscript"/>
        </w:rPr>
        <w:t>rd</w:t>
      </w:r>
      <w:r>
        <w:rPr>
          <w:vertAlign w:val="baseline"/>
        </w:rPr>
        <w:t> international wood science symposium, core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2"/>
          <w:vertAlign w:val="baseline"/>
        </w:rPr>
        <w:t> </w:t>
      </w:r>
      <w:r>
        <w:rPr>
          <w:vertAlign w:val="baseline"/>
        </w:rPr>
        <w:t>programme in the field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wood science.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spacing w:line="463" w:lineRule="auto" w:before="85"/>
        <w:ind w:left="1918" w:right="578" w:hanging="720"/>
        <w:jc w:val="both"/>
        <w:rPr>
          <w:sz w:val="24"/>
        </w:rPr>
      </w:pPr>
      <w:r>
        <w:rPr>
          <w:sz w:val="24"/>
        </w:rPr>
        <w:t>International Annual Report on Carcinogens (IARC), (2005).Benzene.</w:t>
      </w:r>
      <w:r>
        <w:rPr>
          <w:sz w:val="25"/>
        </w:rPr>
        <w:t>Substance Profile</w:t>
      </w:r>
      <w:r>
        <w:rPr>
          <w:spacing w:val="1"/>
          <w:sz w:val="25"/>
        </w:rPr>
        <w:t> </w:t>
      </w:r>
      <w:r>
        <w:rPr>
          <w:sz w:val="25"/>
        </w:rPr>
        <w:t>Report</w:t>
      </w:r>
      <w:r>
        <w:rPr>
          <w:spacing w:val="-7"/>
          <w:sz w:val="25"/>
        </w:rPr>
        <w:t> </w:t>
      </w:r>
      <w:r>
        <w:rPr>
          <w:sz w:val="25"/>
        </w:rPr>
        <w:t>on</w:t>
      </w:r>
      <w:r>
        <w:rPr>
          <w:spacing w:val="-5"/>
          <w:sz w:val="25"/>
        </w:rPr>
        <w:t> </w:t>
      </w:r>
      <w:r>
        <w:rPr>
          <w:sz w:val="25"/>
        </w:rPr>
        <w:t>Carcinogens,</w:t>
      </w:r>
      <w:r>
        <w:rPr>
          <w:spacing w:val="-5"/>
          <w:sz w:val="25"/>
        </w:rPr>
        <w:t> </w:t>
      </w:r>
      <w:r>
        <w:rPr>
          <w:sz w:val="24"/>
        </w:rPr>
        <w:t>CAS: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71-43-2.</w:t>
      </w:r>
    </w:p>
    <w:p>
      <w:pPr>
        <w:pStyle w:val="BodyText"/>
        <w:spacing w:line="480" w:lineRule="auto" w:before="245"/>
        <w:ind w:left="1918" w:right="580" w:hanging="720"/>
        <w:jc w:val="both"/>
      </w:pPr>
      <w:r>
        <w:rPr/>
        <w:t>International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(IITA),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at:</w:t>
      </w:r>
      <w:r>
        <w:rPr>
          <w:spacing w:val="1"/>
        </w:rPr>
        <w:t> </w:t>
      </w:r>
      <w:r>
        <w:rPr/>
        <w:t>http://</w:t>
      </w:r>
      <w:r>
        <w:rPr>
          <w:spacing w:val="1"/>
        </w:rPr>
        <w:t> </w:t>
      </w:r>
      <w:r>
        <w:rPr/>
        <w:t>intranet/iita4/crops/maize.htm.</w:t>
      </w:r>
      <w:r>
        <w:rPr>
          <w:spacing w:val="-2"/>
        </w:rPr>
        <w:t> </w:t>
      </w:r>
      <w:r>
        <w:rPr/>
        <w:t>Retrieved:</w:t>
      </w:r>
      <w:r>
        <w:rPr>
          <w:spacing w:val="-2"/>
        </w:rPr>
        <w:t> </w:t>
      </w:r>
      <w:r>
        <w:rPr/>
        <w:t>7</w:t>
      </w:r>
      <w:r>
        <w:rPr>
          <w:spacing w:val="-1"/>
        </w:rPr>
        <w:t> </w:t>
      </w:r>
      <w:r>
        <w:rPr/>
        <w:t>July,</w:t>
      </w:r>
      <w:r>
        <w:rPr>
          <w:spacing w:val="-1"/>
        </w:rPr>
        <w:t> </w:t>
      </w:r>
      <w:r>
        <w:rPr/>
        <w:t>2013.</w:t>
      </w:r>
    </w:p>
    <w:p>
      <w:pPr>
        <w:spacing w:line="465" w:lineRule="auto" w:before="230"/>
        <w:ind w:left="1918" w:right="573" w:hanging="720"/>
        <w:jc w:val="both"/>
        <w:rPr>
          <w:sz w:val="24"/>
        </w:rPr>
      </w:pPr>
      <w:r>
        <w:rPr>
          <w:sz w:val="24"/>
        </w:rPr>
        <w:t>International Tankers Owners pollution Federation limited (ITOPF), (2004). </w:t>
      </w:r>
      <w:r>
        <w:rPr>
          <w:sz w:val="25"/>
        </w:rPr>
        <w:t>Containment</w:t>
      </w:r>
      <w:r>
        <w:rPr>
          <w:spacing w:val="1"/>
          <w:sz w:val="25"/>
        </w:rPr>
        <w:t> </w:t>
      </w:r>
      <w:r>
        <w:rPr>
          <w:sz w:val="25"/>
        </w:rPr>
        <w:t>and recovery of floating oil, </w:t>
      </w:r>
      <w:hyperlink r:id="rId77">
        <w:r>
          <w:rPr>
            <w:color w:val="0000FF"/>
            <w:sz w:val="24"/>
            <w:u w:val="single" w:color="0000FF"/>
          </w:rPr>
          <w:t>http://www.itopf.com/containment.html</w:t>
        </w:r>
      </w:hyperlink>
      <w:r>
        <w:rPr>
          <w:sz w:val="24"/>
        </w:rPr>
        <w:t>.Retrieved 12</w:t>
      </w:r>
      <w:r>
        <w:rPr>
          <w:spacing w:val="1"/>
          <w:sz w:val="24"/>
        </w:rPr>
        <w:t> </w:t>
      </w:r>
      <w:r>
        <w:rPr>
          <w:sz w:val="24"/>
        </w:rPr>
        <w:t>November</w:t>
      </w:r>
      <w:r>
        <w:rPr>
          <w:spacing w:val="-1"/>
          <w:sz w:val="24"/>
        </w:rPr>
        <w:t> </w:t>
      </w:r>
      <w:r>
        <w:rPr>
          <w:sz w:val="24"/>
        </w:rPr>
        <w:t>2012.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70" w:lineRule="auto"/>
        <w:ind w:left="1918" w:right="578" w:hanging="720"/>
        <w:jc w:val="both"/>
      </w:pPr>
      <w:r>
        <w:rPr/>
        <w:t>Johnson, R.F., Manjrekar, T.G. and</w:t>
      </w:r>
      <w:r>
        <w:rPr>
          <w:spacing w:val="1"/>
        </w:rPr>
        <w:t> </w:t>
      </w:r>
      <w:r>
        <w:rPr/>
        <w:t>Halligan,</w:t>
      </w:r>
      <w:r>
        <w:rPr>
          <w:spacing w:val="1"/>
        </w:rPr>
        <w:t> </w:t>
      </w:r>
      <w:r>
        <w:rPr/>
        <w:t>J.E., (1973). 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75"/>
        </w:rPr>
        <w:t> </w:t>
      </w:r>
      <w:r>
        <w:rPr/>
        <w:t>from water</w:t>
      </w:r>
      <w:r>
        <w:rPr>
          <w:spacing w:val="1"/>
        </w:rPr>
        <w:t> </w:t>
      </w:r>
      <w:r>
        <w:rPr/>
        <w:t>surface by sorption on un-structural fibers. </w:t>
      </w:r>
      <w:r>
        <w:rPr>
          <w:sz w:val="25"/>
        </w:rPr>
        <w:t>Environmental Science Technology</w:t>
      </w:r>
      <w:r>
        <w:rPr/>
        <w:t>, (7):</w:t>
      </w:r>
      <w:r>
        <w:rPr>
          <w:spacing w:val="-72"/>
        </w:rPr>
        <w:t> </w:t>
      </w:r>
      <w:r>
        <w:rPr/>
        <w:t>439-443.</w:t>
      </w:r>
    </w:p>
    <w:p>
      <w:pPr>
        <w:pStyle w:val="BodyText"/>
        <w:spacing w:line="465" w:lineRule="auto" w:before="251"/>
        <w:ind w:left="1918" w:right="575" w:hanging="720"/>
        <w:jc w:val="both"/>
      </w:pPr>
      <w:r>
        <w:rPr/>
        <w:t>Kanoh, T., Fukuda, M., Itayemi, E., Kinouchi, T., Nishifiyi, K. and Ohnishi, Y., (1990). Nitro-</w:t>
      </w:r>
      <w:r>
        <w:rPr>
          <w:spacing w:val="-72"/>
        </w:rPr>
        <w:t> </w:t>
      </w:r>
      <w:r>
        <w:rPr/>
        <w:t>reaction in mice injected with pyrene during exposure to Nigerian dioxide. </w:t>
      </w:r>
      <w:r>
        <w:rPr>
          <w:sz w:val="25"/>
        </w:rPr>
        <w:t>Mutat.</w:t>
      </w:r>
      <w:r>
        <w:rPr>
          <w:spacing w:val="1"/>
          <w:sz w:val="25"/>
        </w:rPr>
        <w:t> </w:t>
      </w:r>
      <w:r>
        <w:rPr>
          <w:sz w:val="25"/>
        </w:rPr>
        <w:t>Resources</w:t>
      </w:r>
      <w:r>
        <w:rPr/>
        <w:t>,</w:t>
      </w:r>
      <w:r>
        <w:rPr>
          <w:spacing w:val="-2"/>
        </w:rPr>
        <w:t> </w:t>
      </w:r>
      <w:r>
        <w:rPr/>
        <w:t>275:</w:t>
      </w:r>
      <w:r>
        <w:rPr>
          <w:spacing w:val="-1"/>
        </w:rPr>
        <w:t> </w:t>
      </w:r>
      <w:r>
        <w:rPr/>
        <w:t>1-4.</w:t>
      </w:r>
    </w:p>
    <w:p>
      <w:pPr>
        <w:pStyle w:val="BodyText"/>
        <w:spacing w:line="475" w:lineRule="auto" w:before="247"/>
        <w:ind w:left="1918" w:right="577" w:hanging="720"/>
        <w:jc w:val="both"/>
      </w:pPr>
      <w:r>
        <w:rPr/>
        <w:t>Kaur, M., Singh, N., Sandhu, K.S. and Guray, H.S., (2004). Physicochemical, thermal,</w:t>
      </w:r>
      <w:r>
        <w:rPr>
          <w:spacing w:val="1"/>
        </w:rPr>
        <w:t> </w:t>
      </w:r>
      <w:r>
        <w:rPr/>
        <w:t>morphological and rheological properties of some starches prepared from kernels of</w:t>
      </w:r>
      <w:r>
        <w:rPr>
          <w:spacing w:val="1"/>
        </w:rPr>
        <w:t> </w:t>
      </w:r>
      <w:r>
        <w:rPr/>
        <w:t>some</w:t>
      </w:r>
      <w:r>
        <w:rPr>
          <w:spacing w:val="-6"/>
        </w:rPr>
        <w:t> </w:t>
      </w:r>
      <w:r>
        <w:rPr/>
        <w:t>Indian</w:t>
      </w:r>
      <w:r>
        <w:rPr>
          <w:spacing w:val="-5"/>
        </w:rPr>
        <w:t> </w:t>
      </w:r>
      <w:r>
        <w:rPr/>
        <w:t>mango</w:t>
      </w:r>
      <w:r>
        <w:rPr>
          <w:spacing w:val="-4"/>
        </w:rPr>
        <w:t> </w:t>
      </w:r>
      <w:r>
        <w:rPr/>
        <w:t>cultivars</w:t>
      </w:r>
      <w:r>
        <w:rPr>
          <w:spacing w:val="-5"/>
        </w:rPr>
        <w:t> </w:t>
      </w:r>
      <w:r>
        <w:rPr/>
        <w:t>(Mangifera</w:t>
      </w:r>
      <w:r>
        <w:rPr>
          <w:spacing w:val="-5"/>
        </w:rPr>
        <w:t> </w:t>
      </w:r>
      <w:r>
        <w:rPr/>
        <w:t>Indica</w:t>
      </w:r>
      <w:r>
        <w:rPr>
          <w:spacing w:val="-7"/>
        </w:rPr>
        <w:t> </w:t>
      </w:r>
      <w:r>
        <w:rPr/>
        <w:t>L.)</w:t>
      </w:r>
      <w:r>
        <w:rPr>
          <w:spacing w:val="-5"/>
        </w:rPr>
        <w:t> </w:t>
      </w:r>
      <w:r>
        <w:rPr>
          <w:sz w:val="25"/>
        </w:rPr>
        <w:t>Food</w:t>
      </w:r>
      <w:r>
        <w:rPr>
          <w:spacing w:val="-7"/>
          <w:sz w:val="25"/>
        </w:rPr>
        <w:t> </w:t>
      </w:r>
      <w:r>
        <w:rPr>
          <w:sz w:val="25"/>
        </w:rPr>
        <w:t>Chemistry</w:t>
      </w:r>
      <w:r>
        <w:rPr/>
        <w:t>,</w:t>
      </w:r>
      <w:r>
        <w:rPr>
          <w:spacing w:val="-6"/>
        </w:rPr>
        <w:t> </w:t>
      </w:r>
      <w:r>
        <w:rPr/>
        <w:t>85:</w:t>
      </w:r>
      <w:r>
        <w:rPr>
          <w:spacing w:val="-6"/>
        </w:rPr>
        <w:t> </w:t>
      </w:r>
      <w:r>
        <w:rPr/>
        <w:t>131-140</w:t>
      </w:r>
    </w:p>
    <w:p>
      <w:pPr>
        <w:pStyle w:val="BodyText"/>
        <w:spacing w:line="470" w:lineRule="auto" w:before="234"/>
        <w:ind w:left="1918" w:right="578" w:hanging="720"/>
        <w:jc w:val="both"/>
      </w:pPr>
      <w:r>
        <w:rPr/>
        <w:t>Karimi, B. and Seradj, H., (2001). N-Bromosuccinimide (NBS): A novel and highly effective</w:t>
      </w:r>
      <w:r>
        <w:rPr>
          <w:spacing w:val="1"/>
        </w:rPr>
        <w:t> </w:t>
      </w:r>
      <w:r>
        <w:rPr/>
        <w:t>catalyst</w:t>
      </w:r>
      <w:r>
        <w:rPr>
          <w:spacing w:val="-6"/>
        </w:rPr>
        <w:t> </w:t>
      </w:r>
      <w:r>
        <w:rPr/>
        <w:t>for</w:t>
      </w:r>
      <w:r>
        <w:rPr>
          <w:spacing w:val="-3"/>
        </w:rPr>
        <w:t> </w:t>
      </w:r>
      <w:r>
        <w:rPr/>
        <w:t>acetylation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alcohols</w:t>
      </w:r>
      <w:r>
        <w:rPr>
          <w:spacing w:val="-4"/>
        </w:rPr>
        <w:t> </w:t>
      </w:r>
      <w:r>
        <w:rPr/>
        <w:t>under</w:t>
      </w:r>
      <w:r>
        <w:rPr>
          <w:spacing w:val="-5"/>
        </w:rPr>
        <w:t> </w:t>
      </w:r>
      <w:r>
        <w:rPr/>
        <w:t>mild</w:t>
      </w:r>
      <w:r>
        <w:rPr>
          <w:spacing w:val="-6"/>
        </w:rPr>
        <w:t> </w:t>
      </w:r>
      <w:r>
        <w:rPr/>
        <w:t>conditions.</w:t>
      </w:r>
      <w:r>
        <w:rPr>
          <w:spacing w:val="-3"/>
        </w:rPr>
        <w:t> </w:t>
      </w:r>
      <w:r>
        <w:rPr>
          <w:sz w:val="25"/>
        </w:rPr>
        <w:t>Synletters,</w:t>
      </w:r>
      <w:r>
        <w:rPr>
          <w:spacing w:val="-9"/>
          <w:sz w:val="25"/>
        </w:rPr>
        <w:t> </w:t>
      </w:r>
      <w:r>
        <w:rPr/>
        <w:t>4:</w:t>
      </w:r>
      <w:r>
        <w:rPr>
          <w:spacing w:val="-5"/>
        </w:rPr>
        <w:t> </w:t>
      </w:r>
      <w:r>
        <w:rPr/>
        <w:t>510-519.</w:t>
      </w:r>
    </w:p>
    <w:p>
      <w:pPr>
        <w:pStyle w:val="BodyText"/>
        <w:spacing w:line="475" w:lineRule="auto" w:before="240"/>
        <w:ind w:left="1918" w:right="576" w:hanging="720"/>
        <w:jc w:val="both"/>
      </w:pPr>
      <w:r>
        <w:rPr/>
        <w:t>Karimi,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Zareyee,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metal-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oxidation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sulphides</w:t>
      </w:r>
      <w:r>
        <w:rPr>
          <w:spacing w:val="75"/>
        </w:rPr>
        <w:t> </w:t>
      </w:r>
      <w:r>
        <w:rPr/>
        <w:t>to</w:t>
      </w:r>
      <w:r>
        <w:rPr>
          <w:spacing w:val="1"/>
        </w:rPr>
        <w:t> </w:t>
      </w:r>
      <w:r>
        <w:rPr/>
        <w:t>sulfoxides catalyzed with n- bromosuccinimide (NBS) under neutral buffered reaction</w:t>
      </w:r>
      <w:r>
        <w:rPr>
          <w:spacing w:val="-72"/>
        </w:rPr>
        <w:t> </w:t>
      </w:r>
      <w:r>
        <w:rPr/>
        <w:t>conditions.</w:t>
      </w:r>
      <w:r>
        <w:rPr>
          <w:spacing w:val="-7"/>
        </w:rPr>
        <w:t> </w:t>
      </w:r>
      <w:r>
        <w:rPr>
          <w:sz w:val="25"/>
        </w:rPr>
        <w:t>Journal</w:t>
      </w:r>
      <w:r>
        <w:rPr>
          <w:spacing w:val="-7"/>
          <w:sz w:val="25"/>
        </w:rPr>
        <w:t> </w:t>
      </w:r>
      <w:r>
        <w:rPr>
          <w:sz w:val="25"/>
        </w:rPr>
        <w:t>of</w:t>
      </w:r>
      <w:r>
        <w:rPr>
          <w:spacing w:val="-6"/>
          <w:sz w:val="25"/>
        </w:rPr>
        <w:t> </w:t>
      </w:r>
      <w:r>
        <w:rPr>
          <w:sz w:val="25"/>
        </w:rPr>
        <w:t>the</w:t>
      </w:r>
      <w:r>
        <w:rPr>
          <w:spacing w:val="-6"/>
          <w:sz w:val="25"/>
        </w:rPr>
        <w:t> </w:t>
      </w:r>
      <w:r>
        <w:rPr>
          <w:sz w:val="25"/>
        </w:rPr>
        <w:t>Iran</w:t>
      </w:r>
      <w:r>
        <w:rPr>
          <w:spacing w:val="-7"/>
          <w:sz w:val="25"/>
        </w:rPr>
        <w:t> </w:t>
      </w:r>
      <w:r>
        <w:rPr>
          <w:sz w:val="25"/>
        </w:rPr>
        <w:t>Chemical</w:t>
      </w:r>
      <w:r>
        <w:rPr>
          <w:spacing w:val="-8"/>
          <w:sz w:val="25"/>
        </w:rPr>
        <w:t> </w:t>
      </w:r>
      <w:r>
        <w:rPr>
          <w:sz w:val="25"/>
        </w:rPr>
        <w:t>Society</w:t>
      </w:r>
      <w:r>
        <w:rPr/>
        <w:t>,</w:t>
      </w:r>
      <w:r>
        <w:rPr>
          <w:spacing w:val="-5"/>
        </w:rPr>
        <w:t> </w:t>
      </w:r>
      <w:r>
        <w:rPr/>
        <w:t>5:</w:t>
      </w:r>
      <w:r>
        <w:rPr>
          <w:spacing w:val="-6"/>
        </w:rPr>
        <w:t> </w:t>
      </w:r>
      <w:r>
        <w:rPr/>
        <w:t>5103-5107.</w:t>
      </w:r>
    </w:p>
    <w:p>
      <w:pPr>
        <w:spacing w:after="0" w:line="475" w:lineRule="auto"/>
        <w:jc w:val="both"/>
        <w:sectPr>
          <w:pgSz w:w="11910" w:h="16840"/>
          <w:pgMar w:header="0" w:footer="987" w:top="1120" w:bottom="1260" w:left="420" w:right="0"/>
        </w:sectPr>
      </w:pPr>
    </w:p>
    <w:p>
      <w:pPr>
        <w:pStyle w:val="BodyText"/>
        <w:tabs>
          <w:tab w:pos="4457" w:val="left" w:leader="none"/>
          <w:tab w:pos="6058" w:val="left" w:leader="none"/>
          <w:tab w:pos="8285" w:val="left" w:leader="none"/>
          <w:tab w:pos="10637" w:val="left" w:leader="none"/>
        </w:tabs>
        <w:spacing w:line="480" w:lineRule="auto" w:before="75"/>
        <w:ind w:left="1918" w:right="575" w:hanging="720"/>
        <w:jc w:val="both"/>
      </w:pPr>
      <w:r>
        <w:rPr/>
        <w:t>Kludze, H., Deen, B., Weersink, A., Van Acker, R., Janovicek, K. and De Laporte, A.,</w:t>
      </w:r>
      <w:r>
        <w:rPr>
          <w:spacing w:val="1"/>
        </w:rPr>
        <w:t> </w:t>
      </w:r>
      <w:r>
        <w:rPr/>
        <w:t>(2010).Assessment of the availability of agricultural biomass for heat and energy</w:t>
      </w:r>
      <w:r>
        <w:rPr>
          <w:spacing w:val="1"/>
        </w:rPr>
        <w:t> </w:t>
      </w:r>
      <w:r>
        <w:rPr/>
        <w:t>production</w:t>
        <w:tab/>
        <w:t>in</w:t>
        <w:tab/>
        <w:t>ontario.</w:t>
        <w:tab/>
        <w:t>Available</w:t>
        <w:tab/>
        <w:t>on</w:t>
      </w:r>
      <w:r>
        <w:rPr>
          <w:spacing w:val="-73"/>
        </w:rPr>
        <w:t> </w:t>
      </w:r>
      <w:hyperlink r:id="rId78">
        <w:r>
          <w:rPr>
            <w:color w:val="0000FF"/>
            <w:u w:val="single" w:color="0000FF"/>
          </w:rPr>
          <w:t>http://www.uoguelph.ca/plant/research/agronomy/publications/pdf/ontario_biomass</w:t>
        </w:r>
      </w:hyperlink>
    </w:p>
    <w:p>
      <w:pPr>
        <w:pStyle w:val="BodyText"/>
        <w:spacing w:before="1"/>
        <w:ind w:left="1918"/>
        <w:jc w:val="both"/>
      </w:pPr>
      <w:hyperlink r:id="rId78">
        <w:r>
          <w:rPr>
            <w:color w:val="0000FF"/>
            <w:u w:val="single" w:color="0000FF"/>
          </w:rPr>
          <w:t>_availability_project_final_report_2011.01.27.pdf</w:t>
        </w:r>
      </w:hyperlink>
      <w:r>
        <w:rPr/>
        <w:t>.</w:t>
      </w:r>
      <w:r>
        <w:rPr>
          <w:spacing w:val="-7"/>
        </w:rPr>
        <w:t> </w:t>
      </w:r>
      <w:r>
        <w:rPr/>
        <w:t>Retrieved:</w:t>
      </w:r>
      <w:r>
        <w:rPr>
          <w:spacing w:val="-7"/>
        </w:rPr>
        <w:t> </w:t>
      </w:r>
      <w:r>
        <w:rPr/>
        <w:t>12</w:t>
      </w:r>
      <w:r>
        <w:rPr>
          <w:spacing w:val="-4"/>
        </w:rPr>
        <w:t> </w:t>
      </w:r>
      <w:r>
        <w:rPr/>
        <w:t>october</w:t>
      </w:r>
      <w:r>
        <w:rPr>
          <w:spacing w:val="-5"/>
        </w:rPr>
        <w:t> </w:t>
      </w:r>
      <w:r>
        <w:rPr/>
        <w:t>2012.</w:t>
      </w:r>
    </w:p>
    <w:p>
      <w:pPr>
        <w:pStyle w:val="BodyText"/>
        <w:rPr>
          <w:sz w:val="28"/>
        </w:rPr>
      </w:pPr>
    </w:p>
    <w:p>
      <w:pPr>
        <w:pStyle w:val="BodyText"/>
        <w:spacing w:line="470" w:lineRule="auto" w:before="181"/>
        <w:ind w:left="1198" w:right="728"/>
        <w:jc w:val="both"/>
      </w:pPr>
      <w:r>
        <w:rPr/>
        <w:t>Kosaka,</w:t>
      </w:r>
      <w:r>
        <w:rPr>
          <w:spacing w:val="-7"/>
        </w:rPr>
        <w:t> </w:t>
      </w:r>
      <w:r>
        <w:rPr/>
        <w:t>P.M.,</w:t>
      </w:r>
      <w:r>
        <w:rPr>
          <w:spacing w:val="-6"/>
        </w:rPr>
        <w:t> </w:t>
      </w:r>
      <w:r>
        <w:rPr/>
        <w:t>Kawano,</w:t>
      </w:r>
      <w:r>
        <w:rPr>
          <w:spacing w:val="-4"/>
        </w:rPr>
        <w:t> </w:t>
      </w:r>
      <w:r>
        <w:rPr/>
        <w:t>Y.,</w:t>
      </w:r>
      <w:r>
        <w:rPr>
          <w:spacing w:val="-7"/>
        </w:rPr>
        <w:t> </w:t>
      </w:r>
      <w:r>
        <w:rPr/>
        <w:t>Salvadori,</w:t>
      </w:r>
      <w:r>
        <w:rPr>
          <w:spacing w:val="-8"/>
        </w:rPr>
        <w:t> </w:t>
      </w:r>
      <w:r>
        <w:rPr/>
        <w:t>M.C.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Petri,</w:t>
      </w:r>
      <w:r>
        <w:rPr>
          <w:spacing w:val="-7"/>
        </w:rPr>
        <w:t> </w:t>
      </w:r>
      <w:r>
        <w:rPr/>
        <w:t>D.F.S.,</w:t>
      </w:r>
      <w:r>
        <w:rPr>
          <w:spacing w:val="-5"/>
        </w:rPr>
        <w:t> </w:t>
      </w:r>
      <w:r>
        <w:rPr/>
        <w:t>(2005),</w:t>
      </w:r>
      <w:r>
        <w:rPr>
          <w:spacing w:val="-9"/>
        </w:rPr>
        <w:t> </w:t>
      </w:r>
      <w:r>
        <w:rPr>
          <w:sz w:val="25"/>
        </w:rPr>
        <w:t>Cellulose</w:t>
      </w:r>
      <w:r>
        <w:rPr>
          <w:spacing w:val="-8"/>
          <w:sz w:val="25"/>
        </w:rPr>
        <w:t> </w:t>
      </w:r>
      <w:r>
        <w:rPr/>
        <w:t>12:351-359.</w:t>
      </w:r>
      <w:r>
        <w:rPr>
          <w:spacing w:val="-72"/>
        </w:rPr>
        <w:t> </w:t>
      </w:r>
      <w:r>
        <w:rPr/>
        <w:t>Kumar,</w:t>
      </w:r>
      <w:r>
        <w:rPr>
          <w:spacing w:val="-3"/>
        </w:rPr>
        <w:t> </w:t>
      </w:r>
      <w:r>
        <w:rPr/>
        <w:t>S.</w:t>
      </w:r>
      <w:r>
        <w:rPr>
          <w:spacing w:val="-2"/>
        </w:rPr>
        <w:t> </w:t>
      </w:r>
      <w:r>
        <w:rPr/>
        <w:t>(1994).Chemical modification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wood.</w:t>
      </w:r>
      <w:r>
        <w:rPr>
          <w:spacing w:val="-1"/>
        </w:rPr>
        <w:t> </w:t>
      </w:r>
      <w:r>
        <w:rPr/>
        <w:t>Wood</w:t>
      </w:r>
      <w:r>
        <w:rPr>
          <w:spacing w:val="-1"/>
        </w:rPr>
        <w:t> </w:t>
      </w:r>
      <w:r>
        <w:rPr/>
        <w:t>Fibre Sci.</w:t>
      </w:r>
      <w:r>
        <w:rPr>
          <w:spacing w:val="-2"/>
        </w:rPr>
        <w:t> </w:t>
      </w:r>
      <w:r>
        <w:rPr/>
        <w:t>26:</w:t>
      </w:r>
      <w:r>
        <w:rPr>
          <w:spacing w:val="-1"/>
        </w:rPr>
        <w:t> </w:t>
      </w:r>
      <w:r>
        <w:rPr/>
        <w:t>270-280.</w:t>
      </w:r>
    </w:p>
    <w:p>
      <w:pPr>
        <w:spacing w:line="465" w:lineRule="auto" w:before="240"/>
        <w:ind w:left="1918" w:right="575" w:hanging="720"/>
        <w:jc w:val="both"/>
        <w:rPr>
          <w:sz w:val="24"/>
        </w:rPr>
      </w:pPr>
      <w:r>
        <w:rPr>
          <w:sz w:val="24"/>
        </w:rPr>
        <w:t>Lee, B., Hans, J.S. and Rowell, R.M., (1999). Oil sorption by lignocellulosic fibers.</w:t>
      </w:r>
      <w:r>
        <w:rPr>
          <w:sz w:val="25"/>
        </w:rPr>
        <w:t>In:Kenaf</w:t>
      </w:r>
      <w:r>
        <w:rPr>
          <w:spacing w:val="1"/>
          <w:sz w:val="25"/>
        </w:rPr>
        <w:t> </w:t>
      </w:r>
      <w:r>
        <w:rPr>
          <w:sz w:val="25"/>
        </w:rPr>
        <w:t>Properties,</w:t>
      </w:r>
      <w:r>
        <w:rPr>
          <w:spacing w:val="1"/>
          <w:sz w:val="25"/>
        </w:rPr>
        <w:t> </w:t>
      </w:r>
      <w:r>
        <w:rPr>
          <w:sz w:val="25"/>
        </w:rPr>
        <w:t>Processing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Product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Mississippi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University-</w:t>
      </w:r>
      <w:r>
        <w:rPr>
          <w:spacing w:val="1"/>
          <w:sz w:val="24"/>
        </w:rPr>
        <w:t> </w:t>
      </w:r>
      <w:r>
        <w:rPr>
          <w:sz w:val="24"/>
        </w:rPr>
        <w:t>Ag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Bio</w:t>
      </w:r>
      <w:r>
        <w:rPr>
          <w:spacing w:val="1"/>
          <w:sz w:val="24"/>
        </w:rPr>
        <w:t> </w:t>
      </w:r>
      <w:r>
        <w:rPr>
          <w:sz w:val="24"/>
        </w:rPr>
        <w:t>Engineering,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432-533.</w:t>
      </w:r>
    </w:p>
    <w:p>
      <w:pPr>
        <w:pStyle w:val="BodyText"/>
        <w:spacing w:before="245"/>
        <w:ind w:left="1198"/>
        <w:jc w:val="both"/>
      </w:pPr>
      <w:r>
        <w:rPr/>
        <w:t>Louise</w:t>
      </w:r>
      <w:r>
        <w:rPr>
          <w:spacing w:val="-8"/>
        </w:rPr>
        <w:t> </w:t>
      </w:r>
      <w:r>
        <w:rPr/>
        <w:t>W-H.,</w:t>
      </w:r>
      <w:r>
        <w:rPr>
          <w:spacing w:val="-9"/>
        </w:rPr>
        <w:t> </w:t>
      </w:r>
      <w:r>
        <w:rPr/>
        <w:t>(1997).</w:t>
      </w:r>
      <w:r>
        <w:rPr>
          <w:spacing w:val="-9"/>
        </w:rPr>
        <w:t> </w:t>
      </w:r>
      <w:r>
        <w:rPr/>
        <w:t>Teratogen</w:t>
      </w:r>
      <w:r>
        <w:rPr>
          <w:spacing w:val="-8"/>
        </w:rPr>
        <w:t> </w:t>
      </w:r>
      <w:r>
        <w:rPr/>
        <w:t>update:</w:t>
      </w:r>
      <w:r>
        <w:rPr>
          <w:spacing w:val="-7"/>
        </w:rPr>
        <w:t> </w:t>
      </w:r>
      <w:r>
        <w:rPr/>
        <w:t>Toluene.</w:t>
      </w:r>
      <w:r>
        <w:rPr>
          <w:spacing w:val="-6"/>
        </w:rPr>
        <w:t> </w:t>
      </w:r>
      <w:r>
        <w:rPr>
          <w:sz w:val="25"/>
        </w:rPr>
        <w:t>Teratology</w:t>
      </w:r>
      <w:r>
        <w:rPr/>
        <w:t>,</w:t>
      </w:r>
      <w:r>
        <w:rPr>
          <w:spacing w:val="-6"/>
        </w:rPr>
        <w:t> </w:t>
      </w:r>
      <w:r>
        <w:rPr/>
        <w:t>55:</w:t>
      </w:r>
      <w:r>
        <w:rPr>
          <w:spacing w:val="-9"/>
        </w:rPr>
        <w:t> </w:t>
      </w:r>
      <w:r>
        <w:rPr/>
        <w:t>145-151.</w:t>
      </w:r>
    </w:p>
    <w:p>
      <w:pPr>
        <w:pStyle w:val="BodyText"/>
        <w:rPr>
          <w:sz w:val="43"/>
        </w:rPr>
      </w:pPr>
    </w:p>
    <w:p>
      <w:pPr>
        <w:spacing w:line="468" w:lineRule="auto" w:before="1"/>
        <w:ind w:left="1918" w:right="0" w:hanging="720"/>
        <w:jc w:val="left"/>
        <w:rPr>
          <w:sz w:val="24"/>
        </w:rPr>
      </w:pPr>
      <w:r>
        <w:rPr>
          <w:sz w:val="24"/>
        </w:rPr>
        <w:t>Mobbs,</w:t>
      </w:r>
      <w:r>
        <w:rPr>
          <w:spacing w:val="-2"/>
          <w:sz w:val="24"/>
        </w:rPr>
        <w:t> </w:t>
      </w:r>
      <w:r>
        <w:rPr>
          <w:sz w:val="24"/>
        </w:rPr>
        <w:t>P.,</w:t>
      </w:r>
      <w:r>
        <w:rPr>
          <w:spacing w:val="-2"/>
          <w:sz w:val="24"/>
        </w:rPr>
        <w:t> </w:t>
      </w:r>
      <w:r>
        <w:rPr>
          <w:sz w:val="24"/>
        </w:rPr>
        <w:t>(1996).</w:t>
      </w:r>
      <w:r>
        <w:rPr>
          <w:spacing w:val="-2"/>
          <w:sz w:val="24"/>
        </w:rPr>
        <w:t> </w:t>
      </w:r>
      <w:r>
        <w:rPr>
          <w:sz w:val="25"/>
        </w:rPr>
        <w:t>The</w:t>
      </w:r>
      <w:r>
        <w:rPr>
          <w:spacing w:val="-4"/>
          <w:sz w:val="25"/>
        </w:rPr>
        <w:t> </w:t>
      </w:r>
      <w:r>
        <w:rPr>
          <w:sz w:val="25"/>
        </w:rPr>
        <w:t>Sea</w:t>
      </w:r>
      <w:r>
        <w:rPr>
          <w:spacing w:val="-5"/>
          <w:sz w:val="25"/>
        </w:rPr>
        <w:t> </w:t>
      </w:r>
      <w:r>
        <w:rPr>
          <w:sz w:val="25"/>
        </w:rPr>
        <w:t>Empress</w:t>
      </w:r>
      <w:r>
        <w:rPr>
          <w:spacing w:val="-4"/>
          <w:sz w:val="25"/>
        </w:rPr>
        <w:t> </w:t>
      </w:r>
      <w:r>
        <w:rPr>
          <w:sz w:val="25"/>
        </w:rPr>
        <w:t>Spill:</w:t>
      </w:r>
      <w:r>
        <w:rPr>
          <w:spacing w:val="-5"/>
          <w:sz w:val="25"/>
        </w:rPr>
        <w:t> </w:t>
      </w:r>
      <w:r>
        <w:rPr>
          <w:sz w:val="25"/>
        </w:rPr>
        <w:t>the</w:t>
      </w:r>
      <w:r>
        <w:rPr>
          <w:spacing w:val="-3"/>
          <w:sz w:val="25"/>
        </w:rPr>
        <w:t> </w:t>
      </w:r>
      <w:r>
        <w:rPr>
          <w:sz w:val="25"/>
        </w:rPr>
        <w:t>Potential</w:t>
      </w:r>
      <w:r>
        <w:rPr>
          <w:spacing w:val="-4"/>
          <w:sz w:val="25"/>
        </w:rPr>
        <w:t> </w:t>
      </w:r>
      <w:r>
        <w:rPr>
          <w:sz w:val="25"/>
        </w:rPr>
        <w:t>for</w:t>
      </w:r>
      <w:r>
        <w:rPr>
          <w:spacing w:val="-5"/>
          <w:sz w:val="25"/>
        </w:rPr>
        <w:t> </w:t>
      </w:r>
      <w:r>
        <w:rPr>
          <w:sz w:val="25"/>
        </w:rPr>
        <w:t>Human</w:t>
      </w:r>
      <w:r>
        <w:rPr>
          <w:spacing w:val="-5"/>
          <w:sz w:val="25"/>
        </w:rPr>
        <w:t> </w:t>
      </w:r>
      <w:r>
        <w:rPr>
          <w:sz w:val="25"/>
        </w:rPr>
        <w:t>Health</w:t>
      </w:r>
      <w:r>
        <w:rPr>
          <w:spacing w:val="-4"/>
          <w:sz w:val="25"/>
        </w:rPr>
        <w:t> </w:t>
      </w:r>
      <w:r>
        <w:rPr>
          <w:sz w:val="25"/>
        </w:rPr>
        <w:t>Effects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Mobbs</w:t>
      </w:r>
      <w:r>
        <w:rPr>
          <w:spacing w:val="-72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Investigations,</w:t>
      </w:r>
      <w:r>
        <w:rPr>
          <w:spacing w:val="-1"/>
          <w:sz w:val="24"/>
        </w:rPr>
        <w:t> </w:t>
      </w:r>
      <w:r>
        <w:rPr>
          <w:sz w:val="24"/>
        </w:rPr>
        <w:t>Cymro,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1-13.</w:t>
      </w:r>
    </w:p>
    <w:p>
      <w:pPr>
        <w:pStyle w:val="BodyText"/>
        <w:spacing w:before="2"/>
        <w:rPr>
          <w:sz w:val="21"/>
        </w:rPr>
      </w:pPr>
    </w:p>
    <w:p>
      <w:pPr>
        <w:spacing w:line="470" w:lineRule="auto" w:before="0"/>
        <w:ind w:left="1918" w:right="0" w:hanging="720"/>
        <w:jc w:val="left"/>
        <w:rPr>
          <w:sz w:val="24"/>
        </w:rPr>
      </w:pPr>
      <w:r>
        <w:rPr>
          <w:sz w:val="24"/>
        </w:rPr>
        <w:t>Mohebby, B.,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-1"/>
          <w:sz w:val="24"/>
        </w:rPr>
        <w:t> </w:t>
      </w:r>
      <w:r>
        <w:rPr>
          <w:sz w:val="24"/>
        </w:rPr>
        <w:t>Application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ATR infrared</w:t>
      </w:r>
      <w:r>
        <w:rPr>
          <w:spacing w:val="1"/>
          <w:sz w:val="24"/>
        </w:rPr>
        <w:t> </w:t>
      </w:r>
      <w:r>
        <w:rPr>
          <w:sz w:val="24"/>
        </w:rPr>
        <w:t>spectroscopy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wood acetylation,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-72"/>
          <w:sz w:val="24"/>
        </w:rPr>
        <w:t> </w:t>
      </w:r>
      <w:r>
        <w:rPr>
          <w:sz w:val="24"/>
        </w:rPr>
        <w:t>of</w:t>
      </w:r>
      <w:r>
        <w:rPr>
          <w:sz w:val="25"/>
        </w:rPr>
        <w:t>Agricultural</w:t>
      </w:r>
      <w:r>
        <w:rPr>
          <w:spacing w:val="-7"/>
          <w:sz w:val="25"/>
        </w:rPr>
        <w:t> </w:t>
      </w:r>
      <w:r>
        <w:rPr>
          <w:sz w:val="25"/>
        </w:rPr>
        <w:t>Science</w:t>
      </w:r>
      <w:r>
        <w:rPr>
          <w:spacing w:val="-6"/>
          <w:sz w:val="25"/>
        </w:rPr>
        <w:t> </w:t>
      </w:r>
      <w:r>
        <w:rPr>
          <w:sz w:val="25"/>
        </w:rPr>
        <w:t>and</w:t>
      </w:r>
      <w:r>
        <w:rPr>
          <w:spacing w:val="-7"/>
          <w:sz w:val="25"/>
        </w:rPr>
        <w:t> </w:t>
      </w:r>
      <w:r>
        <w:rPr>
          <w:sz w:val="25"/>
        </w:rPr>
        <w:t>Technology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10(3)</w:t>
      </w:r>
      <w:r>
        <w:rPr>
          <w:spacing w:val="-4"/>
          <w:sz w:val="24"/>
        </w:rPr>
        <w:t> </w:t>
      </w:r>
      <w:r>
        <w:rPr>
          <w:sz w:val="24"/>
        </w:rPr>
        <w:t>253-259.</w:t>
      </w:r>
    </w:p>
    <w:p>
      <w:pPr>
        <w:spacing w:line="470" w:lineRule="auto" w:before="240"/>
        <w:ind w:left="1918" w:right="0" w:hanging="720"/>
        <w:jc w:val="left"/>
        <w:rPr>
          <w:sz w:val="24"/>
        </w:rPr>
      </w:pPr>
      <w:r>
        <w:rPr>
          <w:sz w:val="24"/>
        </w:rPr>
        <w:t>Mohebby,</w:t>
      </w:r>
      <w:r>
        <w:rPr>
          <w:spacing w:val="63"/>
          <w:sz w:val="24"/>
        </w:rPr>
        <w:t> </w:t>
      </w:r>
      <w:r>
        <w:rPr>
          <w:sz w:val="24"/>
        </w:rPr>
        <w:t>B.</w:t>
      </w:r>
      <w:r>
        <w:rPr>
          <w:spacing w:val="62"/>
          <w:sz w:val="24"/>
        </w:rPr>
        <w:t> </w:t>
      </w:r>
      <w:r>
        <w:rPr>
          <w:sz w:val="24"/>
        </w:rPr>
        <w:t>and</w:t>
      </w:r>
      <w:r>
        <w:rPr>
          <w:spacing w:val="63"/>
          <w:sz w:val="24"/>
        </w:rPr>
        <w:t> </w:t>
      </w:r>
      <w:r>
        <w:rPr>
          <w:sz w:val="24"/>
        </w:rPr>
        <w:t>Hadjihassani,</w:t>
      </w:r>
      <w:r>
        <w:rPr>
          <w:spacing w:val="63"/>
          <w:sz w:val="24"/>
        </w:rPr>
        <w:t> </w:t>
      </w:r>
      <w:r>
        <w:rPr>
          <w:sz w:val="24"/>
        </w:rPr>
        <w:t>R.,</w:t>
      </w:r>
      <w:r>
        <w:rPr>
          <w:spacing w:val="62"/>
          <w:sz w:val="24"/>
        </w:rPr>
        <w:t> </w:t>
      </w:r>
      <w:r>
        <w:rPr>
          <w:sz w:val="24"/>
        </w:rPr>
        <w:t>(2008).</w:t>
      </w:r>
      <w:r>
        <w:rPr>
          <w:spacing w:val="63"/>
          <w:sz w:val="24"/>
        </w:rPr>
        <w:t> </w:t>
      </w:r>
      <w:r>
        <w:rPr>
          <w:sz w:val="24"/>
        </w:rPr>
        <w:t>Moisture</w:t>
      </w:r>
      <w:r>
        <w:rPr>
          <w:spacing w:val="64"/>
          <w:sz w:val="24"/>
        </w:rPr>
        <w:t> </w:t>
      </w:r>
      <w:r>
        <w:rPr>
          <w:sz w:val="24"/>
        </w:rPr>
        <w:t>repellant</w:t>
      </w:r>
      <w:r>
        <w:rPr>
          <w:spacing w:val="63"/>
          <w:sz w:val="24"/>
        </w:rPr>
        <w:t> </w:t>
      </w:r>
      <w:r>
        <w:rPr>
          <w:sz w:val="24"/>
        </w:rPr>
        <w:t>effect</w:t>
      </w:r>
      <w:r>
        <w:rPr>
          <w:spacing w:val="62"/>
          <w:sz w:val="24"/>
        </w:rPr>
        <w:t> </w:t>
      </w:r>
      <w:r>
        <w:rPr>
          <w:sz w:val="24"/>
        </w:rPr>
        <w:t>of</w:t>
      </w:r>
      <w:r>
        <w:rPr>
          <w:spacing w:val="63"/>
          <w:sz w:val="24"/>
        </w:rPr>
        <w:t> </w:t>
      </w:r>
      <w:r>
        <w:rPr>
          <w:sz w:val="24"/>
        </w:rPr>
        <w:t>acetylation</w:t>
      </w:r>
      <w:r>
        <w:rPr>
          <w:spacing w:val="63"/>
          <w:sz w:val="24"/>
        </w:rPr>
        <w:t> </w:t>
      </w:r>
      <w:r>
        <w:rPr>
          <w:sz w:val="24"/>
        </w:rPr>
        <w:t>on</w:t>
      </w:r>
      <w:r>
        <w:rPr>
          <w:spacing w:val="-72"/>
          <w:sz w:val="24"/>
        </w:rPr>
        <w:t> </w:t>
      </w:r>
      <w:r>
        <w:rPr>
          <w:sz w:val="24"/>
        </w:rPr>
        <w:t>poplar</w:t>
      </w:r>
      <w:r>
        <w:rPr>
          <w:spacing w:val="-9"/>
          <w:sz w:val="24"/>
        </w:rPr>
        <w:t> </w:t>
      </w:r>
      <w:r>
        <w:rPr>
          <w:sz w:val="24"/>
        </w:rPr>
        <w:t>fiber.</w:t>
      </w:r>
      <w:r>
        <w:rPr>
          <w:sz w:val="25"/>
        </w:rPr>
        <w:t>Journal</w:t>
      </w:r>
      <w:r>
        <w:rPr>
          <w:spacing w:val="-10"/>
          <w:sz w:val="25"/>
        </w:rPr>
        <w:t> </w:t>
      </w:r>
      <w:r>
        <w:rPr>
          <w:sz w:val="25"/>
        </w:rPr>
        <w:t>Agricultural</w:t>
      </w:r>
      <w:r>
        <w:rPr>
          <w:spacing w:val="-11"/>
          <w:sz w:val="25"/>
        </w:rPr>
        <w:t> </w:t>
      </w:r>
      <w:r>
        <w:rPr>
          <w:sz w:val="25"/>
        </w:rPr>
        <w:t>Science</w:t>
      </w:r>
      <w:r>
        <w:rPr>
          <w:spacing w:val="-10"/>
          <w:sz w:val="25"/>
        </w:rPr>
        <w:t> </w:t>
      </w:r>
      <w:r>
        <w:rPr>
          <w:sz w:val="25"/>
        </w:rPr>
        <w:t>and</w:t>
      </w:r>
      <w:r>
        <w:rPr>
          <w:spacing w:val="-12"/>
          <w:sz w:val="25"/>
        </w:rPr>
        <w:t> </w:t>
      </w:r>
      <w:r>
        <w:rPr>
          <w:sz w:val="25"/>
        </w:rPr>
        <w:t>Technoloogy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10:</w:t>
      </w:r>
      <w:r>
        <w:rPr>
          <w:spacing w:val="-9"/>
          <w:sz w:val="24"/>
        </w:rPr>
        <w:t> </w:t>
      </w:r>
      <w:r>
        <w:rPr>
          <w:sz w:val="24"/>
        </w:rPr>
        <w:t>157-163</w:t>
      </w:r>
    </w:p>
    <w:p>
      <w:pPr>
        <w:pStyle w:val="BodyText"/>
        <w:spacing w:before="238"/>
        <w:ind w:left="1198"/>
        <w:jc w:val="both"/>
      </w:pPr>
      <w:r>
        <w:rPr/>
        <w:t>Mullin,</w:t>
      </w:r>
      <w:r>
        <w:rPr>
          <w:spacing w:val="10"/>
        </w:rPr>
        <w:t> </w:t>
      </w:r>
      <w:r>
        <w:rPr/>
        <w:t>J</w:t>
      </w:r>
      <w:r>
        <w:rPr>
          <w:spacing w:val="11"/>
        </w:rPr>
        <w:t> </w:t>
      </w:r>
      <w:r>
        <w:rPr/>
        <w:t>V.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Champ,</w:t>
      </w:r>
      <w:r>
        <w:rPr>
          <w:spacing w:val="8"/>
        </w:rPr>
        <w:t> </w:t>
      </w:r>
      <w:r>
        <w:rPr/>
        <w:t>M</w:t>
      </w:r>
      <w:r>
        <w:rPr>
          <w:spacing w:val="11"/>
        </w:rPr>
        <w:t> </w:t>
      </w:r>
      <w:r>
        <w:rPr/>
        <w:t>A.,</w:t>
      </w:r>
      <w:r>
        <w:rPr>
          <w:spacing w:val="9"/>
        </w:rPr>
        <w:t> </w:t>
      </w:r>
      <w:r>
        <w:rPr/>
        <w:t>(2003).</w:t>
      </w:r>
      <w:r>
        <w:rPr>
          <w:spacing w:val="9"/>
        </w:rPr>
        <w:t> </w:t>
      </w:r>
      <w:r>
        <w:rPr/>
        <w:t>Introduction/overview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in-situ</w:t>
      </w:r>
      <w:r>
        <w:rPr>
          <w:spacing w:val="11"/>
        </w:rPr>
        <w:t> </w:t>
      </w:r>
      <w:r>
        <w:rPr/>
        <w:t>burning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oil</w:t>
      </w:r>
      <w:r>
        <w:rPr>
          <w:spacing w:val="9"/>
        </w:rPr>
        <w:t> </w:t>
      </w:r>
      <w:r>
        <w:rPr/>
        <w:t>spills.</w:t>
      </w:r>
    </w:p>
    <w:p>
      <w:pPr>
        <w:pStyle w:val="BodyText"/>
        <w:spacing w:before="3"/>
        <w:rPr>
          <w:sz w:val="23"/>
        </w:rPr>
      </w:pPr>
    </w:p>
    <w:p>
      <w:pPr>
        <w:spacing w:before="1"/>
        <w:ind w:left="1918" w:right="0" w:firstLine="0"/>
        <w:jc w:val="both"/>
        <w:rPr>
          <w:sz w:val="24"/>
        </w:rPr>
      </w:pPr>
      <w:r>
        <w:rPr>
          <w:w w:val="95"/>
          <w:sz w:val="25"/>
        </w:rPr>
        <w:t>Spill</w:t>
      </w:r>
      <w:r>
        <w:rPr>
          <w:spacing w:val="14"/>
          <w:w w:val="95"/>
          <w:sz w:val="25"/>
        </w:rPr>
        <w:t> </w:t>
      </w:r>
      <w:r>
        <w:rPr>
          <w:w w:val="95"/>
          <w:sz w:val="25"/>
        </w:rPr>
        <w:t>Science</w:t>
      </w:r>
      <w:r>
        <w:rPr>
          <w:spacing w:val="16"/>
          <w:w w:val="95"/>
          <w:sz w:val="25"/>
        </w:rPr>
        <w:t> </w:t>
      </w:r>
      <w:r>
        <w:rPr>
          <w:w w:val="95"/>
          <w:sz w:val="25"/>
        </w:rPr>
        <w:t>and</w:t>
      </w:r>
      <w:r>
        <w:rPr>
          <w:spacing w:val="14"/>
          <w:w w:val="95"/>
          <w:sz w:val="25"/>
        </w:rPr>
        <w:t> </w:t>
      </w:r>
      <w:r>
        <w:rPr>
          <w:w w:val="95"/>
          <w:sz w:val="25"/>
        </w:rPr>
        <w:t>Technology</w:t>
      </w:r>
      <w:r>
        <w:rPr>
          <w:spacing w:val="14"/>
          <w:w w:val="95"/>
          <w:sz w:val="25"/>
        </w:rPr>
        <w:t> </w:t>
      </w:r>
      <w:r>
        <w:rPr>
          <w:w w:val="95"/>
          <w:sz w:val="25"/>
        </w:rPr>
        <w:t>Bulletin</w:t>
      </w:r>
      <w:r>
        <w:rPr>
          <w:w w:val="95"/>
          <w:sz w:val="24"/>
        </w:rPr>
        <w:t>,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8(4):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323-330.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7" w:top="1140" w:bottom="1260" w:left="420" w:right="0"/>
        </w:sectPr>
      </w:pPr>
    </w:p>
    <w:p>
      <w:pPr>
        <w:spacing w:line="465" w:lineRule="auto" w:before="75"/>
        <w:ind w:left="1918" w:right="576" w:hanging="720"/>
        <w:jc w:val="both"/>
        <w:rPr>
          <w:sz w:val="24"/>
        </w:rPr>
      </w:pPr>
      <w:r>
        <w:rPr>
          <w:sz w:val="24"/>
        </w:rPr>
        <w:t>Nasar,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Emam,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Sultan,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Abdul-Hakim,</w:t>
      </w:r>
      <w:r>
        <w:rPr>
          <w:spacing w:val="1"/>
          <w:sz w:val="24"/>
        </w:rPr>
        <w:t> </w:t>
      </w:r>
      <w:r>
        <w:rPr>
          <w:sz w:val="24"/>
        </w:rPr>
        <w:t>A.A.,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Optimization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Sugarcanne</w:t>
      </w:r>
      <w:r>
        <w:rPr>
          <w:spacing w:val="-5"/>
          <w:sz w:val="24"/>
        </w:rPr>
        <w:t> </w:t>
      </w:r>
      <w:r>
        <w:rPr>
          <w:sz w:val="24"/>
        </w:rPr>
        <w:t>Bagasse</w:t>
      </w:r>
      <w:r>
        <w:rPr>
          <w:spacing w:val="-5"/>
          <w:sz w:val="24"/>
        </w:rPr>
        <w:t> </w:t>
      </w:r>
      <w:r>
        <w:rPr>
          <w:sz w:val="24"/>
        </w:rPr>
        <w:t>Liquefaction,</w:t>
      </w:r>
      <w:r>
        <w:rPr>
          <w:spacing w:val="-2"/>
          <w:sz w:val="24"/>
        </w:rPr>
        <w:t> </w:t>
      </w:r>
      <w:r>
        <w:rPr>
          <w:sz w:val="25"/>
        </w:rPr>
        <w:t>Indian</w:t>
      </w:r>
      <w:r>
        <w:rPr>
          <w:spacing w:val="-8"/>
          <w:sz w:val="25"/>
        </w:rPr>
        <w:t> </w:t>
      </w:r>
      <w:r>
        <w:rPr>
          <w:sz w:val="25"/>
        </w:rPr>
        <w:t>Journal</w:t>
      </w:r>
      <w:r>
        <w:rPr>
          <w:spacing w:val="-8"/>
          <w:sz w:val="25"/>
        </w:rPr>
        <w:t> </w:t>
      </w:r>
      <w:r>
        <w:rPr>
          <w:sz w:val="25"/>
        </w:rPr>
        <w:t>of</w:t>
      </w:r>
      <w:r>
        <w:rPr>
          <w:spacing w:val="-9"/>
          <w:sz w:val="25"/>
        </w:rPr>
        <w:t> </w:t>
      </w:r>
      <w:r>
        <w:rPr>
          <w:sz w:val="25"/>
        </w:rPr>
        <w:t>Science</w:t>
      </w:r>
      <w:r>
        <w:rPr>
          <w:spacing w:val="-7"/>
          <w:sz w:val="25"/>
        </w:rPr>
        <w:t> </w:t>
      </w:r>
      <w:r>
        <w:rPr>
          <w:sz w:val="25"/>
        </w:rPr>
        <w:t>and</w:t>
      </w:r>
      <w:r>
        <w:rPr>
          <w:spacing w:val="-76"/>
          <w:sz w:val="25"/>
        </w:rPr>
        <w:t> </w:t>
      </w:r>
      <w:r>
        <w:rPr>
          <w:sz w:val="25"/>
        </w:rPr>
        <w:t>Technology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13(12)</w:t>
      </w:r>
      <w:r>
        <w:rPr>
          <w:spacing w:val="-3"/>
          <w:sz w:val="24"/>
        </w:rPr>
        <w:t> </w:t>
      </w:r>
      <w:r>
        <w:rPr>
          <w:sz w:val="24"/>
        </w:rPr>
        <w:t>207-212.</w:t>
      </w:r>
    </w:p>
    <w:p>
      <w:pPr>
        <w:pStyle w:val="BodyText"/>
        <w:tabs>
          <w:tab w:pos="2767" w:val="left" w:leader="none"/>
          <w:tab w:pos="4306" w:val="left" w:leader="none"/>
          <w:tab w:pos="6319" w:val="left" w:leader="none"/>
          <w:tab w:pos="8543" w:val="left" w:leader="none"/>
          <w:tab w:pos="10125" w:val="left" w:leader="none"/>
        </w:tabs>
        <w:spacing w:line="470" w:lineRule="auto" w:before="247"/>
        <w:ind w:left="1918" w:right="575" w:hanging="720"/>
      </w:pPr>
      <w:r>
        <w:rPr/>
        <w:t>National</w:t>
        <w:tab/>
        <w:t>Oceanic</w:t>
        <w:tab/>
        <w:t>Atmospheric</w:t>
        <w:tab/>
        <w:t>Administration</w:t>
        <w:tab/>
        <w:t>(NOAA),</w:t>
        <w:tab/>
        <w:t>(2004).</w:t>
      </w:r>
      <w:r>
        <w:rPr>
          <w:spacing w:val="-72"/>
        </w:rPr>
        <w:t> </w:t>
      </w:r>
      <w:r>
        <w:rPr>
          <w:spacing w:val="-1"/>
          <w:sz w:val="25"/>
        </w:rPr>
        <w:t>Dispersants</w:t>
      </w:r>
      <w:r>
        <w:rPr>
          <w:spacing w:val="-1"/>
        </w:rPr>
        <w:t>.</w:t>
      </w:r>
      <w:hyperlink r:id="rId79">
        <w:r>
          <w:rPr>
            <w:color w:val="0000FF"/>
            <w:spacing w:val="-1"/>
            <w:u w:val="single" w:color="0000FF"/>
          </w:rPr>
          <w:t>http://www.response.restoration.noaa.gov/oilaids/response/pdfs/metho</w:t>
        </w:r>
      </w:hyperlink>
      <w:r>
        <w:rPr>
          <w:color w:val="0000FF"/>
        </w:rPr>
        <w:t> </w:t>
      </w:r>
      <w:hyperlink r:id="rId79">
        <w:r>
          <w:rPr>
            <w:color w:val="0000FF"/>
            <w:u w:val="single" w:color="0000FF"/>
          </w:rPr>
          <w:t>ds/disperse.pdf</w:t>
        </w:r>
      </w:hyperlink>
      <w:r>
        <w:rPr/>
        <w:t>.</w:t>
      </w:r>
      <w:r>
        <w:rPr>
          <w:spacing w:val="-3"/>
        </w:rPr>
        <w:t> </w:t>
      </w:r>
      <w:r>
        <w:rPr/>
        <w:t>Retrieved:</w:t>
      </w:r>
      <w:r>
        <w:rPr>
          <w:spacing w:val="-2"/>
        </w:rPr>
        <w:t> </w:t>
      </w:r>
      <w:r>
        <w:rPr/>
        <w:t>21</w:t>
      </w:r>
      <w:r>
        <w:rPr>
          <w:spacing w:val="1"/>
        </w:rPr>
        <w:t> </w:t>
      </w:r>
      <w:r>
        <w:rPr/>
        <w:t>January,</w:t>
      </w:r>
      <w:r>
        <w:rPr>
          <w:spacing w:val="-1"/>
        </w:rPr>
        <w:t> </w:t>
      </w:r>
      <w:r>
        <w:rPr/>
        <w:t>2013.</w:t>
      </w:r>
    </w:p>
    <w:p>
      <w:pPr>
        <w:pStyle w:val="BodyText"/>
        <w:spacing w:line="470" w:lineRule="auto" w:before="252"/>
        <w:ind w:left="1918" w:hanging="720"/>
      </w:pPr>
      <w:r>
        <w:rPr/>
        <w:t>Nenkova,</w:t>
      </w:r>
      <w:r>
        <w:rPr>
          <w:spacing w:val="10"/>
        </w:rPr>
        <w:t> </w:t>
      </w:r>
      <w:r>
        <w:rPr/>
        <w:t>S.,</w:t>
      </w:r>
      <w:r>
        <w:rPr>
          <w:spacing w:val="11"/>
        </w:rPr>
        <w:t> </w:t>
      </w:r>
      <w:r>
        <w:rPr/>
        <w:t>Garvanska,</w:t>
      </w:r>
      <w:r>
        <w:rPr>
          <w:spacing w:val="10"/>
        </w:rPr>
        <w:t> </w:t>
      </w:r>
      <w:r>
        <w:rPr/>
        <w:t>R.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Jelev,</w:t>
      </w:r>
      <w:r>
        <w:rPr>
          <w:spacing w:val="12"/>
        </w:rPr>
        <w:t> </w:t>
      </w:r>
      <w:r>
        <w:rPr/>
        <w:t>S.,</w:t>
      </w:r>
      <w:r>
        <w:rPr>
          <w:spacing w:val="11"/>
        </w:rPr>
        <w:t> </w:t>
      </w:r>
      <w:r>
        <w:rPr/>
        <w:t>(2004).</w:t>
      </w:r>
      <w:r>
        <w:rPr>
          <w:spacing w:val="11"/>
        </w:rPr>
        <w:t> </w:t>
      </w:r>
      <w:r>
        <w:rPr/>
        <w:t>Fibrous</w:t>
      </w:r>
      <w:r>
        <w:rPr>
          <w:spacing w:val="11"/>
        </w:rPr>
        <w:t> </w:t>
      </w:r>
      <w:r>
        <w:rPr/>
        <w:t>wood</w:t>
      </w:r>
      <w:r>
        <w:rPr>
          <w:spacing w:val="11"/>
        </w:rPr>
        <w:t> </w:t>
      </w:r>
      <w:r>
        <w:rPr/>
        <w:t>sorbent</w:t>
      </w:r>
      <w:r>
        <w:rPr>
          <w:spacing w:val="10"/>
        </w:rPr>
        <w:t> </w:t>
      </w:r>
      <w:r>
        <w:rPr/>
        <w:t>for</w:t>
      </w:r>
      <w:r>
        <w:rPr>
          <w:spacing w:val="12"/>
        </w:rPr>
        <w:t> </w:t>
      </w:r>
      <w:r>
        <w:rPr/>
        <w:t>eliminating</w:t>
      </w:r>
      <w:r>
        <w:rPr>
          <w:spacing w:val="11"/>
        </w:rPr>
        <w:t> </w:t>
      </w:r>
      <w:r>
        <w:rPr/>
        <w:t>oil</w:t>
      </w:r>
      <w:r>
        <w:rPr>
          <w:spacing w:val="-72"/>
        </w:rPr>
        <w:t> </w:t>
      </w:r>
      <w:r>
        <w:rPr/>
        <w:t>pollution.</w:t>
      </w:r>
      <w:r>
        <w:rPr>
          <w:sz w:val="25"/>
        </w:rPr>
        <w:t>Aulex</w:t>
      </w:r>
      <w:r>
        <w:rPr>
          <w:spacing w:val="-6"/>
          <w:sz w:val="25"/>
        </w:rPr>
        <w:t> </w:t>
      </w:r>
      <w:r>
        <w:rPr>
          <w:sz w:val="25"/>
        </w:rPr>
        <w:t>Research</w:t>
      </w:r>
      <w:r>
        <w:rPr>
          <w:spacing w:val="-6"/>
          <w:sz w:val="25"/>
        </w:rPr>
        <w:t> </w:t>
      </w:r>
      <w:r>
        <w:rPr>
          <w:sz w:val="25"/>
        </w:rPr>
        <w:t>Journal,</w:t>
      </w:r>
      <w:r>
        <w:rPr>
          <w:spacing w:val="-5"/>
          <w:sz w:val="25"/>
        </w:rPr>
        <w:t> </w:t>
      </w:r>
      <w:r>
        <w:rPr/>
        <w:t>4(30):</w:t>
      </w:r>
      <w:r>
        <w:rPr>
          <w:spacing w:val="-4"/>
        </w:rPr>
        <w:t> </w:t>
      </w:r>
      <w:r>
        <w:rPr/>
        <w:t>157-163.</w:t>
      </w:r>
    </w:p>
    <w:p>
      <w:pPr>
        <w:pStyle w:val="BodyText"/>
        <w:spacing w:line="465" w:lineRule="auto" w:before="240"/>
        <w:ind w:left="1918" w:right="577" w:hanging="720"/>
        <w:jc w:val="both"/>
      </w:pPr>
      <w:r>
        <w:rPr/>
        <w:t>Nordvick, A.B., Simmons, J.L., Bitting, K.R., Lewis A. and Strøm-Kristiansen T., (1996).Oil</w:t>
      </w:r>
      <w:r>
        <w:rPr>
          <w:spacing w:val="1"/>
        </w:rPr>
        <w:t> </w:t>
      </w:r>
      <w:r>
        <w:rPr/>
        <w:t>and water separation in marine oil spill clean-up operations. </w:t>
      </w:r>
      <w:r>
        <w:rPr>
          <w:sz w:val="25"/>
        </w:rPr>
        <w:t>Spill Science and</w:t>
      </w:r>
      <w:r>
        <w:rPr>
          <w:spacing w:val="1"/>
          <w:sz w:val="25"/>
        </w:rPr>
        <w:t> </w:t>
      </w:r>
      <w:r>
        <w:rPr>
          <w:sz w:val="25"/>
        </w:rPr>
        <w:t>Technology</w:t>
      </w:r>
      <w:r>
        <w:rPr>
          <w:spacing w:val="-6"/>
          <w:sz w:val="25"/>
        </w:rPr>
        <w:t> </w:t>
      </w:r>
      <w:r>
        <w:rPr>
          <w:sz w:val="25"/>
        </w:rPr>
        <w:t>Bulletin</w:t>
      </w:r>
      <w:r>
        <w:rPr/>
        <w:t>,</w:t>
      </w:r>
      <w:r>
        <w:rPr>
          <w:spacing w:val="-2"/>
        </w:rPr>
        <w:t> </w:t>
      </w:r>
      <w:r>
        <w:rPr/>
        <w:t>3(3):</w:t>
      </w:r>
      <w:r>
        <w:rPr>
          <w:spacing w:val="-3"/>
        </w:rPr>
        <w:t> </w:t>
      </w:r>
      <w:r>
        <w:rPr/>
        <w:t>107-122.</w:t>
      </w:r>
    </w:p>
    <w:p>
      <w:pPr>
        <w:pStyle w:val="BodyText"/>
        <w:spacing w:line="480" w:lineRule="auto" w:before="245"/>
        <w:ind w:left="1918" w:right="574" w:hanging="720"/>
        <w:jc w:val="both"/>
      </w:pPr>
      <w:r>
        <w:rPr/>
        <w:t>Nwankwere, E.T., (2010). Acetylation of rice husks for oil spillage treatment. MSc. Thesis,</w:t>
      </w:r>
      <w:r>
        <w:rPr>
          <w:spacing w:val="1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 Zaria,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 w:before="240"/>
        <w:ind w:left="1918" w:right="580" w:hanging="720"/>
        <w:jc w:val="both"/>
      </w:pPr>
      <w:r>
        <w:rPr/>
        <w:t>Nwankwere, E.T., Gimba, C.E., Kagbu, J.A., Nale, B.Y.,(2010). Sorption studies of crude oil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acetylated</w:t>
      </w:r>
      <w:r>
        <w:rPr>
          <w:spacing w:val="-3"/>
        </w:rPr>
        <w:t> </w:t>
      </w:r>
      <w:r>
        <w:rPr/>
        <w:t>rice</w:t>
      </w:r>
      <w:r>
        <w:rPr>
          <w:spacing w:val="-1"/>
        </w:rPr>
        <w:t> </w:t>
      </w:r>
      <w:r>
        <w:rPr/>
        <w:t>husks.</w:t>
      </w:r>
      <w:r>
        <w:rPr>
          <w:spacing w:val="-2"/>
        </w:rPr>
        <w:t> </w:t>
      </w:r>
      <w:r>
        <w:rPr/>
        <w:t>Advances</w:t>
      </w:r>
      <w:r>
        <w:rPr>
          <w:spacing w:val="-1"/>
        </w:rPr>
        <w:t> </w:t>
      </w:r>
      <w:r>
        <w:rPr/>
        <w:t>in Applied</w:t>
      </w:r>
      <w:r>
        <w:rPr>
          <w:spacing w:val="-3"/>
        </w:rPr>
        <w:t> </w:t>
      </w:r>
      <w:r>
        <w:rPr/>
        <w:t>Science</w:t>
      </w:r>
      <w:r>
        <w:rPr>
          <w:spacing w:val="-1"/>
        </w:rPr>
        <w:t> </w:t>
      </w:r>
      <w:r>
        <w:rPr/>
        <w:t>Research,</w:t>
      </w:r>
      <w:r>
        <w:rPr>
          <w:spacing w:val="-3"/>
        </w:rPr>
        <w:t> </w:t>
      </w:r>
      <w:r>
        <w:rPr/>
        <w:t>2(5):</w:t>
      </w:r>
      <w:r>
        <w:rPr>
          <w:spacing w:val="-3"/>
        </w:rPr>
        <w:t> </w:t>
      </w:r>
      <w:r>
        <w:rPr/>
        <w:t>141-151.</w:t>
      </w:r>
    </w:p>
    <w:p>
      <w:pPr>
        <w:pStyle w:val="BodyText"/>
        <w:tabs>
          <w:tab w:pos="2884" w:val="left" w:leader="none"/>
          <w:tab w:pos="4265" w:val="left" w:leader="none"/>
          <w:tab w:pos="4800" w:val="left" w:leader="none"/>
          <w:tab w:pos="6398" w:val="left" w:leader="none"/>
          <w:tab w:pos="6976" w:val="left" w:leader="none"/>
          <w:tab w:pos="7835" w:val="left" w:leader="none"/>
          <w:tab w:pos="9376" w:val="left" w:leader="none"/>
          <w:tab w:pos="10641" w:val="left" w:leader="none"/>
        </w:tabs>
        <w:spacing w:line="480" w:lineRule="auto" w:before="241"/>
        <w:ind w:left="1918" w:right="576" w:hanging="720"/>
      </w:pPr>
      <w:r>
        <w:rPr/>
        <w:t>Nwanma,</w:t>
      </w:r>
      <w:r>
        <w:rPr>
          <w:spacing w:val="10"/>
        </w:rPr>
        <w:t> </w:t>
      </w:r>
      <w:r>
        <w:rPr/>
        <w:t>V.,</w:t>
      </w:r>
      <w:r>
        <w:rPr>
          <w:spacing w:val="12"/>
        </w:rPr>
        <w:t> </w:t>
      </w:r>
      <w:r>
        <w:rPr/>
        <w:t>(2009).</w:t>
      </w:r>
      <w:r>
        <w:rPr>
          <w:spacing w:val="13"/>
        </w:rPr>
        <w:t> </w:t>
      </w:r>
      <w:r>
        <w:rPr/>
        <w:t>Nigerian</w:t>
      </w:r>
      <w:r>
        <w:rPr>
          <w:spacing w:val="12"/>
        </w:rPr>
        <w:t> </w:t>
      </w:r>
      <w:r>
        <w:rPr/>
        <w:t>corn</w:t>
      </w:r>
      <w:r>
        <w:rPr>
          <w:spacing w:val="12"/>
        </w:rPr>
        <w:t> </w:t>
      </w:r>
      <w:r>
        <w:rPr/>
        <w:t>study</w:t>
      </w:r>
      <w:r>
        <w:rPr>
          <w:spacing w:val="12"/>
        </w:rPr>
        <w:t> </w:t>
      </w:r>
      <w:r>
        <w:rPr/>
        <w:t>shows</w:t>
      </w:r>
      <w:r>
        <w:rPr>
          <w:spacing w:val="13"/>
        </w:rPr>
        <w:t> </w:t>
      </w:r>
      <w:r>
        <w:rPr/>
        <w:t>production</w:t>
      </w:r>
      <w:r>
        <w:rPr>
          <w:spacing w:val="11"/>
        </w:rPr>
        <w:t> </w:t>
      </w:r>
      <w:r>
        <w:rPr/>
        <w:t>could</w:t>
      </w:r>
      <w:r>
        <w:rPr>
          <w:spacing w:val="14"/>
        </w:rPr>
        <w:t> </w:t>
      </w:r>
      <w:r>
        <w:rPr/>
        <w:t>be</w:t>
      </w:r>
      <w:r>
        <w:rPr>
          <w:spacing w:val="12"/>
        </w:rPr>
        <w:t> </w:t>
      </w:r>
      <w:r>
        <w:rPr/>
        <w:t>more</w:t>
      </w:r>
      <w:r>
        <w:rPr>
          <w:spacing w:val="12"/>
        </w:rPr>
        <w:t> </w:t>
      </w:r>
      <w:r>
        <w:rPr/>
        <w:t>than</w:t>
      </w:r>
      <w:r>
        <w:rPr>
          <w:spacing w:val="14"/>
        </w:rPr>
        <w:t> </w:t>
      </w:r>
      <w:r>
        <w:rPr/>
        <w:t>double:</w:t>
      </w:r>
      <w:r>
        <w:rPr>
          <w:spacing w:val="14"/>
        </w:rPr>
        <w:t> </w:t>
      </w:r>
      <w:r>
        <w:rPr/>
        <w:t>A</w:t>
      </w:r>
      <w:r>
        <w:rPr>
          <w:spacing w:val="-72"/>
        </w:rPr>
        <w:t> </w:t>
      </w:r>
      <w:r>
        <w:rPr/>
        <w:t>report</w:t>
        <w:tab/>
        <w:t>presented</w:t>
        <w:tab/>
        <w:t>to</w:t>
        <w:tab/>
        <w:t>government</w:t>
        <w:tab/>
        <w:t>by</w:t>
        <w:tab/>
        <w:t>IITA.</w:t>
        <w:tab/>
        <w:t>Bloomberg.</w:t>
        <w:tab/>
        <w:t>Available</w:t>
        <w:tab/>
        <w:t>on</w:t>
      </w:r>
      <w:r>
        <w:rPr>
          <w:spacing w:val="-72"/>
        </w:rPr>
        <w:t> </w:t>
      </w:r>
      <w:r>
        <w:rPr/>
        <w:t>http//</w:t>
      </w:r>
      <w:hyperlink r:id="rId80">
        <w:r>
          <w:rPr/>
          <w:t>www.bloomberg.com/apps/news?pid=newsarchive&amp;sid=orgf2xjGoSoM.</w:t>
        </w:r>
      </w:hyperlink>
      <w:r>
        <w:rPr>
          <w:spacing w:val="1"/>
        </w:rPr>
        <w:t> </w:t>
      </w:r>
      <w:r>
        <w:rPr/>
        <w:t>Retrieved:</w:t>
      </w:r>
      <w:r>
        <w:rPr>
          <w:spacing w:val="-3"/>
        </w:rPr>
        <w:t> </w:t>
      </w:r>
      <w:r>
        <w:rPr/>
        <w:t>31</w:t>
      </w:r>
      <w:r>
        <w:rPr>
          <w:spacing w:val="1"/>
        </w:rPr>
        <w:t> </w:t>
      </w:r>
      <w:r>
        <w:rPr/>
        <w:t>January</w:t>
      </w:r>
      <w:r>
        <w:rPr>
          <w:spacing w:val="-1"/>
        </w:rPr>
        <w:t> </w:t>
      </w:r>
      <w:r>
        <w:rPr/>
        <w:t>2013.</w:t>
      </w:r>
    </w:p>
    <w:p>
      <w:pPr>
        <w:pStyle w:val="BodyText"/>
        <w:spacing w:line="480" w:lineRule="auto" w:before="239"/>
        <w:ind w:left="1918" w:right="575" w:hanging="720"/>
      </w:pPr>
      <w:r>
        <w:rPr/>
        <w:t>Nzikou,</w:t>
      </w:r>
      <w:r>
        <w:rPr>
          <w:spacing w:val="-1"/>
        </w:rPr>
        <w:t> </w:t>
      </w:r>
      <w:r>
        <w:rPr/>
        <w:t>J.M.,</w:t>
      </w:r>
      <w:r>
        <w:rPr>
          <w:spacing w:val="-1"/>
        </w:rPr>
        <w:t> </w:t>
      </w:r>
      <w:r>
        <w:rPr/>
        <w:t>Kimbonguila,</w:t>
      </w:r>
      <w:r>
        <w:rPr>
          <w:spacing w:val="-1"/>
        </w:rPr>
        <w:t> </w:t>
      </w:r>
      <w:r>
        <w:rPr/>
        <w:t>A.,</w:t>
      </w:r>
      <w:r>
        <w:rPr>
          <w:spacing w:val="2"/>
        </w:rPr>
        <w:t> </w:t>
      </w:r>
      <w:r>
        <w:rPr/>
        <w:t>Matos,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Loumouamou,</w:t>
      </w:r>
      <w:r>
        <w:rPr>
          <w:spacing w:val="-1"/>
        </w:rPr>
        <w:t> </w:t>
      </w:r>
      <w:r>
        <w:rPr/>
        <w:t>O.,</w:t>
      </w:r>
      <w:r>
        <w:rPr>
          <w:spacing w:val="-1"/>
        </w:rPr>
        <w:t> </w:t>
      </w:r>
      <w:r>
        <w:rPr/>
        <w:t>Dambou-Tobi,</w:t>
      </w:r>
      <w:r>
        <w:rPr>
          <w:spacing w:val="3"/>
        </w:rPr>
        <w:t> </w:t>
      </w:r>
      <w:r>
        <w:rPr/>
        <w:t>N.P.G.,</w:t>
      </w:r>
      <w:r>
        <w:rPr>
          <w:spacing w:val="3"/>
        </w:rPr>
        <w:t> </w:t>
      </w:r>
      <w:r>
        <w:rPr/>
        <w:t>Ndangui,</w:t>
      </w:r>
      <w:r>
        <w:rPr>
          <w:spacing w:val="-72"/>
        </w:rPr>
        <w:t> </w:t>
      </w:r>
      <w:r>
        <w:rPr/>
        <w:t>C.B,</w:t>
      </w:r>
      <w:r>
        <w:rPr>
          <w:spacing w:val="54"/>
        </w:rPr>
        <w:t> </w:t>
      </w:r>
      <w:r>
        <w:rPr/>
        <w:t>Abene,</w:t>
      </w:r>
      <w:r>
        <w:rPr>
          <w:spacing w:val="55"/>
        </w:rPr>
        <w:t> </w:t>
      </w:r>
      <w:r>
        <w:rPr/>
        <w:t>A.A.,</w:t>
      </w:r>
      <w:r>
        <w:rPr>
          <w:spacing w:val="54"/>
        </w:rPr>
        <w:t> </w:t>
      </w:r>
      <w:r>
        <w:rPr/>
        <w:t>Silou,</w:t>
      </w:r>
      <w:r>
        <w:rPr>
          <w:spacing w:val="55"/>
        </w:rPr>
        <w:t> </w:t>
      </w:r>
      <w:r>
        <w:rPr/>
        <w:t>T.L.,</w:t>
      </w:r>
      <w:r>
        <w:rPr>
          <w:spacing w:val="56"/>
        </w:rPr>
        <w:t> </w:t>
      </w:r>
      <w:r>
        <w:rPr/>
        <w:t>Scher,</w:t>
      </w:r>
      <w:r>
        <w:rPr>
          <w:spacing w:val="54"/>
        </w:rPr>
        <w:t> </w:t>
      </w:r>
      <w:r>
        <w:rPr/>
        <w:t>J.,</w:t>
      </w:r>
      <w:r>
        <w:rPr>
          <w:spacing w:val="56"/>
        </w:rPr>
        <w:t> </w:t>
      </w:r>
      <w:r>
        <w:rPr/>
        <w:t>and</w:t>
      </w:r>
      <w:r>
        <w:rPr>
          <w:spacing w:val="55"/>
        </w:rPr>
        <w:t> </w:t>
      </w:r>
      <w:r>
        <w:rPr/>
        <w:t>Desoby,</w:t>
      </w:r>
      <w:r>
        <w:rPr>
          <w:spacing w:val="54"/>
        </w:rPr>
        <w:t> </w:t>
      </w:r>
      <w:r>
        <w:rPr/>
        <w:t>S.,</w:t>
      </w:r>
      <w:r>
        <w:rPr>
          <w:spacing w:val="57"/>
        </w:rPr>
        <w:t> </w:t>
      </w:r>
      <w:r>
        <w:rPr/>
        <w:t>(2010).</w:t>
      </w:r>
      <w:r>
        <w:rPr>
          <w:spacing w:val="53"/>
        </w:rPr>
        <w:t> </w:t>
      </w:r>
      <w:r>
        <w:rPr/>
        <w:t>Extraction</w:t>
      </w:r>
      <w:r>
        <w:rPr>
          <w:spacing w:val="56"/>
        </w:rPr>
        <w:t> </w:t>
      </w:r>
      <w:r>
        <w:rPr/>
        <w:t>and</w:t>
      </w:r>
    </w:p>
    <w:p>
      <w:pPr>
        <w:spacing w:after="0" w:line="480" w:lineRule="auto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82" w:lineRule="auto" w:before="75"/>
        <w:ind w:left="1918" w:right="576"/>
        <w:jc w:val="both"/>
      </w:pPr>
      <w:r>
        <w:rPr/>
        <w:t>characterization of seed oil from mango (mangifera indica). Research Journal of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Earth Sciences,</w:t>
      </w:r>
      <w:r>
        <w:rPr>
          <w:spacing w:val="-1"/>
        </w:rPr>
        <w:t> </w:t>
      </w:r>
      <w:r>
        <w:rPr/>
        <w:t>2(1):</w:t>
      </w:r>
      <w:r>
        <w:rPr>
          <w:spacing w:val="-2"/>
        </w:rPr>
        <w:t> </w:t>
      </w:r>
      <w:r>
        <w:rPr/>
        <w:t>231-238.</w:t>
      </w:r>
    </w:p>
    <w:p>
      <w:pPr>
        <w:spacing w:line="472" w:lineRule="auto" w:before="235"/>
        <w:ind w:left="1918" w:right="581" w:hanging="720"/>
        <w:jc w:val="both"/>
        <w:rPr>
          <w:sz w:val="24"/>
        </w:rPr>
      </w:pPr>
      <w:r>
        <w:rPr>
          <w:sz w:val="24"/>
        </w:rPr>
        <w:t>Okoro, A., Ejike, E.N., and Anunoso, C., (2007a). Sorption model of modified cellulosic as</w:t>
      </w:r>
      <w:r>
        <w:rPr>
          <w:spacing w:val="1"/>
          <w:sz w:val="24"/>
        </w:rPr>
        <w:t> </w:t>
      </w:r>
      <w:r>
        <w:rPr>
          <w:sz w:val="24"/>
        </w:rPr>
        <w:t>crude</w:t>
      </w:r>
      <w:r>
        <w:rPr>
          <w:spacing w:val="-11"/>
          <w:sz w:val="24"/>
        </w:rPr>
        <w:t> </w:t>
      </w:r>
      <w:r>
        <w:rPr>
          <w:sz w:val="24"/>
        </w:rPr>
        <w:t>oil</w:t>
      </w:r>
      <w:r>
        <w:rPr>
          <w:spacing w:val="-10"/>
          <w:sz w:val="24"/>
        </w:rPr>
        <w:t> </w:t>
      </w:r>
      <w:r>
        <w:rPr>
          <w:sz w:val="24"/>
        </w:rPr>
        <w:t>sorbent.</w:t>
      </w:r>
      <w:r>
        <w:rPr>
          <w:spacing w:val="-11"/>
          <w:sz w:val="24"/>
        </w:rPr>
        <w:t> </w:t>
      </w:r>
      <w:r>
        <w:rPr>
          <w:sz w:val="25"/>
        </w:rPr>
        <w:t>Journal</w:t>
      </w:r>
      <w:r>
        <w:rPr>
          <w:spacing w:val="-13"/>
          <w:sz w:val="25"/>
        </w:rPr>
        <w:t> </w:t>
      </w:r>
      <w:r>
        <w:rPr>
          <w:sz w:val="25"/>
        </w:rPr>
        <w:t>of</w:t>
      </w:r>
      <w:r>
        <w:rPr>
          <w:spacing w:val="-14"/>
          <w:sz w:val="25"/>
        </w:rPr>
        <w:t> </w:t>
      </w:r>
      <w:r>
        <w:rPr>
          <w:sz w:val="25"/>
        </w:rPr>
        <w:t>Engineering</w:t>
      </w:r>
      <w:r>
        <w:rPr>
          <w:spacing w:val="-14"/>
          <w:sz w:val="25"/>
        </w:rPr>
        <w:t> </w:t>
      </w:r>
      <w:r>
        <w:rPr>
          <w:sz w:val="25"/>
        </w:rPr>
        <w:t>and</w:t>
      </w:r>
      <w:r>
        <w:rPr>
          <w:spacing w:val="-11"/>
          <w:sz w:val="25"/>
        </w:rPr>
        <w:t> </w:t>
      </w:r>
      <w:r>
        <w:rPr>
          <w:sz w:val="25"/>
        </w:rPr>
        <w:t>Applied</w:t>
      </w:r>
      <w:r>
        <w:rPr>
          <w:spacing w:val="-15"/>
          <w:sz w:val="25"/>
        </w:rPr>
        <w:t> </w:t>
      </w:r>
      <w:r>
        <w:rPr>
          <w:sz w:val="25"/>
        </w:rPr>
        <w:t>Sciences</w:t>
      </w:r>
      <w:r>
        <w:rPr>
          <w:sz w:val="24"/>
        </w:rPr>
        <w:t>,</w:t>
      </w:r>
      <w:r>
        <w:rPr>
          <w:spacing w:val="-11"/>
          <w:sz w:val="24"/>
        </w:rPr>
        <w:t> </w:t>
      </w:r>
      <w:r>
        <w:rPr>
          <w:sz w:val="24"/>
        </w:rPr>
        <w:t>2(2):</w:t>
      </w:r>
      <w:r>
        <w:rPr>
          <w:spacing w:val="-11"/>
          <w:sz w:val="24"/>
        </w:rPr>
        <w:t> </w:t>
      </w:r>
      <w:r>
        <w:rPr>
          <w:sz w:val="24"/>
        </w:rPr>
        <w:t>282-285.</w:t>
      </w:r>
    </w:p>
    <w:p>
      <w:pPr>
        <w:spacing w:line="470" w:lineRule="auto" w:before="234"/>
        <w:ind w:left="1918" w:right="581" w:hanging="720"/>
        <w:jc w:val="both"/>
        <w:rPr>
          <w:sz w:val="24"/>
        </w:rPr>
      </w:pPr>
      <w:r>
        <w:rPr>
          <w:sz w:val="24"/>
        </w:rPr>
        <w:t>Okoro, I.A. and Ejike, E.N., (2007). Chemical modification of cellulose pulp as crude oil</w:t>
      </w:r>
      <w:r>
        <w:rPr>
          <w:spacing w:val="1"/>
          <w:sz w:val="24"/>
        </w:rPr>
        <w:t> </w:t>
      </w:r>
      <w:r>
        <w:rPr>
          <w:sz w:val="24"/>
        </w:rPr>
        <w:t>absorbents.</w:t>
      </w:r>
      <w:r>
        <w:rPr>
          <w:spacing w:val="-7"/>
          <w:sz w:val="24"/>
        </w:rPr>
        <w:t> </w:t>
      </w:r>
      <w:r>
        <w:rPr>
          <w:sz w:val="25"/>
        </w:rPr>
        <w:t>Research</w:t>
      </w:r>
      <w:r>
        <w:rPr>
          <w:spacing w:val="-8"/>
          <w:sz w:val="25"/>
        </w:rPr>
        <w:t> </w:t>
      </w:r>
      <w:r>
        <w:rPr>
          <w:sz w:val="25"/>
        </w:rPr>
        <w:t>Journal</w:t>
      </w:r>
      <w:r>
        <w:rPr>
          <w:spacing w:val="-7"/>
          <w:sz w:val="25"/>
        </w:rPr>
        <w:t> </w:t>
      </w:r>
      <w:r>
        <w:rPr>
          <w:sz w:val="25"/>
        </w:rPr>
        <w:t>of</w:t>
      </w:r>
      <w:r>
        <w:rPr>
          <w:spacing w:val="-8"/>
          <w:sz w:val="25"/>
        </w:rPr>
        <w:t> </w:t>
      </w:r>
      <w:r>
        <w:rPr>
          <w:sz w:val="25"/>
        </w:rPr>
        <w:t>Applied</w:t>
      </w:r>
      <w:r>
        <w:rPr>
          <w:spacing w:val="-9"/>
          <w:sz w:val="25"/>
        </w:rPr>
        <w:t> </w:t>
      </w:r>
      <w:r>
        <w:rPr>
          <w:sz w:val="25"/>
        </w:rPr>
        <w:t>Sciences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2(1):</w:t>
      </w:r>
      <w:r>
        <w:rPr>
          <w:spacing w:val="-7"/>
          <w:sz w:val="24"/>
        </w:rPr>
        <w:t> </w:t>
      </w:r>
      <w:r>
        <w:rPr>
          <w:sz w:val="24"/>
        </w:rPr>
        <w:t>75-76.</w:t>
      </w:r>
    </w:p>
    <w:p>
      <w:pPr>
        <w:spacing w:line="465" w:lineRule="auto" w:before="240"/>
        <w:ind w:left="1918" w:right="575" w:hanging="720"/>
        <w:jc w:val="both"/>
        <w:rPr>
          <w:sz w:val="24"/>
        </w:rPr>
      </w:pPr>
      <w:r>
        <w:rPr>
          <w:sz w:val="24"/>
        </w:rPr>
        <w:t>Okoro, I.A., Okwu, D.E. and Emeka, U.S., (2007b).Sorption kinetics and intra-particulate</w:t>
      </w:r>
      <w:r>
        <w:rPr>
          <w:spacing w:val="1"/>
          <w:sz w:val="24"/>
        </w:rPr>
        <w:t> </w:t>
      </w:r>
      <w:r>
        <w:rPr>
          <w:sz w:val="24"/>
        </w:rPr>
        <w:t>diffusivity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crude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kenaf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z w:val="25"/>
        </w:rPr>
        <w:t>Hibiscus</w:t>
      </w:r>
      <w:r>
        <w:rPr>
          <w:spacing w:val="1"/>
          <w:sz w:val="25"/>
        </w:rPr>
        <w:t> </w:t>
      </w:r>
      <w:r>
        <w:rPr>
          <w:sz w:val="25"/>
        </w:rPr>
        <w:t>CannabinusL</w:t>
      </w:r>
      <w:r>
        <w:rPr>
          <w:sz w:val="24"/>
        </w:rPr>
        <w:t>.)Plant</w:t>
      </w:r>
      <w:r>
        <w:rPr>
          <w:spacing w:val="1"/>
          <w:sz w:val="24"/>
        </w:rPr>
        <w:t> </w:t>
      </w:r>
      <w:r>
        <w:rPr>
          <w:sz w:val="24"/>
        </w:rPr>
        <w:t>Parts.</w:t>
      </w:r>
      <w:r>
        <w:rPr>
          <w:sz w:val="25"/>
        </w:rPr>
        <w:t>Journal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-76"/>
          <w:sz w:val="25"/>
        </w:rPr>
        <w:t> </w:t>
      </w:r>
      <w:r>
        <w:rPr>
          <w:sz w:val="25"/>
        </w:rPr>
        <w:t>Engineering</w:t>
      </w:r>
      <w:r>
        <w:rPr>
          <w:spacing w:val="-7"/>
          <w:sz w:val="25"/>
        </w:rPr>
        <w:t> </w:t>
      </w:r>
      <w:r>
        <w:rPr>
          <w:sz w:val="25"/>
        </w:rPr>
        <w:t>and</w:t>
      </w:r>
      <w:r>
        <w:rPr>
          <w:spacing w:val="-7"/>
          <w:sz w:val="25"/>
        </w:rPr>
        <w:t> </w:t>
      </w:r>
      <w:r>
        <w:rPr>
          <w:sz w:val="25"/>
        </w:rPr>
        <w:t>Applied</w:t>
      </w:r>
      <w:r>
        <w:rPr>
          <w:spacing w:val="-8"/>
          <w:sz w:val="25"/>
        </w:rPr>
        <w:t> </w:t>
      </w:r>
      <w:r>
        <w:rPr>
          <w:sz w:val="25"/>
        </w:rPr>
        <w:t>Sciences,</w:t>
      </w:r>
      <w:r>
        <w:rPr>
          <w:spacing w:val="-4"/>
          <w:sz w:val="25"/>
        </w:rPr>
        <w:t> </w:t>
      </w:r>
      <w:r>
        <w:rPr>
          <w:sz w:val="24"/>
        </w:rPr>
        <w:t>2(1):</w:t>
      </w:r>
      <w:r>
        <w:rPr>
          <w:spacing w:val="-5"/>
          <w:sz w:val="24"/>
        </w:rPr>
        <w:t> </w:t>
      </w:r>
      <w:r>
        <w:rPr>
          <w:sz w:val="24"/>
        </w:rPr>
        <w:t>170-173.</w:t>
      </w:r>
    </w:p>
    <w:p>
      <w:pPr>
        <w:spacing w:line="465" w:lineRule="auto" w:before="235"/>
        <w:ind w:left="1918" w:right="577" w:hanging="720"/>
        <w:jc w:val="both"/>
        <w:rPr>
          <w:sz w:val="24"/>
        </w:rPr>
      </w:pPr>
      <w:r>
        <w:rPr>
          <w:sz w:val="24"/>
        </w:rPr>
        <w:t>Proffitt, E., (1997). </w:t>
      </w:r>
      <w:r>
        <w:rPr>
          <w:sz w:val="25"/>
        </w:rPr>
        <w:t>Managing Oil Spills in Mangrove Ecosystems; Effects, Remediation,</w:t>
      </w:r>
      <w:r>
        <w:rPr>
          <w:spacing w:val="1"/>
          <w:sz w:val="25"/>
        </w:rPr>
        <w:t> </w:t>
      </w:r>
      <w:r>
        <w:rPr>
          <w:sz w:val="25"/>
        </w:rPr>
        <w:t>Restoration and Modeling</w:t>
      </w:r>
      <w:r>
        <w:rPr>
          <w:sz w:val="24"/>
        </w:rPr>
        <w:t>, OCS Study MMS 97-0003, New Orleans U.S 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Interior,</w:t>
      </w:r>
      <w:r>
        <w:rPr>
          <w:spacing w:val="-3"/>
          <w:sz w:val="24"/>
        </w:rPr>
        <w:t> </w:t>
      </w:r>
      <w:r>
        <w:rPr>
          <w:sz w:val="24"/>
        </w:rPr>
        <w:t>Minerals Management</w:t>
      </w:r>
      <w:r>
        <w:rPr>
          <w:spacing w:val="-2"/>
          <w:sz w:val="24"/>
        </w:rPr>
        <w:t> </w:t>
      </w:r>
      <w:r>
        <w:rPr>
          <w:sz w:val="24"/>
        </w:rPr>
        <w:t>Service,</w:t>
      </w:r>
      <w:r>
        <w:rPr>
          <w:spacing w:val="-2"/>
          <w:sz w:val="24"/>
        </w:rPr>
        <w:t> </w:t>
      </w:r>
      <w:r>
        <w:rPr>
          <w:sz w:val="24"/>
        </w:rPr>
        <w:t>Golf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Mexico</w:t>
      </w:r>
      <w:r>
        <w:rPr>
          <w:spacing w:val="-2"/>
          <w:sz w:val="24"/>
        </w:rPr>
        <w:t> </w:t>
      </w:r>
      <w:r>
        <w:rPr>
          <w:sz w:val="24"/>
        </w:rPr>
        <w:t>OCS</w:t>
      </w:r>
      <w:r>
        <w:rPr>
          <w:spacing w:val="-1"/>
          <w:sz w:val="24"/>
        </w:rPr>
        <w:t> </w:t>
      </w:r>
      <w:r>
        <w:rPr>
          <w:sz w:val="24"/>
        </w:rPr>
        <w:t>Region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76.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75" w:lineRule="auto"/>
        <w:ind w:left="1918" w:right="578" w:hanging="720"/>
        <w:jc w:val="both"/>
      </w:pPr>
      <w:r>
        <w:rPr/>
        <w:t>Puravankara, D., Bohgra, V. and Sharma, R.S., (2000). Effects of antioxidant principles</w:t>
      </w:r>
      <w:r>
        <w:rPr>
          <w:spacing w:val="1"/>
        </w:rPr>
        <w:t> </w:t>
      </w:r>
      <w:r>
        <w:rPr/>
        <w:t>isolated from from mango (mangifera indica l) seed kernels on oxidative stability of</w:t>
      </w:r>
      <w:r>
        <w:rPr>
          <w:spacing w:val="1"/>
        </w:rPr>
        <w:t> </w:t>
      </w:r>
      <w:r>
        <w:rPr/>
        <w:t>buffalo</w:t>
      </w:r>
      <w:r>
        <w:rPr>
          <w:spacing w:val="-16"/>
        </w:rPr>
        <w:t> </w:t>
      </w:r>
      <w:r>
        <w:rPr/>
        <w:t>glee</w:t>
      </w:r>
      <w:r>
        <w:rPr>
          <w:spacing w:val="-14"/>
        </w:rPr>
        <w:t> </w:t>
      </w:r>
      <w:r>
        <w:rPr/>
        <w:t>(butter</w:t>
      </w:r>
      <w:r>
        <w:rPr>
          <w:spacing w:val="-15"/>
        </w:rPr>
        <w:t> </w:t>
      </w:r>
      <w:r>
        <w:rPr/>
        <w:t>fat)</w:t>
      </w:r>
      <w:r>
        <w:rPr>
          <w:spacing w:val="-14"/>
        </w:rPr>
        <w:t> </w:t>
      </w:r>
      <w:r>
        <w:rPr>
          <w:sz w:val="25"/>
        </w:rPr>
        <w:t>Journal</w:t>
      </w:r>
      <w:r>
        <w:rPr>
          <w:spacing w:val="-18"/>
          <w:sz w:val="25"/>
        </w:rPr>
        <w:t> </w:t>
      </w:r>
      <w:r>
        <w:rPr>
          <w:sz w:val="25"/>
        </w:rPr>
        <w:t>of</w:t>
      </w:r>
      <w:r>
        <w:rPr>
          <w:spacing w:val="-16"/>
          <w:sz w:val="25"/>
        </w:rPr>
        <w:t> </w:t>
      </w:r>
      <w:r>
        <w:rPr>
          <w:sz w:val="25"/>
        </w:rPr>
        <w:t>the</w:t>
      </w:r>
      <w:r>
        <w:rPr>
          <w:spacing w:val="-17"/>
          <w:sz w:val="25"/>
        </w:rPr>
        <w:t> </w:t>
      </w:r>
      <w:r>
        <w:rPr>
          <w:sz w:val="25"/>
        </w:rPr>
        <w:t>Science</w:t>
      </w:r>
      <w:r>
        <w:rPr>
          <w:spacing w:val="-17"/>
          <w:sz w:val="25"/>
        </w:rPr>
        <w:t> </w:t>
      </w:r>
      <w:r>
        <w:rPr>
          <w:sz w:val="25"/>
        </w:rPr>
        <w:t>of</w:t>
      </w:r>
      <w:r>
        <w:rPr>
          <w:spacing w:val="-18"/>
          <w:sz w:val="25"/>
        </w:rPr>
        <w:t> </w:t>
      </w:r>
      <w:r>
        <w:rPr>
          <w:sz w:val="25"/>
        </w:rPr>
        <w:t>Food</w:t>
      </w:r>
      <w:r>
        <w:rPr>
          <w:spacing w:val="-17"/>
          <w:sz w:val="25"/>
        </w:rPr>
        <w:t> </w:t>
      </w:r>
      <w:r>
        <w:rPr>
          <w:sz w:val="25"/>
        </w:rPr>
        <w:t>and</w:t>
      </w:r>
      <w:r>
        <w:rPr>
          <w:spacing w:val="-18"/>
          <w:sz w:val="25"/>
        </w:rPr>
        <w:t> </w:t>
      </w:r>
      <w:r>
        <w:rPr>
          <w:sz w:val="25"/>
        </w:rPr>
        <w:t>Agriculture</w:t>
      </w:r>
      <w:r>
        <w:rPr/>
        <w:t>,</w:t>
      </w:r>
      <w:r>
        <w:rPr>
          <w:spacing w:val="-16"/>
        </w:rPr>
        <w:t> </w:t>
      </w:r>
      <w:r>
        <w:rPr/>
        <w:t>80:</w:t>
      </w:r>
      <w:r>
        <w:rPr>
          <w:spacing w:val="-15"/>
        </w:rPr>
        <w:t> </w:t>
      </w:r>
      <w:r>
        <w:rPr/>
        <w:t>522-526</w:t>
      </w:r>
    </w:p>
    <w:p>
      <w:pPr>
        <w:pStyle w:val="BodyText"/>
        <w:spacing w:line="470" w:lineRule="auto" w:before="235"/>
        <w:ind w:left="1918" w:right="579" w:hanging="720"/>
        <w:jc w:val="both"/>
      </w:pPr>
      <w:r>
        <w:rPr/>
        <w:t>Radetic, M., Jocic, D., Jovenic, P., Petrovic, Z. and Thomas H., (2003). Recycled wood</w:t>
      </w:r>
      <w:r>
        <w:rPr>
          <w:spacing w:val="1"/>
        </w:rPr>
        <w:t> </w:t>
      </w:r>
      <w:r>
        <w:rPr/>
        <w:t>based nonwoven materials as oil sorbents. </w:t>
      </w:r>
      <w:r>
        <w:rPr>
          <w:sz w:val="25"/>
        </w:rPr>
        <w:t>Environmental Science and Tech</w:t>
      </w:r>
      <w:r>
        <w:rPr/>
        <w:t>nology,</w:t>
      </w:r>
      <w:r>
        <w:rPr>
          <w:spacing w:val="-72"/>
        </w:rPr>
        <w:t> </w:t>
      </w:r>
      <w:r>
        <w:rPr/>
        <w:t>37(5):</w:t>
      </w:r>
      <w:r>
        <w:rPr>
          <w:spacing w:val="-3"/>
        </w:rPr>
        <w:t> </w:t>
      </w:r>
      <w:r>
        <w:rPr/>
        <w:t>1008-1012.</w:t>
      </w:r>
    </w:p>
    <w:p>
      <w:pPr>
        <w:pStyle w:val="BodyText"/>
        <w:spacing w:line="465" w:lineRule="auto" w:before="251"/>
        <w:ind w:left="1918" w:right="575" w:hanging="720"/>
        <w:jc w:val="both"/>
      </w:pPr>
      <w:r>
        <w:rPr/>
        <w:t>Ramos-Vianna, M.M.G., Frano, J.H.R., Pinto, C.A., Valenzuela-Diaz F.R. and Buchler P.M.,</w:t>
      </w:r>
      <w:r>
        <w:rPr>
          <w:spacing w:val="1"/>
        </w:rPr>
        <w:t> </w:t>
      </w:r>
      <w:r>
        <w:rPr/>
        <w:t>(2004).Sorption of oil pollution by organoclays and a coal mineral complex.</w:t>
      </w:r>
      <w:r>
        <w:rPr>
          <w:sz w:val="25"/>
        </w:rPr>
        <w:t>Brazilian</w:t>
      </w:r>
      <w:r>
        <w:rPr>
          <w:spacing w:val="1"/>
          <w:sz w:val="25"/>
        </w:rPr>
        <w:t> </w:t>
      </w:r>
      <w:r>
        <w:rPr>
          <w:sz w:val="25"/>
        </w:rPr>
        <w:t>Journal</w:t>
      </w:r>
      <w:r>
        <w:rPr>
          <w:spacing w:val="-6"/>
          <w:sz w:val="25"/>
        </w:rPr>
        <w:t> </w:t>
      </w:r>
      <w:r>
        <w:rPr>
          <w:sz w:val="25"/>
        </w:rPr>
        <w:t>of</w:t>
      </w:r>
      <w:r>
        <w:rPr>
          <w:spacing w:val="-7"/>
          <w:sz w:val="25"/>
        </w:rPr>
        <w:t> </w:t>
      </w:r>
      <w:r>
        <w:rPr>
          <w:sz w:val="25"/>
        </w:rPr>
        <w:t>Chemical</w:t>
      </w:r>
      <w:r>
        <w:rPr>
          <w:spacing w:val="-6"/>
          <w:sz w:val="25"/>
        </w:rPr>
        <w:t> </w:t>
      </w:r>
      <w:r>
        <w:rPr>
          <w:sz w:val="25"/>
        </w:rPr>
        <w:t>Engineering</w:t>
      </w:r>
      <w:r>
        <w:rPr/>
        <w:t>,</w:t>
      </w:r>
      <w:r>
        <w:rPr>
          <w:spacing w:val="-3"/>
        </w:rPr>
        <w:t> </w:t>
      </w:r>
      <w:r>
        <w:rPr/>
        <w:t>21(20):</w:t>
      </w:r>
      <w:r>
        <w:rPr>
          <w:spacing w:val="-5"/>
        </w:rPr>
        <w:t> </w:t>
      </w:r>
      <w:r>
        <w:rPr/>
        <w:t>239-295.</w:t>
      </w:r>
    </w:p>
    <w:p>
      <w:pPr>
        <w:spacing w:after="0" w:line="465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80" w:lineRule="auto" w:before="75"/>
        <w:ind w:left="1918" w:right="577" w:hanging="720"/>
        <w:jc w:val="both"/>
      </w:pPr>
      <w:r>
        <w:rPr/>
        <w:t>Rangikuti, M. and Djajanegara, A., (1983).The utilization of agricultural byproducts and</w:t>
      </w:r>
      <w:r>
        <w:rPr>
          <w:spacing w:val="1"/>
        </w:rPr>
        <w:t> </w:t>
      </w:r>
      <w:r>
        <w:rPr/>
        <w:t>wastes (as animal feeds) in Indonesia. In: the uswe of organic residues in rural</w:t>
      </w:r>
      <w:r>
        <w:rPr>
          <w:spacing w:val="1"/>
        </w:rPr>
        <w:t> </w:t>
      </w:r>
      <w:r>
        <w:rPr/>
        <w:t>communitiesas animal feed in south east asia. Proceedings, workshop on organic</w:t>
      </w:r>
      <w:r>
        <w:rPr>
          <w:spacing w:val="1"/>
        </w:rPr>
        <w:t> </w:t>
      </w:r>
      <w:r>
        <w:rPr/>
        <w:t>residues</w:t>
      </w:r>
      <w:r>
        <w:rPr>
          <w:spacing w:val="-1"/>
        </w:rPr>
        <w:t> </w:t>
      </w:r>
      <w:r>
        <w:rPr/>
        <w:t>in rural</w:t>
      </w:r>
      <w:r>
        <w:rPr>
          <w:spacing w:val="-1"/>
        </w:rPr>
        <w:t> </w:t>
      </w:r>
      <w:r>
        <w:rPr/>
        <w:t>communitiees Denspar</w:t>
      </w:r>
      <w:r>
        <w:rPr>
          <w:spacing w:val="-2"/>
        </w:rPr>
        <w:t> </w:t>
      </w:r>
      <w:r>
        <w:rPr/>
        <w:t>(Indonesia);</w:t>
      </w:r>
      <w:r>
        <w:rPr>
          <w:spacing w:val="-2"/>
        </w:rPr>
        <w:t> </w:t>
      </w:r>
      <w:r>
        <w:rPr/>
        <w:t>pp.</w:t>
      </w:r>
      <w:r>
        <w:rPr>
          <w:spacing w:val="-3"/>
        </w:rPr>
        <w:t> </w:t>
      </w:r>
      <w:r>
        <w:rPr/>
        <w:t>11-25.</w:t>
      </w:r>
    </w:p>
    <w:p>
      <w:pPr>
        <w:pStyle w:val="BodyText"/>
        <w:spacing w:line="470" w:lineRule="auto" w:before="241"/>
        <w:ind w:left="1918" w:right="577" w:hanging="720"/>
        <w:jc w:val="both"/>
      </w:pPr>
      <w:r>
        <w:rPr/>
        <w:t>Refaat, A.A. and Sheltawy, E.L., (2008). Time factor in microwave-enhanced biodiesel</w:t>
      </w:r>
      <w:r>
        <w:rPr>
          <w:spacing w:val="1"/>
        </w:rPr>
        <w:t> </w:t>
      </w:r>
      <w:r>
        <w:rPr/>
        <w:t>production.</w:t>
      </w:r>
      <w:r>
        <w:rPr>
          <w:sz w:val="25"/>
        </w:rPr>
        <w:t>Environment</w:t>
      </w:r>
      <w:r>
        <w:rPr>
          <w:spacing w:val="-9"/>
          <w:sz w:val="25"/>
        </w:rPr>
        <w:t> </w:t>
      </w:r>
      <w:r>
        <w:rPr>
          <w:sz w:val="25"/>
        </w:rPr>
        <w:t>and</w:t>
      </w:r>
      <w:r>
        <w:rPr>
          <w:spacing w:val="-7"/>
          <w:sz w:val="25"/>
        </w:rPr>
        <w:t> </w:t>
      </w:r>
      <w:r>
        <w:rPr>
          <w:sz w:val="25"/>
        </w:rPr>
        <w:t>Development</w:t>
      </w:r>
      <w:r>
        <w:rPr/>
        <w:t>,</w:t>
      </w:r>
      <w:r>
        <w:rPr>
          <w:spacing w:val="-4"/>
        </w:rPr>
        <w:t> </w:t>
      </w:r>
      <w:r>
        <w:rPr/>
        <w:t>4(4):</w:t>
      </w:r>
      <w:r>
        <w:rPr>
          <w:spacing w:val="-6"/>
        </w:rPr>
        <w:t> </w:t>
      </w:r>
      <w:r>
        <w:rPr/>
        <w:t>279-287.</w:t>
      </w:r>
    </w:p>
    <w:p>
      <w:pPr>
        <w:pStyle w:val="BodyText"/>
        <w:spacing w:line="470" w:lineRule="auto" w:before="241"/>
        <w:ind w:left="1918" w:right="575" w:hanging="720"/>
        <w:jc w:val="both"/>
      </w:pPr>
      <w:r>
        <w:rPr/>
        <w:t>Reynolds, J.G., Coronado, P.R. and Hrubesh, L.W., (2001). Hydrophobic aero-gels for oil</w:t>
      </w:r>
      <w:r>
        <w:rPr>
          <w:spacing w:val="1"/>
        </w:rPr>
        <w:t> </w:t>
      </w:r>
      <w:r>
        <w:rPr/>
        <w:t>spill</w:t>
      </w:r>
      <w:r>
        <w:rPr>
          <w:spacing w:val="-1"/>
        </w:rPr>
        <w:t> </w:t>
      </w:r>
      <w:r>
        <w:rPr/>
        <w:t>cleanup-synthesis</w:t>
      </w:r>
      <w:r>
        <w:rPr>
          <w:spacing w:val="-2"/>
        </w:rPr>
        <w:t> </w:t>
      </w:r>
      <w:r>
        <w:rPr/>
        <w:t>and characterization.</w:t>
      </w:r>
      <w:r>
        <w:rPr>
          <w:spacing w:val="2"/>
        </w:rPr>
        <w:t> </w:t>
      </w:r>
      <w:r>
        <w:rPr>
          <w:sz w:val="25"/>
        </w:rPr>
        <w:t>Non-Crystalline</w:t>
      </w:r>
      <w:r>
        <w:rPr>
          <w:spacing w:val="-3"/>
          <w:sz w:val="25"/>
        </w:rPr>
        <w:t> </w:t>
      </w:r>
      <w:r>
        <w:rPr>
          <w:sz w:val="25"/>
        </w:rPr>
        <w:t>Solids</w:t>
      </w:r>
      <w:r>
        <w:rPr/>
        <w:t>,</w:t>
      </w:r>
      <w:r>
        <w:rPr>
          <w:spacing w:val="-3"/>
        </w:rPr>
        <w:t> </w:t>
      </w:r>
      <w:r>
        <w:rPr/>
        <w:t>292</w:t>
      </w:r>
      <w:r>
        <w:rPr>
          <w:spacing w:val="1"/>
        </w:rPr>
        <w:t> </w:t>
      </w:r>
      <w:r>
        <w:rPr/>
        <w:t>(1-3):</w:t>
      </w:r>
      <w:r>
        <w:rPr>
          <w:spacing w:val="72"/>
        </w:rPr>
        <w:t> </w:t>
      </w:r>
      <w:r>
        <w:rPr/>
        <w:t>127-</w:t>
      </w:r>
    </w:p>
    <w:p>
      <w:pPr>
        <w:pStyle w:val="BodyText"/>
        <w:ind w:left="1918"/>
      </w:pPr>
      <w:r>
        <w:rPr/>
        <w:t>137.</w:t>
      </w:r>
    </w:p>
    <w:p>
      <w:pPr>
        <w:pStyle w:val="BodyText"/>
        <w:rPr>
          <w:sz w:val="28"/>
        </w:rPr>
      </w:pPr>
    </w:p>
    <w:p>
      <w:pPr>
        <w:pStyle w:val="BodyText"/>
        <w:spacing w:before="190"/>
        <w:ind w:left="1198"/>
      </w:pPr>
      <w:r>
        <w:rPr/>
        <w:t>Ribeiro,</w:t>
      </w:r>
      <w:r>
        <w:rPr>
          <w:spacing w:val="18"/>
        </w:rPr>
        <w:t> </w:t>
      </w:r>
      <w:r>
        <w:rPr/>
        <w:t>T.,</w:t>
      </w:r>
      <w:r>
        <w:rPr>
          <w:spacing w:val="19"/>
        </w:rPr>
        <w:t> </w:t>
      </w:r>
      <w:r>
        <w:rPr/>
        <w:t>Smith,</w:t>
      </w:r>
      <w:r>
        <w:rPr>
          <w:spacing w:val="19"/>
        </w:rPr>
        <w:t> </w:t>
      </w:r>
      <w:r>
        <w:rPr/>
        <w:t>R.</w:t>
      </w:r>
      <w:r>
        <w:rPr>
          <w:spacing w:val="22"/>
        </w:rPr>
        <w:t> </w:t>
      </w:r>
      <w:r>
        <w:rPr/>
        <w:t>and</w:t>
      </w:r>
      <w:r>
        <w:rPr>
          <w:spacing w:val="19"/>
        </w:rPr>
        <w:t> </w:t>
      </w:r>
      <w:r>
        <w:rPr/>
        <w:t>Rubio,</w:t>
      </w:r>
      <w:r>
        <w:rPr>
          <w:spacing w:val="21"/>
        </w:rPr>
        <w:t> </w:t>
      </w:r>
      <w:r>
        <w:rPr/>
        <w:t>J.,</w:t>
      </w:r>
      <w:r>
        <w:rPr>
          <w:spacing w:val="22"/>
        </w:rPr>
        <w:t> </w:t>
      </w:r>
      <w:r>
        <w:rPr/>
        <w:t>(2000).Sorption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oils</w:t>
      </w:r>
      <w:r>
        <w:rPr>
          <w:spacing w:val="21"/>
        </w:rPr>
        <w:t> </w:t>
      </w:r>
      <w:r>
        <w:rPr/>
        <w:t>by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nonliving</w:t>
      </w:r>
      <w:r>
        <w:rPr>
          <w:spacing w:val="20"/>
        </w:rPr>
        <w:t> </w:t>
      </w:r>
      <w:r>
        <w:rPr/>
        <w:t>biomass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a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918" w:right="0" w:firstLine="0"/>
        <w:jc w:val="left"/>
        <w:rPr>
          <w:sz w:val="24"/>
        </w:rPr>
      </w:pPr>
      <w:r>
        <w:rPr>
          <w:w w:val="95"/>
          <w:sz w:val="25"/>
        </w:rPr>
        <w:t>salviniasp</w:t>
      </w:r>
      <w:r>
        <w:rPr>
          <w:w w:val="95"/>
          <w:sz w:val="24"/>
        </w:rPr>
        <w:t>.</w:t>
      </w:r>
      <w:r>
        <w:rPr>
          <w:spacing w:val="19"/>
          <w:w w:val="95"/>
          <w:sz w:val="24"/>
        </w:rPr>
        <w:t> </w:t>
      </w:r>
      <w:r>
        <w:rPr>
          <w:w w:val="95"/>
          <w:sz w:val="25"/>
        </w:rPr>
        <w:t>Environmental</w:t>
      </w:r>
      <w:r>
        <w:rPr>
          <w:spacing w:val="19"/>
          <w:w w:val="95"/>
          <w:sz w:val="25"/>
        </w:rPr>
        <w:t> </w:t>
      </w:r>
      <w:r>
        <w:rPr>
          <w:w w:val="95"/>
          <w:sz w:val="25"/>
        </w:rPr>
        <w:t>Science</w:t>
      </w:r>
      <w:r>
        <w:rPr>
          <w:spacing w:val="20"/>
          <w:w w:val="95"/>
          <w:sz w:val="25"/>
        </w:rPr>
        <w:t> </w:t>
      </w:r>
      <w:r>
        <w:rPr>
          <w:w w:val="95"/>
          <w:sz w:val="25"/>
        </w:rPr>
        <w:t>Technology</w:t>
      </w:r>
      <w:r>
        <w:rPr>
          <w:w w:val="95"/>
          <w:sz w:val="24"/>
        </w:rPr>
        <w:t>,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34: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5201–5205.</w:t>
      </w:r>
    </w:p>
    <w:p>
      <w:pPr>
        <w:pStyle w:val="BodyText"/>
        <w:spacing w:before="1"/>
        <w:rPr>
          <w:sz w:val="43"/>
        </w:rPr>
      </w:pPr>
    </w:p>
    <w:p>
      <w:pPr>
        <w:spacing w:before="0"/>
        <w:ind w:left="1198" w:right="0" w:firstLine="0"/>
        <w:jc w:val="left"/>
        <w:rPr>
          <w:sz w:val="24"/>
        </w:rPr>
      </w:pPr>
      <w:r>
        <w:rPr>
          <w:sz w:val="24"/>
        </w:rPr>
        <w:t>Ridgway,</w:t>
      </w:r>
      <w:r>
        <w:rPr>
          <w:spacing w:val="-9"/>
          <w:sz w:val="24"/>
        </w:rPr>
        <w:t> </w:t>
      </w:r>
      <w:r>
        <w:rPr>
          <w:sz w:val="24"/>
        </w:rPr>
        <w:t>W.B.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Wallington,</w:t>
      </w:r>
      <w:r>
        <w:rPr>
          <w:spacing w:val="-11"/>
          <w:sz w:val="24"/>
        </w:rPr>
        <w:t> </w:t>
      </w:r>
      <w:r>
        <w:rPr>
          <w:sz w:val="24"/>
        </w:rPr>
        <w:t>H.T.,</w:t>
      </w:r>
      <w:r>
        <w:rPr>
          <w:spacing w:val="-10"/>
          <w:sz w:val="24"/>
        </w:rPr>
        <w:t> </w:t>
      </w:r>
      <w:r>
        <w:rPr>
          <w:sz w:val="24"/>
        </w:rPr>
        <w:t>(1946).</w:t>
      </w:r>
      <w:r>
        <w:rPr>
          <w:spacing w:val="-11"/>
          <w:sz w:val="24"/>
        </w:rPr>
        <w:t> </w:t>
      </w:r>
      <w:r>
        <w:rPr>
          <w:sz w:val="25"/>
        </w:rPr>
        <w:t>Esterification</w:t>
      </w:r>
      <w:r>
        <w:rPr>
          <w:spacing w:val="-14"/>
          <w:sz w:val="25"/>
        </w:rPr>
        <w:t> </w:t>
      </w:r>
      <w:r>
        <w:rPr>
          <w:sz w:val="25"/>
        </w:rPr>
        <w:t>of</w:t>
      </w:r>
      <w:r>
        <w:rPr>
          <w:spacing w:val="-14"/>
          <w:sz w:val="25"/>
        </w:rPr>
        <w:t> </w:t>
      </w:r>
      <w:r>
        <w:rPr>
          <w:sz w:val="25"/>
        </w:rPr>
        <w:t>wood</w:t>
      </w:r>
      <w:r>
        <w:rPr>
          <w:sz w:val="24"/>
        </w:rPr>
        <w:t>.</w:t>
      </w:r>
      <w:r>
        <w:rPr>
          <w:spacing w:val="-7"/>
          <w:sz w:val="24"/>
        </w:rPr>
        <w:t> </w:t>
      </w:r>
      <w:r>
        <w:rPr>
          <w:sz w:val="24"/>
        </w:rPr>
        <w:t>British</w:t>
      </w:r>
      <w:r>
        <w:rPr>
          <w:spacing w:val="-11"/>
          <w:sz w:val="24"/>
        </w:rPr>
        <w:t> </w:t>
      </w:r>
      <w:r>
        <w:rPr>
          <w:sz w:val="24"/>
        </w:rPr>
        <w:t>patent</w:t>
      </w:r>
      <w:r>
        <w:rPr>
          <w:spacing w:val="-11"/>
          <w:sz w:val="24"/>
        </w:rPr>
        <w:t> </w:t>
      </w:r>
      <w:r>
        <w:rPr>
          <w:sz w:val="24"/>
        </w:rPr>
        <w:t>579255.</w:t>
      </w:r>
    </w:p>
    <w:p>
      <w:pPr>
        <w:pStyle w:val="BodyText"/>
        <w:spacing w:before="7"/>
        <w:rPr>
          <w:sz w:val="43"/>
        </w:rPr>
      </w:pPr>
    </w:p>
    <w:p>
      <w:pPr>
        <w:pStyle w:val="BodyText"/>
        <w:spacing w:line="465" w:lineRule="auto"/>
        <w:ind w:left="1918" w:right="576" w:hanging="720"/>
        <w:jc w:val="both"/>
      </w:pPr>
      <w:r>
        <w:rPr/>
        <w:t>Roulia, M. Chassapis, K. Fotinopoulos, C. Savvidis, T. Katakis, D., (2003).</w:t>
      </w:r>
      <w:r>
        <w:rPr>
          <w:spacing w:val="1"/>
        </w:rPr>
        <w:t> </w:t>
      </w:r>
      <w:r>
        <w:rPr/>
        <w:t>Dispersion and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emulsifier-modified</w:t>
      </w:r>
      <w:r>
        <w:rPr>
          <w:spacing w:val="1"/>
        </w:rPr>
        <w:t> </w:t>
      </w:r>
      <w:r>
        <w:rPr/>
        <w:t>expanded</w:t>
      </w:r>
      <w:r>
        <w:rPr>
          <w:spacing w:val="1"/>
        </w:rPr>
        <w:t> </w:t>
      </w:r>
      <w:r>
        <w:rPr/>
        <w:t>perlite.</w:t>
      </w:r>
      <w:r>
        <w:rPr>
          <w:sz w:val="25"/>
        </w:rPr>
        <w:t>Spill.</w:t>
      </w:r>
      <w:r>
        <w:rPr>
          <w:spacing w:val="1"/>
          <w:sz w:val="25"/>
        </w:rPr>
        <w:t> </w:t>
      </w:r>
      <w:r>
        <w:rPr>
          <w:sz w:val="25"/>
        </w:rPr>
        <w:t>Science</w:t>
      </w:r>
      <w:r>
        <w:rPr>
          <w:spacing w:val="-76"/>
          <w:sz w:val="25"/>
        </w:rPr>
        <w:t> </w:t>
      </w:r>
      <w:r>
        <w:rPr>
          <w:sz w:val="25"/>
        </w:rPr>
        <w:t>Technology</w:t>
      </w:r>
      <w:r>
        <w:rPr>
          <w:spacing w:val="-6"/>
          <w:sz w:val="25"/>
        </w:rPr>
        <w:t> </w:t>
      </w:r>
      <w:r>
        <w:rPr>
          <w:sz w:val="25"/>
        </w:rPr>
        <w:t>Bulletin</w:t>
      </w:r>
      <w:r>
        <w:rPr/>
        <w:t>,</w:t>
      </w:r>
      <w:r>
        <w:rPr>
          <w:spacing w:val="-2"/>
        </w:rPr>
        <w:t> </w:t>
      </w:r>
      <w:r>
        <w:rPr/>
        <w:t>8(5-6):</w:t>
      </w:r>
      <w:r>
        <w:rPr>
          <w:spacing w:val="-4"/>
        </w:rPr>
        <w:t> </w:t>
      </w:r>
      <w:r>
        <w:rPr/>
        <w:t>425-431.</w:t>
      </w:r>
    </w:p>
    <w:p>
      <w:pPr>
        <w:pStyle w:val="BodyText"/>
        <w:spacing w:line="470" w:lineRule="auto" w:before="248"/>
        <w:ind w:left="1918" w:right="579" w:hanging="720"/>
        <w:jc w:val="both"/>
      </w:pPr>
      <w:r>
        <w:rPr/>
        <w:t>Rowell, R.M. and Ellis, W.N., (1978). Determination of dimensional stabilization of wood</w:t>
      </w:r>
      <w:r>
        <w:rPr>
          <w:spacing w:val="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soak method.</w:t>
      </w:r>
      <w:r>
        <w:rPr>
          <w:spacing w:val="-3"/>
        </w:rPr>
        <w:t> </w:t>
      </w:r>
      <w:r>
        <w:rPr>
          <w:sz w:val="25"/>
        </w:rPr>
        <w:t>Wood</w:t>
      </w:r>
      <w:r>
        <w:rPr>
          <w:spacing w:val="-5"/>
          <w:sz w:val="25"/>
        </w:rPr>
        <w:t> </w:t>
      </w:r>
      <w:r>
        <w:rPr>
          <w:sz w:val="25"/>
        </w:rPr>
        <w:t>and</w:t>
      </w:r>
      <w:r>
        <w:rPr>
          <w:spacing w:val="-6"/>
          <w:sz w:val="25"/>
        </w:rPr>
        <w:t> </w:t>
      </w:r>
      <w:r>
        <w:rPr>
          <w:sz w:val="25"/>
        </w:rPr>
        <w:t>Fiber</w:t>
      </w:r>
      <w:r>
        <w:rPr/>
        <w:t>,</w:t>
      </w:r>
      <w:r>
        <w:rPr>
          <w:spacing w:val="-3"/>
        </w:rPr>
        <w:t> </w:t>
      </w:r>
      <w:r>
        <w:rPr/>
        <w:t>10(4):</w:t>
      </w:r>
      <w:r>
        <w:rPr>
          <w:spacing w:val="-4"/>
        </w:rPr>
        <w:t> </w:t>
      </w:r>
      <w:r>
        <w:rPr/>
        <w:t>104-111.</w:t>
      </w:r>
    </w:p>
    <w:p>
      <w:pPr>
        <w:pStyle w:val="BodyText"/>
        <w:spacing w:line="472" w:lineRule="auto" w:before="238"/>
        <w:ind w:left="1918" w:right="576" w:hanging="720"/>
        <w:jc w:val="both"/>
      </w:pPr>
      <w:r>
        <w:rPr/>
        <w:t>Rowell, R.M. Simonson, S., Hess, S., Placket, D.V., Cronshaw, D. and Dunningham, I.O.,</w:t>
      </w:r>
      <w:r>
        <w:rPr>
          <w:spacing w:val="1"/>
        </w:rPr>
        <w:t> </w:t>
      </w:r>
      <w:r>
        <w:rPr/>
        <w:t>(1994).</w:t>
      </w:r>
      <w:r>
        <w:rPr>
          <w:spacing w:val="-10"/>
        </w:rPr>
        <w:t> </w:t>
      </w:r>
      <w:r>
        <w:rPr/>
        <w:t>Swelling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acetylated</w:t>
      </w:r>
      <w:r>
        <w:rPr>
          <w:spacing w:val="-10"/>
        </w:rPr>
        <w:t> </w:t>
      </w:r>
      <w:r>
        <w:rPr/>
        <w:t>wood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organic</w:t>
      </w:r>
      <w:r>
        <w:rPr>
          <w:spacing w:val="-7"/>
        </w:rPr>
        <w:t> </w:t>
      </w:r>
      <w:r>
        <w:rPr/>
        <w:t>solvent.</w:t>
      </w:r>
      <w:r>
        <w:rPr>
          <w:sz w:val="25"/>
        </w:rPr>
        <w:t>Wood</w:t>
      </w:r>
      <w:r>
        <w:rPr>
          <w:spacing w:val="-11"/>
          <w:sz w:val="25"/>
        </w:rPr>
        <w:t> </w:t>
      </w:r>
      <w:r>
        <w:rPr>
          <w:sz w:val="25"/>
        </w:rPr>
        <w:t>Fiber</w:t>
      </w:r>
      <w:r>
        <w:rPr>
          <w:spacing w:val="-11"/>
          <w:sz w:val="25"/>
        </w:rPr>
        <w:t> </w:t>
      </w:r>
      <w:r>
        <w:rPr>
          <w:sz w:val="25"/>
        </w:rPr>
        <w:t>Science</w:t>
      </w:r>
      <w:r>
        <w:rPr/>
        <w:t>,</w:t>
      </w:r>
      <w:r>
        <w:rPr>
          <w:spacing w:val="-8"/>
        </w:rPr>
        <w:t> </w:t>
      </w:r>
      <w:r>
        <w:rPr/>
        <w:t>26:</w:t>
      </w:r>
      <w:r>
        <w:rPr>
          <w:spacing w:val="-9"/>
        </w:rPr>
        <w:t> </w:t>
      </w:r>
      <w:r>
        <w:rPr/>
        <w:t>11.</w:t>
      </w:r>
    </w:p>
    <w:p>
      <w:pPr>
        <w:spacing w:line="463" w:lineRule="auto" w:before="224"/>
        <w:ind w:left="1918" w:right="576" w:hanging="720"/>
        <w:jc w:val="both"/>
        <w:rPr>
          <w:sz w:val="24"/>
        </w:rPr>
      </w:pPr>
      <w:r>
        <w:rPr>
          <w:sz w:val="24"/>
        </w:rPr>
        <w:t>Rowell, R.M., Young, R.A and Rowell J.K., (1999).</w:t>
      </w:r>
      <w:r>
        <w:rPr>
          <w:sz w:val="25"/>
        </w:rPr>
        <w:t>Paper and Composites from Agro-Based</w:t>
      </w:r>
      <w:r>
        <w:rPr>
          <w:spacing w:val="-76"/>
          <w:sz w:val="25"/>
        </w:rPr>
        <w:t> </w:t>
      </w:r>
      <w:r>
        <w:rPr>
          <w:sz w:val="25"/>
        </w:rPr>
        <w:t>Resources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CRC</w:t>
      </w:r>
      <w:r>
        <w:rPr>
          <w:spacing w:val="-3"/>
          <w:sz w:val="24"/>
        </w:rPr>
        <w:t> </w:t>
      </w:r>
      <w:r>
        <w:rPr>
          <w:sz w:val="24"/>
        </w:rPr>
        <w:t>press,</w:t>
      </w:r>
      <w:r>
        <w:rPr>
          <w:spacing w:val="-2"/>
          <w:sz w:val="24"/>
        </w:rPr>
        <w:t> </w:t>
      </w:r>
      <w:r>
        <w:rPr>
          <w:sz w:val="24"/>
        </w:rPr>
        <w:t>Lewis</w:t>
      </w:r>
      <w:r>
        <w:rPr>
          <w:spacing w:val="-2"/>
          <w:sz w:val="24"/>
        </w:rPr>
        <w:t> </w:t>
      </w:r>
      <w:r>
        <w:rPr>
          <w:sz w:val="24"/>
        </w:rPr>
        <w:t>publishers,</w:t>
      </w:r>
      <w:r>
        <w:rPr>
          <w:spacing w:val="-1"/>
          <w:sz w:val="24"/>
        </w:rPr>
        <w:t> </w:t>
      </w:r>
      <w:r>
        <w:rPr>
          <w:sz w:val="24"/>
        </w:rPr>
        <w:t>Boca</w:t>
      </w:r>
      <w:r>
        <w:rPr>
          <w:spacing w:val="-3"/>
          <w:sz w:val="24"/>
        </w:rPr>
        <w:t> </w:t>
      </w:r>
      <w:r>
        <w:rPr>
          <w:sz w:val="24"/>
        </w:rPr>
        <w:t>Raton,pp.</w:t>
      </w:r>
      <w:r>
        <w:rPr>
          <w:spacing w:val="-1"/>
          <w:sz w:val="24"/>
        </w:rPr>
        <w:t> </w:t>
      </w:r>
      <w:r>
        <w:rPr>
          <w:sz w:val="24"/>
        </w:rPr>
        <w:t>249-266.</w:t>
      </w:r>
    </w:p>
    <w:p>
      <w:pPr>
        <w:spacing w:after="0" w:line="463" w:lineRule="auto"/>
        <w:jc w:val="both"/>
        <w:rPr>
          <w:sz w:val="24"/>
        </w:rPr>
        <w:sectPr>
          <w:pgSz w:w="11910" w:h="16840"/>
          <w:pgMar w:header="0" w:footer="987" w:top="1140" w:bottom="1260" w:left="420" w:right="0"/>
        </w:sectPr>
      </w:pPr>
    </w:p>
    <w:p>
      <w:pPr>
        <w:spacing w:line="465" w:lineRule="auto" w:before="75"/>
        <w:ind w:left="1918" w:right="576" w:hanging="720"/>
        <w:jc w:val="both"/>
        <w:rPr>
          <w:sz w:val="24"/>
        </w:rPr>
      </w:pPr>
      <w:r>
        <w:rPr>
          <w:sz w:val="24"/>
        </w:rPr>
        <w:t>Sayed, S.A., El Sayed, A.S., El kareish, S.M. and Zayed, A.M., (2003).Treatment of liquid oil</w:t>
      </w:r>
      <w:r>
        <w:rPr>
          <w:spacing w:val="-72"/>
          <w:sz w:val="24"/>
        </w:rPr>
        <w:t> </w:t>
      </w:r>
      <w:r>
        <w:rPr>
          <w:sz w:val="24"/>
        </w:rPr>
        <w:t>spill by untreated and treated aswanly clay from Egypt. </w:t>
      </w:r>
      <w:r>
        <w:rPr>
          <w:sz w:val="25"/>
        </w:rPr>
        <w:t>Journal of Applied Science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-7"/>
          <w:sz w:val="25"/>
        </w:rPr>
        <w:t> </w:t>
      </w:r>
      <w:r>
        <w:rPr>
          <w:sz w:val="25"/>
        </w:rPr>
        <w:t>Environmental</w:t>
      </w:r>
      <w:r>
        <w:rPr>
          <w:spacing w:val="-6"/>
          <w:sz w:val="25"/>
        </w:rPr>
        <w:t> </w:t>
      </w:r>
      <w:r>
        <w:rPr>
          <w:sz w:val="25"/>
        </w:rPr>
        <w:t>Management</w:t>
      </w:r>
      <w:r>
        <w:rPr>
          <w:sz w:val="24"/>
        </w:rPr>
        <w:t>.,</w:t>
      </w:r>
      <w:r>
        <w:rPr>
          <w:spacing w:val="-4"/>
          <w:sz w:val="24"/>
        </w:rPr>
        <w:t> </w:t>
      </w:r>
      <w:r>
        <w:rPr>
          <w:sz w:val="24"/>
        </w:rPr>
        <w:t>7(1):</w:t>
      </w:r>
      <w:r>
        <w:rPr>
          <w:spacing w:val="-4"/>
          <w:sz w:val="24"/>
        </w:rPr>
        <w:t> </w:t>
      </w:r>
      <w:r>
        <w:rPr>
          <w:sz w:val="24"/>
        </w:rPr>
        <w:t>23-33.</w:t>
      </w:r>
    </w:p>
    <w:p>
      <w:pPr>
        <w:spacing w:line="465" w:lineRule="auto" w:before="247"/>
        <w:ind w:left="1918" w:right="576" w:hanging="720"/>
        <w:jc w:val="both"/>
        <w:rPr>
          <w:sz w:val="24"/>
        </w:rPr>
      </w:pPr>
      <w:r>
        <w:rPr>
          <w:sz w:val="24"/>
        </w:rPr>
        <w:t>Sayed,</w:t>
      </w:r>
      <w:r>
        <w:rPr>
          <w:spacing w:val="16"/>
          <w:sz w:val="24"/>
        </w:rPr>
        <w:t> </w:t>
      </w:r>
      <w:r>
        <w:rPr>
          <w:sz w:val="24"/>
        </w:rPr>
        <w:t>S.A.,</w:t>
      </w:r>
      <w:r>
        <w:rPr>
          <w:spacing w:val="18"/>
          <w:sz w:val="24"/>
        </w:rPr>
        <w:t> </w:t>
      </w:r>
      <w:r>
        <w:rPr>
          <w:sz w:val="24"/>
        </w:rPr>
        <w:t>El-Sayed,</w:t>
      </w:r>
      <w:r>
        <w:rPr>
          <w:spacing w:val="17"/>
          <w:sz w:val="24"/>
        </w:rPr>
        <w:t> </w:t>
      </w:r>
      <w:r>
        <w:rPr>
          <w:sz w:val="24"/>
        </w:rPr>
        <w:t>A.S.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Zayed,</w:t>
      </w:r>
      <w:r>
        <w:rPr>
          <w:spacing w:val="19"/>
          <w:sz w:val="24"/>
        </w:rPr>
        <w:t> </w:t>
      </w:r>
      <w:r>
        <w:rPr>
          <w:sz w:val="24"/>
        </w:rPr>
        <w:t>M.A.,</w:t>
      </w:r>
      <w:r>
        <w:rPr>
          <w:spacing w:val="20"/>
          <w:sz w:val="24"/>
        </w:rPr>
        <w:t> </w:t>
      </w:r>
      <w:r>
        <w:rPr>
          <w:sz w:val="24"/>
        </w:rPr>
        <w:t>(2004).</w:t>
      </w:r>
      <w:r>
        <w:rPr>
          <w:spacing w:val="17"/>
          <w:sz w:val="24"/>
        </w:rPr>
        <w:t> </w:t>
      </w:r>
      <w:r>
        <w:rPr>
          <w:sz w:val="24"/>
        </w:rPr>
        <w:t>Removal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oil</w:t>
      </w:r>
      <w:r>
        <w:rPr>
          <w:spacing w:val="19"/>
          <w:sz w:val="24"/>
        </w:rPr>
        <w:t> </w:t>
      </w:r>
      <w:r>
        <w:rPr>
          <w:sz w:val="24"/>
        </w:rPr>
        <w:t>spills</w:t>
      </w:r>
      <w:r>
        <w:rPr>
          <w:spacing w:val="19"/>
          <w:sz w:val="24"/>
        </w:rPr>
        <w:t> </w:t>
      </w:r>
      <w:r>
        <w:rPr>
          <w:sz w:val="24"/>
        </w:rPr>
        <w:t>from</w:t>
      </w:r>
      <w:r>
        <w:rPr>
          <w:spacing w:val="15"/>
          <w:sz w:val="24"/>
        </w:rPr>
        <w:t> </w:t>
      </w:r>
      <w:r>
        <w:rPr>
          <w:sz w:val="24"/>
        </w:rPr>
        <w:t>salt</w:t>
      </w:r>
      <w:r>
        <w:rPr>
          <w:spacing w:val="17"/>
          <w:sz w:val="24"/>
        </w:rPr>
        <w:t> </w:t>
      </w:r>
      <w:r>
        <w:rPr>
          <w:sz w:val="24"/>
        </w:rPr>
        <w:t>water</w:t>
      </w:r>
      <w:r>
        <w:rPr>
          <w:spacing w:val="-72"/>
          <w:sz w:val="24"/>
        </w:rPr>
        <w:t> </w:t>
      </w:r>
      <w:r>
        <w:rPr>
          <w:sz w:val="24"/>
        </w:rPr>
        <w:t>by magnesium, calcium carbonates and oxides. </w:t>
      </w:r>
      <w:r>
        <w:rPr>
          <w:sz w:val="25"/>
        </w:rPr>
        <w:t>Journal of Applied Science and</w:t>
      </w:r>
      <w:r>
        <w:rPr>
          <w:spacing w:val="1"/>
          <w:sz w:val="25"/>
        </w:rPr>
        <w:t> </w:t>
      </w:r>
      <w:r>
        <w:rPr>
          <w:sz w:val="25"/>
        </w:rPr>
        <w:t>Environmental</w:t>
      </w:r>
      <w:r>
        <w:rPr>
          <w:spacing w:val="-5"/>
          <w:sz w:val="25"/>
        </w:rPr>
        <w:t> </w:t>
      </w:r>
      <w:r>
        <w:rPr>
          <w:sz w:val="25"/>
        </w:rPr>
        <w:t>Management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8(1):</w:t>
      </w:r>
      <w:r>
        <w:rPr>
          <w:spacing w:val="-4"/>
          <w:sz w:val="24"/>
        </w:rPr>
        <w:t> </w:t>
      </w:r>
      <w:r>
        <w:rPr>
          <w:sz w:val="24"/>
        </w:rPr>
        <w:t>71-78.</w:t>
      </w:r>
    </w:p>
    <w:p>
      <w:pPr>
        <w:pStyle w:val="BodyText"/>
        <w:spacing w:before="236"/>
        <w:ind w:left="1198"/>
        <w:jc w:val="both"/>
      </w:pPr>
      <w:r>
        <w:rPr/>
        <w:t>Scalbwet,</w:t>
      </w:r>
      <w:r>
        <w:rPr>
          <w:spacing w:val="-11"/>
        </w:rPr>
        <w:t> </w:t>
      </w:r>
      <w:r>
        <w:rPr/>
        <w:t>A.,</w:t>
      </w:r>
      <w:r>
        <w:rPr>
          <w:spacing w:val="-11"/>
        </w:rPr>
        <w:t> </w:t>
      </w:r>
      <w:r>
        <w:rPr/>
        <w:t>(1998).</w:t>
      </w:r>
      <w:r>
        <w:rPr>
          <w:spacing w:val="-12"/>
        </w:rPr>
        <w:t> </w:t>
      </w:r>
      <w:r>
        <w:rPr/>
        <w:t>Antimicrobial</w:t>
      </w:r>
      <w:r>
        <w:rPr>
          <w:spacing w:val="-10"/>
        </w:rPr>
        <w:t> </w:t>
      </w:r>
      <w:r>
        <w:rPr/>
        <w:t>properties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tannins.</w:t>
      </w:r>
      <w:r>
        <w:rPr>
          <w:sz w:val="25"/>
        </w:rPr>
        <w:t>Phytochemistry</w:t>
      </w:r>
      <w:r>
        <w:rPr/>
        <w:t>,</w:t>
      </w:r>
      <w:r>
        <w:rPr>
          <w:spacing w:val="-10"/>
        </w:rPr>
        <w:t> </w:t>
      </w:r>
      <w:r>
        <w:rPr/>
        <w:t>30:</w:t>
      </w:r>
      <w:r>
        <w:rPr>
          <w:spacing w:val="-11"/>
        </w:rPr>
        <w:t> </w:t>
      </w:r>
      <w:r>
        <w:rPr/>
        <w:t>3875-3883.</w:t>
      </w:r>
    </w:p>
    <w:p>
      <w:pPr>
        <w:pStyle w:val="BodyText"/>
        <w:spacing w:before="9"/>
        <w:rPr>
          <w:sz w:val="42"/>
        </w:rPr>
      </w:pPr>
    </w:p>
    <w:p>
      <w:pPr>
        <w:spacing w:line="470" w:lineRule="auto" w:before="0"/>
        <w:ind w:left="1918" w:right="575" w:hanging="720"/>
        <w:jc w:val="both"/>
        <w:rPr>
          <w:sz w:val="24"/>
        </w:rPr>
      </w:pPr>
      <w:r>
        <w:rPr>
          <w:sz w:val="24"/>
        </w:rPr>
        <w:t>Shatzberg,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(1971).</w:t>
      </w:r>
      <w:r>
        <w:rPr>
          <w:spacing w:val="1"/>
          <w:sz w:val="24"/>
        </w:rPr>
        <w:t> </w:t>
      </w:r>
      <w:r>
        <w:rPr>
          <w:sz w:val="25"/>
        </w:rPr>
        <w:t>Us</w:t>
      </w:r>
      <w:r>
        <w:rPr>
          <w:spacing w:val="1"/>
          <w:sz w:val="25"/>
        </w:rPr>
        <w:t> </w:t>
      </w:r>
      <w:r>
        <w:rPr>
          <w:sz w:val="25"/>
        </w:rPr>
        <w:t>Coastal</w:t>
      </w:r>
      <w:r>
        <w:rPr>
          <w:spacing w:val="1"/>
          <w:sz w:val="25"/>
        </w:rPr>
        <w:t> </w:t>
      </w:r>
      <w:r>
        <w:rPr>
          <w:sz w:val="25"/>
        </w:rPr>
        <w:t>Guard</w:t>
      </w:r>
      <w:r>
        <w:rPr>
          <w:spacing w:val="1"/>
          <w:sz w:val="25"/>
        </w:rPr>
        <w:t> </w:t>
      </w:r>
      <w:r>
        <w:rPr>
          <w:sz w:val="25"/>
        </w:rPr>
        <w:t>Rep</w:t>
      </w:r>
      <w:r>
        <w:rPr>
          <w:spacing w:val="1"/>
          <w:sz w:val="25"/>
        </w:rPr>
        <w:t> </w:t>
      </w:r>
      <w:r>
        <w:rPr>
          <w:sz w:val="25"/>
        </w:rPr>
        <w:t>No</w:t>
      </w:r>
      <w:r>
        <w:rPr>
          <w:spacing w:val="1"/>
          <w:sz w:val="25"/>
        </w:rPr>
        <w:t> </w:t>
      </w:r>
      <w:r>
        <w:rPr>
          <w:sz w:val="25"/>
        </w:rPr>
        <w:t>724110.1/2/1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US</w:t>
      </w:r>
      <w:r>
        <w:rPr>
          <w:spacing w:val="1"/>
          <w:sz w:val="24"/>
        </w:rPr>
        <w:t> </w:t>
      </w:r>
      <w:r>
        <w:rPr>
          <w:sz w:val="24"/>
        </w:rPr>
        <w:t>Coastal</w:t>
      </w:r>
      <w:r>
        <w:rPr>
          <w:spacing w:val="1"/>
          <w:sz w:val="24"/>
        </w:rPr>
        <w:t> </w:t>
      </w:r>
      <w:r>
        <w:rPr>
          <w:sz w:val="24"/>
        </w:rPr>
        <w:t>Guard</w:t>
      </w:r>
      <w:r>
        <w:rPr>
          <w:spacing w:val="1"/>
          <w:sz w:val="24"/>
        </w:rPr>
        <w:t> </w:t>
      </w:r>
      <w:r>
        <w:rPr>
          <w:sz w:val="24"/>
        </w:rPr>
        <w:t>headquarters,</w:t>
      </w:r>
      <w:r>
        <w:rPr>
          <w:spacing w:val="-2"/>
          <w:sz w:val="24"/>
        </w:rPr>
        <w:t> </w:t>
      </w:r>
      <w:r>
        <w:rPr>
          <w:sz w:val="24"/>
        </w:rPr>
        <w:t>Washington</w:t>
      </w:r>
      <w:r>
        <w:rPr>
          <w:spacing w:val="-1"/>
          <w:sz w:val="24"/>
        </w:rPr>
        <w:t> </w:t>
      </w:r>
      <w:r>
        <w:rPr>
          <w:sz w:val="24"/>
        </w:rPr>
        <w:t>DC. P.</w:t>
      </w:r>
      <w:r>
        <w:rPr>
          <w:spacing w:val="-1"/>
          <w:sz w:val="24"/>
        </w:rPr>
        <w:t> </w:t>
      </w:r>
      <w:r>
        <w:rPr>
          <w:sz w:val="24"/>
        </w:rPr>
        <w:t>32-49.</w:t>
      </w:r>
    </w:p>
    <w:p>
      <w:pPr>
        <w:spacing w:line="460" w:lineRule="auto" w:before="240"/>
        <w:ind w:left="1918" w:right="576" w:hanging="720"/>
        <w:jc w:val="both"/>
        <w:rPr>
          <w:sz w:val="24"/>
        </w:rPr>
      </w:pPr>
      <w:r>
        <w:rPr>
          <w:sz w:val="24"/>
        </w:rPr>
        <w:t>Shell Petroleum Development Company (SPDC), (2004). Protecting the environment.</w:t>
      </w:r>
      <w:r>
        <w:rPr>
          <w:sz w:val="25"/>
        </w:rPr>
        <w:t>In :</w:t>
      </w:r>
      <w:r>
        <w:rPr>
          <w:spacing w:val="1"/>
          <w:sz w:val="25"/>
        </w:rPr>
        <w:t> </w:t>
      </w:r>
      <w:r>
        <w:rPr>
          <w:sz w:val="25"/>
        </w:rPr>
        <w:t>Shell</w:t>
      </w:r>
      <w:r>
        <w:rPr>
          <w:spacing w:val="-5"/>
          <w:sz w:val="25"/>
        </w:rPr>
        <w:t> </w:t>
      </w:r>
      <w:r>
        <w:rPr>
          <w:sz w:val="25"/>
        </w:rPr>
        <w:t>Nigeria</w:t>
      </w:r>
      <w:r>
        <w:rPr>
          <w:spacing w:val="-6"/>
          <w:sz w:val="25"/>
        </w:rPr>
        <w:t> </w:t>
      </w:r>
      <w:r>
        <w:rPr>
          <w:sz w:val="25"/>
        </w:rPr>
        <w:t>Annula</w:t>
      </w:r>
      <w:r>
        <w:rPr>
          <w:spacing w:val="-6"/>
          <w:sz w:val="25"/>
        </w:rPr>
        <w:t> </w:t>
      </w:r>
      <w:r>
        <w:rPr>
          <w:sz w:val="25"/>
        </w:rPr>
        <w:t>Report,</w:t>
      </w:r>
      <w:r>
        <w:rPr>
          <w:spacing w:val="-4"/>
          <w:sz w:val="25"/>
        </w:rPr>
        <w:t> </w:t>
      </w:r>
      <w:r>
        <w:rPr>
          <w:sz w:val="24"/>
        </w:rPr>
        <w:t>pp</w:t>
      </w:r>
      <w:r>
        <w:rPr>
          <w:spacing w:val="-4"/>
          <w:sz w:val="24"/>
        </w:rPr>
        <w:t> </w:t>
      </w:r>
      <w:r>
        <w:rPr>
          <w:sz w:val="24"/>
        </w:rPr>
        <w:t>16.</w:t>
      </w:r>
    </w:p>
    <w:p>
      <w:pPr>
        <w:spacing w:line="470" w:lineRule="auto" w:before="251"/>
        <w:ind w:left="1918" w:right="577" w:hanging="720"/>
        <w:jc w:val="both"/>
        <w:rPr>
          <w:sz w:val="24"/>
        </w:rPr>
      </w:pPr>
      <w:r>
        <w:rPr>
          <w:sz w:val="24"/>
        </w:rPr>
        <w:t>Shell</w:t>
      </w:r>
      <w:r>
        <w:rPr>
          <w:spacing w:val="1"/>
          <w:sz w:val="24"/>
        </w:rPr>
        <w:t> </w:t>
      </w:r>
      <w:r>
        <w:rPr>
          <w:sz w:val="24"/>
        </w:rPr>
        <w:t>Petroleum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Company</w:t>
      </w:r>
      <w:r>
        <w:rPr>
          <w:spacing w:val="1"/>
          <w:sz w:val="24"/>
        </w:rPr>
        <w:t> </w:t>
      </w:r>
      <w:r>
        <w:rPr>
          <w:sz w:val="24"/>
        </w:rPr>
        <w:t>(SPDC),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  <w:r>
        <w:rPr>
          <w:sz w:val="25"/>
        </w:rPr>
        <w:t>In:Shell</w:t>
      </w:r>
      <w:r>
        <w:rPr>
          <w:spacing w:val="-6"/>
          <w:sz w:val="25"/>
        </w:rPr>
        <w:t> </w:t>
      </w:r>
      <w:r>
        <w:rPr>
          <w:sz w:val="25"/>
        </w:rPr>
        <w:t>Nigeria</w:t>
      </w:r>
      <w:r>
        <w:rPr>
          <w:spacing w:val="-8"/>
          <w:sz w:val="25"/>
        </w:rPr>
        <w:t> </w:t>
      </w:r>
      <w:r>
        <w:rPr>
          <w:sz w:val="25"/>
        </w:rPr>
        <w:t>Annual</w:t>
      </w:r>
      <w:r>
        <w:rPr>
          <w:spacing w:val="-6"/>
          <w:sz w:val="25"/>
        </w:rPr>
        <w:t> </w:t>
      </w:r>
      <w:r>
        <w:rPr>
          <w:sz w:val="25"/>
        </w:rPr>
        <w:t>Report,</w:t>
      </w:r>
      <w:r>
        <w:rPr>
          <w:spacing w:val="-4"/>
          <w:sz w:val="25"/>
        </w:rPr>
        <w:t> </w:t>
      </w:r>
      <w:r>
        <w:rPr>
          <w:sz w:val="24"/>
        </w:rPr>
        <w:t>pp</w:t>
      </w:r>
      <w:r>
        <w:rPr>
          <w:spacing w:val="-5"/>
          <w:sz w:val="24"/>
        </w:rPr>
        <w:t> </w:t>
      </w:r>
      <w:r>
        <w:rPr>
          <w:sz w:val="24"/>
        </w:rPr>
        <w:t>8-9.</w:t>
      </w:r>
    </w:p>
    <w:p>
      <w:pPr>
        <w:spacing w:line="465" w:lineRule="auto" w:before="230"/>
        <w:ind w:left="1918" w:right="575" w:hanging="720"/>
        <w:jc w:val="both"/>
        <w:rPr>
          <w:sz w:val="24"/>
        </w:rPr>
      </w:pPr>
      <w:r>
        <w:rPr>
          <w:sz w:val="24"/>
        </w:rPr>
        <w:t>Shigenaka, G., (2002). Oil toxicity in mangroves</w:t>
      </w:r>
      <w:r>
        <w:rPr>
          <w:sz w:val="25"/>
        </w:rPr>
        <w:t>. In: </w:t>
      </w:r>
      <w:r>
        <w:rPr>
          <w:sz w:val="24"/>
        </w:rPr>
        <w:t>Hoff, R. (Ed.) </w:t>
      </w:r>
      <w:r>
        <w:rPr>
          <w:sz w:val="25"/>
        </w:rPr>
        <w:t>Oil Spills in Mangroves-</w:t>
      </w:r>
      <w:r>
        <w:rPr>
          <w:spacing w:val="-76"/>
          <w:sz w:val="25"/>
        </w:rPr>
        <w:t> </w:t>
      </w:r>
      <w:r>
        <w:rPr>
          <w:sz w:val="25"/>
        </w:rPr>
        <w:t>Planning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Response</w:t>
      </w:r>
      <w:r>
        <w:rPr>
          <w:spacing w:val="1"/>
          <w:sz w:val="25"/>
        </w:rPr>
        <w:t> </w:t>
      </w:r>
      <w:r>
        <w:rPr>
          <w:sz w:val="25"/>
        </w:rPr>
        <w:t>Consideration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oceanic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atmospheric</w:t>
      </w:r>
      <w:r>
        <w:rPr>
          <w:spacing w:val="1"/>
          <w:sz w:val="24"/>
        </w:rPr>
        <w:t> </w:t>
      </w:r>
      <w:r>
        <w:rPr>
          <w:sz w:val="24"/>
        </w:rPr>
        <w:t>administration, Seattle,</w:t>
      </w:r>
      <w:r>
        <w:rPr>
          <w:spacing w:val="-1"/>
          <w:sz w:val="24"/>
        </w:rPr>
        <w:t> </w:t>
      </w:r>
      <w:r>
        <w:rPr>
          <w:sz w:val="24"/>
        </w:rPr>
        <w:t>Washington, pp.</w:t>
      </w:r>
      <w:r>
        <w:rPr>
          <w:spacing w:val="-2"/>
          <w:sz w:val="24"/>
        </w:rPr>
        <w:t> </w:t>
      </w:r>
      <w:r>
        <w:rPr>
          <w:sz w:val="24"/>
        </w:rPr>
        <w:t>23-35.</w:t>
      </w:r>
    </w:p>
    <w:p>
      <w:pPr>
        <w:pStyle w:val="BodyText"/>
        <w:spacing w:before="2"/>
        <w:rPr>
          <w:sz w:val="21"/>
        </w:rPr>
      </w:pPr>
    </w:p>
    <w:p>
      <w:pPr>
        <w:spacing w:line="475" w:lineRule="auto" w:before="0"/>
        <w:ind w:left="1918" w:right="580" w:hanging="720"/>
        <w:jc w:val="both"/>
        <w:rPr>
          <w:sz w:val="24"/>
        </w:rPr>
      </w:pPr>
      <w:r>
        <w:rPr>
          <w:sz w:val="24"/>
        </w:rPr>
        <w:t>Site,</w:t>
      </w:r>
      <w:r>
        <w:rPr>
          <w:spacing w:val="1"/>
          <w:sz w:val="24"/>
        </w:rPr>
        <w:t> </w:t>
      </w:r>
      <w:r>
        <w:rPr>
          <w:sz w:val="24"/>
        </w:rPr>
        <w:t>A.D.,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affecting</w:t>
      </w:r>
      <w:r>
        <w:rPr>
          <w:spacing w:val="1"/>
          <w:sz w:val="24"/>
        </w:rPr>
        <w:t> </w:t>
      </w:r>
      <w:r>
        <w:rPr>
          <w:sz w:val="24"/>
        </w:rPr>
        <w:t>sorption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1"/>
          <w:sz w:val="24"/>
        </w:rPr>
        <w:t> </w:t>
      </w:r>
      <w:r>
        <w:rPr>
          <w:sz w:val="24"/>
        </w:rPr>
        <w:t>compounds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-72"/>
          <w:sz w:val="24"/>
        </w:rPr>
        <w:t> </w:t>
      </w:r>
      <w:r>
        <w:rPr>
          <w:sz w:val="24"/>
        </w:rPr>
        <w:t>sorbents/water systems and sorption coefficients for selected pollutants: A review.</w:t>
      </w:r>
      <w:r>
        <w:rPr>
          <w:spacing w:val="1"/>
          <w:sz w:val="24"/>
        </w:rPr>
        <w:t> </w:t>
      </w:r>
      <w:r>
        <w:rPr>
          <w:sz w:val="25"/>
        </w:rPr>
        <w:t>Journal</w:t>
      </w:r>
      <w:r>
        <w:rPr>
          <w:spacing w:val="-9"/>
          <w:sz w:val="25"/>
        </w:rPr>
        <w:t> </w:t>
      </w:r>
      <w:r>
        <w:rPr>
          <w:sz w:val="25"/>
        </w:rPr>
        <w:t>of</w:t>
      </w:r>
      <w:r>
        <w:rPr>
          <w:spacing w:val="-10"/>
          <w:sz w:val="25"/>
        </w:rPr>
        <w:t> </w:t>
      </w:r>
      <w:r>
        <w:rPr>
          <w:sz w:val="25"/>
        </w:rPr>
        <w:t>Physics</w:t>
      </w:r>
      <w:r>
        <w:rPr>
          <w:spacing w:val="-9"/>
          <w:sz w:val="25"/>
        </w:rPr>
        <w:t> </w:t>
      </w:r>
      <w:r>
        <w:rPr>
          <w:sz w:val="25"/>
        </w:rPr>
        <w:t>and</w:t>
      </w:r>
      <w:r>
        <w:rPr>
          <w:spacing w:val="-8"/>
          <w:sz w:val="25"/>
        </w:rPr>
        <w:t> </w:t>
      </w:r>
      <w:r>
        <w:rPr>
          <w:sz w:val="25"/>
        </w:rPr>
        <w:t>Chemical</w:t>
      </w:r>
      <w:r>
        <w:rPr>
          <w:spacing w:val="-9"/>
          <w:sz w:val="25"/>
        </w:rPr>
        <w:t> </w:t>
      </w:r>
      <w:r>
        <w:rPr>
          <w:sz w:val="25"/>
        </w:rPr>
        <w:t>Reference</w:t>
      </w:r>
      <w:r>
        <w:rPr>
          <w:spacing w:val="-9"/>
          <w:sz w:val="25"/>
        </w:rPr>
        <w:t> </w:t>
      </w:r>
      <w:r>
        <w:rPr>
          <w:sz w:val="25"/>
        </w:rPr>
        <w:t>Data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sz w:val="24"/>
        </w:rPr>
        <w:t>30(1):</w:t>
      </w:r>
      <w:r>
        <w:rPr>
          <w:spacing w:val="-7"/>
          <w:sz w:val="24"/>
        </w:rPr>
        <w:t> </w:t>
      </w:r>
      <w:r>
        <w:rPr>
          <w:sz w:val="24"/>
        </w:rPr>
        <w:t>187-439.</w:t>
      </w:r>
    </w:p>
    <w:p>
      <w:pPr>
        <w:spacing w:line="470" w:lineRule="auto" w:before="223"/>
        <w:ind w:left="1918" w:right="578" w:hanging="720"/>
        <w:jc w:val="both"/>
        <w:rPr>
          <w:sz w:val="24"/>
        </w:rPr>
      </w:pPr>
      <w:r>
        <w:rPr>
          <w:sz w:val="24"/>
        </w:rPr>
        <w:t>Smith,</w:t>
      </w:r>
      <w:r>
        <w:rPr>
          <w:spacing w:val="-6"/>
          <w:sz w:val="24"/>
        </w:rPr>
        <w:t> </w:t>
      </w:r>
      <w:r>
        <w:rPr>
          <w:sz w:val="24"/>
        </w:rPr>
        <w:t>J.W.,</w:t>
      </w:r>
      <w:r>
        <w:rPr>
          <w:spacing w:val="-6"/>
          <w:sz w:val="24"/>
        </w:rPr>
        <w:t> </w:t>
      </w:r>
      <w:r>
        <w:rPr>
          <w:sz w:val="24"/>
        </w:rPr>
        <w:t>(1983).</w:t>
      </w:r>
      <w:r>
        <w:rPr>
          <w:spacing w:val="-5"/>
          <w:sz w:val="24"/>
        </w:rPr>
        <w:t> </w:t>
      </w:r>
      <w:r>
        <w:rPr>
          <w:sz w:val="25"/>
        </w:rPr>
        <w:t>The</w:t>
      </w:r>
      <w:r>
        <w:rPr>
          <w:spacing w:val="-6"/>
          <w:sz w:val="25"/>
        </w:rPr>
        <w:t> </w:t>
      </w:r>
      <w:r>
        <w:rPr>
          <w:sz w:val="25"/>
        </w:rPr>
        <w:t>control</w:t>
      </w:r>
      <w:r>
        <w:rPr>
          <w:spacing w:val="-8"/>
          <w:sz w:val="25"/>
        </w:rPr>
        <w:t> </w:t>
      </w:r>
      <w:r>
        <w:rPr>
          <w:sz w:val="25"/>
        </w:rPr>
        <w:t>of</w:t>
      </w:r>
      <w:r>
        <w:rPr>
          <w:spacing w:val="-9"/>
          <w:sz w:val="25"/>
        </w:rPr>
        <w:t> </w:t>
      </w:r>
      <w:r>
        <w:rPr>
          <w:sz w:val="25"/>
        </w:rPr>
        <w:t>oil</w:t>
      </w:r>
      <w:r>
        <w:rPr>
          <w:spacing w:val="-9"/>
          <w:sz w:val="25"/>
        </w:rPr>
        <w:t> </w:t>
      </w:r>
      <w:r>
        <w:rPr>
          <w:sz w:val="25"/>
        </w:rPr>
        <w:t>pollution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Graham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Trotman</w:t>
      </w:r>
      <w:r>
        <w:rPr>
          <w:spacing w:val="-5"/>
          <w:sz w:val="24"/>
        </w:rPr>
        <w:t> </w:t>
      </w:r>
      <w:r>
        <w:rPr>
          <w:sz w:val="24"/>
        </w:rPr>
        <w:t>limited,</w:t>
      </w:r>
      <w:r>
        <w:rPr>
          <w:spacing w:val="-6"/>
          <w:sz w:val="24"/>
        </w:rPr>
        <w:t> </w:t>
      </w:r>
      <w:r>
        <w:rPr>
          <w:sz w:val="24"/>
        </w:rPr>
        <w:t>London,</w:t>
      </w:r>
      <w:r>
        <w:rPr>
          <w:spacing w:val="-6"/>
          <w:sz w:val="24"/>
        </w:rPr>
        <w:t> </w:t>
      </w:r>
      <w:r>
        <w:rPr>
          <w:sz w:val="24"/>
        </w:rPr>
        <w:t>UK.</w:t>
      </w:r>
      <w:r>
        <w:rPr>
          <w:spacing w:val="-72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243-249.</w:t>
      </w:r>
    </w:p>
    <w:p>
      <w:pPr>
        <w:spacing w:after="0" w:line="470" w:lineRule="auto"/>
        <w:jc w:val="both"/>
        <w:rPr>
          <w:sz w:val="24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before="75"/>
        <w:ind w:left="1198"/>
      </w:pPr>
      <w:r>
        <w:rPr/>
        <w:t>Snyder,</w:t>
      </w:r>
      <w:r>
        <w:rPr>
          <w:spacing w:val="22"/>
        </w:rPr>
        <w:t> </w:t>
      </w:r>
      <w:r>
        <w:rPr/>
        <w:t>R.</w:t>
      </w:r>
      <w:r>
        <w:rPr>
          <w:spacing w:val="94"/>
        </w:rPr>
        <w:t> </w:t>
      </w:r>
      <w:r>
        <w:rPr/>
        <w:t>and</w:t>
      </w:r>
      <w:r>
        <w:rPr>
          <w:spacing w:val="96"/>
        </w:rPr>
        <w:t> </w:t>
      </w:r>
      <w:r>
        <w:rPr/>
        <w:t>Hedlim,</w:t>
      </w:r>
      <w:r>
        <w:rPr>
          <w:spacing w:val="95"/>
        </w:rPr>
        <w:t> </w:t>
      </w:r>
      <w:r>
        <w:rPr/>
        <w:t>C.C.</w:t>
      </w:r>
      <w:r>
        <w:rPr>
          <w:spacing w:val="95"/>
        </w:rPr>
        <w:t> </w:t>
      </w:r>
      <w:r>
        <w:rPr/>
        <w:t>(1996).An</w:t>
      </w:r>
      <w:r>
        <w:rPr>
          <w:spacing w:val="97"/>
        </w:rPr>
        <w:t> </w:t>
      </w:r>
      <w:r>
        <w:rPr/>
        <w:t>overview</w:t>
      </w:r>
      <w:r>
        <w:rPr>
          <w:spacing w:val="95"/>
        </w:rPr>
        <w:t> </w:t>
      </w:r>
      <w:r>
        <w:rPr/>
        <w:t>of</w:t>
      </w:r>
      <w:r>
        <w:rPr>
          <w:spacing w:val="95"/>
        </w:rPr>
        <w:t> </w:t>
      </w:r>
      <w:r>
        <w:rPr/>
        <w:t>benzene</w:t>
      </w:r>
      <w:r>
        <w:rPr>
          <w:spacing w:val="95"/>
        </w:rPr>
        <w:t> </w:t>
      </w:r>
      <w:r>
        <w:rPr/>
        <w:t>metabolism</w:t>
      </w:r>
      <w:r>
        <w:rPr>
          <w:spacing w:val="96"/>
        </w:rPr>
        <w:t> </w:t>
      </w:r>
      <w:r>
        <w:rPr/>
        <w:t>(Review).</w:t>
      </w:r>
    </w:p>
    <w:p>
      <w:pPr>
        <w:pStyle w:val="BodyText"/>
        <w:spacing w:before="3"/>
        <w:rPr>
          <w:sz w:val="23"/>
        </w:rPr>
      </w:pPr>
    </w:p>
    <w:p>
      <w:pPr>
        <w:spacing w:before="1"/>
        <w:ind w:left="1918" w:right="0" w:firstLine="0"/>
        <w:jc w:val="left"/>
        <w:rPr>
          <w:sz w:val="24"/>
        </w:rPr>
      </w:pPr>
      <w:r>
        <w:rPr>
          <w:w w:val="95"/>
          <w:sz w:val="25"/>
        </w:rPr>
        <w:t>Environmental</w:t>
      </w:r>
      <w:r>
        <w:rPr>
          <w:spacing w:val="30"/>
          <w:w w:val="95"/>
          <w:sz w:val="25"/>
        </w:rPr>
        <w:t> </w:t>
      </w:r>
      <w:r>
        <w:rPr>
          <w:w w:val="95"/>
          <w:sz w:val="25"/>
        </w:rPr>
        <w:t>Health</w:t>
      </w:r>
      <w:r>
        <w:rPr>
          <w:spacing w:val="30"/>
          <w:w w:val="95"/>
          <w:sz w:val="25"/>
        </w:rPr>
        <w:t> </w:t>
      </w:r>
      <w:r>
        <w:rPr>
          <w:w w:val="95"/>
          <w:sz w:val="25"/>
        </w:rPr>
        <w:t>Perspective,</w:t>
      </w:r>
      <w:r>
        <w:rPr>
          <w:w w:val="95"/>
          <w:sz w:val="24"/>
        </w:rPr>
        <w:t>104(6):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1165-1171.</w:t>
      </w:r>
    </w:p>
    <w:p>
      <w:pPr>
        <w:spacing w:line="820" w:lineRule="exact" w:before="110"/>
        <w:ind w:left="1198" w:right="0" w:firstLine="0"/>
        <w:jc w:val="left"/>
        <w:rPr>
          <w:sz w:val="25"/>
        </w:rPr>
      </w:pPr>
      <w:r>
        <w:rPr>
          <w:sz w:val="24"/>
        </w:rPr>
        <w:t>Stamm,</w:t>
      </w:r>
      <w:r>
        <w:rPr>
          <w:spacing w:val="-12"/>
          <w:sz w:val="24"/>
        </w:rPr>
        <w:t> </w:t>
      </w:r>
      <w:r>
        <w:rPr>
          <w:sz w:val="24"/>
        </w:rPr>
        <w:t>A.J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Tarkow,</w:t>
      </w:r>
      <w:r>
        <w:rPr>
          <w:spacing w:val="-12"/>
          <w:sz w:val="24"/>
        </w:rPr>
        <w:t> </w:t>
      </w:r>
      <w:r>
        <w:rPr>
          <w:sz w:val="24"/>
        </w:rPr>
        <w:t>H,</w:t>
      </w:r>
      <w:r>
        <w:rPr>
          <w:spacing w:val="-12"/>
          <w:sz w:val="24"/>
        </w:rPr>
        <w:t> </w:t>
      </w:r>
      <w:r>
        <w:rPr>
          <w:sz w:val="24"/>
        </w:rPr>
        <w:t>(1947).</w:t>
      </w:r>
      <w:r>
        <w:rPr>
          <w:spacing w:val="-12"/>
          <w:sz w:val="24"/>
        </w:rPr>
        <w:t> </w:t>
      </w:r>
      <w:r>
        <w:rPr>
          <w:sz w:val="25"/>
        </w:rPr>
        <w:t>Acetylation</w:t>
      </w:r>
      <w:r>
        <w:rPr>
          <w:spacing w:val="-14"/>
          <w:sz w:val="25"/>
        </w:rPr>
        <w:t> </w:t>
      </w:r>
      <w:r>
        <w:rPr>
          <w:sz w:val="25"/>
        </w:rPr>
        <w:t>of</w:t>
      </w:r>
      <w:r>
        <w:rPr>
          <w:spacing w:val="-14"/>
          <w:sz w:val="25"/>
        </w:rPr>
        <w:t> </w:t>
      </w:r>
      <w:r>
        <w:rPr>
          <w:sz w:val="25"/>
        </w:rPr>
        <w:t>Wood</w:t>
      </w:r>
      <w:r>
        <w:rPr>
          <w:spacing w:val="-13"/>
          <w:sz w:val="25"/>
        </w:rPr>
        <w:t> </w:t>
      </w:r>
      <w:r>
        <w:rPr>
          <w:sz w:val="25"/>
        </w:rPr>
        <w:t>and</w:t>
      </w:r>
      <w:r>
        <w:rPr>
          <w:spacing w:val="-14"/>
          <w:sz w:val="25"/>
        </w:rPr>
        <w:t> </w:t>
      </w:r>
      <w:r>
        <w:rPr>
          <w:sz w:val="25"/>
        </w:rPr>
        <w:t>Boards</w:t>
      </w:r>
      <w:r>
        <w:rPr>
          <w:sz w:val="24"/>
        </w:rPr>
        <w:t>,</w:t>
      </w:r>
      <w:r>
        <w:rPr>
          <w:spacing w:val="-12"/>
          <w:sz w:val="24"/>
        </w:rPr>
        <w:t> </w:t>
      </w:r>
      <w:r>
        <w:rPr>
          <w:sz w:val="24"/>
        </w:rPr>
        <w:t>US</w:t>
      </w:r>
      <w:r>
        <w:rPr>
          <w:spacing w:val="-10"/>
          <w:sz w:val="24"/>
        </w:rPr>
        <w:t> </w:t>
      </w:r>
      <w:r>
        <w:rPr>
          <w:sz w:val="24"/>
        </w:rPr>
        <w:t>patents</w:t>
      </w:r>
      <w:r>
        <w:rPr>
          <w:spacing w:val="-10"/>
          <w:sz w:val="24"/>
        </w:rPr>
        <w:t> </w:t>
      </w:r>
      <w:r>
        <w:rPr>
          <w:sz w:val="24"/>
        </w:rPr>
        <w:t>2417995.</w:t>
      </w:r>
      <w:r>
        <w:rPr>
          <w:spacing w:val="1"/>
          <w:sz w:val="24"/>
        </w:rPr>
        <w:t> </w:t>
      </w:r>
      <w:r>
        <w:rPr>
          <w:sz w:val="24"/>
        </w:rPr>
        <w:t>Stanly,</w:t>
      </w:r>
      <w:r>
        <w:rPr>
          <w:spacing w:val="56"/>
          <w:sz w:val="24"/>
        </w:rPr>
        <w:t> </w:t>
      </w:r>
      <w:r>
        <w:rPr>
          <w:sz w:val="24"/>
        </w:rPr>
        <w:t>E.,</w:t>
      </w:r>
      <w:r>
        <w:rPr>
          <w:spacing w:val="56"/>
          <w:sz w:val="24"/>
        </w:rPr>
        <w:t> </w:t>
      </w:r>
      <w:r>
        <w:rPr>
          <w:sz w:val="24"/>
        </w:rPr>
        <w:t>(1996).</w:t>
      </w:r>
      <w:r>
        <w:rPr>
          <w:spacing w:val="55"/>
          <w:sz w:val="24"/>
        </w:rPr>
        <w:t> </w:t>
      </w:r>
      <w:r>
        <w:rPr>
          <w:sz w:val="24"/>
        </w:rPr>
        <w:t>Oil</w:t>
      </w:r>
      <w:r>
        <w:rPr>
          <w:spacing w:val="57"/>
          <w:sz w:val="24"/>
        </w:rPr>
        <w:t> </w:t>
      </w:r>
      <w:r>
        <w:rPr>
          <w:sz w:val="24"/>
        </w:rPr>
        <w:t>spill</w:t>
      </w:r>
      <w:r>
        <w:rPr>
          <w:spacing w:val="56"/>
          <w:sz w:val="24"/>
        </w:rPr>
        <w:t> </w:t>
      </w:r>
      <w:r>
        <w:rPr>
          <w:sz w:val="24"/>
        </w:rPr>
        <w:t>response</w:t>
      </w:r>
      <w:r>
        <w:rPr>
          <w:spacing w:val="57"/>
          <w:sz w:val="24"/>
        </w:rPr>
        <w:t> </w:t>
      </w:r>
      <w:r>
        <w:rPr>
          <w:sz w:val="24"/>
        </w:rPr>
        <w:t>techniques:</w:t>
      </w:r>
      <w:r>
        <w:rPr>
          <w:spacing w:val="55"/>
          <w:sz w:val="24"/>
        </w:rPr>
        <w:t> </w:t>
      </w:r>
      <w:r>
        <w:rPr>
          <w:sz w:val="24"/>
        </w:rPr>
        <w:t>A</w:t>
      </w:r>
      <w:r>
        <w:rPr>
          <w:spacing w:val="56"/>
          <w:sz w:val="24"/>
        </w:rPr>
        <w:t> </w:t>
      </w:r>
      <w:r>
        <w:rPr>
          <w:sz w:val="24"/>
        </w:rPr>
        <w:t>review.</w:t>
      </w:r>
      <w:r>
        <w:rPr>
          <w:spacing w:val="60"/>
          <w:sz w:val="24"/>
        </w:rPr>
        <w:t> </w:t>
      </w:r>
      <w:r>
        <w:rPr>
          <w:sz w:val="25"/>
        </w:rPr>
        <w:t>Emergency</w:t>
      </w:r>
      <w:r>
        <w:rPr>
          <w:spacing w:val="53"/>
          <w:sz w:val="25"/>
        </w:rPr>
        <w:t> </w:t>
      </w:r>
      <w:r>
        <w:rPr>
          <w:sz w:val="25"/>
        </w:rPr>
        <w:t>and</w:t>
      </w:r>
      <w:r>
        <w:rPr>
          <w:spacing w:val="53"/>
          <w:sz w:val="25"/>
        </w:rPr>
        <w:t> </w:t>
      </w:r>
      <w:r>
        <w:rPr>
          <w:sz w:val="25"/>
        </w:rPr>
        <w:t>Response</w:t>
      </w:r>
    </w:p>
    <w:p>
      <w:pPr>
        <w:spacing w:before="166"/>
        <w:ind w:left="1918" w:right="0" w:firstLine="0"/>
        <w:jc w:val="left"/>
        <w:rPr>
          <w:sz w:val="24"/>
        </w:rPr>
      </w:pPr>
      <w:r>
        <w:rPr>
          <w:sz w:val="25"/>
        </w:rPr>
        <w:t>Bulletin</w:t>
      </w:r>
      <w:r>
        <w:rPr>
          <w:sz w:val="24"/>
        </w:rPr>
        <w:t>,</w:t>
      </w:r>
      <w:r>
        <w:rPr>
          <w:spacing w:val="-13"/>
          <w:sz w:val="24"/>
        </w:rPr>
        <w:t> </w:t>
      </w:r>
      <w:r>
        <w:rPr>
          <w:sz w:val="24"/>
        </w:rPr>
        <w:t>1:</w:t>
      </w:r>
      <w:r>
        <w:rPr>
          <w:spacing w:val="-13"/>
          <w:sz w:val="24"/>
        </w:rPr>
        <w:t> </w:t>
      </w:r>
      <w:r>
        <w:rPr>
          <w:sz w:val="24"/>
        </w:rPr>
        <w:t>18-22.</w:t>
      </w:r>
    </w:p>
    <w:p>
      <w:pPr>
        <w:pStyle w:val="BodyText"/>
        <w:spacing w:before="10"/>
        <w:rPr>
          <w:sz w:val="42"/>
        </w:rPr>
      </w:pPr>
    </w:p>
    <w:p>
      <w:pPr>
        <w:spacing w:line="470" w:lineRule="auto" w:before="0"/>
        <w:ind w:left="1918" w:right="580" w:hanging="720"/>
        <w:jc w:val="both"/>
        <w:rPr>
          <w:sz w:val="24"/>
        </w:rPr>
      </w:pPr>
      <w:r>
        <w:rPr>
          <w:sz w:val="24"/>
        </w:rPr>
        <w:t>Stuart, M.L., (1989). </w:t>
      </w:r>
      <w:r>
        <w:rPr>
          <w:sz w:val="25"/>
        </w:rPr>
        <w:t>Dictionary of Composite Material Technology</w:t>
      </w:r>
      <w:r>
        <w:rPr>
          <w:sz w:val="24"/>
        </w:rPr>
        <w:t>. Lewis publishers, CRC</w:t>
      </w:r>
      <w:r>
        <w:rPr>
          <w:spacing w:val="1"/>
          <w:sz w:val="24"/>
        </w:rPr>
        <w:t> </w:t>
      </w:r>
      <w:r>
        <w:rPr>
          <w:sz w:val="24"/>
        </w:rPr>
        <w:t>press,p.</w:t>
      </w:r>
      <w:r>
        <w:rPr>
          <w:spacing w:val="-2"/>
          <w:sz w:val="24"/>
        </w:rPr>
        <w:t> </w:t>
      </w:r>
      <w:r>
        <w:rPr>
          <w:sz w:val="24"/>
        </w:rPr>
        <w:t>3.</w:t>
      </w:r>
    </w:p>
    <w:p>
      <w:pPr>
        <w:pStyle w:val="BodyText"/>
        <w:spacing w:line="472" w:lineRule="auto" w:before="250"/>
        <w:ind w:left="1918" w:right="583" w:hanging="720"/>
        <w:jc w:val="both"/>
      </w:pPr>
      <w:r>
        <w:rPr/>
        <w:t>Sun,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Cheng,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Hydrolysis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lignocellulosic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75"/>
        </w:rPr>
        <w:t> </w:t>
      </w:r>
      <w:r>
        <w:rPr/>
        <w:t>ethanol</w:t>
      </w:r>
      <w:r>
        <w:rPr>
          <w:spacing w:val="1"/>
        </w:rPr>
        <w:t> </w:t>
      </w:r>
      <w:r>
        <w:rPr/>
        <w:t>production: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review.</w:t>
      </w:r>
      <w:r>
        <w:rPr>
          <w:spacing w:val="-4"/>
        </w:rPr>
        <w:t> </w:t>
      </w:r>
      <w:r>
        <w:rPr>
          <w:sz w:val="25"/>
        </w:rPr>
        <w:t>Bioresource</w:t>
      </w:r>
      <w:r>
        <w:rPr>
          <w:spacing w:val="-6"/>
          <w:sz w:val="25"/>
        </w:rPr>
        <w:t> </w:t>
      </w:r>
      <w:r>
        <w:rPr>
          <w:sz w:val="25"/>
        </w:rPr>
        <w:t>Technolnology,</w:t>
      </w:r>
      <w:r>
        <w:rPr>
          <w:spacing w:val="-9"/>
          <w:sz w:val="25"/>
        </w:rPr>
        <w:t> </w:t>
      </w:r>
      <w:r>
        <w:rPr/>
        <w:t>83:1-11.</w:t>
      </w:r>
    </w:p>
    <w:p>
      <w:pPr>
        <w:spacing w:line="470" w:lineRule="auto" w:before="234"/>
        <w:ind w:left="1918" w:right="577" w:hanging="720"/>
        <w:jc w:val="both"/>
        <w:rPr>
          <w:sz w:val="24"/>
        </w:rPr>
      </w:pPr>
      <w:r>
        <w:rPr>
          <w:sz w:val="24"/>
        </w:rPr>
        <w:t>Sun, X-F., Sun, R. and Sun, J.X., (2002).Acetylation of Rice Straw for Oil Sorption; With or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-8"/>
          <w:sz w:val="24"/>
        </w:rPr>
        <w:t> </w:t>
      </w:r>
      <w:r>
        <w:rPr>
          <w:sz w:val="24"/>
        </w:rPr>
        <w:t>Catalysts.</w:t>
      </w:r>
      <w:r>
        <w:rPr>
          <w:sz w:val="25"/>
        </w:rPr>
        <w:t>Journal</w:t>
      </w:r>
      <w:r>
        <w:rPr>
          <w:spacing w:val="-10"/>
          <w:sz w:val="25"/>
        </w:rPr>
        <w:t> </w:t>
      </w:r>
      <w:r>
        <w:rPr>
          <w:sz w:val="25"/>
        </w:rPr>
        <w:t>of</w:t>
      </w:r>
      <w:r>
        <w:rPr>
          <w:spacing w:val="-11"/>
          <w:sz w:val="25"/>
        </w:rPr>
        <w:t> </w:t>
      </w:r>
      <w:r>
        <w:rPr>
          <w:sz w:val="25"/>
        </w:rPr>
        <w:t>Agriculture</w:t>
      </w:r>
      <w:r>
        <w:rPr>
          <w:spacing w:val="-9"/>
          <w:sz w:val="25"/>
        </w:rPr>
        <w:t> </w:t>
      </w:r>
      <w:r>
        <w:rPr>
          <w:sz w:val="25"/>
        </w:rPr>
        <w:t>and</w:t>
      </w:r>
      <w:r>
        <w:rPr>
          <w:spacing w:val="-7"/>
          <w:sz w:val="25"/>
        </w:rPr>
        <w:t> </w:t>
      </w:r>
      <w:r>
        <w:rPr>
          <w:sz w:val="25"/>
        </w:rPr>
        <w:t>Food</w:t>
      </w:r>
      <w:r>
        <w:rPr>
          <w:spacing w:val="-12"/>
          <w:sz w:val="25"/>
        </w:rPr>
        <w:t> </w:t>
      </w:r>
      <w:r>
        <w:rPr>
          <w:sz w:val="25"/>
        </w:rPr>
        <w:t>Chemistry</w:t>
      </w:r>
      <w:r>
        <w:rPr>
          <w:sz w:val="24"/>
        </w:rPr>
        <w:t>,</w:t>
      </w:r>
      <w:r>
        <w:rPr>
          <w:spacing w:val="-8"/>
          <w:sz w:val="24"/>
        </w:rPr>
        <w:t> </w:t>
      </w:r>
      <w:r>
        <w:rPr>
          <w:sz w:val="24"/>
        </w:rPr>
        <w:t>50:</w:t>
      </w:r>
      <w:r>
        <w:rPr>
          <w:spacing w:val="-8"/>
          <w:sz w:val="24"/>
        </w:rPr>
        <w:t> </w:t>
      </w:r>
      <w:r>
        <w:rPr>
          <w:sz w:val="24"/>
        </w:rPr>
        <w:t>6428.</w:t>
      </w:r>
    </w:p>
    <w:p>
      <w:pPr>
        <w:pStyle w:val="BodyText"/>
        <w:spacing w:line="475" w:lineRule="auto" w:before="240"/>
        <w:ind w:left="1918" w:right="580" w:hanging="720"/>
        <w:jc w:val="both"/>
      </w:pPr>
      <w:r>
        <w:rPr/>
        <w:t>Sun,</w:t>
      </w:r>
      <w:r>
        <w:rPr>
          <w:spacing w:val="8"/>
        </w:rPr>
        <w:t> </w:t>
      </w:r>
      <w:r>
        <w:rPr/>
        <w:t>X.F.,</w:t>
      </w:r>
      <w:r>
        <w:rPr>
          <w:spacing w:val="8"/>
        </w:rPr>
        <w:t> </w:t>
      </w:r>
      <w:r>
        <w:rPr/>
        <w:t>Sun,</w:t>
      </w:r>
      <w:r>
        <w:rPr>
          <w:spacing w:val="9"/>
        </w:rPr>
        <w:t> </w:t>
      </w:r>
      <w:r>
        <w:rPr/>
        <w:t>R.C.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Sun,</w:t>
      </w:r>
      <w:r>
        <w:rPr>
          <w:spacing w:val="7"/>
        </w:rPr>
        <w:t> </w:t>
      </w:r>
      <w:r>
        <w:rPr/>
        <w:t>J.X.,</w:t>
      </w:r>
      <w:r>
        <w:rPr>
          <w:spacing w:val="8"/>
        </w:rPr>
        <w:t> </w:t>
      </w:r>
      <w:r>
        <w:rPr/>
        <w:t>(2004).</w:t>
      </w:r>
      <w:r>
        <w:rPr>
          <w:spacing w:val="6"/>
        </w:rPr>
        <w:t> </w:t>
      </w:r>
      <w:r>
        <w:rPr/>
        <w:t>Acetylation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sugarcane</w:t>
      </w:r>
      <w:r>
        <w:rPr>
          <w:spacing w:val="10"/>
        </w:rPr>
        <w:t> </w:t>
      </w:r>
      <w:r>
        <w:rPr/>
        <w:t>bagasse</w:t>
      </w:r>
      <w:r>
        <w:rPr>
          <w:spacing w:val="9"/>
        </w:rPr>
        <w:t> </w:t>
      </w:r>
      <w:r>
        <w:rPr/>
        <w:t>using</w:t>
      </w:r>
      <w:r>
        <w:rPr>
          <w:spacing w:val="8"/>
        </w:rPr>
        <w:t> </w:t>
      </w:r>
      <w:r>
        <w:rPr/>
        <w:t>NBS</w:t>
      </w:r>
      <w:r>
        <w:rPr>
          <w:spacing w:val="7"/>
        </w:rPr>
        <w:t> </w:t>
      </w:r>
      <w:r>
        <w:rPr/>
        <w:t>as</w:t>
      </w:r>
      <w:r>
        <w:rPr>
          <w:spacing w:val="-72"/>
        </w:rPr>
        <w:t> </w:t>
      </w:r>
      <w:r>
        <w:rPr/>
        <w:t>a catalyst under mild reaction conditions for the production of oil sorption-active</w:t>
      </w:r>
      <w:r>
        <w:rPr>
          <w:spacing w:val="1"/>
        </w:rPr>
        <w:t> </w:t>
      </w:r>
      <w:r>
        <w:rPr/>
        <w:t>materials.</w:t>
      </w:r>
      <w:r>
        <w:rPr>
          <w:spacing w:val="-4"/>
        </w:rPr>
        <w:t> </w:t>
      </w:r>
      <w:r>
        <w:rPr>
          <w:sz w:val="25"/>
        </w:rPr>
        <w:t>Bioresource</w:t>
      </w:r>
      <w:r>
        <w:rPr>
          <w:spacing w:val="-4"/>
          <w:sz w:val="25"/>
        </w:rPr>
        <w:t> </w:t>
      </w:r>
      <w:r>
        <w:rPr>
          <w:sz w:val="25"/>
        </w:rPr>
        <w:t>Technology</w:t>
      </w:r>
      <w:r>
        <w:rPr/>
        <w:t>,</w:t>
      </w:r>
      <w:r>
        <w:rPr>
          <w:spacing w:val="-3"/>
        </w:rPr>
        <w:t> </w:t>
      </w:r>
      <w:r>
        <w:rPr/>
        <w:t>95(3):</w:t>
      </w:r>
      <w:r>
        <w:rPr>
          <w:spacing w:val="-5"/>
        </w:rPr>
        <w:t> </w:t>
      </w:r>
      <w:r>
        <w:rPr/>
        <w:t>343-350.</w:t>
      </w:r>
    </w:p>
    <w:p>
      <w:pPr>
        <w:pStyle w:val="BodyText"/>
        <w:spacing w:line="475" w:lineRule="auto" w:before="233"/>
        <w:ind w:left="1918" w:right="577" w:hanging="720"/>
        <w:jc w:val="both"/>
      </w:pPr>
      <w:r>
        <w:rPr/>
        <w:t>Sun, J.X., Xu, F., Geng, Z.C., Sun, X.F., and Sun, R.C., (2005). Comparative study of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totally</w:t>
      </w:r>
      <w:r>
        <w:rPr>
          <w:spacing w:val="1"/>
        </w:rPr>
        <w:t> </w:t>
      </w:r>
      <w:r>
        <w:rPr/>
        <w:t>chlorine-free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and</w:t>
      </w:r>
      <w:r>
        <w:rPr>
          <w:spacing w:val="76"/>
        </w:rPr>
        <w:t> </w:t>
      </w:r>
      <w:r>
        <w:rPr/>
        <w:t>cereal</w:t>
      </w:r>
      <w:r>
        <w:rPr>
          <w:spacing w:val="1"/>
        </w:rPr>
        <w:t> </w:t>
      </w:r>
      <w:r>
        <w:rPr/>
        <w:t>straw.</w:t>
      </w:r>
      <w:r>
        <w:rPr>
          <w:sz w:val="25"/>
        </w:rPr>
        <w:t>Journal</w:t>
      </w:r>
      <w:r>
        <w:rPr>
          <w:spacing w:val="-6"/>
          <w:sz w:val="25"/>
        </w:rPr>
        <w:t> </w:t>
      </w:r>
      <w:r>
        <w:rPr>
          <w:sz w:val="25"/>
        </w:rPr>
        <w:t>of</w:t>
      </w:r>
      <w:r>
        <w:rPr>
          <w:spacing w:val="-7"/>
          <w:sz w:val="25"/>
        </w:rPr>
        <w:t> </w:t>
      </w:r>
      <w:r>
        <w:rPr>
          <w:sz w:val="25"/>
        </w:rPr>
        <w:t>Applied</w:t>
      </w:r>
      <w:r>
        <w:rPr>
          <w:spacing w:val="-8"/>
          <w:sz w:val="25"/>
        </w:rPr>
        <w:t> </w:t>
      </w:r>
      <w:r>
        <w:rPr>
          <w:sz w:val="25"/>
        </w:rPr>
        <w:t>Polymer</w:t>
      </w:r>
      <w:r>
        <w:rPr>
          <w:spacing w:val="-8"/>
          <w:sz w:val="25"/>
        </w:rPr>
        <w:t> </w:t>
      </w:r>
      <w:r>
        <w:rPr>
          <w:sz w:val="25"/>
        </w:rPr>
        <w:t>Science</w:t>
      </w:r>
      <w:r>
        <w:rPr/>
        <w:t>,</w:t>
      </w:r>
      <w:r>
        <w:rPr>
          <w:spacing w:val="-4"/>
        </w:rPr>
        <w:t> </w:t>
      </w:r>
      <w:r>
        <w:rPr/>
        <w:t>97:</w:t>
      </w:r>
      <w:r>
        <w:rPr>
          <w:spacing w:val="-4"/>
        </w:rPr>
        <w:t> </w:t>
      </w:r>
      <w:r>
        <w:rPr/>
        <w:t>322–335.</w:t>
      </w:r>
    </w:p>
    <w:p>
      <w:pPr>
        <w:pStyle w:val="BodyText"/>
        <w:spacing w:line="480" w:lineRule="auto" w:before="234"/>
        <w:ind w:left="1918" w:right="583" w:hanging="720"/>
        <w:jc w:val="both"/>
      </w:pPr>
      <w:r>
        <w:rPr/>
        <w:t>Sun, R.C., (2010). Cereal straw as a resource for sustainable biomaterials and biofuels.First</w:t>
      </w:r>
      <w:r>
        <w:rPr>
          <w:spacing w:val="-72"/>
        </w:rPr>
        <w:t> </w:t>
      </w:r>
      <w:r>
        <w:rPr/>
        <w:t>edition,</w:t>
      </w:r>
      <w:r>
        <w:rPr>
          <w:spacing w:val="-2"/>
        </w:rPr>
        <w:t> </w:t>
      </w:r>
      <w:r>
        <w:rPr/>
        <w:t>Elsevier,</w:t>
      </w:r>
      <w:r>
        <w:rPr>
          <w:spacing w:val="-3"/>
        </w:rPr>
        <w:t> </w:t>
      </w:r>
      <w:r>
        <w:rPr/>
        <w:t>Linacre house,</w:t>
      </w:r>
      <w:r>
        <w:rPr>
          <w:spacing w:val="-2"/>
        </w:rPr>
        <w:t> </w:t>
      </w:r>
      <w:r>
        <w:rPr/>
        <w:t>Jordan hill,</w:t>
      </w:r>
      <w:r>
        <w:rPr>
          <w:spacing w:val="-2"/>
        </w:rPr>
        <w:t> </w:t>
      </w:r>
      <w:r>
        <w:rPr/>
        <w:t>Oxford</w:t>
      </w:r>
      <w:r>
        <w:rPr>
          <w:spacing w:val="-1"/>
        </w:rPr>
        <w:t> </w:t>
      </w:r>
      <w:r>
        <w:rPr/>
        <w:t>OX2</w:t>
      </w:r>
      <w:r>
        <w:rPr>
          <w:spacing w:val="-1"/>
        </w:rPr>
        <w:t> </w:t>
      </w:r>
      <w:r>
        <w:rPr/>
        <w:t>8DP,</w:t>
      </w:r>
      <w:r>
        <w:rPr>
          <w:spacing w:val="-2"/>
        </w:rPr>
        <w:t> </w:t>
      </w:r>
      <w:r>
        <w:rPr/>
        <w:t>UK,</w:t>
      </w:r>
      <w:r>
        <w:rPr>
          <w:spacing w:val="-2"/>
        </w:rPr>
        <w:t> </w:t>
      </w:r>
      <w:r>
        <w:rPr/>
        <w:t>pp</w:t>
      </w:r>
      <w:r>
        <w:rPr>
          <w:spacing w:val="-2"/>
        </w:rPr>
        <w:t> </w:t>
      </w:r>
      <w:r>
        <w:rPr/>
        <w:t>10-25.</w:t>
      </w:r>
    </w:p>
    <w:p>
      <w:pPr>
        <w:spacing w:after="0" w:line="48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spacing w:line="482" w:lineRule="auto" w:before="75"/>
        <w:ind w:left="1918" w:right="575" w:hanging="720"/>
        <w:jc w:val="both"/>
      </w:pPr>
      <w:r>
        <w:rPr/>
        <w:t>Taffarel, R.S. and Rubio, J.R., (2009). On the removal of Mn(II) ions by adsorption onto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activated</w:t>
      </w:r>
      <w:r>
        <w:rPr>
          <w:spacing w:val="-1"/>
        </w:rPr>
        <w:t> </w:t>
      </w:r>
      <w:r>
        <w:rPr/>
        <w:t>Chilean</w:t>
      </w:r>
      <w:r>
        <w:rPr>
          <w:spacing w:val="-1"/>
        </w:rPr>
        <w:t> </w:t>
      </w:r>
      <w:r>
        <w:rPr/>
        <w:t>zeolite.</w:t>
      </w:r>
      <w:r>
        <w:rPr>
          <w:spacing w:val="-2"/>
        </w:rPr>
        <w:t> </w:t>
      </w:r>
      <w:r>
        <w:rPr/>
        <w:t>Minerals Engineering,</w:t>
      </w:r>
      <w:r>
        <w:rPr>
          <w:spacing w:val="-2"/>
        </w:rPr>
        <w:t> </w:t>
      </w:r>
      <w:r>
        <w:rPr/>
        <w:t>22:</w:t>
      </w:r>
      <w:r>
        <w:rPr>
          <w:spacing w:val="-2"/>
        </w:rPr>
        <w:t> </w:t>
      </w:r>
      <w:r>
        <w:rPr/>
        <w:t>336-343.</w:t>
      </w:r>
    </w:p>
    <w:p>
      <w:pPr>
        <w:spacing w:line="470" w:lineRule="auto" w:before="235"/>
        <w:ind w:left="1918" w:right="576" w:hanging="720"/>
        <w:jc w:val="both"/>
        <w:rPr>
          <w:sz w:val="24"/>
        </w:rPr>
      </w:pPr>
      <w:r>
        <w:rPr>
          <w:sz w:val="24"/>
        </w:rPr>
        <w:t>Tapio, S., Daniel, V., Erkki, P., Bjarne, H. and Rainer, S., (1994).Kinetic study of the</w:t>
      </w:r>
      <w:r>
        <w:rPr>
          <w:spacing w:val="1"/>
          <w:sz w:val="24"/>
        </w:rPr>
        <w:t> </w:t>
      </w:r>
      <w:r>
        <w:rPr>
          <w:sz w:val="24"/>
        </w:rPr>
        <w:t>carboxymethylation of cellulose.</w:t>
      </w:r>
      <w:r>
        <w:rPr>
          <w:sz w:val="25"/>
        </w:rPr>
        <w:t>Industrial and Engineering Chemistry Res</w:t>
      </w:r>
      <w:r>
        <w:rPr>
          <w:sz w:val="24"/>
        </w:rPr>
        <w:t>earch, 33</w:t>
      </w:r>
      <w:r>
        <w:rPr>
          <w:spacing w:val="-72"/>
          <w:sz w:val="24"/>
        </w:rPr>
        <w:t> </w:t>
      </w:r>
      <w:r>
        <w:rPr>
          <w:sz w:val="24"/>
        </w:rPr>
        <w:t>(6):</w:t>
      </w:r>
      <w:r>
        <w:rPr>
          <w:spacing w:val="71"/>
          <w:sz w:val="24"/>
        </w:rPr>
        <w:t> </w:t>
      </w:r>
      <w:r>
        <w:rPr>
          <w:sz w:val="24"/>
        </w:rPr>
        <w:t>1454–1459.</w:t>
      </w:r>
    </w:p>
    <w:p>
      <w:pPr>
        <w:pStyle w:val="BodyText"/>
        <w:spacing w:line="475" w:lineRule="auto" w:before="250"/>
        <w:ind w:left="1918" w:right="573" w:hanging="720"/>
        <w:jc w:val="both"/>
      </w:pPr>
      <w:r>
        <w:rPr/>
        <w:t>Teas, C., Kalligeros, S., Zanikos, F., Stournas, S., Lois, E. and Anastopoulos ,G., (2001).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absorbent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spills</w:t>
      </w:r>
      <w:r>
        <w:rPr>
          <w:spacing w:val="1"/>
        </w:rPr>
        <w:t> </w:t>
      </w:r>
      <w:r>
        <w:rPr/>
        <w:t>clean</w:t>
      </w:r>
      <w:r>
        <w:rPr>
          <w:spacing w:val="1"/>
        </w:rPr>
        <w:t> </w:t>
      </w:r>
      <w:r>
        <w:rPr/>
        <w:t>up.</w:t>
      </w:r>
      <w:r>
        <w:rPr>
          <w:spacing w:val="-72"/>
        </w:rPr>
        <w:t> </w:t>
      </w:r>
      <w:r>
        <w:rPr>
          <w:sz w:val="25"/>
        </w:rPr>
        <w:t>Desalination</w:t>
      </w:r>
      <w:r>
        <w:rPr/>
        <w:t>,</w:t>
      </w:r>
      <w:r>
        <w:rPr>
          <w:spacing w:val="-2"/>
        </w:rPr>
        <w:t> </w:t>
      </w:r>
      <w:r>
        <w:rPr/>
        <w:t>140(3):</w:t>
      </w:r>
      <w:r>
        <w:rPr>
          <w:spacing w:val="-3"/>
        </w:rPr>
        <w:t> </w:t>
      </w:r>
      <w:r>
        <w:rPr/>
        <w:t>259-264.</w:t>
      </w:r>
    </w:p>
    <w:p>
      <w:pPr>
        <w:pStyle w:val="BodyText"/>
        <w:spacing w:line="475" w:lineRule="auto"/>
        <w:ind w:left="1918" w:right="575" w:hanging="720"/>
        <w:jc w:val="both"/>
      </w:pPr>
      <w:r>
        <w:rPr/>
        <w:t>Tronc, E.C., Hernandez-Escobar, C.A., Ibarra-Gomez, R., Estrada-Monje, a., Navarette-</w:t>
      </w:r>
      <w:r>
        <w:rPr>
          <w:spacing w:val="1"/>
        </w:rPr>
        <w:t> </w:t>
      </w:r>
      <w:r>
        <w:rPr/>
        <w:t>Bolanos, J., Zaragoza-Contreras, E.A. (2006).Mechanical and thermal properties of</w:t>
      </w:r>
      <w:r>
        <w:rPr>
          <w:spacing w:val="1"/>
        </w:rPr>
        <w:t> </w:t>
      </w:r>
      <w:r>
        <w:rPr/>
        <w:t>chemical</w:t>
      </w:r>
      <w:r>
        <w:rPr>
          <w:spacing w:val="-5"/>
        </w:rPr>
        <w:t> </w:t>
      </w:r>
      <w:r>
        <w:rPr/>
        <w:t>treated</w:t>
      </w:r>
      <w:r>
        <w:rPr>
          <w:spacing w:val="-6"/>
        </w:rPr>
        <w:t> </w:t>
      </w:r>
      <w:r>
        <w:rPr/>
        <w:t>kenaf</w:t>
      </w:r>
      <w:r>
        <w:rPr>
          <w:spacing w:val="-2"/>
        </w:rPr>
        <w:t> </w:t>
      </w:r>
      <w:r>
        <w:rPr/>
        <w:t>fibres,</w:t>
      </w:r>
      <w:r>
        <w:rPr>
          <w:spacing w:val="-4"/>
        </w:rPr>
        <w:t> </w:t>
      </w:r>
      <w:r>
        <w:rPr>
          <w:sz w:val="25"/>
        </w:rPr>
        <w:t>Carbohydrate</w:t>
      </w:r>
      <w:r>
        <w:rPr>
          <w:spacing w:val="-7"/>
          <w:sz w:val="25"/>
        </w:rPr>
        <w:t> </w:t>
      </w:r>
      <w:r>
        <w:rPr>
          <w:sz w:val="25"/>
        </w:rPr>
        <w:t>Polymers,</w:t>
      </w:r>
      <w:r>
        <w:rPr>
          <w:spacing w:val="-8"/>
          <w:sz w:val="25"/>
        </w:rPr>
        <w:t> </w:t>
      </w:r>
      <w:r>
        <w:rPr/>
        <w:t>67:245-252.</w:t>
      </w:r>
    </w:p>
    <w:p>
      <w:pPr>
        <w:pStyle w:val="BodyText"/>
        <w:spacing w:line="475" w:lineRule="auto" w:before="230"/>
        <w:ind w:left="1918" w:right="575" w:hanging="720"/>
        <w:jc w:val="both"/>
      </w:pPr>
      <w:r>
        <w:rPr/>
        <w:t>Tsutsumi,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Kono,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Takai,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Manabe,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Haraguchi,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Yamamoto,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Oppenheimer, C., (2000). Bioremediation on the shore after an oil spill from the</w:t>
      </w:r>
      <w:r>
        <w:rPr>
          <w:spacing w:val="1"/>
        </w:rPr>
        <w:t> </w:t>
      </w:r>
      <w:r>
        <w:rPr/>
        <w:t>Nakhodka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Japan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bioremediation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with</w:t>
      </w:r>
      <w:r>
        <w:rPr>
          <w:spacing w:val="-72"/>
        </w:rPr>
        <w:t> </w:t>
      </w:r>
      <w:r>
        <w:rPr/>
        <w:t>microbiological cultures for the treatment of an oil spill, Marine. </w:t>
      </w:r>
      <w:r>
        <w:rPr>
          <w:sz w:val="25"/>
        </w:rPr>
        <w:t>Pollution Bulletin</w:t>
      </w:r>
      <w:r>
        <w:rPr/>
        <w:t>,</w:t>
      </w:r>
      <w:r>
        <w:rPr>
          <w:spacing w:val="1"/>
        </w:rPr>
        <w:t> </w:t>
      </w:r>
      <w:r>
        <w:rPr/>
        <w:t>40(4):</w:t>
      </w:r>
      <w:r>
        <w:rPr>
          <w:spacing w:val="-3"/>
        </w:rPr>
        <w:t> </w:t>
      </w:r>
      <w:r>
        <w:rPr/>
        <w:t>320-324.</w:t>
      </w:r>
    </w:p>
    <w:p>
      <w:pPr>
        <w:pStyle w:val="BodyText"/>
        <w:spacing w:line="468" w:lineRule="auto" w:before="235"/>
        <w:ind w:left="1918" w:right="576" w:hanging="720"/>
        <w:jc w:val="both"/>
      </w:pPr>
      <w:r>
        <w:rPr/>
        <w:t>Tserki, V., Zaferopoulos, N.E., Simon, F. and Panayiotou, C,. (2005).</w:t>
      </w:r>
      <w:r>
        <w:rPr>
          <w:sz w:val="25"/>
        </w:rPr>
        <w:t>Composites </w:t>
      </w:r>
      <w:r>
        <w:rPr/>
        <w:t>Part A,</w:t>
      </w:r>
      <w:r>
        <w:rPr>
          <w:spacing w:val="1"/>
        </w:rPr>
        <w:t> </w:t>
      </w:r>
      <w:r>
        <w:rPr/>
        <w:t>36:1110.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70" w:lineRule="auto"/>
        <w:ind w:left="1918" w:right="579" w:hanging="720"/>
        <w:jc w:val="both"/>
      </w:pPr>
      <w:r>
        <w:rPr/>
        <w:t>Tuong, V.M. and Li, J., (2010), Effect of Heat Treatment</w:t>
      </w:r>
      <w:r>
        <w:rPr>
          <w:spacing w:val="1"/>
        </w:rPr>
        <w:t> </w:t>
      </w:r>
      <w:r>
        <w:rPr/>
        <w:t>on the Change in Colour and</w:t>
      </w:r>
      <w:r>
        <w:rPr>
          <w:spacing w:val="1"/>
        </w:rPr>
        <w:t> </w:t>
      </w:r>
      <w:r>
        <w:rPr/>
        <w:t>Dimensional</w:t>
      </w:r>
      <w:r>
        <w:rPr>
          <w:spacing w:val="-4"/>
        </w:rPr>
        <w:t> </w:t>
      </w:r>
      <w:r>
        <w:rPr/>
        <w:t>Stability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Acacia</w:t>
      </w:r>
      <w:r>
        <w:rPr>
          <w:spacing w:val="-5"/>
        </w:rPr>
        <w:t> </w:t>
      </w:r>
      <w:r>
        <w:rPr/>
        <w:t>hybrid</w:t>
      </w:r>
      <w:r>
        <w:rPr>
          <w:spacing w:val="-2"/>
        </w:rPr>
        <w:t> </w:t>
      </w:r>
      <w:r>
        <w:rPr/>
        <w:t>Wood,</w:t>
      </w:r>
      <w:r>
        <w:rPr>
          <w:spacing w:val="-2"/>
        </w:rPr>
        <w:t> </w:t>
      </w:r>
      <w:r>
        <w:rPr>
          <w:sz w:val="25"/>
        </w:rPr>
        <w:t>BioResources</w:t>
      </w:r>
      <w:r>
        <w:rPr/>
        <w:t>,</w:t>
      </w:r>
      <w:r>
        <w:rPr>
          <w:spacing w:val="-5"/>
        </w:rPr>
        <w:t> </w:t>
      </w:r>
      <w:r>
        <w:rPr/>
        <w:t>5(2)</w:t>
      </w:r>
      <w:r>
        <w:rPr>
          <w:spacing w:val="-5"/>
        </w:rPr>
        <w:t> </w:t>
      </w:r>
      <w:r>
        <w:rPr/>
        <w:t>1257-1267.</w:t>
      </w:r>
    </w:p>
    <w:p>
      <w:pPr>
        <w:spacing w:after="0" w:line="470" w:lineRule="auto"/>
        <w:jc w:val="both"/>
        <w:sectPr>
          <w:pgSz w:w="11910" w:h="16840"/>
          <w:pgMar w:header="0" w:footer="987" w:top="1140" w:bottom="1260" w:left="420" w:right="0"/>
        </w:sectPr>
      </w:pPr>
    </w:p>
    <w:p>
      <w:pPr>
        <w:spacing w:line="465" w:lineRule="auto" w:before="85"/>
        <w:ind w:left="1918" w:right="578" w:hanging="720"/>
        <w:jc w:val="both"/>
        <w:rPr>
          <w:sz w:val="24"/>
        </w:rPr>
      </w:pPr>
      <w:r>
        <w:rPr>
          <w:w w:val="95"/>
          <w:sz w:val="24"/>
        </w:rPr>
        <w:t>Udoette, U.B., (1997). </w:t>
      </w:r>
      <w:r>
        <w:rPr>
          <w:w w:val="95"/>
          <w:sz w:val="25"/>
        </w:rPr>
        <w:t>Effects of Administration of Qua Iboe Light Crude Oil on Biochemical</w:t>
      </w:r>
      <w:r>
        <w:rPr>
          <w:spacing w:val="1"/>
          <w:w w:val="95"/>
          <w:sz w:val="25"/>
        </w:rPr>
        <w:t> </w:t>
      </w:r>
      <w:r>
        <w:rPr>
          <w:sz w:val="25"/>
        </w:rPr>
        <w:t>Parameters</w:t>
      </w:r>
      <w:r>
        <w:rPr>
          <w:spacing w:val="1"/>
          <w:sz w:val="25"/>
        </w:rPr>
        <w:t> </w:t>
      </w:r>
      <w:r>
        <w:rPr>
          <w:sz w:val="25"/>
        </w:rPr>
        <w:t>in</w:t>
      </w:r>
      <w:r>
        <w:rPr>
          <w:spacing w:val="1"/>
          <w:sz w:val="25"/>
        </w:rPr>
        <w:t> </w:t>
      </w:r>
      <w:r>
        <w:rPr>
          <w:sz w:val="25"/>
        </w:rPr>
        <w:t>Albino</w:t>
      </w:r>
      <w:r>
        <w:rPr>
          <w:spacing w:val="1"/>
          <w:sz w:val="25"/>
        </w:rPr>
        <w:t> </w:t>
      </w:r>
      <w:r>
        <w:rPr>
          <w:sz w:val="25"/>
        </w:rPr>
        <w:t>Wister</w:t>
      </w:r>
      <w:r>
        <w:rPr>
          <w:spacing w:val="1"/>
          <w:sz w:val="25"/>
        </w:rPr>
        <w:t> </w:t>
      </w:r>
      <w:r>
        <w:rPr>
          <w:sz w:val="25"/>
        </w:rPr>
        <w:t>Rats</w:t>
      </w:r>
      <w:r>
        <w:rPr>
          <w:sz w:val="24"/>
        </w:rPr>
        <w:t>.Unpublished</w:t>
      </w:r>
      <w:r>
        <w:rPr>
          <w:spacing w:val="1"/>
          <w:sz w:val="24"/>
        </w:rPr>
        <w:t> </w:t>
      </w:r>
      <w:r>
        <w:rPr>
          <w:sz w:val="24"/>
        </w:rPr>
        <w:t>M.Sc</w:t>
      </w:r>
      <w:r>
        <w:rPr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1"/>
          <w:sz w:val="24"/>
        </w:rPr>
        <w:t> </w:t>
      </w:r>
      <w:r>
        <w:rPr>
          <w:sz w:val="24"/>
        </w:rPr>
        <w:t>Biochemistry</w:t>
      </w:r>
      <w:r>
        <w:rPr>
          <w:spacing w:val="1"/>
          <w:sz w:val="24"/>
        </w:rPr>
        <w:t> </w:t>
      </w:r>
      <w:r>
        <w:rPr>
          <w:sz w:val="24"/>
        </w:rPr>
        <w:t>Department,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Calabar.</w:t>
      </w:r>
    </w:p>
    <w:p>
      <w:pPr>
        <w:spacing w:line="460" w:lineRule="auto" w:before="247"/>
        <w:ind w:left="1918" w:right="576" w:hanging="720"/>
        <w:jc w:val="both"/>
        <w:rPr>
          <w:sz w:val="24"/>
        </w:rPr>
      </w:pPr>
      <w:r>
        <w:rPr>
          <w:sz w:val="24"/>
        </w:rPr>
        <w:t>United Nation Development Program (UNDP), (2006). </w:t>
      </w:r>
      <w:r>
        <w:rPr>
          <w:sz w:val="25"/>
        </w:rPr>
        <w:t>Niger Delta Human Development</w:t>
      </w:r>
      <w:r>
        <w:rPr>
          <w:spacing w:val="1"/>
          <w:sz w:val="25"/>
        </w:rPr>
        <w:t> </w:t>
      </w:r>
      <w:r>
        <w:rPr>
          <w:sz w:val="25"/>
        </w:rPr>
        <w:t>Report</w:t>
      </w:r>
      <w:r>
        <w:rPr>
          <w:spacing w:val="-6"/>
          <w:sz w:val="25"/>
        </w:rPr>
        <w:t> </w:t>
      </w:r>
      <w:r>
        <w:rPr>
          <w:sz w:val="25"/>
        </w:rPr>
        <w:t>2006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Abuja,</w:t>
      </w:r>
      <w:r>
        <w:rPr>
          <w:spacing w:val="-2"/>
          <w:sz w:val="24"/>
        </w:rPr>
        <w:t> </w:t>
      </w:r>
      <w:r>
        <w:rPr>
          <w:sz w:val="24"/>
        </w:rPr>
        <w:t>Nigeria,</w:t>
      </w:r>
      <w:r>
        <w:rPr>
          <w:spacing w:val="-3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19-73.</w:t>
      </w:r>
    </w:p>
    <w:p>
      <w:pPr>
        <w:spacing w:line="470" w:lineRule="auto" w:before="248"/>
        <w:ind w:left="1918" w:right="573" w:hanging="720"/>
        <w:jc w:val="both"/>
        <w:rPr>
          <w:sz w:val="24"/>
        </w:rPr>
      </w:pPr>
      <w:r>
        <w:rPr>
          <w:sz w:val="24"/>
        </w:rPr>
        <w:t>United States Army Corps of Engineering (USACE), (2005).Incidences and environmental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oil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gas</w:t>
      </w:r>
      <w:r>
        <w:rPr>
          <w:spacing w:val="-3"/>
          <w:sz w:val="24"/>
        </w:rPr>
        <w:t> </w:t>
      </w:r>
      <w:r>
        <w:rPr>
          <w:sz w:val="24"/>
        </w:rPr>
        <w:t>releases.</w:t>
      </w:r>
      <w:r>
        <w:rPr>
          <w:sz w:val="25"/>
        </w:rPr>
        <w:t>In:</w:t>
      </w:r>
      <w:r>
        <w:rPr>
          <w:spacing w:val="-7"/>
          <w:sz w:val="25"/>
        </w:rPr>
        <w:t> </w:t>
      </w:r>
      <w:r>
        <w:rPr>
          <w:sz w:val="25"/>
        </w:rPr>
        <w:t>Known</w:t>
      </w:r>
      <w:r>
        <w:rPr>
          <w:spacing w:val="-6"/>
          <w:sz w:val="25"/>
        </w:rPr>
        <w:t> </w:t>
      </w:r>
      <w:r>
        <w:rPr>
          <w:sz w:val="25"/>
        </w:rPr>
        <w:t>and</w:t>
      </w:r>
      <w:r>
        <w:rPr>
          <w:spacing w:val="-8"/>
          <w:sz w:val="25"/>
        </w:rPr>
        <w:t> </w:t>
      </w:r>
      <w:r>
        <w:rPr>
          <w:sz w:val="25"/>
        </w:rPr>
        <w:t>Potential</w:t>
      </w:r>
      <w:r>
        <w:rPr>
          <w:spacing w:val="-6"/>
          <w:sz w:val="25"/>
        </w:rPr>
        <w:t> </w:t>
      </w:r>
      <w:r>
        <w:rPr>
          <w:sz w:val="25"/>
        </w:rPr>
        <w:t>Environmental</w:t>
      </w:r>
      <w:r>
        <w:rPr>
          <w:spacing w:val="-5"/>
          <w:sz w:val="25"/>
        </w:rPr>
        <w:t> </w:t>
      </w:r>
      <w:r>
        <w:rPr>
          <w:sz w:val="25"/>
        </w:rPr>
        <w:t>Effects</w:t>
      </w:r>
      <w:r>
        <w:rPr>
          <w:spacing w:val="-6"/>
          <w:sz w:val="25"/>
        </w:rPr>
        <w:t> </w:t>
      </w:r>
      <w:r>
        <w:rPr>
          <w:sz w:val="25"/>
        </w:rPr>
        <w:t>of</w:t>
      </w:r>
      <w:r>
        <w:rPr>
          <w:spacing w:val="-7"/>
          <w:sz w:val="25"/>
        </w:rPr>
        <w:t> </w:t>
      </w:r>
      <w:r>
        <w:rPr>
          <w:sz w:val="25"/>
        </w:rPr>
        <w:t>Oil</w:t>
      </w:r>
      <w:r>
        <w:rPr>
          <w:spacing w:val="-76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Gas</w:t>
      </w:r>
      <w:r>
        <w:rPr>
          <w:spacing w:val="1"/>
          <w:sz w:val="25"/>
        </w:rPr>
        <w:t> </w:t>
      </w:r>
      <w:r>
        <w:rPr>
          <w:sz w:val="25"/>
        </w:rPr>
        <w:t>Drilling</w:t>
      </w:r>
      <w:r>
        <w:rPr>
          <w:spacing w:val="1"/>
          <w:sz w:val="25"/>
        </w:rPr>
        <w:t> </w:t>
      </w:r>
      <w:r>
        <w:rPr>
          <w:sz w:val="25"/>
        </w:rPr>
        <w:t>Activity</w:t>
      </w:r>
      <w:r>
        <w:rPr>
          <w:spacing w:val="1"/>
          <w:sz w:val="25"/>
        </w:rPr>
        <w:t> </w:t>
      </w:r>
      <w:r>
        <w:rPr>
          <w:sz w:val="25"/>
        </w:rPr>
        <w:t>in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Great</w:t>
      </w:r>
      <w:r>
        <w:rPr>
          <w:spacing w:val="1"/>
          <w:sz w:val="25"/>
        </w:rPr>
        <w:t> </w:t>
      </w:r>
      <w:r>
        <w:rPr>
          <w:sz w:val="25"/>
        </w:rPr>
        <w:t>Lakes.</w:t>
      </w:r>
      <w:r>
        <w:rPr>
          <w:sz w:val="24"/>
        </w:rPr>
        <w:t>Final</w:t>
      </w:r>
      <w:r>
        <w:rPr>
          <w:spacing w:val="1"/>
          <w:sz w:val="24"/>
        </w:rPr>
        <w:t> </w:t>
      </w:r>
      <w:r>
        <w:rPr>
          <w:sz w:val="24"/>
        </w:rPr>
        <w:t>report.</w:t>
      </w:r>
      <w:hyperlink r:id="rId81">
        <w:r>
          <w:rPr>
            <w:color w:val="0000FF"/>
            <w:sz w:val="24"/>
            <w:u w:val="single" w:color="0000FF"/>
          </w:rPr>
          <w:t>www.lrc.usace.army.mil/GrtLakes/OilGas/Chapter3.pdf</w:t>
        </w:r>
      </w:hyperlink>
      <w:r>
        <w:rPr>
          <w:sz w:val="24"/>
        </w:rPr>
        <w:t>, pp. 26-38. Retrieved</w:t>
      </w:r>
      <w:r>
        <w:rPr>
          <w:spacing w:val="1"/>
          <w:sz w:val="24"/>
        </w:rPr>
        <w:t> </w:t>
      </w:r>
      <w:r>
        <w:rPr>
          <w:sz w:val="24"/>
        </w:rPr>
        <w:t>21</w:t>
      </w:r>
      <w:r>
        <w:rPr>
          <w:spacing w:val="-1"/>
          <w:sz w:val="24"/>
        </w:rPr>
        <w:t> </w:t>
      </w:r>
      <w:r>
        <w:rPr>
          <w:sz w:val="24"/>
        </w:rPr>
        <w:t>july</w:t>
      </w:r>
      <w:r>
        <w:rPr>
          <w:spacing w:val="1"/>
          <w:sz w:val="24"/>
        </w:rPr>
        <w:t> </w:t>
      </w:r>
      <w:r>
        <w:rPr>
          <w:sz w:val="24"/>
        </w:rPr>
        <w:t>2013.</w:t>
      </w:r>
    </w:p>
    <w:p>
      <w:pPr>
        <w:spacing w:line="465" w:lineRule="auto" w:before="242"/>
        <w:ind w:left="1918" w:right="577" w:hanging="720"/>
        <w:jc w:val="both"/>
        <w:rPr>
          <w:sz w:val="24"/>
        </w:rPr>
      </w:pP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Agriculture</w:t>
      </w:r>
      <w:r>
        <w:rPr>
          <w:spacing w:val="1"/>
          <w:sz w:val="24"/>
        </w:rPr>
        <w:t> </w:t>
      </w:r>
      <w:r>
        <w:rPr>
          <w:sz w:val="24"/>
        </w:rPr>
        <w:t>(USDOA),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z w:val="25"/>
        </w:rPr>
        <w:t>Design Guide</w:t>
      </w:r>
      <w:r>
        <w:rPr>
          <w:spacing w:val="1"/>
          <w:sz w:val="25"/>
        </w:rPr>
        <w:t> </w:t>
      </w:r>
      <w:r>
        <w:rPr>
          <w:sz w:val="25"/>
        </w:rPr>
        <w:t>for Oil</w:t>
      </w:r>
      <w:r>
        <w:rPr>
          <w:spacing w:val="1"/>
          <w:sz w:val="25"/>
        </w:rPr>
        <w:t> </w:t>
      </w:r>
      <w:r>
        <w:rPr>
          <w:sz w:val="25"/>
        </w:rPr>
        <w:t>Spill</w:t>
      </w:r>
      <w:r>
        <w:rPr>
          <w:spacing w:val="1"/>
          <w:sz w:val="25"/>
        </w:rPr>
        <w:t> </w:t>
      </w:r>
      <w:r>
        <w:rPr>
          <w:spacing w:val="-1"/>
          <w:sz w:val="25"/>
        </w:rPr>
        <w:t>Prevention</w:t>
      </w:r>
      <w:r>
        <w:rPr>
          <w:spacing w:val="-19"/>
          <w:sz w:val="25"/>
        </w:rPr>
        <w:t> </w:t>
      </w:r>
      <w:r>
        <w:rPr>
          <w:sz w:val="25"/>
        </w:rPr>
        <w:t>and</w:t>
      </w:r>
      <w:r>
        <w:rPr>
          <w:spacing w:val="-18"/>
          <w:sz w:val="25"/>
        </w:rPr>
        <w:t> </w:t>
      </w:r>
      <w:r>
        <w:rPr>
          <w:sz w:val="25"/>
        </w:rPr>
        <w:t>Control</w:t>
      </w:r>
      <w:r>
        <w:rPr>
          <w:spacing w:val="-18"/>
          <w:sz w:val="25"/>
        </w:rPr>
        <w:t> </w:t>
      </w:r>
      <w:r>
        <w:rPr>
          <w:sz w:val="25"/>
        </w:rPr>
        <w:t>at</w:t>
      </w:r>
      <w:r>
        <w:rPr>
          <w:spacing w:val="-18"/>
          <w:sz w:val="25"/>
        </w:rPr>
        <w:t> </w:t>
      </w:r>
      <w:r>
        <w:rPr>
          <w:sz w:val="25"/>
        </w:rPr>
        <w:t>Substations</w:t>
      </w:r>
      <w:r>
        <w:rPr>
          <w:sz w:val="24"/>
        </w:rPr>
        <w:t>.</w:t>
      </w:r>
      <w:r>
        <w:rPr>
          <w:spacing w:val="-16"/>
          <w:sz w:val="24"/>
        </w:rPr>
        <w:t> </w:t>
      </w:r>
      <w:r>
        <w:rPr>
          <w:sz w:val="24"/>
        </w:rPr>
        <w:t>Rural</w:t>
      </w:r>
      <w:r>
        <w:rPr>
          <w:spacing w:val="-14"/>
          <w:sz w:val="24"/>
        </w:rPr>
        <w:t> </w:t>
      </w:r>
      <w:r>
        <w:rPr>
          <w:sz w:val="24"/>
        </w:rPr>
        <w:t>development</w:t>
      </w:r>
      <w:r>
        <w:rPr>
          <w:spacing w:val="-15"/>
          <w:sz w:val="24"/>
        </w:rPr>
        <w:t> </w:t>
      </w:r>
      <w:r>
        <w:rPr>
          <w:sz w:val="24"/>
        </w:rPr>
        <w:t>utilities</w:t>
      </w:r>
      <w:r>
        <w:rPr>
          <w:spacing w:val="-15"/>
          <w:sz w:val="24"/>
        </w:rPr>
        <w:t> </w:t>
      </w:r>
      <w:r>
        <w:rPr>
          <w:sz w:val="24"/>
        </w:rPr>
        <w:t>programs,</w:t>
      </w:r>
      <w:r>
        <w:rPr>
          <w:spacing w:val="-15"/>
          <w:sz w:val="24"/>
        </w:rPr>
        <w:t> </w:t>
      </w:r>
      <w:r>
        <w:rPr>
          <w:sz w:val="24"/>
        </w:rPr>
        <w:t>bulletin</w:t>
      </w:r>
      <w:r>
        <w:rPr>
          <w:spacing w:val="-72"/>
          <w:sz w:val="24"/>
        </w:rPr>
        <w:t> </w:t>
      </w:r>
      <w:r>
        <w:rPr>
          <w:sz w:val="24"/>
        </w:rPr>
        <w:t>1724E-302,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73-108.</w:t>
      </w:r>
    </w:p>
    <w:p>
      <w:pPr>
        <w:spacing w:line="460" w:lineRule="auto" w:before="247"/>
        <w:ind w:left="1918" w:right="578" w:hanging="720"/>
        <w:jc w:val="both"/>
        <w:rPr>
          <w:sz w:val="24"/>
        </w:rPr>
      </w:pP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Protection</w:t>
      </w:r>
      <w:r>
        <w:rPr>
          <w:spacing w:val="1"/>
          <w:sz w:val="24"/>
        </w:rPr>
        <w:t> </w:t>
      </w:r>
      <w:r>
        <w:rPr>
          <w:sz w:val="24"/>
        </w:rPr>
        <w:t>Agency</w:t>
      </w:r>
      <w:r>
        <w:rPr>
          <w:spacing w:val="1"/>
          <w:sz w:val="24"/>
        </w:rPr>
        <w:t> </w:t>
      </w:r>
      <w:r>
        <w:rPr>
          <w:sz w:val="24"/>
        </w:rPr>
        <w:t>(USEPA),</w:t>
      </w:r>
      <w:r>
        <w:rPr>
          <w:spacing w:val="1"/>
          <w:sz w:val="24"/>
        </w:rPr>
        <w:t> </w:t>
      </w:r>
      <w:r>
        <w:rPr>
          <w:sz w:val="24"/>
        </w:rPr>
        <w:t>(1994).</w:t>
      </w:r>
      <w:r>
        <w:rPr>
          <w:spacing w:val="1"/>
          <w:sz w:val="24"/>
        </w:rPr>
        <w:t> </w:t>
      </w:r>
      <w:r>
        <w:rPr>
          <w:sz w:val="25"/>
        </w:rPr>
        <w:t>Chemicals</w:t>
      </w:r>
      <w:r>
        <w:rPr>
          <w:spacing w:val="1"/>
          <w:sz w:val="25"/>
        </w:rPr>
        <w:t> </w:t>
      </w:r>
      <w:r>
        <w:rPr>
          <w:sz w:val="25"/>
        </w:rPr>
        <w:t>in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environment:</w:t>
      </w:r>
      <w:r>
        <w:rPr>
          <w:spacing w:val="-9"/>
          <w:sz w:val="25"/>
        </w:rPr>
        <w:t> </w:t>
      </w:r>
      <w:r>
        <w:rPr>
          <w:sz w:val="25"/>
        </w:rPr>
        <w:t>Toluene</w:t>
      </w:r>
      <w:r>
        <w:rPr>
          <w:sz w:val="24"/>
        </w:rPr>
        <w:t>.</w:t>
      </w:r>
      <w:r>
        <w:rPr>
          <w:spacing w:val="-7"/>
          <w:sz w:val="24"/>
        </w:rPr>
        <w:t> </w:t>
      </w:r>
      <w:r>
        <w:rPr>
          <w:sz w:val="24"/>
        </w:rPr>
        <w:t>OPPT</w:t>
      </w:r>
      <w:r>
        <w:rPr>
          <w:spacing w:val="-4"/>
          <w:sz w:val="24"/>
        </w:rPr>
        <w:t> </w:t>
      </w:r>
      <w:r>
        <w:rPr>
          <w:sz w:val="24"/>
        </w:rPr>
        <w:t>chemical</w:t>
      </w:r>
      <w:r>
        <w:rPr>
          <w:spacing w:val="-4"/>
          <w:sz w:val="24"/>
        </w:rPr>
        <w:t> </w:t>
      </w:r>
      <w:r>
        <w:rPr>
          <w:sz w:val="24"/>
        </w:rPr>
        <w:t>fact</w:t>
      </w:r>
      <w:r>
        <w:rPr>
          <w:spacing w:val="-5"/>
          <w:sz w:val="24"/>
        </w:rPr>
        <w:t> </w:t>
      </w:r>
      <w:r>
        <w:rPr>
          <w:sz w:val="24"/>
        </w:rPr>
        <w:t>sheet.EPA</w:t>
      </w:r>
      <w:r>
        <w:rPr>
          <w:spacing w:val="-6"/>
          <w:sz w:val="24"/>
        </w:rPr>
        <w:t> </w:t>
      </w:r>
      <w:r>
        <w:rPr>
          <w:sz w:val="24"/>
        </w:rPr>
        <w:t>749-F-54-021.</w:t>
      </w:r>
    </w:p>
    <w:p>
      <w:pPr>
        <w:spacing w:line="470" w:lineRule="auto" w:before="251"/>
        <w:ind w:left="1918" w:right="576" w:hanging="720"/>
        <w:jc w:val="both"/>
        <w:rPr>
          <w:sz w:val="24"/>
        </w:rPr>
      </w:pPr>
      <w:r>
        <w:rPr>
          <w:sz w:val="24"/>
        </w:rPr>
        <w:t>United States Environmental Protection Agency (USEPA), (1999). Shoreline cleanup of oil</w:t>
      </w:r>
      <w:r>
        <w:rPr>
          <w:spacing w:val="1"/>
          <w:sz w:val="24"/>
        </w:rPr>
        <w:t> </w:t>
      </w:r>
      <w:r>
        <w:rPr>
          <w:sz w:val="24"/>
        </w:rPr>
        <w:t>spill.</w:t>
      </w:r>
      <w:r>
        <w:rPr>
          <w:sz w:val="25"/>
        </w:rPr>
        <w:t>In: Understanding Oil Spills and Oil Spill Response</w:t>
      </w:r>
      <w:r>
        <w:rPr>
          <w:sz w:val="24"/>
        </w:rPr>
        <w:t>. Office of Emergency and</w:t>
      </w:r>
      <w:r>
        <w:rPr>
          <w:spacing w:val="1"/>
          <w:sz w:val="24"/>
        </w:rPr>
        <w:t> </w:t>
      </w:r>
      <w:r>
        <w:rPr>
          <w:sz w:val="24"/>
        </w:rPr>
        <w:t>Remedial</w:t>
      </w:r>
      <w:r>
        <w:rPr>
          <w:spacing w:val="-1"/>
          <w:sz w:val="24"/>
        </w:rPr>
        <w:t> </w:t>
      </w:r>
      <w:r>
        <w:rPr>
          <w:sz w:val="24"/>
        </w:rPr>
        <w:t>Response,</w:t>
      </w:r>
      <w:r>
        <w:rPr>
          <w:spacing w:val="-1"/>
          <w:sz w:val="24"/>
        </w:rPr>
        <w:t> </w:t>
      </w:r>
      <w:r>
        <w:rPr>
          <w:sz w:val="24"/>
        </w:rPr>
        <w:t>bulletin Pp1934F-312,</w:t>
      </w:r>
      <w:r>
        <w:rPr>
          <w:spacing w:val="-2"/>
          <w:sz w:val="24"/>
        </w:rPr>
        <w:t> </w:t>
      </w:r>
      <w:r>
        <w:rPr>
          <w:sz w:val="24"/>
        </w:rPr>
        <w:t>pp</w:t>
      </w:r>
      <w:r>
        <w:rPr>
          <w:spacing w:val="-1"/>
          <w:sz w:val="24"/>
        </w:rPr>
        <w:t> </w:t>
      </w:r>
      <w:r>
        <w:rPr>
          <w:sz w:val="24"/>
        </w:rPr>
        <w:t>17-20.</w:t>
      </w:r>
    </w:p>
    <w:p>
      <w:pPr>
        <w:pStyle w:val="BodyText"/>
        <w:spacing w:line="468" w:lineRule="auto" w:before="241"/>
        <w:ind w:left="1918" w:right="575" w:hanging="720"/>
        <w:jc w:val="both"/>
      </w:pP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(USEPA),,</w:t>
      </w:r>
      <w:r>
        <w:rPr>
          <w:spacing w:val="1"/>
        </w:rPr>
        <w:t> </w:t>
      </w:r>
      <w:r>
        <w:rPr/>
        <w:t>(2004a).</w:t>
      </w:r>
      <w:r>
        <w:rPr>
          <w:spacing w:val="1"/>
        </w:rPr>
        <w:t> </w:t>
      </w:r>
      <w:r>
        <w:rPr>
          <w:sz w:val="25"/>
        </w:rPr>
        <w:t>Booms</w:t>
      </w:r>
      <w:r>
        <w:rPr/>
        <w:t>,</w:t>
      </w:r>
      <w:r>
        <w:rPr>
          <w:spacing w:val="1"/>
        </w:rPr>
        <w:t> </w:t>
      </w:r>
      <w:hyperlink r:id="rId82">
        <w:r>
          <w:rPr>
            <w:color w:val="0000FF"/>
            <w:u w:val="single" w:color="0000FF"/>
          </w:rPr>
          <w:t>http://www.epa.gov/oilspill/boom.htm</w:t>
        </w:r>
      </w:hyperlink>
      <w:r>
        <w:rPr/>
        <w:t>. Retrieved:</w:t>
      </w:r>
      <w:r>
        <w:rPr>
          <w:spacing w:val="-3"/>
        </w:rPr>
        <w:t> </w:t>
      </w:r>
      <w:r>
        <w:rPr/>
        <w:t>31</w:t>
      </w:r>
      <w:r>
        <w:rPr>
          <w:spacing w:val="1"/>
        </w:rPr>
        <w:t> </w:t>
      </w:r>
      <w:r>
        <w:rPr/>
        <w:t>july 2012.</w:t>
      </w:r>
    </w:p>
    <w:p>
      <w:pPr>
        <w:spacing w:after="0" w:line="468" w:lineRule="auto"/>
        <w:jc w:val="both"/>
        <w:sectPr>
          <w:pgSz w:w="11910" w:h="16840"/>
          <w:pgMar w:header="0" w:footer="987" w:top="1120" w:bottom="1260" w:left="420" w:right="0"/>
        </w:sectPr>
      </w:pPr>
    </w:p>
    <w:p>
      <w:pPr>
        <w:pStyle w:val="BodyText"/>
        <w:spacing w:line="470" w:lineRule="auto" w:before="85"/>
        <w:ind w:left="1918" w:right="575" w:hanging="720"/>
        <w:jc w:val="both"/>
      </w:pP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(USEPA)</w:t>
      </w:r>
      <w:r>
        <w:rPr>
          <w:spacing w:val="1"/>
        </w:rPr>
        <w:t> </w:t>
      </w:r>
      <w:r>
        <w:rPr/>
        <w:t>(2004b).</w:t>
      </w:r>
      <w:r>
        <w:rPr>
          <w:spacing w:val="1"/>
        </w:rPr>
        <w:t> </w:t>
      </w:r>
      <w:r>
        <w:rPr>
          <w:sz w:val="25"/>
        </w:rPr>
        <w:t>Dispersing</w:t>
      </w:r>
      <w:r>
        <w:rPr>
          <w:spacing w:val="1"/>
          <w:sz w:val="25"/>
        </w:rPr>
        <w:t> </w:t>
      </w:r>
      <w:r>
        <w:rPr>
          <w:sz w:val="25"/>
        </w:rPr>
        <w:t>agents</w:t>
      </w:r>
      <w:r>
        <w:rPr/>
        <w:t>,</w:t>
      </w:r>
      <w:r>
        <w:rPr>
          <w:spacing w:val="-72"/>
        </w:rPr>
        <w:t> </w:t>
      </w:r>
      <w:hyperlink r:id="rId83">
        <w:r>
          <w:rPr>
            <w:color w:val="0000FF"/>
            <w:u w:val="single" w:color="0000FF"/>
          </w:rPr>
          <w:t>http://www.epa.gov/ oilspill/disperse.htm</w:t>
        </w:r>
      </w:hyperlink>
      <w:r>
        <w:rPr/>
        <w:t>.Retrieved:</w:t>
      </w:r>
      <w:r>
        <w:rPr>
          <w:spacing w:val="-4"/>
        </w:rPr>
        <w:t> </w:t>
      </w:r>
      <w:r>
        <w:rPr/>
        <w:t>24 August</w:t>
      </w:r>
      <w:r>
        <w:rPr>
          <w:spacing w:val="-2"/>
        </w:rPr>
        <w:t> </w:t>
      </w:r>
      <w:r>
        <w:rPr/>
        <w:t>2013.</w:t>
      </w:r>
    </w:p>
    <w:p>
      <w:pPr>
        <w:tabs>
          <w:tab w:pos="5688" w:val="left" w:leader="none"/>
          <w:tab w:pos="8067" w:val="left" w:leader="none"/>
          <w:tab w:pos="10498" w:val="left" w:leader="none"/>
        </w:tabs>
        <w:spacing w:line="460" w:lineRule="auto" w:before="240"/>
        <w:ind w:left="1918" w:right="578" w:hanging="720"/>
        <w:jc w:val="both"/>
        <w:rPr>
          <w:sz w:val="24"/>
        </w:rPr>
      </w:pP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Protection</w:t>
      </w:r>
      <w:r>
        <w:rPr>
          <w:spacing w:val="1"/>
          <w:sz w:val="24"/>
        </w:rPr>
        <w:t> </w:t>
      </w:r>
      <w:r>
        <w:rPr>
          <w:sz w:val="24"/>
        </w:rPr>
        <w:t>Agency</w:t>
      </w:r>
      <w:r>
        <w:rPr>
          <w:spacing w:val="1"/>
          <w:sz w:val="24"/>
        </w:rPr>
        <w:t> </w:t>
      </w:r>
      <w:r>
        <w:rPr>
          <w:sz w:val="24"/>
        </w:rPr>
        <w:t>(USEPA),</w:t>
      </w:r>
      <w:r>
        <w:rPr>
          <w:spacing w:val="1"/>
          <w:sz w:val="24"/>
        </w:rPr>
        <w:t> </w:t>
      </w:r>
      <w:r>
        <w:rPr>
          <w:sz w:val="24"/>
        </w:rPr>
        <w:t>(2004c).</w:t>
      </w:r>
      <w:r>
        <w:rPr>
          <w:spacing w:val="1"/>
          <w:sz w:val="24"/>
        </w:rPr>
        <w:t> </w:t>
      </w:r>
      <w:r>
        <w:rPr>
          <w:sz w:val="24"/>
        </w:rPr>
        <w:t>NRT</w:t>
      </w:r>
      <w:r>
        <w:rPr>
          <w:spacing w:val="1"/>
          <w:sz w:val="24"/>
        </w:rPr>
        <w:t> </w:t>
      </w:r>
      <w:r>
        <w:rPr>
          <w:sz w:val="24"/>
        </w:rPr>
        <w:t>fact</w:t>
      </w:r>
      <w:r>
        <w:rPr>
          <w:spacing w:val="1"/>
          <w:sz w:val="24"/>
        </w:rPr>
        <w:t> </w:t>
      </w:r>
      <w:r>
        <w:rPr>
          <w:sz w:val="24"/>
        </w:rPr>
        <w:t>sheet</w:t>
      </w:r>
      <w:r>
        <w:rPr>
          <w:sz w:val="25"/>
        </w:rPr>
        <w:t>.</w:t>
      </w:r>
      <w:r>
        <w:rPr>
          <w:spacing w:val="1"/>
          <w:sz w:val="25"/>
        </w:rPr>
        <w:t> </w:t>
      </w:r>
      <w:r>
        <w:rPr>
          <w:sz w:val="25"/>
        </w:rPr>
        <w:t>Bioremediation</w:t>
        <w:tab/>
        <w:t>in</w:t>
        <w:tab/>
        <w:t>oil</w:t>
        <w:tab/>
      </w:r>
      <w:r>
        <w:rPr>
          <w:spacing w:val="-4"/>
          <w:sz w:val="25"/>
        </w:rPr>
        <w:t>spill</w:t>
      </w:r>
      <w:r>
        <w:rPr>
          <w:spacing w:val="-76"/>
          <w:sz w:val="25"/>
        </w:rPr>
        <w:t> </w:t>
      </w:r>
      <w:r>
        <w:rPr>
          <w:sz w:val="25"/>
        </w:rPr>
        <w:t>response,</w:t>
      </w:r>
      <w:hyperlink r:id="rId84">
        <w:r>
          <w:rPr>
            <w:color w:val="0000FF"/>
            <w:sz w:val="24"/>
            <w:u w:val="single" w:color="0000FF"/>
          </w:rPr>
          <w:t>http://www.epa.gov/oilspill/pdfs/biofact.pdf</w:t>
        </w:r>
      </w:hyperlink>
      <w:r>
        <w:rPr>
          <w:sz w:val="24"/>
        </w:rPr>
        <w:t>.Retrieved:</w:t>
      </w:r>
      <w:r>
        <w:rPr>
          <w:spacing w:val="-10"/>
          <w:sz w:val="24"/>
        </w:rPr>
        <w:t> </w:t>
      </w:r>
      <w:r>
        <w:rPr>
          <w:sz w:val="24"/>
        </w:rPr>
        <w:t>24</w:t>
      </w:r>
      <w:r>
        <w:rPr>
          <w:spacing w:val="-8"/>
          <w:sz w:val="24"/>
        </w:rPr>
        <w:t> </w:t>
      </w:r>
      <w:r>
        <w:rPr>
          <w:sz w:val="24"/>
        </w:rPr>
        <w:t>August</w:t>
      </w:r>
      <w:r>
        <w:rPr>
          <w:spacing w:val="-9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line="480" w:lineRule="auto" w:before="250"/>
        <w:ind w:left="1918" w:right="576" w:hanging="720"/>
        <w:jc w:val="both"/>
      </w:pPr>
      <w:r>
        <w:rPr/>
        <w:t>Uzoije, A.P., Onunkwo, A., Egwuonwu, N., (2011). Crude oil sorption onto groundnut shell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carbon:</w:t>
      </w:r>
      <w:r>
        <w:rPr>
          <w:spacing w:val="1"/>
        </w:rPr>
        <w:t> </w:t>
      </w:r>
      <w:r>
        <w:rPr/>
        <w:t>kinetics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isothermal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Research</w:t>
      </w:r>
      <w:r>
        <w:rPr>
          <w:spacing w:val="76"/>
        </w:rPr>
        <w:t> </w:t>
      </w:r>
      <w:r>
        <w:rPr/>
        <w:t>journal</w:t>
      </w:r>
      <w:r>
        <w:rPr>
          <w:spacing w:val="76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earth sciences,</w:t>
      </w:r>
      <w:r>
        <w:rPr>
          <w:spacing w:val="-1"/>
        </w:rPr>
        <w:t> </w:t>
      </w:r>
      <w:r>
        <w:rPr/>
        <w:t>3(5):</w:t>
      </w:r>
      <w:r>
        <w:rPr>
          <w:spacing w:val="-2"/>
        </w:rPr>
        <w:t> </w:t>
      </w:r>
      <w:r>
        <w:rPr/>
        <w:t>552-563.</w:t>
      </w:r>
    </w:p>
    <w:p>
      <w:pPr>
        <w:pStyle w:val="BodyText"/>
        <w:spacing w:before="232"/>
        <w:ind w:left="1198"/>
        <w:jc w:val="both"/>
      </w:pPr>
      <w:r>
        <w:rPr/>
        <w:t>Vee</w:t>
      </w:r>
      <w:r>
        <w:rPr>
          <w:spacing w:val="-7"/>
        </w:rPr>
        <w:t> </w:t>
      </w:r>
      <w:r>
        <w:rPr/>
        <w:t>Gee</w:t>
      </w:r>
      <w:r>
        <w:rPr>
          <w:spacing w:val="-7"/>
        </w:rPr>
        <w:t> </w:t>
      </w:r>
      <w:r>
        <w:rPr/>
        <w:t>scientific,</w:t>
      </w:r>
      <w:r>
        <w:rPr>
          <w:spacing w:val="-7"/>
        </w:rPr>
        <w:t> </w:t>
      </w:r>
      <w:r>
        <w:rPr/>
        <w:t>(2004).</w:t>
      </w:r>
      <w:r>
        <w:rPr>
          <w:sz w:val="25"/>
        </w:rPr>
        <w:t>Toluene</w:t>
      </w:r>
      <w:r>
        <w:rPr/>
        <w:t>.</w:t>
      </w:r>
      <w:r>
        <w:rPr>
          <w:spacing w:val="-8"/>
        </w:rPr>
        <w:t> </w:t>
      </w:r>
      <w:r>
        <w:rPr/>
        <w:t>Material</w:t>
      </w:r>
      <w:r>
        <w:rPr>
          <w:spacing w:val="-4"/>
        </w:rPr>
        <w:t> </w:t>
      </w:r>
      <w:r>
        <w:rPr/>
        <w:t>and</w:t>
      </w:r>
      <w:r>
        <w:rPr>
          <w:spacing w:val="-8"/>
        </w:rPr>
        <w:t> </w:t>
      </w:r>
      <w:r>
        <w:rPr/>
        <w:t>safety</w:t>
      </w:r>
      <w:r>
        <w:rPr>
          <w:spacing w:val="-7"/>
        </w:rPr>
        <w:t> </w:t>
      </w:r>
      <w:r>
        <w:rPr/>
        <w:t>Data</w:t>
      </w:r>
      <w:r>
        <w:rPr>
          <w:spacing w:val="-8"/>
        </w:rPr>
        <w:t> </w:t>
      </w:r>
      <w:r>
        <w:rPr/>
        <w:t>sheet,</w:t>
      </w:r>
      <w:r>
        <w:rPr>
          <w:spacing w:val="-6"/>
        </w:rPr>
        <w:t> </w:t>
      </w:r>
      <w:r>
        <w:rPr/>
        <w:t>M10003.</w:t>
      </w:r>
    </w:p>
    <w:p>
      <w:pPr>
        <w:pStyle w:val="BodyText"/>
        <w:spacing w:before="8"/>
        <w:rPr>
          <w:sz w:val="43"/>
        </w:rPr>
      </w:pPr>
    </w:p>
    <w:p>
      <w:pPr>
        <w:pStyle w:val="BodyText"/>
        <w:spacing w:line="475" w:lineRule="auto"/>
        <w:ind w:left="1918" w:right="576" w:hanging="720"/>
        <w:jc w:val="both"/>
      </w:pPr>
      <w:r>
        <w:rPr/>
        <w:t>Venkata Subbaiah, M., Kalyani, S., Sankara Reddy, G., Veera M. Boddu, Krishnaiah, A.,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Biosorption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trametes</w:t>
      </w:r>
      <w:r>
        <w:rPr>
          <w:spacing w:val="1"/>
        </w:rPr>
        <w:t> </w:t>
      </w:r>
      <w:r>
        <w:rPr/>
        <w:t>vesicolor</w:t>
      </w:r>
      <w:r>
        <w:rPr>
          <w:spacing w:val="-72"/>
        </w:rPr>
        <w:t> </w:t>
      </w:r>
      <w:r>
        <w:rPr/>
        <w:t>polyporous</w:t>
      </w:r>
      <w:r>
        <w:rPr>
          <w:spacing w:val="-4"/>
        </w:rPr>
        <w:t> </w:t>
      </w:r>
      <w:r>
        <w:rPr/>
        <w:t>fungi,</w:t>
      </w:r>
      <w:r>
        <w:rPr>
          <w:spacing w:val="-3"/>
        </w:rPr>
        <w:t> </w:t>
      </w:r>
      <w:r>
        <w:rPr>
          <w:sz w:val="25"/>
        </w:rPr>
        <w:t>Electronic</w:t>
      </w:r>
      <w:r>
        <w:rPr>
          <w:spacing w:val="-7"/>
          <w:sz w:val="25"/>
        </w:rPr>
        <w:t> </w:t>
      </w:r>
      <w:r>
        <w:rPr>
          <w:sz w:val="25"/>
        </w:rPr>
        <w:t>Journal</w:t>
      </w:r>
      <w:r>
        <w:rPr>
          <w:spacing w:val="-7"/>
          <w:sz w:val="25"/>
        </w:rPr>
        <w:t> </w:t>
      </w:r>
      <w:r>
        <w:rPr>
          <w:sz w:val="25"/>
        </w:rPr>
        <w:t>of</w:t>
      </w:r>
      <w:r>
        <w:rPr>
          <w:spacing w:val="-8"/>
          <w:sz w:val="25"/>
        </w:rPr>
        <w:t> </w:t>
      </w:r>
      <w:r>
        <w:rPr>
          <w:sz w:val="25"/>
        </w:rPr>
        <w:t>Chemistry</w:t>
      </w:r>
      <w:r>
        <w:rPr/>
        <w:t>,</w:t>
      </w:r>
      <w:r>
        <w:rPr>
          <w:spacing w:val="-5"/>
        </w:rPr>
        <w:t> </w:t>
      </w:r>
      <w:r>
        <w:rPr/>
        <w:t>5:3</w:t>
      </w:r>
      <w:r>
        <w:rPr>
          <w:spacing w:val="-4"/>
        </w:rPr>
        <w:t> </w:t>
      </w:r>
      <w:r>
        <w:rPr/>
        <w:t>499-510.</w:t>
      </w:r>
    </w:p>
    <w:p>
      <w:pPr>
        <w:pStyle w:val="BodyText"/>
        <w:spacing w:line="475" w:lineRule="auto" w:before="233"/>
        <w:ind w:left="1918" w:right="582" w:hanging="720"/>
        <w:jc w:val="both"/>
      </w:pPr>
      <w:r>
        <w:rPr/>
        <w:t>Vennosa, A.D., Lee, K., Suldan, M.T., Gracia-Planco, S., Cobanli, S., Moteleb, M. and King,</w:t>
      </w:r>
      <w:r>
        <w:rPr>
          <w:spacing w:val="1"/>
        </w:rPr>
        <w:t> </w:t>
      </w:r>
      <w:r>
        <w:rPr/>
        <w:t>O.W., (2002). Bioremediation and bio restoration of crude oil contaminated fresh</w:t>
      </w:r>
      <w:r>
        <w:rPr>
          <w:spacing w:val="1"/>
        </w:rPr>
        <w:t> </w:t>
      </w:r>
      <w:r>
        <w:rPr/>
        <w:t>wetland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Saint</w:t>
      </w:r>
      <w:r>
        <w:rPr>
          <w:spacing w:val="-6"/>
        </w:rPr>
        <w:t> </w:t>
      </w:r>
      <w:r>
        <w:rPr/>
        <w:t>Lawrence</w:t>
      </w:r>
      <w:r>
        <w:rPr>
          <w:spacing w:val="-4"/>
        </w:rPr>
        <w:t> </w:t>
      </w:r>
      <w:r>
        <w:rPr/>
        <w:t>River.</w:t>
      </w:r>
      <w:r>
        <w:rPr>
          <w:spacing w:val="-5"/>
        </w:rPr>
        <w:t> </w:t>
      </w:r>
      <w:r>
        <w:rPr>
          <w:sz w:val="25"/>
        </w:rPr>
        <w:t>Bioremediation</w:t>
      </w:r>
      <w:r>
        <w:rPr>
          <w:spacing w:val="-9"/>
          <w:sz w:val="25"/>
        </w:rPr>
        <w:t> </w:t>
      </w:r>
      <w:r>
        <w:rPr>
          <w:sz w:val="25"/>
        </w:rPr>
        <w:t>Journal</w:t>
      </w:r>
      <w:r>
        <w:rPr/>
        <w:t>,</w:t>
      </w:r>
      <w:r>
        <w:rPr>
          <w:spacing w:val="-5"/>
        </w:rPr>
        <w:t> </w:t>
      </w:r>
      <w:r>
        <w:rPr/>
        <w:t>6(3):</w:t>
      </w:r>
      <w:r>
        <w:rPr>
          <w:spacing w:val="-3"/>
        </w:rPr>
        <w:t> </w:t>
      </w:r>
      <w:r>
        <w:rPr/>
        <w:t>266.</w:t>
      </w:r>
    </w:p>
    <w:p>
      <w:pPr>
        <w:pStyle w:val="BodyText"/>
        <w:spacing w:line="465" w:lineRule="auto" w:before="235"/>
        <w:ind w:left="1918" w:right="575" w:hanging="720"/>
        <w:jc w:val="both"/>
      </w:pPr>
      <w:r>
        <w:rPr/>
        <w:t>Ventikos, N.P., Vergetis, E., Psaratifs, H.N. and Triantafyllou, G., (2004). A high level</w:t>
      </w:r>
      <w:r>
        <w:rPr>
          <w:spacing w:val="1"/>
        </w:rPr>
        <w:t> </w:t>
      </w:r>
      <w:r>
        <w:rPr/>
        <w:t>synthesis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oil</w:t>
      </w:r>
      <w:r>
        <w:rPr>
          <w:spacing w:val="-9"/>
        </w:rPr>
        <w:t> </w:t>
      </w:r>
      <w:r>
        <w:rPr/>
        <w:t>spill</w:t>
      </w:r>
      <w:r>
        <w:rPr>
          <w:spacing w:val="-8"/>
        </w:rPr>
        <w:t> </w:t>
      </w:r>
      <w:r>
        <w:rPr/>
        <w:t>response</w:t>
      </w:r>
      <w:r>
        <w:rPr>
          <w:spacing w:val="-5"/>
        </w:rPr>
        <w:t> </w:t>
      </w:r>
      <w:r>
        <w:rPr/>
        <w:t>equipment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countermeasures.</w:t>
      </w:r>
      <w:r>
        <w:rPr>
          <w:sz w:val="25"/>
        </w:rPr>
        <w:t>Journal</w:t>
      </w:r>
      <w:r>
        <w:rPr>
          <w:spacing w:val="-10"/>
          <w:sz w:val="25"/>
        </w:rPr>
        <w:t> </w:t>
      </w:r>
      <w:r>
        <w:rPr>
          <w:sz w:val="25"/>
        </w:rPr>
        <w:t>of</w:t>
      </w:r>
      <w:r>
        <w:rPr>
          <w:spacing w:val="-10"/>
          <w:sz w:val="25"/>
        </w:rPr>
        <w:t> </w:t>
      </w:r>
      <w:r>
        <w:rPr>
          <w:sz w:val="25"/>
        </w:rPr>
        <w:t>Hazardous</w:t>
      </w:r>
      <w:r>
        <w:rPr>
          <w:spacing w:val="-75"/>
          <w:sz w:val="25"/>
        </w:rPr>
        <w:t> </w:t>
      </w:r>
      <w:r>
        <w:rPr>
          <w:sz w:val="25"/>
        </w:rPr>
        <w:t>Materials</w:t>
      </w:r>
      <w:r>
        <w:rPr/>
        <w:t>,</w:t>
      </w:r>
      <w:r>
        <w:rPr>
          <w:spacing w:val="-2"/>
        </w:rPr>
        <w:t> </w:t>
      </w:r>
      <w:r>
        <w:rPr/>
        <w:t>107:</w:t>
      </w:r>
      <w:r>
        <w:rPr>
          <w:spacing w:val="71"/>
        </w:rPr>
        <w:t> </w:t>
      </w:r>
      <w:r>
        <w:rPr/>
        <w:t>51-58.</w:t>
      </w:r>
    </w:p>
    <w:p>
      <w:pPr>
        <w:spacing w:line="460" w:lineRule="auto" w:before="236"/>
        <w:ind w:left="1918" w:right="579" w:hanging="720"/>
        <w:jc w:val="both"/>
        <w:rPr>
          <w:sz w:val="25"/>
        </w:rPr>
      </w:pPr>
      <w:r>
        <w:rPr>
          <w:sz w:val="24"/>
        </w:rPr>
        <w:t>Wang, W. Zappi, M., Singletary, J., Hall, N. and Karr, L., (2001).</w:t>
      </w:r>
      <w:r>
        <w:rPr>
          <w:sz w:val="25"/>
        </w:rPr>
        <w:t>Using chemical priming as</w:t>
      </w:r>
      <w:r>
        <w:rPr>
          <w:spacing w:val="-76"/>
          <w:sz w:val="25"/>
        </w:rPr>
        <w:t> </w:t>
      </w:r>
      <w:r>
        <w:rPr>
          <w:sz w:val="25"/>
        </w:rPr>
        <w:t>a</w:t>
      </w:r>
      <w:r>
        <w:rPr>
          <w:spacing w:val="-18"/>
          <w:sz w:val="25"/>
        </w:rPr>
        <w:t> </w:t>
      </w:r>
      <w:r>
        <w:rPr>
          <w:sz w:val="25"/>
        </w:rPr>
        <w:t>means</w:t>
      </w:r>
      <w:r>
        <w:rPr>
          <w:spacing w:val="-15"/>
          <w:sz w:val="25"/>
        </w:rPr>
        <w:t> </w:t>
      </w:r>
      <w:r>
        <w:rPr>
          <w:sz w:val="25"/>
        </w:rPr>
        <w:t>of</w:t>
      </w:r>
      <w:r>
        <w:rPr>
          <w:spacing w:val="-17"/>
          <w:sz w:val="25"/>
        </w:rPr>
        <w:t> </w:t>
      </w:r>
      <w:r>
        <w:rPr>
          <w:sz w:val="25"/>
        </w:rPr>
        <w:t>enhancing</w:t>
      </w:r>
      <w:r>
        <w:rPr>
          <w:spacing w:val="-18"/>
          <w:sz w:val="25"/>
        </w:rPr>
        <w:t> </w:t>
      </w:r>
      <w:r>
        <w:rPr>
          <w:sz w:val="25"/>
        </w:rPr>
        <w:t>the</w:t>
      </w:r>
      <w:r>
        <w:rPr>
          <w:spacing w:val="-16"/>
          <w:sz w:val="25"/>
        </w:rPr>
        <w:t> </w:t>
      </w:r>
      <w:r>
        <w:rPr>
          <w:sz w:val="25"/>
        </w:rPr>
        <w:t>performance</w:t>
      </w:r>
      <w:r>
        <w:rPr>
          <w:spacing w:val="-15"/>
          <w:sz w:val="25"/>
        </w:rPr>
        <w:t> </w:t>
      </w:r>
      <w:r>
        <w:rPr>
          <w:sz w:val="25"/>
        </w:rPr>
        <w:t>of</w:t>
      </w:r>
      <w:r>
        <w:rPr>
          <w:spacing w:val="-17"/>
          <w:sz w:val="25"/>
        </w:rPr>
        <w:t> </w:t>
      </w:r>
      <w:r>
        <w:rPr>
          <w:sz w:val="25"/>
        </w:rPr>
        <w:t>bio-cells</w:t>
      </w:r>
      <w:r>
        <w:rPr>
          <w:spacing w:val="-15"/>
          <w:sz w:val="25"/>
        </w:rPr>
        <w:t> </w:t>
      </w:r>
      <w:r>
        <w:rPr>
          <w:sz w:val="25"/>
        </w:rPr>
        <w:t>for</w:t>
      </w:r>
      <w:r>
        <w:rPr>
          <w:spacing w:val="-17"/>
          <w:sz w:val="25"/>
        </w:rPr>
        <w:t> </w:t>
      </w:r>
      <w:r>
        <w:rPr>
          <w:sz w:val="25"/>
        </w:rPr>
        <w:t>treating</w:t>
      </w:r>
      <w:r>
        <w:rPr>
          <w:spacing w:val="-17"/>
          <w:sz w:val="25"/>
        </w:rPr>
        <w:t> </w:t>
      </w:r>
      <w:r>
        <w:rPr>
          <w:sz w:val="25"/>
        </w:rPr>
        <w:t>petroleum</w:t>
      </w:r>
      <w:r>
        <w:rPr>
          <w:spacing w:val="-16"/>
          <w:sz w:val="25"/>
        </w:rPr>
        <w:t> </w:t>
      </w:r>
      <w:r>
        <w:rPr>
          <w:sz w:val="25"/>
        </w:rPr>
        <w:t>products</w:t>
      </w:r>
    </w:p>
    <w:p>
      <w:pPr>
        <w:spacing w:after="0" w:line="460" w:lineRule="auto"/>
        <w:jc w:val="both"/>
        <w:rPr>
          <w:sz w:val="25"/>
        </w:rPr>
        <w:sectPr>
          <w:pgSz w:w="11910" w:h="16840"/>
          <w:pgMar w:header="0" w:footer="987" w:top="1120" w:bottom="1260" w:left="420" w:right="0"/>
        </w:sectPr>
      </w:pPr>
    </w:p>
    <w:p>
      <w:pPr>
        <w:spacing w:line="470" w:lineRule="auto" w:before="85"/>
        <w:ind w:left="1918" w:right="580" w:firstLine="0"/>
        <w:jc w:val="both"/>
        <w:rPr>
          <w:sz w:val="24"/>
        </w:rPr>
      </w:pPr>
      <w:r>
        <w:rPr>
          <w:sz w:val="25"/>
        </w:rPr>
        <w:t>containing recalcitrant chemical species</w:t>
      </w:r>
      <w:r>
        <w:rPr>
          <w:sz w:val="24"/>
        </w:rPr>
        <w:t>, Environmental technology research and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  <w:r>
        <w:rPr>
          <w:spacing w:val="-1"/>
          <w:sz w:val="24"/>
        </w:rPr>
        <w:t> </w:t>
      </w:r>
      <w:r>
        <w:rPr>
          <w:sz w:val="24"/>
        </w:rPr>
        <w:t>laboratory,</w:t>
      </w:r>
      <w:r>
        <w:rPr>
          <w:spacing w:val="-1"/>
          <w:sz w:val="24"/>
        </w:rPr>
        <w:t> </w:t>
      </w:r>
      <w:r>
        <w:rPr>
          <w:sz w:val="24"/>
        </w:rPr>
        <w:t>Mississippi</w:t>
      </w:r>
      <w:r>
        <w:rPr>
          <w:spacing w:val="-1"/>
          <w:sz w:val="24"/>
        </w:rPr>
        <w:t> </w:t>
      </w:r>
      <w:r>
        <w:rPr>
          <w:sz w:val="24"/>
        </w:rPr>
        <w:t>State University.</w:t>
      </w:r>
      <w:r>
        <w:rPr>
          <w:spacing w:val="-1"/>
          <w:sz w:val="24"/>
        </w:rPr>
        <w:t> </w:t>
      </w:r>
      <w:r>
        <w:rPr>
          <w:sz w:val="24"/>
        </w:rPr>
        <w:t>Pp</w:t>
      </w:r>
      <w:r>
        <w:rPr>
          <w:spacing w:val="-1"/>
          <w:sz w:val="24"/>
        </w:rPr>
        <w:t> </w:t>
      </w:r>
      <w:r>
        <w:rPr>
          <w:sz w:val="24"/>
        </w:rPr>
        <w:t>22-37.</w:t>
      </w:r>
    </w:p>
    <w:p>
      <w:pPr>
        <w:spacing w:line="468" w:lineRule="auto" w:before="240"/>
        <w:ind w:left="1918" w:right="575" w:hanging="720"/>
        <w:jc w:val="both"/>
        <w:rPr>
          <w:sz w:val="24"/>
        </w:rPr>
      </w:pPr>
      <w:r>
        <w:rPr>
          <w:sz w:val="24"/>
        </w:rPr>
        <w:t>Wardrop,</w:t>
      </w:r>
      <w:r>
        <w:rPr>
          <w:spacing w:val="1"/>
          <w:sz w:val="24"/>
        </w:rPr>
        <w:t> </w:t>
      </w:r>
      <w:r>
        <w:rPr>
          <w:sz w:val="24"/>
        </w:rPr>
        <w:t>J.A.,</w:t>
      </w:r>
      <w:r>
        <w:rPr>
          <w:spacing w:val="1"/>
          <w:sz w:val="24"/>
        </w:rPr>
        <w:t> </w:t>
      </w:r>
      <w:r>
        <w:rPr>
          <w:sz w:val="24"/>
        </w:rPr>
        <w:t>Wagstaff,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Pfennig,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Leeder,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Connoly,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(1996).</w:t>
      </w:r>
      <w:r>
        <w:rPr>
          <w:spacing w:val="1"/>
          <w:sz w:val="24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distribution, persistence and effects of petroleum hydrocarbons in mangroves</w:t>
      </w:r>
      <w:r>
        <w:rPr>
          <w:spacing w:val="1"/>
          <w:sz w:val="25"/>
        </w:rPr>
        <w:t> </w:t>
      </w:r>
      <w:r>
        <w:rPr>
          <w:sz w:val="25"/>
        </w:rPr>
        <w:t>impacted by the “era” oil spill (September, 1992)</w:t>
      </w:r>
      <w:r>
        <w:rPr>
          <w:sz w:val="24"/>
        </w:rPr>
        <w:t>. Final phase one report, Adelaide</w:t>
      </w:r>
      <w:r>
        <w:rPr>
          <w:spacing w:val="-72"/>
          <w:sz w:val="24"/>
        </w:rPr>
        <w:t> </w:t>
      </w:r>
      <w:r>
        <w:rPr>
          <w:sz w:val="24"/>
        </w:rPr>
        <w:t>office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protection</w:t>
      </w:r>
      <w:r>
        <w:rPr>
          <w:spacing w:val="1"/>
          <w:sz w:val="24"/>
        </w:rPr>
        <w:t> </w:t>
      </w:r>
      <w:r>
        <w:rPr>
          <w:sz w:val="24"/>
        </w:rPr>
        <w:t>agency,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austrailian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2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natural resources.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65" w:lineRule="auto"/>
        <w:ind w:left="1918" w:right="573" w:hanging="720"/>
        <w:jc w:val="both"/>
      </w:pPr>
      <w:r>
        <w:rPr/>
        <w:t>Wei, Q.F., Mather, R.R., Fotheringham, A.F. and Yang, R.D., (2003). Evaluation of non-</w:t>
      </w:r>
      <w:r>
        <w:rPr>
          <w:spacing w:val="1"/>
        </w:rPr>
        <w:t> </w:t>
      </w:r>
      <w:r>
        <w:rPr/>
        <w:t>woven</w:t>
      </w:r>
      <w:r>
        <w:rPr>
          <w:spacing w:val="1"/>
        </w:rPr>
        <w:t> </w:t>
      </w:r>
      <w:r>
        <w:rPr/>
        <w:t>polypropylene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sorbents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oil-spill</w:t>
      </w:r>
      <w:r>
        <w:rPr>
          <w:spacing w:val="1"/>
        </w:rPr>
        <w:t> </w:t>
      </w:r>
      <w:r>
        <w:rPr/>
        <w:t>recovery.</w:t>
      </w:r>
      <w:r>
        <w:rPr>
          <w:sz w:val="25"/>
        </w:rPr>
        <w:t>Marine</w:t>
      </w:r>
      <w:r>
        <w:rPr>
          <w:spacing w:val="1"/>
          <w:sz w:val="25"/>
        </w:rPr>
        <w:t> </w:t>
      </w:r>
      <w:r>
        <w:rPr>
          <w:sz w:val="25"/>
        </w:rPr>
        <w:t>Pollution</w:t>
      </w:r>
      <w:r>
        <w:rPr>
          <w:spacing w:val="1"/>
          <w:sz w:val="25"/>
        </w:rPr>
        <w:t> </w:t>
      </w:r>
      <w:r>
        <w:rPr>
          <w:sz w:val="25"/>
        </w:rPr>
        <w:t>Bulletin,</w:t>
      </w:r>
      <w:r>
        <w:rPr>
          <w:spacing w:val="-5"/>
          <w:sz w:val="25"/>
        </w:rPr>
        <w:t> </w:t>
      </w:r>
      <w:r>
        <w:rPr/>
        <w:t>46(6):</w:t>
      </w:r>
      <w:r>
        <w:rPr>
          <w:spacing w:val="-2"/>
        </w:rPr>
        <w:t> </w:t>
      </w:r>
      <w:r>
        <w:rPr/>
        <w:t>780–783.</w:t>
      </w:r>
    </w:p>
    <w:p>
      <w:pPr>
        <w:pStyle w:val="BodyText"/>
        <w:spacing w:line="472" w:lineRule="auto" w:before="125"/>
        <w:ind w:left="1630" w:right="579" w:hanging="432"/>
        <w:jc w:val="both"/>
      </w:pPr>
      <w:r>
        <w:rPr/>
        <w:t>Wells, Jl., (1988). Pharmaceutical preformulation: the physicochemical properties of drug</w:t>
      </w:r>
      <w:r>
        <w:rPr>
          <w:spacing w:val="1"/>
        </w:rPr>
        <w:t> </w:t>
      </w:r>
      <w:r>
        <w:rPr/>
        <w:t>substances. Ist edn, John Wiley and Sons, New York. In: Azubuike, C.P and Okhamafe,</w:t>
      </w:r>
      <w:r>
        <w:rPr>
          <w:spacing w:val="-72"/>
        </w:rPr>
        <w:t> </w:t>
      </w:r>
      <w:r>
        <w:rPr/>
        <w:t>A.O., (2012). Physicochemical, spectroscopic and thermal properties of microcrystalline</w:t>
      </w:r>
      <w:r>
        <w:rPr>
          <w:spacing w:val="-72"/>
        </w:rPr>
        <w:t> </w:t>
      </w:r>
      <w:r>
        <w:rPr/>
        <w:t>cellulose derived from corn cobs, </w:t>
      </w:r>
      <w:r>
        <w:rPr>
          <w:sz w:val="25"/>
        </w:rPr>
        <w:t>International journal of recycling organic waste in</w:t>
      </w:r>
      <w:r>
        <w:rPr>
          <w:spacing w:val="1"/>
          <w:sz w:val="25"/>
        </w:rPr>
        <w:t> </w:t>
      </w:r>
      <w:r>
        <w:rPr>
          <w:sz w:val="25"/>
        </w:rPr>
        <w:t>agriculture</w:t>
      </w:r>
      <w:r>
        <w:rPr/>
        <w:t>,</w:t>
      </w:r>
      <w:r>
        <w:rPr>
          <w:spacing w:val="-2"/>
        </w:rPr>
        <w:t> </w:t>
      </w:r>
      <w:r>
        <w:rPr/>
        <w:t>1:9.</w:t>
      </w:r>
    </w:p>
    <w:p>
      <w:pPr>
        <w:pStyle w:val="BodyText"/>
        <w:spacing w:line="480" w:lineRule="auto" w:before="238"/>
        <w:ind w:left="1918" w:right="584" w:hanging="720"/>
        <w:jc w:val="both"/>
      </w:pPr>
      <w:r>
        <w:rPr/>
        <w:t>Yakubu, A., Olatunji, A.G., Mohammed, C., Mamza, P.A., (2013)acetylation of wood flour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vinegar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anhydride.</w:t>
      </w:r>
      <w:r>
        <w:rPr>
          <w:spacing w:val="-72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Carbohydrate</w:t>
      </w:r>
      <w:r>
        <w:rPr>
          <w:spacing w:val="-1"/>
        </w:rPr>
        <w:t> </w:t>
      </w:r>
      <w:r>
        <w:rPr/>
        <w:t>Chemistry.</w:t>
      </w:r>
      <w:r>
        <w:rPr>
          <w:spacing w:val="-2"/>
        </w:rPr>
        <w:t> </w:t>
      </w:r>
      <w:r>
        <w:rPr/>
        <w:t>Article ID 141034.</w:t>
      </w:r>
    </w:p>
    <w:p>
      <w:pPr>
        <w:spacing w:before="231"/>
        <w:ind w:left="1198" w:right="0" w:firstLine="0"/>
        <w:jc w:val="both"/>
        <w:rPr>
          <w:sz w:val="24"/>
        </w:rPr>
      </w:pPr>
      <w:r>
        <w:rPr>
          <w:sz w:val="24"/>
        </w:rPr>
        <w:t>Yang,</w:t>
      </w:r>
      <w:r>
        <w:rPr>
          <w:spacing w:val="-8"/>
          <w:sz w:val="24"/>
        </w:rPr>
        <w:t> </w:t>
      </w:r>
      <w:r>
        <w:rPr>
          <w:sz w:val="24"/>
        </w:rPr>
        <w:t>Z.,</w:t>
      </w:r>
      <w:r>
        <w:rPr>
          <w:spacing w:val="-8"/>
          <w:sz w:val="24"/>
        </w:rPr>
        <w:t> </w:t>
      </w:r>
      <w:r>
        <w:rPr>
          <w:sz w:val="24"/>
        </w:rPr>
        <w:t>Xu,</w:t>
      </w:r>
      <w:r>
        <w:rPr>
          <w:spacing w:val="-7"/>
          <w:sz w:val="24"/>
        </w:rPr>
        <w:t> </w:t>
      </w:r>
      <w:r>
        <w:rPr>
          <w:sz w:val="24"/>
        </w:rPr>
        <w:t>S.,</w:t>
      </w:r>
      <w:r>
        <w:rPr>
          <w:spacing w:val="-8"/>
          <w:sz w:val="24"/>
        </w:rPr>
        <w:t> </w:t>
      </w:r>
      <w:r>
        <w:rPr>
          <w:sz w:val="24"/>
        </w:rPr>
        <w:t>Ma,</w:t>
      </w:r>
      <w:r>
        <w:rPr>
          <w:spacing w:val="-8"/>
          <w:sz w:val="24"/>
        </w:rPr>
        <w:t> </w:t>
      </w:r>
      <w:r>
        <w:rPr>
          <w:sz w:val="24"/>
        </w:rPr>
        <w:t>S.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Wang</w:t>
      </w:r>
      <w:r>
        <w:rPr>
          <w:spacing w:val="-8"/>
          <w:sz w:val="24"/>
        </w:rPr>
        <w:t> </w:t>
      </w:r>
      <w:r>
        <w:rPr>
          <w:sz w:val="24"/>
        </w:rPr>
        <w:t>S.</w:t>
      </w:r>
      <w:r>
        <w:rPr>
          <w:spacing w:val="-5"/>
          <w:sz w:val="24"/>
        </w:rPr>
        <w:t> </w:t>
      </w:r>
      <w:r>
        <w:rPr>
          <w:sz w:val="24"/>
        </w:rPr>
        <w:t>(2008),</w:t>
      </w:r>
      <w:r>
        <w:rPr>
          <w:spacing w:val="-6"/>
          <w:sz w:val="24"/>
        </w:rPr>
        <w:t> </w:t>
      </w:r>
      <w:r>
        <w:rPr>
          <w:sz w:val="25"/>
        </w:rPr>
        <w:t>wood</w:t>
      </w:r>
      <w:r>
        <w:rPr>
          <w:spacing w:val="-12"/>
          <w:sz w:val="25"/>
        </w:rPr>
        <w:t> </w:t>
      </w:r>
      <w:r>
        <w:rPr>
          <w:sz w:val="25"/>
        </w:rPr>
        <w:t>Sci</w:t>
      </w:r>
      <w:r>
        <w:rPr>
          <w:spacing w:val="-8"/>
          <w:sz w:val="25"/>
        </w:rPr>
        <w:t> </w:t>
      </w:r>
      <w:r>
        <w:rPr>
          <w:sz w:val="25"/>
        </w:rPr>
        <w:t>Technol</w:t>
      </w:r>
      <w:r>
        <w:rPr>
          <w:spacing w:val="-10"/>
          <w:sz w:val="25"/>
        </w:rPr>
        <w:t> </w:t>
      </w:r>
      <w:r>
        <w:rPr>
          <w:sz w:val="24"/>
        </w:rPr>
        <w:t>42:621-629.</w:t>
      </w:r>
    </w:p>
    <w:p>
      <w:pPr>
        <w:pStyle w:val="BodyText"/>
        <w:spacing w:before="9"/>
        <w:rPr>
          <w:sz w:val="42"/>
        </w:rPr>
      </w:pPr>
    </w:p>
    <w:p>
      <w:pPr>
        <w:spacing w:line="465" w:lineRule="auto" w:before="0"/>
        <w:ind w:left="1918" w:right="577" w:hanging="720"/>
        <w:jc w:val="both"/>
        <w:rPr>
          <w:sz w:val="24"/>
        </w:rPr>
      </w:pPr>
      <w:r>
        <w:rPr>
          <w:sz w:val="24"/>
        </w:rPr>
        <w:t>Yender, R. (2002). Response Oil Spills in Mangroves. </w:t>
      </w:r>
      <w:r>
        <w:rPr>
          <w:sz w:val="25"/>
        </w:rPr>
        <w:t>In: </w:t>
      </w:r>
      <w:r>
        <w:rPr>
          <w:sz w:val="24"/>
        </w:rPr>
        <w:t>Hoff, R. (Ed.), O</w:t>
      </w:r>
      <w:r>
        <w:rPr>
          <w:sz w:val="25"/>
        </w:rPr>
        <w:t>il Spills in</w:t>
      </w:r>
      <w:r>
        <w:rPr>
          <w:spacing w:val="1"/>
          <w:sz w:val="25"/>
        </w:rPr>
        <w:t> </w:t>
      </w:r>
      <w:r>
        <w:rPr>
          <w:sz w:val="25"/>
        </w:rPr>
        <w:t>Mangroves-</w:t>
      </w:r>
      <w:r>
        <w:rPr>
          <w:spacing w:val="1"/>
          <w:sz w:val="25"/>
        </w:rPr>
        <w:t> </w:t>
      </w:r>
      <w:r>
        <w:rPr>
          <w:sz w:val="25"/>
        </w:rPr>
        <w:t>Planning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Response</w:t>
      </w:r>
      <w:r>
        <w:rPr>
          <w:spacing w:val="1"/>
          <w:sz w:val="25"/>
        </w:rPr>
        <w:t> </w:t>
      </w:r>
      <w:r>
        <w:rPr>
          <w:sz w:val="25"/>
        </w:rPr>
        <w:t>Consideration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oceanic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72"/>
          <w:sz w:val="24"/>
        </w:rPr>
        <w:t> </w:t>
      </w:r>
      <w:r>
        <w:rPr>
          <w:sz w:val="24"/>
        </w:rPr>
        <w:t>atmospheric</w:t>
      </w:r>
      <w:r>
        <w:rPr>
          <w:spacing w:val="-2"/>
          <w:sz w:val="24"/>
        </w:rPr>
        <w:t> </w:t>
      </w:r>
      <w:r>
        <w:rPr>
          <w:sz w:val="24"/>
        </w:rPr>
        <w:t>administration,</w:t>
      </w:r>
      <w:r>
        <w:rPr>
          <w:spacing w:val="-1"/>
          <w:sz w:val="24"/>
        </w:rPr>
        <w:t> </w:t>
      </w:r>
      <w:r>
        <w:rPr>
          <w:sz w:val="24"/>
        </w:rPr>
        <w:t>Seattle,</w:t>
      </w:r>
      <w:r>
        <w:rPr>
          <w:spacing w:val="-2"/>
          <w:sz w:val="24"/>
        </w:rPr>
        <w:t> </w:t>
      </w:r>
      <w:r>
        <w:rPr>
          <w:sz w:val="24"/>
        </w:rPr>
        <w:t>Washington,</w:t>
      </w:r>
      <w:r>
        <w:rPr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-3"/>
          <w:sz w:val="24"/>
        </w:rPr>
        <w:t> </w:t>
      </w:r>
      <w:r>
        <w:rPr>
          <w:sz w:val="24"/>
        </w:rPr>
        <w:t>36-47.</w:t>
      </w:r>
    </w:p>
    <w:p>
      <w:pPr>
        <w:spacing w:after="0" w:line="465" w:lineRule="auto"/>
        <w:jc w:val="both"/>
        <w:rPr>
          <w:sz w:val="24"/>
        </w:rPr>
        <w:sectPr>
          <w:pgSz w:w="11910" w:h="16840"/>
          <w:pgMar w:header="0" w:footer="987" w:top="1120" w:bottom="1260" w:left="420" w:right="0"/>
        </w:sectPr>
      </w:pPr>
    </w:p>
    <w:p>
      <w:pPr>
        <w:spacing w:line="470" w:lineRule="auto" w:before="85"/>
        <w:ind w:left="1918" w:right="576" w:hanging="720"/>
        <w:jc w:val="both"/>
        <w:rPr>
          <w:sz w:val="24"/>
        </w:rPr>
      </w:pPr>
      <w:r>
        <w:rPr>
          <w:sz w:val="24"/>
        </w:rPr>
        <w:t>Yu,</w:t>
      </w:r>
      <w:r>
        <w:rPr>
          <w:spacing w:val="-5"/>
          <w:sz w:val="24"/>
        </w:rPr>
        <w:t> </w:t>
      </w:r>
      <w:r>
        <w:rPr>
          <w:sz w:val="24"/>
        </w:rPr>
        <w:t>C.T.,</w:t>
      </w:r>
      <w:r>
        <w:rPr>
          <w:spacing w:val="-5"/>
          <w:sz w:val="24"/>
        </w:rPr>
        <w:t> </w:t>
      </w:r>
      <w:r>
        <w:rPr>
          <w:sz w:val="24"/>
        </w:rPr>
        <w:t>Chen,</w:t>
      </w:r>
      <w:r>
        <w:rPr>
          <w:spacing w:val="-5"/>
          <w:sz w:val="24"/>
        </w:rPr>
        <w:t> </w:t>
      </w:r>
      <w:r>
        <w:rPr>
          <w:sz w:val="24"/>
        </w:rPr>
        <w:t>W.H.,Men,</w:t>
      </w:r>
      <w:r>
        <w:rPr>
          <w:spacing w:val="-5"/>
          <w:sz w:val="24"/>
        </w:rPr>
        <w:t> </w:t>
      </w:r>
      <w:r>
        <w:rPr>
          <w:sz w:val="24"/>
        </w:rPr>
        <w:t>L.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Hwang,</w:t>
      </w:r>
      <w:r>
        <w:rPr>
          <w:spacing w:val="-6"/>
          <w:sz w:val="24"/>
        </w:rPr>
        <w:t> </w:t>
      </w:r>
      <w:r>
        <w:rPr>
          <w:sz w:val="24"/>
        </w:rPr>
        <w:t>W.C.,</w:t>
      </w:r>
      <w:r>
        <w:rPr>
          <w:spacing w:val="-5"/>
          <w:sz w:val="24"/>
        </w:rPr>
        <w:t> </w:t>
      </w:r>
      <w:r>
        <w:rPr>
          <w:sz w:val="24"/>
        </w:rPr>
        <w:t>(2009),</w:t>
      </w:r>
      <w:r>
        <w:rPr>
          <w:spacing w:val="-5"/>
          <w:sz w:val="24"/>
        </w:rPr>
        <w:t> </w:t>
      </w:r>
      <w:r>
        <w:rPr>
          <w:sz w:val="25"/>
        </w:rPr>
        <w:t>Industrial</w:t>
      </w:r>
      <w:r>
        <w:rPr>
          <w:spacing w:val="-6"/>
          <w:sz w:val="25"/>
        </w:rPr>
        <w:t> </w:t>
      </w:r>
      <w:r>
        <w:rPr>
          <w:sz w:val="25"/>
        </w:rPr>
        <w:t>Crops</w:t>
      </w:r>
      <w:r>
        <w:rPr>
          <w:spacing w:val="-8"/>
          <w:sz w:val="25"/>
        </w:rPr>
        <w:t> </w:t>
      </w:r>
      <w:r>
        <w:rPr>
          <w:sz w:val="25"/>
        </w:rPr>
        <w:t>and</w:t>
      </w:r>
      <w:r>
        <w:rPr>
          <w:spacing w:val="-7"/>
          <w:sz w:val="25"/>
        </w:rPr>
        <w:t> </w:t>
      </w:r>
      <w:r>
        <w:rPr>
          <w:sz w:val="25"/>
        </w:rPr>
        <w:t>Products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29:</w:t>
      </w:r>
      <w:r>
        <w:rPr>
          <w:spacing w:val="-73"/>
          <w:sz w:val="24"/>
        </w:rPr>
        <w:t> </w:t>
      </w:r>
      <w:r>
        <w:rPr>
          <w:sz w:val="24"/>
        </w:rPr>
        <w:t>308-316.</w:t>
      </w:r>
    </w:p>
    <w:p>
      <w:pPr>
        <w:spacing w:line="460" w:lineRule="auto" w:before="240"/>
        <w:ind w:left="1918" w:right="581" w:hanging="720"/>
        <w:jc w:val="both"/>
        <w:rPr>
          <w:sz w:val="24"/>
        </w:rPr>
      </w:pPr>
      <w:r>
        <w:rPr>
          <w:sz w:val="24"/>
        </w:rPr>
        <w:t>Yui, T., Taki, N., Sugiyama, J. and Hayashi, S., (2007), </w:t>
      </w:r>
      <w:r>
        <w:rPr>
          <w:sz w:val="25"/>
        </w:rPr>
        <w:t>Internal Journal of Biological</w:t>
      </w:r>
      <w:r>
        <w:rPr>
          <w:spacing w:val="1"/>
          <w:sz w:val="25"/>
        </w:rPr>
        <w:t> </w:t>
      </w:r>
      <w:r>
        <w:rPr>
          <w:sz w:val="25"/>
        </w:rPr>
        <w:t>Macromolecule</w:t>
      </w:r>
      <w:r>
        <w:rPr>
          <w:spacing w:val="-3"/>
          <w:sz w:val="25"/>
        </w:rPr>
        <w:t> </w:t>
      </w:r>
      <w:r>
        <w:rPr>
          <w:sz w:val="24"/>
        </w:rPr>
        <w:t>40(4)336-341.</w:t>
      </w:r>
    </w:p>
    <w:p>
      <w:pPr>
        <w:spacing w:line="470" w:lineRule="auto" w:before="251"/>
        <w:ind w:left="1918" w:right="578" w:hanging="720"/>
        <w:jc w:val="both"/>
        <w:rPr>
          <w:sz w:val="24"/>
        </w:rPr>
      </w:pPr>
      <w:r>
        <w:rPr>
          <w:sz w:val="24"/>
        </w:rPr>
        <w:t>Zeun, R.E., El-bagoury, A.A. and Kassab, H.E., (2005). Chemical and nutritional studies on</w:t>
      </w:r>
      <w:r>
        <w:rPr>
          <w:spacing w:val="1"/>
          <w:sz w:val="24"/>
        </w:rPr>
        <w:t> </w:t>
      </w:r>
      <w:r>
        <w:rPr>
          <w:sz w:val="24"/>
        </w:rPr>
        <w:t>mango</w:t>
      </w:r>
      <w:r>
        <w:rPr>
          <w:spacing w:val="-6"/>
          <w:sz w:val="24"/>
        </w:rPr>
        <w:t> </w:t>
      </w:r>
      <w:r>
        <w:rPr>
          <w:sz w:val="24"/>
        </w:rPr>
        <w:t>seed</w:t>
      </w:r>
      <w:r>
        <w:rPr>
          <w:spacing w:val="-6"/>
          <w:sz w:val="24"/>
        </w:rPr>
        <w:t> </w:t>
      </w:r>
      <w:r>
        <w:rPr>
          <w:sz w:val="24"/>
        </w:rPr>
        <w:t>kernel,</w:t>
      </w:r>
      <w:r>
        <w:rPr>
          <w:spacing w:val="-4"/>
          <w:sz w:val="24"/>
        </w:rPr>
        <w:t> </w:t>
      </w:r>
      <w:r>
        <w:rPr>
          <w:sz w:val="25"/>
        </w:rPr>
        <w:t>Journal</w:t>
      </w:r>
      <w:r>
        <w:rPr>
          <w:spacing w:val="-8"/>
          <w:sz w:val="25"/>
        </w:rPr>
        <w:t> </w:t>
      </w:r>
      <w:r>
        <w:rPr>
          <w:sz w:val="25"/>
        </w:rPr>
        <w:t>of</w:t>
      </w:r>
      <w:r>
        <w:rPr>
          <w:spacing w:val="-8"/>
          <w:sz w:val="25"/>
        </w:rPr>
        <w:t> </w:t>
      </w:r>
      <w:r>
        <w:rPr>
          <w:sz w:val="25"/>
        </w:rPr>
        <w:t>agricultural</w:t>
      </w:r>
      <w:r>
        <w:rPr>
          <w:spacing w:val="-7"/>
          <w:sz w:val="25"/>
        </w:rPr>
        <w:t> </w:t>
      </w:r>
      <w:r>
        <w:rPr>
          <w:sz w:val="25"/>
        </w:rPr>
        <w:t>Sciences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sz w:val="24"/>
        </w:rPr>
        <w:t>30:</w:t>
      </w:r>
      <w:r>
        <w:rPr>
          <w:spacing w:val="-5"/>
          <w:sz w:val="24"/>
        </w:rPr>
        <w:t> </w:t>
      </w:r>
      <w:r>
        <w:rPr>
          <w:sz w:val="24"/>
        </w:rPr>
        <w:t>3285-3299</w:t>
      </w:r>
    </w:p>
    <w:p>
      <w:pPr>
        <w:pStyle w:val="BodyText"/>
        <w:spacing w:line="475" w:lineRule="auto" w:before="240"/>
        <w:ind w:left="1918" w:right="577" w:hanging="720"/>
        <w:jc w:val="both"/>
      </w:pPr>
      <w:r>
        <w:rPr/>
        <w:t>Zhang, J., Zhang, L., Li, Z., Xie, X., Li, J. and Luo, P., (2001).Interaction between the</w:t>
      </w:r>
      <w:r>
        <w:rPr>
          <w:spacing w:val="1"/>
        </w:rPr>
        <w:t> </w:t>
      </w:r>
      <w:r>
        <w:rPr/>
        <w:t>hydrophobically modified water soluble amphoteric cellulose graft copolymer and</w:t>
      </w:r>
      <w:r>
        <w:rPr>
          <w:spacing w:val="1"/>
        </w:rPr>
        <w:t> </w:t>
      </w:r>
      <w:r>
        <w:rPr/>
        <w:t>clay.</w:t>
      </w:r>
      <w:r>
        <w:rPr>
          <w:sz w:val="25"/>
        </w:rPr>
        <w:t>Acta</w:t>
      </w:r>
      <w:r>
        <w:rPr>
          <w:spacing w:val="-8"/>
          <w:sz w:val="25"/>
        </w:rPr>
        <w:t> </w:t>
      </w:r>
      <w:r>
        <w:rPr>
          <w:sz w:val="25"/>
        </w:rPr>
        <w:t>Physica</w:t>
      </w:r>
      <w:r>
        <w:rPr>
          <w:spacing w:val="-8"/>
          <w:sz w:val="25"/>
        </w:rPr>
        <w:t> </w:t>
      </w:r>
      <w:r>
        <w:rPr>
          <w:sz w:val="25"/>
        </w:rPr>
        <w:t>Chimica</w:t>
      </w:r>
      <w:r>
        <w:rPr>
          <w:spacing w:val="-7"/>
          <w:sz w:val="25"/>
        </w:rPr>
        <w:t> </w:t>
      </w:r>
      <w:r>
        <w:rPr>
          <w:sz w:val="25"/>
        </w:rPr>
        <w:t>Sinica,</w:t>
      </w:r>
      <w:r>
        <w:rPr>
          <w:spacing w:val="-8"/>
          <w:sz w:val="25"/>
        </w:rPr>
        <w:t> </w:t>
      </w:r>
      <w:r>
        <w:rPr/>
        <w:t>18(04):</w:t>
      </w:r>
      <w:r>
        <w:rPr>
          <w:spacing w:val="-4"/>
        </w:rPr>
        <w:t> </w:t>
      </w:r>
      <w:r>
        <w:rPr/>
        <w:t>315-320.</w:t>
      </w:r>
    </w:p>
    <w:p>
      <w:pPr>
        <w:spacing w:after="0" w:line="475" w:lineRule="auto"/>
        <w:jc w:val="both"/>
        <w:sectPr>
          <w:pgSz w:w="11910" w:h="16840"/>
          <w:pgMar w:header="0" w:footer="987" w:top="1120" w:bottom="1260" w:left="420" w:right="0"/>
        </w:sectPr>
      </w:pPr>
    </w:p>
    <w:p>
      <w:pPr>
        <w:pStyle w:val="Heading3"/>
        <w:spacing w:before="75"/>
        <w:ind w:left="1228" w:right="3802"/>
        <w:jc w:val="center"/>
      </w:pP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Appendices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before="1"/>
        <w:ind w:left="1228" w:right="3822"/>
        <w:jc w:val="center"/>
      </w:pPr>
      <w:r>
        <w:rPr/>
        <w:drawing>
          <wp:anchor distT="0" distB="0" distL="0" distR="0" allowOverlap="1" layoutInCell="1" locked="0" behindDoc="1" simplePos="0" relativeHeight="478907904">
            <wp:simplePos x="0" y="0"/>
            <wp:positionH relativeFrom="page">
              <wp:posOffset>1027430</wp:posOffset>
            </wp:positionH>
            <wp:positionV relativeFrom="paragraph">
              <wp:posOffset>-90476</wp:posOffset>
            </wp:positionV>
            <wp:extent cx="5781041" cy="7952106"/>
            <wp:effectExtent l="0" t="0" r="0" b="0"/>
            <wp:wrapNone/>
            <wp:docPr id="5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041" cy="795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</w:t>
      </w:r>
      <w:r>
        <w:rPr>
          <w:spacing w:val="-1"/>
        </w:rPr>
        <w:t> </w:t>
      </w:r>
      <w:r>
        <w:rPr/>
        <w:t>1:</w:t>
      </w:r>
      <w:r>
        <w:rPr>
          <w:spacing w:val="19"/>
        </w:rPr>
        <w:t> </w:t>
      </w:r>
      <w:r>
        <w:rPr/>
        <w:t>Spectrograph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acetylated</w:t>
      </w:r>
      <w:r>
        <w:rPr>
          <w:spacing w:val="-4"/>
        </w:rPr>
        <w:t> </w:t>
      </w:r>
      <w:r>
        <w:rPr/>
        <w:t>corn</w:t>
      </w:r>
      <w:r>
        <w:rPr>
          <w:spacing w:val="-3"/>
        </w:rPr>
        <w:t> </w:t>
      </w:r>
      <w:r>
        <w:rPr/>
        <w:t>cob</w:t>
      </w:r>
      <w:r>
        <w:rPr>
          <w:spacing w:val="1"/>
        </w:rPr>
        <w:t> </w:t>
      </w:r>
      <w:r>
        <w:rPr/>
        <w:t>(sample 1)</w:t>
      </w:r>
    </w:p>
    <w:p>
      <w:pPr>
        <w:spacing w:after="0"/>
        <w:jc w:val="center"/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198"/>
        <w:rPr>
          <w:sz w:val="20"/>
        </w:rPr>
      </w:pPr>
      <w:r>
        <w:rPr>
          <w:sz w:val="20"/>
        </w:rPr>
        <w:pict>
          <v:group style="width:410.6pt;height:553.950pt;mso-position-horizontal-relative:char;mso-position-vertical-relative:line" coordorigin="0,0" coordsize="8212,11079">
            <v:shape style="position:absolute;left:7;top:137;width:8204;height:10941" type="#_x0000_t75" stroked="false">
              <v:imagedata r:id="rId86" o:title=""/>
            </v:shape>
            <v:shape style="position:absolute;left:0;top:0;width:6530;height:29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APPENDIX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2: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Spectrograph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acetylated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corn cob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(sample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260" w:left="4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3"/>
        <w:spacing w:before="100"/>
      </w:pPr>
      <w:r>
        <w:rPr/>
        <w:drawing>
          <wp:anchor distT="0" distB="0" distL="0" distR="0" allowOverlap="1" layoutInCell="1" locked="0" behindDoc="1" simplePos="0" relativeHeight="478908928">
            <wp:simplePos x="0" y="0"/>
            <wp:positionH relativeFrom="page">
              <wp:posOffset>1029512</wp:posOffset>
            </wp:positionH>
            <wp:positionV relativeFrom="paragraph">
              <wp:posOffset>-73077</wp:posOffset>
            </wp:positionV>
            <wp:extent cx="5493234" cy="7579233"/>
            <wp:effectExtent l="0" t="0" r="0" b="0"/>
            <wp:wrapNone/>
            <wp:docPr id="61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0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234" cy="7579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</w:t>
      </w:r>
      <w:r>
        <w:rPr>
          <w:spacing w:val="-3"/>
        </w:rPr>
        <w:t> </w:t>
      </w:r>
      <w:r>
        <w:rPr/>
        <w:t>3:</w:t>
      </w:r>
      <w:r>
        <w:rPr>
          <w:spacing w:val="-4"/>
        </w:rPr>
        <w:t> </w:t>
      </w:r>
      <w:r>
        <w:rPr/>
        <w:t>Spectrograph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acetylated</w:t>
      </w:r>
      <w:r>
        <w:rPr>
          <w:spacing w:val="-3"/>
        </w:rPr>
        <w:t> </w:t>
      </w:r>
      <w:r>
        <w:rPr/>
        <w:t>corn</w:t>
      </w:r>
      <w:r>
        <w:rPr>
          <w:spacing w:val="-4"/>
        </w:rPr>
        <w:t> </w:t>
      </w:r>
      <w:r>
        <w:rPr/>
        <w:t>cob</w:t>
      </w:r>
      <w:r>
        <w:rPr>
          <w:spacing w:val="-3"/>
        </w:rPr>
        <w:t> </w:t>
      </w:r>
      <w:r>
        <w:rPr/>
        <w:t>(sample</w:t>
      </w:r>
      <w:r>
        <w:rPr>
          <w:spacing w:val="-4"/>
        </w:rPr>
        <w:t> </w:t>
      </w:r>
      <w:r>
        <w:rPr/>
        <w:t>3)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spacing w:before="75"/>
        <w:ind w:left="1198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Spectrograph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Acetylated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corn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cob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(sample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4)</w:t>
      </w:r>
    </w:p>
    <w:p>
      <w:pPr>
        <w:pStyle w:val="BodyText"/>
        <w:spacing w:before="9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1027430</wp:posOffset>
            </wp:positionH>
            <wp:positionV relativeFrom="paragraph">
              <wp:posOffset>168443</wp:posOffset>
            </wp:positionV>
            <wp:extent cx="5564201" cy="7715250"/>
            <wp:effectExtent l="0" t="0" r="0" b="0"/>
            <wp:wrapTopAndBottom/>
            <wp:docPr id="63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1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201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ind w:left="1198"/>
        <w:rPr>
          <w:sz w:val="20"/>
        </w:rPr>
      </w:pPr>
      <w:r>
        <w:rPr>
          <w:sz w:val="20"/>
        </w:rPr>
        <w:pict>
          <v:group style="width:400.7pt;height:551.1pt;mso-position-horizontal-relative:char;mso-position-vertical-relative:line" coordorigin="0,0" coordsize="8014,11022">
            <v:shape style="position:absolute;left:0;top:3;width:8014;height:11018" type="#_x0000_t75" stroked="false">
              <v:imagedata r:id="rId89" o:title=""/>
            </v:shape>
            <v:shape style="position:absolute;left:0;top:0;width:7323;height:29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Appendix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5: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Spectrograph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Acetylated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Corn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cob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(sample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5)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220" w:bottom="1260" w:left="4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Heading3"/>
        <w:spacing w:before="100"/>
      </w:pPr>
      <w:r>
        <w:rPr/>
        <w:drawing>
          <wp:anchor distT="0" distB="0" distL="0" distR="0" allowOverlap="1" layoutInCell="1" locked="0" behindDoc="1" simplePos="0" relativeHeight="478910464">
            <wp:simplePos x="0" y="0"/>
            <wp:positionH relativeFrom="page">
              <wp:posOffset>1027430</wp:posOffset>
            </wp:positionH>
            <wp:positionV relativeFrom="paragraph">
              <wp:posOffset>4011</wp:posOffset>
            </wp:positionV>
            <wp:extent cx="5570812" cy="7698105"/>
            <wp:effectExtent l="0" t="0" r="0" b="0"/>
            <wp:wrapNone/>
            <wp:docPr id="65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812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</w:t>
      </w:r>
      <w:r>
        <w:rPr>
          <w:spacing w:val="-3"/>
        </w:rPr>
        <w:t> </w:t>
      </w:r>
      <w:r>
        <w:rPr/>
        <w:t>6:</w:t>
      </w:r>
      <w:r>
        <w:rPr>
          <w:spacing w:val="-4"/>
        </w:rPr>
        <w:t> </w:t>
      </w:r>
      <w:r>
        <w:rPr/>
        <w:t>Spectrograph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Acetylated</w:t>
      </w:r>
      <w:r>
        <w:rPr>
          <w:spacing w:val="-1"/>
        </w:rPr>
        <w:t> </w:t>
      </w:r>
      <w:r>
        <w:rPr/>
        <w:t>Corn</w:t>
      </w:r>
      <w:r>
        <w:rPr>
          <w:spacing w:val="-4"/>
        </w:rPr>
        <w:t> </w:t>
      </w:r>
      <w:r>
        <w:rPr/>
        <w:t>cob</w:t>
      </w:r>
      <w:r>
        <w:rPr>
          <w:spacing w:val="-3"/>
        </w:rPr>
        <w:t> </w:t>
      </w:r>
      <w:r>
        <w:rPr/>
        <w:t>(sample</w:t>
      </w:r>
      <w:r>
        <w:rPr>
          <w:spacing w:val="-5"/>
        </w:rPr>
        <w:t> </w:t>
      </w:r>
      <w:r>
        <w:rPr/>
        <w:t>6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spacing w:before="75"/>
        <w:ind w:left="1267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910976">
            <wp:simplePos x="0" y="0"/>
            <wp:positionH relativeFrom="page">
              <wp:posOffset>1027430</wp:posOffset>
            </wp:positionH>
            <wp:positionV relativeFrom="paragraph">
              <wp:posOffset>49858</wp:posOffset>
            </wp:positionV>
            <wp:extent cx="5721339" cy="7879080"/>
            <wp:effectExtent l="0" t="0" r="0" b="0"/>
            <wp:wrapNone/>
            <wp:docPr id="67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4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339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Appendix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7: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Spectrograph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Acetylated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Corn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(sample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7)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spacing w:before="75"/>
      </w:pPr>
      <w:r>
        <w:rPr/>
        <w:drawing>
          <wp:anchor distT="0" distB="0" distL="0" distR="0" allowOverlap="1" layoutInCell="1" locked="0" behindDoc="1" simplePos="0" relativeHeight="478911488">
            <wp:simplePos x="0" y="0"/>
            <wp:positionH relativeFrom="page">
              <wp:posOffset>1027430</wp:posOffset>
            </wp:positionH>
            <wp:positionV relativeFrom="paragraph">
              <wp:posOffset>84148</wp:posOffset>
            </wp:positionV>
            <wp:extent cx="5939155" cy="8165465"/>
            <wp:effectExtent l="0" t="0" r="0" b="0"/>
            <wp:wrapNone/>
            <wp:docPr id="69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</w:t>
      </w:r>
      <w:r>
        <w:rPr>
          <w:spacing w:val="-3"/>
        </w:rPr>
        <w:t> </w:t>
      </w:r>
      <w:r>
        <w:rPr/>
        <w:t>8:</w:t>
      </w:r>
      <w:r>
        <w:rPr>
          <w:spacing w:val="-4"/>
        </w:rPr>
        <w:t> </w:t>
      </w:r>
      <w:r>
        <w:rPr/>
        <w:t>Spectrograph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Acetylated</w:t>
      </w:r>
      <w:r>
        <w:rPr>
          <w:spacing w:val="-1"/>
        </w:rPr>
        <w:t> </w:t>
      </w:r>
      <w:r>
        <w:rPr/>
        <w:t>Corn</w:t>
      </w:r>
      <w:r>
        <w:rPr>
          <w:spacing w:val="-4"/>
        </w:rPr>
        <w:t> </w:t>
      </w:r>
      <w:r>
        <w:rPr/>
        <w:t>cob</w:t>
      </w:r>
      <w:r>
        <w:rPr>
          <w:spacing w:val="-3"/>
        </w:rPr>
        <w:t> </w:t>
      </w:r>
      <w:r>
        <w:rPr/>
        <w:t>(sample</w:t>
      </w:r>
      <w:r>
        <w:rPr>
          <w:spacing w:val="-5"/>
        </w:rPr>
        <w:t> </w:t>
      </w:r>
      <w:r>
        <w:rPr/>
        <w:t>8)</w:t>
      </w:r>
    </w:p>
    <w:p>
      <w:pPr>
        <w:spacing w:after="0"/>
        <w:sectPr>
          <w:pgSz w:w="11910" w:h="16840"/>
          <w:pgMar w:header="0" w:footer="987" w:top="1140" w:bottom="1260" w:left="420" w:right="0"/>
        </w:sectPr>
      </w:pPr>
    </w:p>
    <w:p>
      <w:pPr>
        <w:spacing w:before="75"/>
        <w:ind w:left="1198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912000">
            <wp:simplePos x="0" y="0"/>
            <wp:positionH relativeFrom="page">
              <wp:posOffset>1027430</wp:posOffset>
            </wp:positionH>
            <wp:positionV relativeFrom="paragraph">
              <wp:posOffset>8583</wp:posOffset>
            </wp:positionV>
            <wp:extent cx="5819141" cy="7990206"/>
            <wp:effectExtent l="0" t="0" r="0" b="0"/>
            <wp:wrapNone/>
            <wp:docPr id="7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1" cy="7990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9: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Spectrograph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Acetylated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Corn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cob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(sample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9)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8912512">
            <wp:simplePos x="0" y="0"/>
            <wp:positionH relativeFrom="page">
              <wp:posOffset>1036953</wp:posOffset>
            </wp:positionH>
            <wp:positionV relativeFrom="page">
              <wp:posOffset>1512417</wp:posOffset>
            </wp:positionV>
            <wp:extent cx="6009641" cy="8256906"/>
            <wp:effectExtent l="0" t="0" r="0" b="0"/>
            <wp:wrapNone/>
            <wp:docPr id="7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641" cy="8256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Heading3"/>
        <w:spacing w:before="100"/>
      </w:pPr>
      <w:r>
        <w:rPr/>
        <w:t>Appendix</w:t>
      </w:r>
      <w:r>
        <w:rPr>
          <w:spacing w:val="-3"/>
        </w:rPr>
        <w:t> </w:t>
      </w:r>
      <w:r>
        <w:rPr/>
        <w:t>10:</w:t>
      </w:r>
      <w:r>
        <w:rPr>
          <w:spacing w:val="-4"/>
        </w:rPr>
        <w:t> </w:t>
      </w:r>
      <w:r>
        <w:rPr/>
        <w:t>Spectrograph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Acetylated</w:t>
      </w:r>
      <w:r>
        <w:rPr>
          <w:spacing w:val="-3"/>
        </w:rPr>
        <w:t> </w:t>
      </w:r>
      <w:r>
        <w:rPr/>
        <w:t>Corn</w:t>
      </w:r>
      <w:r>
        <w:rPr>
          <w:spacing w:val="-3"/>
        </w:rPr>
        <w:t> </w:t>
      </w:r>
      <w:r>
        <w:rPr/>
        <w:t>cob</w:t>
      </w:r>
      <w:r>
        <w:rPr>
          <w:spacing w:val="-3"/>
        </w:rPr>
        <w:t> </w:t>
      </w:r>
      <w:r>
        <w:rPr/>
        <w:t>(sample</w:t>
      </w:r>
      <w:r>
        <w:rPr>
          <w:spacing w:val="-2"/>
        </w:rPr>
        <w:t> </w:t>
      </w:r>
      <w:r>
        <w:rPr/>
        <w:t>10)</w:t>
      </w:r>
    </w:p>
    <w:p>
      <w:pPr>
        <w:spacing w:after="0"/>
        <w:sectPr>
          <w:pgSz w:w="11910" w:h="16840"/>
          <w:pgMar w:header="0" w:footer="987" w:top="1580" w:bottom="1260" w:left="420" w:right="0"/>
        </w:sectPr>
      </w:pPr>
    </w:p>
    <w:p>
      <w:pPr>
        <w:spacing w:before="75"/>
        <w:ind w:left="1198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913024">
            <wp:simplePos x="0" y="0"/>
            <wp:positionH relativeFrom="page">
              <wp:posOffset>1036954</wp:posOffset>
            </wp:positionH>
            <wp:positionV relativeFrom="page">
              <wp:posOffset>785494</wp:posOffset>
            </wp:positionV>
            <wp:extent cx="6142990" cy="8437881"/>
            <wp:effectExtent l="0" t="0" r="0" b="0"/>
            <wp:wrapNone/>
            <wp:docPr id="7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84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11: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Spectrograph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Acetylated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cob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(sample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12)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spacing w:before="175"/>
      </w:pPr>
      <w:r>
        <w:rPr/>
        <w:drawing>
          <wp:anchor distT="0" distB="0" distL="0" distR="0" allowOverlap="1" layoutInCell="1" locked="0" behindDoc="1" simplePos="0" relativeHeight="478913536">
            <wp:simplePos x="0" y="0"/>
            <wp:positionH relativeFrom="page">
              <wp:posOffset>873760</wp:posOffset>
            </wp:positionH>
            <wp:positionV relativeFrom="paragraph">
              <wp:posOffset>-5386</wp:posOffset>
            </wp:positionV>
            <wp:extent cx="5699246" cy="7827013"/>
            <wp:effectExtent l="0" t="0" r="0" b="0"/>
            <wp:wrapNone/>
            <wp:docPr id="7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246" cy="782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</w:t>
      </w:r>
      <w:r>
        <w:rPr>
          <w:spacing w:val="-3"/>
        </w:rPr>
        <w:t> </w:t>
      </w:r>
      <w:r>
        <w:rPr/>
        <w:t>12:</w:t>
      </w:r>
      <w:r>
        <w:rPr>
          <w:spacing w:val="-4"/>
        </w:rPr>
        <w:t> </w:t>
      </w:r>
      <w:r>
        <w:rPr/>
        <w:t>Spectrograph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Acetylated</w:t>
      </w:r>
      <w:r>
        <w:rPr>
          <w:spacing w:val="-3"/>
        </w:rPr>
        <w:t> </w:t>
      </w:r>
      <w:r>
        <w:rPr/>
        <w:t>Corn</w:t>
      </w:r>
      <w:r>
        <w:rPr>
          <w:spacing w:val="-3"/>
        </w:rPr>
        <w:t> </w:t>
      </w:r>
      <w:r>
        <w:rPr/>
        <w:t>cob</w:t>
      </w:r>
      <w:r>
        <w:rPr>
          <w:spacing w:val="-4"/>
        </w:rPr>
        <w:t> </w:t>
      </w:r>
      <w:r>
        <w:rPr/>
        <w:t>(sample</w:t>
      </w:r>
      <w:r>
        <w:rPr>
          <w:spacing w:val="-2"/>
        </w:rPr>
        <w:t> </w:t>
      </w:r>
      <w:r>
        <w:rPr/>
        <w:t>13)</w:t>
      </w:r>
    </w:p>
    <w:p>
      <w:pPr>
        <w:spacing w:after="0"/>
        <w:sectPr>
          <w:pgSz w:w="11910" w:h="16840"/>
          <w:pgMar w:header="0" w:footer="987" w:top="1040" w:bottom="1260" w:left="420" w:right="0"/>
        </w:sectPr>
      </w:pPr>
    </w:p>
    <w:p>
      <w:pPr>
        <w:spacing w:before="75"/>
        <w:ind w:left="1267" w:right="0" w:firstLine="0"/>
        <w:jc w:val="left"/>
        <w:rPr>
          <w:sz w:val="24"/>
        </w:rPr>
      </w:pPr>
      <w:r>
        <w:rPr>
          <w:b/>
          <w:sz w:val="24"/>
        </w:rPr>
        <w:t>Appendix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13:</w:t>
      </w:r>
      <w:r>
        <w:rPr>
          <w:b/>
          <w:spacing w:val="2"/>
          <w:sz w:val="24"/>
        </w:rPr>
        <w:t> </w:t>
      </w:r>
      <w:r>
        <w:rPr>
          <w:sz w:val="24"/>
        </w:rPr>
        <w:t>Spectrograph of</w:t>
      </w:r>
      <w:r>
        <w:rPr>
          <w:spacing w:val="-2"/>
          <w:sz w:val="24"/>
        </w:rPr>
        <w:t> </w:t>
      </w:r>
      <w:r>
        <w:rPr>
          <w:sz w:val="24"/>
        </w:rPr>
        <w:t>Acetylated</w:t>
      </w:r>
      <w:r>
        <w:rPr>
          <w:spacing w:val="-3"/>
          <w:sz w:val="24"/>
        </w:rPr>
        <w:t> </w:t>
      </w:r>
      <w:r>
        <w:rPr>
          <w:sz w:val="24"/>
        </w:rPr>
        <w:t>Corn</w:t>
      </w:r>
      <w:r>
        <w:rPr>
          <w:spacing w:val="-3"/>
          <w:sz w:val="24"/>
        </w:rPr>
        <w:t> </w:t>
      </w:r>
      <w:r>
        <w:rPr>
          <w:sz w:val="24"/>
        </w:rPr>
        <w:t>cob</w:t>
      </w:r>
      <w:r>
        <w:rPr>
          <w:spacing w:val="-1"/>
          <w:sz w:val="24"/>
        </w:rPr>
        <w:t> </w:t>
      </w:r>
      <w:r>
        <w:rPr>
          <w:sz w:val="24"/>
        </w:rPr>
        <w:t>(sample</w:t>
      </w:r>
      <w:r>
        <w:rPr>
          <w:spacing w:val="-1"/>
          <w:sz w:val="24"/>
        </w:rPr>
        <w:t> </w:t>
      </w:r>
      <w:r>
        <w:rPr>
          <w:sz w:val="24"/>
        </w:rPr>
        <w:t>14)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469900</wp:posOffset>
            </wp:positionH>
            <wp:positionV relativeFrom="paragraph">
              <wp:posOffset>187765</wp:posOffset>
            </wp:positionV>
            <wp:extent cx="6706266" cy="2943225"/>
            <wp:effectExtent l="0" t="0" r="0" b="0"/>
            <wp:wrapTopAndBottom/>
            <wp:docPr id="7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266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396.38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19.29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7.44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422.42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51.48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6.63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1046.42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18.66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1.37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1202.66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842.92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255.92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1251.84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19.16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1299.10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1202.66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68.85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1440.87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18.85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1442.80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1414.83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20.23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-0.01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1529.60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18.91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1588.43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1499.7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63.77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1649.19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18.53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1688.73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1588.43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72.69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1727.31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18.44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1840.15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1692.59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105.67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2926.11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17.68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2990.73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2420.74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419.32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3441.12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16.21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3480.66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2990.73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377.98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3744.92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17.02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3745.88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3708.27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28.79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-0.01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3875.12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16.99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3921.41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3869.33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39.96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Heading3"/>
        <w:spacing w:before="72"/>
      </w:pPr>
      <w:r>
        <w:rPr/>
        <w:t>Appendix</w:t>
      </w:r>
      <w:r>
        <w:rPr>
          <w:spacing w:val="-2"/>
        </w:rPr>
        <w:t> </w:t>
      </w:r>
      <w:r>
        <w:rPr/>
        <w:t>14:</w:t>
      </w:r>
      <w:r>
        <w:rPr>
          <w:spacing w:val="-4"/>
        </w:rPr>
        <w:t> </w:t>
      </w:r>
      <w:r>
        <w:rPr/>
        <w:t>Spectrograph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acetylated</w:t>
      </w:r>
      <w:r>
        <w:rPr>
          <w:spacing w:val="-3"/>
        </w:rPr>
        <w:t> </w:t>
      </w:r>
      <w:r>
        <w:rPr/>
        <w:t>corn</w:t>
      </w:r>
      <w:r>
        <w:rPr>
          <w:spacing w:val="-3"/>
        </w:rPr>
        <w:t> </w:t>
      </w:r>
      <w:r>
        <w:rPr/>
        <w:t>cob</w:t>
      </w:r>
      <w:r>
        <w:rPr>
          <w:spacing w:val="-2"/>
        </w:rPr>
        <w:t> </w:t>
      </w:r>
      <w:r>
        <w:rPr/>
        <w:t>(sample</w:t>
      </w:r>
      <w:r>
        <w:rPr>
          <w:spacing w:val="-2"/>
        </w:rPr>
        <w:t> </w:t>
      </w:r>
      <w:r>
        <w:rPr/>
        <w:t>15)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469900</wp:posOffset>
            </wp:positionH>
            <wp:positionV relativeFrom="paragraph">
              <wp:posOffset>112835</wp:posOffset>
            </wp:positionV>
            <wp:extent cx="6698044" cy="2085975"/>
            <wp:effectExtent l="0" t="0" r="0" b="0"/>
            <wp:wrapTopAndBottom/>
            <wp:docPr id="8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044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362" w:val="left" w:leader="none"/>
        </w:tabs>
        <w:spacing w:before="0"/>
        <w:ind w:left="1198" w:right="0" w:firstLine="0"/>
        <w:jc w:val="left"/>
        <w:rPr>
          <w:b/>
          <w:sz w:val="24"/>
        </w:rPr>
      </w:pPr>
      <w:r>
        <w:rPr>
          <w:b/>
          <w:sz w:val="24"/>
        </w:rPr>
        <w:t>FTIR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NARICT,ZARIA</w:t>
        <w:tab/>
        <w:t>FTIR-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8400S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FOURIER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TRANSFORM</w:t>
      </w:r>
    </w:p>
    <w:p>
      <w:pPr>
        <w:pStyle w:val="BodyText"/>
        <w:spacing w:before="9"/>
        <w:rPr>
          <w:b/>
          <w:sz w:val="27"/>
        </w:r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386.74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18.71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12.19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414.71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45.264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7.53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614.35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20.02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817.85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533.34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196.947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1.148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1042.56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18.86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1205.55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817.85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273.257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4.199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1447.62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19.06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1478.49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1438.94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28.383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0.046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1643.41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19.06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1689.70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1579.75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78.55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1729.24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19.10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1819.90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1694.52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88.98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2929.00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17.93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2998.44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2416.89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424.78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3439.19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3584.82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3437.26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116.15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3755.53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3771.92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3748.78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17.43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3868.37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17.62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3870.30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3856.80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10.17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ind w:left="893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83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</w:rPr>
      </w:pPr>
    </w:p>
    <w:p>
      <w:pPr>
        <w:spacing w:before="100"/>
        <w:ind w:left="1198" w:right="0" w:firstLine="0"/>
        <w:jc w:val="left"/>
        <w:rPr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15:</w:t>
      </w:r>
      <w:r>
        <w:rPr>
          <w:b/>
          <w:spacing w:val="2"/>
          <w:sz w:val="24"/>
        </w:rPr>
        <w:t> </w:t>
      </w:r>
      <w:r>
        <w:rPr>
          <w:sz w:val="24"/>
        </w:rPr>
        <w:t>Spectrograph of</w:t>
      </w:r>
      <w:r>
        <w:rPr>
          <w:spacing w:val="-2"/>
          <w:sz w:val="24"/>
        </w:rPr>
        <w:t> </w:t>
      </w:r>
      <w:r>
        <w:rPr>
          <w:sz w:val="24"/>
        </w:rPr>
        <w:t>Acetylated</w:t>
      </w:r>
      <w:r>
        <w:rPr>
          <w:spacing w:val="-4"/>
          <w:sz w:val="24"/>
        </w:rPr>
        <w:t> </w:t>
      </w:r>
      <w:r>
        <w:rPr>
          <w:sz w:val="24"/>
        </w:rPr>
        <w:t>corn</w:t>
      </w:r>
      <w:r>
        <w:rPr>
          <w:spacing w:val="-2"/>
          <w:sz w:val="24"/>
        </w:rPr>
        <w:t> </w:t>
      </w:r>
      <w:r>
        <w:rPr>
          <w:sz w:val="24"/>
        </w:rPr>
        <w:t>Cob</w:t>
      </w:r>
      <w:r>
        <w:rPr>
          <w:spacing w:val="-3"/>
          <w:sz w:val="24"/>
        </w:rPr>
        <w:t> </w:t>
      </w: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16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471805</wp:posOffset>
            </wp:positionH>
            <wp:positionV relativeFrom="paragraph">
              <wp:posOffset>254519</wp:posOffset>
            </wp:positionV>
            <wp:extent cx="6693085" cy="2552700"/>
            <wp:effectExtent l="0" t="0" r="0" b="0"/>
            <wp:wrapTopAndBottom/>
            <wp:docPr id="8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08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5604" w:val="left" w:leader="none"/>
        </w:tabs>
        <w:ind w:left="1198"/>
      </w:pPr>
      <w:r>
        <w:rPr/>
        <w:t>FTIR</w:t>
      </w:r>
      <w:r>
        <w:rPr>
          <w:spacing w:val="-5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RESULT</w:t>
      </w:r>
      <w:r>
        <w:rPr>
          <w:spacing w:val="-4"/>
        </w:rPr>
        <w:t> </w:t>
      </w:r>
      <w:r>
        <w:rPr/>
        <w:t>NARICT,ZARIA</w:t>
        <w:tab/>
        <w:t>FTIR-</w:t>
      </w:r>
      <w:r>
        <w:rPr>
          <w:spacing w:val="-4"/>
        </w:rPr>
        <w:t> </w:t>
      </w:r>
      <w:r>
        <w:rPr/>
        <w:t>8400S</w:t>
      </w:r>
      <w:r>
        <w:rPr>
          <w:spacing w:val="-2"/>
        </w:rPr>
        <w:t> </w:t>
      </w:r>
      <w:r>
        <w:rPr/>
        <w:t>FOURIER</w:t>
      </w:r>
      <w:r>
        <w:rPr>
          <w:spacing w:val="-4"/>
        </w:rPr>
        <w:t> </w:t>
      </w:r>
      <w:r>
        <w:rPr/>
        <w:t>TRANSFORM</w:t>
      </w:r>
    </w:p>
    <w:p>
      <w:pPr>
        <w:pStyle w:val="BodyText"/>
        <w:spacing w:before="3"/>
        <w:rPr>
          <w:sz w:val="29"/>
        </w:r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1159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Peak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Intensity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Corr.</w:t>
            </w:r>
          </w:p>
          <w:p>
            <w:pPr>
              <w:pStyle w:val="TableParagraph"/>
              <w:spacing w:line="240" w:lineRule="auto" w:before="1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37"/>
              <w:rPr>
                <w:sz w:val="24"/>
              </w:rPr>
            </w:pPr>
            <w:r>
              <w:rPr>
                <w:sz w:val="24"/>
              </w:rPr>
              <w:t>Intensity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(H)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(L)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Area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Corr.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414.71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16.26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13.97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472.58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86.94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15.66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589.27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18.26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828.45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473.54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255.18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3.76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1044.49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17.03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2.52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1208.44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829.42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277.96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10.18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1253.77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18.58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1308.75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1209.41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72.37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</w:tr>
      <w:tr>
        <w:trPr>
          <w:trHeight w:val="5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1375.29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18.62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1569.14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1309.71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187.33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2.07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1654.98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18.57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1843.04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1570.11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191.94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7.72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2150.70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21.40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2204.71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1844.01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238.13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2276.08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21.35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2330.09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2205.67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83.31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2912.61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17.79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3006.16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2331.05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479.63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4.91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3387.11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16.18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3410.26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3007.12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310.16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2.02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540" w:bottom="1260" w:left="420" w:right="0"/>
        </w:sect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3425.69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16.18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3713.09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3411.22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232.63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4.19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3745.88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18.88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3797.96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3714.06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60.63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3887.66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18.74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4144.20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3798.93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249.88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4304.30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18.76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4343.84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4145.16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143.98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4421.96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18.62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4468.25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4344.8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89.94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4615.81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18.50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4644.74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4469.21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128.40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</w:tbl>
    <w:p>
      <w:pPr>
        <w:spacing w:after="0" w:line="284" w:lineRule="exact"/>
        <w:rPr>
          <w:sz w:val="24"/>
        </w:rPr>
        <w:sectPr>
          <w:pgSz w:w="11910" w:h="16840"/>
          <w:pgMar w:header="0" w:footer="987" w:top="1220" w:bottom="1180" w:left="420" w:right="0"/>
        </w:sectPr>
      </w:pPr>
    </w:p>
    <w:p>
      <w:pPr>
        <w:pStyle w:val="BodyText"/>
        <w:ind w:left="893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87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</w:pPr>
    </w:p>
    <w:p>
      <w:pPr>
        <w:pStyle w:val="Heading3"/>
        <w:spacing w:before="100"/>
        <w:ind w:left="1267"/>
      </w:pPr>
      <w:r>
        <w:rPr/>
        <w:t>Appendix</w:t>
      </w:r>
      <w:r>
        <w:rPr>
          <w:spacing w:val="-4"/>
        </w:rPr>
        <w:t> </w:t>
      </w:r>
      <w:r>
        <w:rPr/>
        <w:t>16:</w:t>
      </w:r>
      <w:r>
        <w:rPr>
          <w:spacing w:val="-4"/>
        </w:rPr>
        <w:t> </w:t>
      </w:r>
      <w:r>
        <w:rPr/>
        <w:t>Spectrograph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Acetylated</w:t>
      </w:r>
      <w:r>
        <w:rPr>
          <w:spacing w:val="-3"/>
        </w:rPr>
        <w:t> </w:t>
      </w:r>
      <w:r>
        <w:rPr/>
        <w:t>Corn</w:t>
      </w:r>
      <w:r>
        <w:rPr>
          <w:spacing w:val="-3"/>
        </w:rPr>
        <w:t> </w:t>
      </w:r>
      <w:r>
        <w:rPr/>
        <w:t>Cob</w:t>
      </w:r>
      <w:r>
        <w:rPr>
          <w:spacing w:val="-4"/>
        </w:rPr>
        <w:t> </w:t>
      </w:r>
      <w:r>
        <w:rPr/>
        <w:t>(Sample</w:t>
      </w:r>
      <w:r>
        <w:rPr>
          <w:spacing w:val="2"/>
        </w:rPr>
        <w:t> </w:t>
      </w:r>
      <w:r>
        <w:rPr/>
        <w:t>17)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471805</wp:posOffset>
            </wp:positionH>
            <wp:positionV relativeFrom="paragraph">
              <wp:posOffset>248804</wp:posOffset>
            </wp:positionV>
            <wp:extent cx="6707502" cy="2933700"/>
            <wp:effectExtent l="0" t="0" r="0" b="0"/>
            <wp:wrapTopAndBottom/>
            <wp:docPr id="8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362" w:val="left" w:leader="none"/>
        </w:tabs>
        <w:spacing w:before="0"/>
        <w:ind w:left="1198" w:right="0" w:firstLine="0"/>
        <w:jc w:val="left"/>
        <w:rPr>
          <w:b/>
          <w:sz w:val="24"/>
        </w:rPr>
      </w:pPr>
      <w:r>
        <w:rPr>
          <w:b/>
          <w:sz w:val="24"/>
        </w:rPr>
        <w:t>FTIR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NARICT,ZARIA</w:t>
        <w:tab/>
        <w:t>FTIR-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8400S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FOURIER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TRANSFORM</w:t>
      </w:r>
    </w:p>
    <w:p>
      <w:pPr>
        <w:pStyle w:val="BodyText"/>
        <w:spacing w:before="1"/>
        <w:rPr>
          <w:b/>
          <w:sz w:val="27"/>
        </w:r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395.42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15.92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1.83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399.28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388.67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8.21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440.75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17.75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462.93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437.86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18.66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1035.81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17.99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1204.59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862.21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252.86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1556.61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17.47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1563.36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1552.75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8.03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1659.80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17.44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1662.69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1656.91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4.38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5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2354.20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2413.99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2196.99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164.19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3428.58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15.93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3430.51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3418.94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9.23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3754.56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15.92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3758.42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3753.60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3.84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3878.98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3883.80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3877.05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5.36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540" w:bottom="1180" w:left="420" w:right="0"/>
        </w:sectPr>
      </w:pPr>
    </w:p>
    <w:p>
      <w:pPr>
        <w:pStyle w:val="Heading3"/>
        <w:spacing w:before="75"/>
      </w:pPr>
      <w:r>
        <w:rPr/>
        <w:t>APPENDIX</w:t>
      </w:r>
      <w:r>
        <w:rPr>
          <w:spacing w:val="-5"/>
        </w:rPr>
        <w:t> </w:t>
      </w:r>
      <w:r>
        <w:rPr/>
        <w:t>17:</w:t>
      </w:r>
      <w:r>
        <w:rPr>
          <w:spacing w:val="-4"/>
        </w:rPr>
        <w:t> </w:t>
      </w:r>
      <w:r>
        <w:rPr/>
        <w:t>Spectrograph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Acetylated</w:t>
      </w:r>
      <w:r>
        <w:rPr>
          <w:spacing w:val="-3"/>
        </w:rPr>
        <w:t> </w:t>
      </w:r>
      <w:r>
        <w:rPr/>
        <w:t>Corn</w:t>
      </w:r>
      <w:r>
        <w:rPr>
          <w:spacing w:val="-3"/>
        </w:rPr>
        <w:t> </w:t>
      </w:r>
      <w:r>
        <w:rPr/>
        <w:t>cob</w:t>
      </w:r>
      <w:r>
        <w:rPr>
          <w:spacing w:val="-3"/>
        </w:rPr>
        <w:t> </w:t>
      </w:r>
      <w:r>
        <w:rPr/>
        <w:t>(sample</w:t>
      </w:r>
      <w:r>
        <w:rPr>
          <w:spacing w:val="-3"/>
        </w:rPr>
        <w:t> </w:t>
      </w:r>
      <w:r>
        <w:rPr/>
        <w:t>18)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471805</wp:posOffset>
            </wp:positionH>
            <wp:positionV relativeFrom="paragraph">
              <wp:posOffset>248606</wp:posOffset>
            </wp:positionV>
            <wp:extent cx="6707502" cy="2933700"/>
            <wp:effectExtent l="0" t="0" r="0" b="0"/>
            <wp:wrapTopAndBottom/>
            <wp:docPr id="9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362" w:val="left" w:leader="none"/>
        </w:tabs>
        <w:spacing w:before="0"/>
        <w:ind w:left="1198" w:right="0" w:firstLine="0"/>
        <w:jc w:val="left"/>
        <w:rPr>
          <w:b/>
          <w:sz w:val="24"/>
        </w:rPr>
      </w:pPr>
      <w:r>
        <w:rPr>
          <w:b/>
          <w:sz w:val="24"/>
        </w:rPr>
        <w:t>FTIR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NARICT,ZARIA</w:t>
        <w:tab/>
        <w:t>FTIR-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8400S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FOURIER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TRANSFORM</w:t>
      </w:r>
    </w:p>
    <w:p>
      <w:pPr>
        <w:pStyle w:val="BodyText"/>
        <w:spacing w:before="1"/>
        <w:rPr>
          <w:b/>
          <w:sz w:val="27"/>
        </w:r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379.99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23.19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14.03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397.35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27.90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5.18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1040.63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24.83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1205.55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823.63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225.81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3.77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1533.46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23.92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1595.18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1530.57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39.379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-0.01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1692.59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24.34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1693.56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1690.66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2284.76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25.22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2337.80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1955.88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226.96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1.39</w:t>
            </w:r>
          </w:p>
        </w:tc>
      </w:tr>
      <w:tr>
        <w:trPr>
          <w:trHeight w:val="5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3448.84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21.97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3481.63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2991.69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314.59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3741.06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3742.03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3705.38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23.78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-0.03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3880.91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22.24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3915.63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3875.12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26.32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140" w:bottom="1260" w:left="420" w:right="0"/>
        </w:sectPr>
      </w:pPr>
    </w:p>
    <w:p>
      <w:pPr>
        <w:pStyle w:val="BodyText"/>
        <w:ind w:left="893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93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Heading3"/>
        <w:spacing w:before="100"/>
      </w:pPr>
      <w:r>
        <w:rPr/>
        <w:t>Appendix</w:t>
      </w:r>
      <w:r>
        <w:rPr>
          <w:spacing w:val="-3"/>
        </w:rPr>
        <w:t> </w:t>
      </w:r>
      <w:r>
        <w:rPr/>
        <w:t>18:</w:t>
      </w:r>
      <w:r>
        <w:rPr>
          <w:spacing w:val="-4"/>
        </w:rPr>
        <w:t> </w:t>
      </w:r>
      <w:r>
        <w:rPr/>
        <w:t>Spectrograph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Acetylated</w:t>
      </w:r>
      <w:r>
        <w:rPr>
          <w:spacing w:val="-3"/>
        </w:rPr>
        <w:t> </w:t>
      </w:r>
      <w:r>
        <w:rPr/>
        <w:t>Corn</w:t>
      </w:r>
      <w:r>
        <w:rPr>
          <w:spacing w:val="-3"/>
        </w:rPr>
        <w:t> </w:t>
      </w:r>
      <w:r>
        <w:rPr/>
        <w:t>cob</w:t>
      </w:r>
      <w:r>
        <w:rPr>
          <w:spacing w:val="-4"/>
        </w:rPr>
        <w:t> </w:t>
      </w:r>
      <w:r>
        <w:rPr/>
        <w:t>(sample</w:t>
      </w:r>
      <w:r>
        <w:rPr>
          <w:spacing w:val="-2"/>
        </w:rPr>
        <w:t> </w:t>
      </w:r>
      <w:r>
        <w:rPr/>
        <w:t>19)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471805</wp:posOffset>
            </wp:positionH>
            <wp:positionV relativeFrom="paragraph">
              <wp:posOffset>248328</wp:posOffset>
            </wp:positionV>
            <wp:extent cx="6707502" cy="2933700"/>
            <wp:effectExtent l="0" t="0" r="0" b="0"/>
            <wp:wrapTopAndBottom/>
            <wp:docPr id="95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8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364" w:val="left" w:leader="none"/>
        </w:tabs>
        <w:spacing w:before="0"/>
        <w:ind w:left="1198" w:right="0" w:firstLine="0"/>
        <w:jc w:val="left"/>
        <w:rPr>
          <w:b/>
          <w:sz w:val="24"/>
        </w:rPr>
      </w:pPr>
      <w:r>
        <w:rPr>
          <w:b/>
          <w:sz w:val="24"/>
        </w:rPr>
        <w:t>FTIR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NARICT,ZARIA</w:t>
        <w:tab/>
        <w:t>FTIR-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8400S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FOURIER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TRANSFORM</w:t>
      </w:r>
    </w:p>
    <w:p>
      <w:pPr>
        <w:pStyle w:val="BodyText"/>
        <w:spacing w:before="1" w:after="1"/>
        <w:rPr>
          <w:b/>
          <w:sz w:val="27"/>
        </w:r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389.63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20.85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7.59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415.67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45.11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5.23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446.54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560.34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420.50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91.30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1030.02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22.16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1204.59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832.31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240.05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2.42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1437.98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21.85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1438.94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1405.19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22.25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-0.01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1534.42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21.44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1597.11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1491.02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70.23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1648.23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21.66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1651.12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1597.11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35.56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1712.85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21.71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1837.26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1696.45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92.11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2934.79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21.23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2990.73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2421.71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377.85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540" w:bottom="1260" w:left="420" w:right="0"/>
        </w:sect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3463.30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19.91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3473.91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3461.38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8.79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3750.71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20.13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3792.18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3749.74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29.30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3881.87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20.22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3913.70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3876.08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26.02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4685.25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20.24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4695.86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4436.42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179.26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220" w:bottom="1180" w:left="420" w:right="0"/>
        </w:sectPr>
      </w:pPr>
    </w:p>
    <w:p>
      <w:pPr>
        <w:pStyle w:val="Heading3"/>
        <w:spacing w:before="75"/>
        <w:ind w:left="1267"/>
      </w:pPr>
      <w:r>
        <w:rPr/>
        <w:t>Appendix</w:t>
      </w:r>
      <w:r>
        <w:rPr>
          <w:spacing w:val="-4"/>
        </w:rPr>
        <w:t> </w:t>
      </w:r>
      <w:r>
        <w:rPr/>
        <w:t>19:</w:t>
      </w:r>
      <w:r>
        <w:rPr>
          <w:spacing w:val="-3"/>
        </w:rPr>
        <w:t> </w:t>
      </w:r>
      <w:r>
        <w:rPr/>
        <w:t>Spectrograh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Acetylated</w:t>
      </w:r>
      <w:r>
        <w:rPr>
          <w:spacing w:val="-2"/>
        </w:rPr>
        <w:t> </w:t>
      </w:r>
      <w:r>
        <w:rPr/>
        <w:t>Corn</w:t>
      </w:r>
      <w:r>
        <w:rPr>
          <w:spacing w:val="-2"/>
        </w:rPr>
        <w:t> </w:t>
      </w:r>
      <w:r>
        <w:rPr/>
        <w:t>cob</w:t>
      </w:r>
      <w:r>
        <w:rPr>
          <w:spacing w:val="-2"/>
        </w:rPr>
        <w:t> </w:t>
      </w:r>
      <w:r>
        <w:rPr/>
        <w:t>(sample</w:t>
      </w:r>
      <w:r>
        <w:rPr>
          <w:spacing w:val="-1"/>
        </w:rPr>
        <w:t> </w:t>
      </w:r>
      <w:r>
        <w:rPr/>
        <w:t>21)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pStyle w:val="BodyText"/>
        <w:tabs>
          <w:tab w:pos="5500" w:val="left" w:leader="none"/>
          <w:tab w:pos="11265" w:val="left" w:leader="none"/>
        </w:tabs>
        <w:spacing w:before="100"/>
        <w:ind w:left="1198" w:right="-15"/>
      </w:pP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1027430</wp:posOffset>
            </wp:positionH>
            <wp:positionV relativeFrom="paragraph">
              <wp:posOffset>-4387013</wp:posOffset>
            </wp:positionV>
            <wp:extent cx="6531609" cy="4255770"/>
            <wp:effectExtent l="0" t="0" r="0" b="0"/>
            <wp:wrapNone/>
            <wp:docPr id="97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609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9.103996pt;margin-top:48.325832pt;width:517.1pt;height:238.25pt;mso-position-horizontal-relative:page;mso-position-vertical-relative:paragraph;z-index:15804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ACA899"/>
                      <w:left w:val="single" w:sz="6" w:space="0" w:color="ACA899"/>
                      <w:bottom w:val="single" w:sz="6" w:space="0" w:color="ACA899"/>
                      <w:right w:val="single" w:sz="6" w:space="0" w:color="ACA899"/>
                      <w:insideH w:val="single" w:sz="6" w:space="0" w:color="ACA899"/>
                      <w:insideV w:val="single" w:sz="6" w:space="0" w:color="ACA89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1414"/>
                    <w:gridCol w:w="1411"/>
                    <w:gridCol w:w="1404"/>
                    <w:gridCol w:w="1411"/>
                    <w:gridCol w:w="1412"/>
                    <w:gridCol w:w="1411"/>
                    <w:gridCol w:w="1011"/>
                  </w:tblGrid>
                  <w:tr>
                    <w:trPr>
                      <w:trHeight w:val="115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Peak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Intensity</w:t>
                        </w:r>
                      </w:p>
                    </w:tc>
                    <w:tc>
                      <w:tcPr>
                        <w:tcW w:w="1404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Corr.</w:t>
                        </w:r>
                      </w:p>
                      <w:p>
                        <w:pPr>
                          <w:pStyle w:val="TableParagraph"/>
                          <w:spacing w:line="240" w:lineRule="auto" w:before="11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Intensity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TableParagraph"/>
                          <w:ind w:left="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Base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(H)</w:t>
                        </w:r>
                      </w:p>
                    </w:tc>
                    <w:tc>
                      <w:tcPr>
                        <w:tcW w:w="1412" w:type="dxa"/>
                      </w:tcPr>
                      <w:p>
                        <w:pPr>
                          <w:pStyle w:val="TableParagraph"/>
                          <w:ind w:left="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Base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(L)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Area</w:t>
                        </w:r>
                      </w:p>
                    </w:tc>
                    <w:tc>
                      <w:tcPr>
                        <w:tcW w:w="101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Corr.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Ar</w:t>
                        </w:r>
                      </w:p>
                    </w:tc>
                  </w:tr>
                  <w:tr>
                    <w:trPr>
                      <w:trHeight w:val="57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409.89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32.84</w:t>
                        </w:r>
                      </w:p>
                    </w:tc>
                    <w:tc>
                      <w:tcPr>
                        <w:tcW w:w="1404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2.12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TableParagraph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416.64</w:t>
                        </w:r>
                      </w:p>
                    </w:tc>
                    <w:tc>
                      <w:tcPr>
                        <w:tcW w:w="1412" w:type="dxa"/>
                      </w:tcPr>
                      <w:p>
                        <w:pPr>
                          <w:pStyle w:val="TableParagraph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402.17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6.80</w:t>
                        </w:r>
                      </w:p>
                    </w:tc>
                    <w:tc>
                      <w:tcPr>
                        <w:tcW w:w="101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0.19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840" w:type="dxa"/>
                        <w:tcBorders>
                          <w:bottom w:val="single" w:sz="8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414" w:type="dxa"/>
                        <w:tcBorders>
                          <w:bottom w:val="single" w:sz="8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438.82</w:t>
                        </w:r>
                      </w:p>
                    </w:tc>
                    <w:tc>
                      <w:tcPr>
                        <w:tcW w:w="1411" w:type="dxa"/>
                        <w:tcBorders>
                          <w:bottom w:val="single" w:sz="8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31.63</w:t>
                        </w:r>
                      </w:p>
                    </w:tc>
                    <w:tc>
                      <w:tcPr>
                        <w:tcW w:w="1404" w:type="dxa"/>
                        <w:tcBorders>
                          <w:bottom w:val="single" w:sz="8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2.03</w:t>
                        </w:r>
                      </w:p>
                    </w:tc>
                    <w:tc>
                      <w:tcPr>
                        <w:tcW w:w="1411" w:type="dxa"/>
                        <w:tcBorders>
                          <w:bottom w:val="single" w:sz="8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443.64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8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427.25</w:t>
                        </w:r>
                      </w:p>
                    </w:tc>
                    <w:tc>
                      <w:tcPr>
                        <w:tcW w:w="1411" w:type="dxa"/>
                        <w:tcBorders>
                          <w:bottom w:val="single" w:sz="8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7.91</w:t>
                        </w:r>
                      </w:p>
                    </w:tc>
                    <w:tc>
                      <w:tcPr>
                        <w:tcW w:w="1011" w:type="dxa"/>
                        <w:tcBorders>
                          <w:bottom w:val="single" w:sz="8" w:space="0" w:color="ACA899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0.23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840" w:type="dxa"/>
                        <w:tcBorders>
                          <w:top w:val="single" w:sz="8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single" w:sz="8" w:space="0" w:color="ACA899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488.01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8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30.61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8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0.23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8" w:space="0" w:color="ACA899"/>
                        </w:tcBorders>
                      </w:tcPr>
                      <w:p>
                        <w:pPr>
                          <w:pStyle w:val="TableParagraph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490.90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8" w:space="0" w:color="ACA899"/>
                        </w:tcBorders>
                      </w:tcPr>
                      <w:p>
                        <w:pPr>
                          <w:pStyle w:val="TableParagraph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483.18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8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3.96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8" w:space="0" w:color="ACA899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0.02</w:t>
                        </w:r>
                      </w:p>
                    </w:tc>
                  </w:tr>
                  <w:tr>
                    <w:trPr>
                      <w:trHeight w:val="577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528.51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28.80</w:t>
                        </w:r>
                      </w:p>
                    </w:tc>
                    <w:tc>
                      <w:tcPr>
                        <w:tcW w:w="1404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0.11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TableParagraph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538.16</w:t>
                        </w:r>
                      </w:p>
                    </w:tc>
                    <w:tc>
                      <w:tcPr>
                        <w:tcW w:w="1412" w:type="dxa"/>
                      </w:tcPr>
                      <w:p>
                        <w:pPr>
                          <w:pStyle w:val="TableParagraph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527.55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5.69</w:t>
                        </w:r>
                      </w:p>
                    </w:tc>
                    <w:tc>
                      <w:tcPr>
                        <w:tcW w:w="101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0.04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28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line="289" w:lineRule="exact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581.56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TableParagraph"/>
                          <w:spacing w:line="28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28.38</w:t>
                        </w:r>
                      </w:p>
                    </w:tc>
                    <w:tc>
                      <w:tcPr>
                        <w:tcW w:w="1404" w:type="dxa"/>
                      </w:tcPr>
                      <w:p>
                        <w:pPr>
                          <w:pStyle w:val="TableParagraph"/>
                          <w:spacing w:line="289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0.14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TableParagraph"/>
                          <w:spacing w:line="289" w:lineRule="exact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586.38</w:t>
                        </w:r>
                      </w:p>
                    </w:tc>
                    <w:tc>
                      <w:tcPr>
                        <w:tcW w:w="1412" w:type="dxa"/>
                      </w:tcPr>
                      <w:p>
                        <w:pPr>
                          <w:pStyle w:val="TableParagraph"/>
                          <w:spacing w:line="289" w:lineRule="exact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578.66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TableParagraph"/>
                          <w:spacing w:line="289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4.21</w:t>
                        </w:r>
                      </w:p>
                    </w:tc>
                    <w:tc>
                      <w:tcPr>
                        <w:tcW w:w="101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0.01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840" w:type="dxa"/>
                        <w:tcBorders>
                          <w:bottom w:val="single" w:sz="8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414" w:type="dxa"/>
                        <w:tcBorders>
                          <w:bottom w:val="single" w:sz="8" w:space="0" w:color="ACA899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766.73</w:t>
                        </w:r>
                      </w:p>
                    </w:tc>
                    <w:tc>
                      <w:tcPr>
                        <w:tcW w:w="1411" w:type="dxa"/>
                        <w:tcBorders>
                          <w:bottom w:val="single" w:sz="8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32.00</w:t>
                        </w:r>
                      </w:p>
                    </w:tc>
                    <w:tc>
                      <w:tcPr>
                        <w:tcW w:w="1404" w:type="dxa"/>
                        <w:tcBorders>
                          <w:bottom w:val="single" w:sz="8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3.37</w:t>
                        </w:r>
                      </w:p>
                    </w:tc>
                    <w:tc>
                      <w:tcPr>
                        <w:tcW w:w="1411" w:type="dxa"/>
                        <w:tcBorders>
                          <w:bottom w:val="single" w:sz="8" w:space="0" w:color="ACA899"/>
                        </w:tcBorders>
                      </w:tcPr>
                      <w:p>
                        <w:pPr>
                          <w:pStyle w:val="TableParagraph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803.38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8" w:space="0" w:color="ACA899"/>
                        </w:tcBorders>
                      </w:tcPr>
                      <w:p>
                        <w:pPr>
                          <w:pStyle w:val="TableParagraph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738.76</w:t>
                        </w:r>
                      </w:p>
                    </w:tc>
                    <w:tc>
                      <w:tcPr>
                        <w:tcW w:w="1411" w:type="dxa"/>
                        <w:tcBorders>
                          <w:bottom w:val="single" w:sz="8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30.30</w:t>
                        </w:r>
                      </w:p>
                    </w:tc>
                    <w:tc>
                      <w:tcPr>
                        <w:tcW w:w="1011" w:type="dxa"/>
                        <w:tcBorders>
                          <w:bottom w:val="single" w:sz="8" w:space="0" w:color="ACA899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NAME:</w:t>
      </w:r>
      <w:r>
        <w:rPr>
          <w:spacing w:val="-4"/>
        </w:rPr>
        <w:t> </w:t>
      </w:r>
      <w:r>
        <w:rPr/>
        <w:t>NWADIOGBU</w:t>
      </w:r>
      <w:r>
        <w:rPr>
          <w:spacing w:val="-2"/>
        </w:rPr>
        <w:t> </w:t>
      </w:r>
      <w:r>
        <w:rPr/>
        <w:t>ONYEBUCHI,</w:t>
        <w:tab/>
        <w:t>SAMPLE:</w:t>
      </w:r>
      <w:r>
        <w:rPr>
          <w:spacing w:val="-2"/>
        </w:rPr>
        <w:t> </w:t>
      </w:r>
      <w:r>
        <w:rPr/>
        <w:t>ACC21</w:t>
      </w:r>
      <w:r>
        <w:rPr>
          <w:spacing w:val="73"/>
        </w:rPr>
        <w:t> </w:t>
      </w:r>
      <w:r>
        <w:rPr/>
        <w:t>(KBr)</w:t>
        <w:tab/>
        <w:t>1/</w:t>
      </w:r>
    </w:p>
    <w:p>
      <w:pPr>
        <w:spacing w:after="0"/>
        <w:sectPr>
          <w:pgSz w:w="11910" w:h="16840"/>
          <w:pgMar w:header="0" w:footer="987" w:top="1140" w:bottom="1180" w:left="420" w:right="0"/>
        </w:sectPr>
      </w:pP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79.103996pt;margin-top:61.799984pt;width:517.1pt;height:447.7pt;mso-position-horizontal-relative:page;mso-position-vertical-relative:page;z-index:15805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ACA899"/>
                      <w:left w:val="single" w:sz="8" w:space="0" w:color="ACA899"/>
                      <w:bottom w:val="single" w:sz="8" w:space="0" w:color="ACA899"/>
                      <w:right w:val="single" w:sz="8" w:space="0" w:color="ACA899"/>
                      <w:insideH w:val="single" w:sz="8" w:space="0" w:color="ACA899"/>
                      <w:insideV w:val="single" w:sz="8" w:space="0" w:color="ACA89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1414"/>
                    <w:gridCol w:w="1411"/>
                    <w:gridCol w:w="1404"/>
                    <w:gridCol w:w="1411"/>
                    <w:gridCol w:w="1412"/>
                    <w:gridCol w:w="1411"/>
                    <w:gridCol w:w="1011"/>
                  </w:tblGrid>
                  <w:tr>
                    <w:trPr>
                      <w:trHeight w:val="580" w:hRule="atLeast"/>
                    </w:trPr>
                    <w:tc>
                      <w:tcPr>
                        <w:tcW w:w="840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414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857.39</w:t>
                        </w:r>
                      </w:p>
                    </w:tc>
                    <w:tc>
                      <w:tcPr>
                        <w:tcW w:w="1411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33.65</w:t>
                        </w:r>
                      </w:p>
                    </w:tc>
                    <w:tc>
                      <w:tcPr>
                        <w:tcW w:w="1404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1.93</w:t>
                        </w:r>
                      </w:p>
                    </w:tc>
                    <w:tc>
                      <w:tcPr>
                        <w:tcW w:w="1411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878.60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817.85</w:t>
                        </w:r>
                      </w:p>
                    </w:tc>
                    <w:tc>
                      <w:tcPr>
                        <w:tcW w:w="1411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27.72</w:t>
                        </w:r>
                      </w:p>
                    </w:tc>
                    <w:tc>
                      <w:tcPr>
                        <w:tcW w:w="1011" w:type="dxa"/>
                        <w:tcBorders>
                          <w:left w:val="single" w:sz="6" w:space="0" w:color="ACA899"/>
                          <w:bottom w:val="single" w:sz="6" w:space="0" w:color="ACA899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0.66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840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931.65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29.65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0.03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945.15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930.68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7.60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0.01</w:t>
                        </w:r>
                      </w:p>
                    </w:tc>
                  </w:tr>
                  <w:tr>
                    <w:trPr>
                      <w:trHeight w:val="577" w:hRule="atLeast"/>
                    </w:trPr>
                    <w:tc>
                      <w:tcPr>
                        <w:tcW w:w="840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1022.31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17.16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0.11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1025.20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1019.41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4.42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0.01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840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1156.36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20.76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3.08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1189.15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1138.04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32.96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6" w:space="0" w:color="ACA899"/>
                          <w:left w:val="single" w:sz="6" w:space="0" w:color="ACA899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1.48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840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1414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1239.31</w:t>
                        </w:r>
                      </w:p>
                    </w:tc>
                    <w:tc>
                      <w:tcPr>
                        <w:tcW w:w="1411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25.69</w:t>
                        </w:r>
                      </w:p>
                    </w:tc>
                    <w:tc>
                      <w:tcPr>
                        <w:tcW w:w="1404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0.14</w:t>
                        </w:r>
                      </w:p>
                    </w:tc>
                    <w:tc>
                      <w:tcPr>
                        <w:tcW w:w="1411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1287.53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1237.38</w:t>
                        </w:r>
                      </w:p>
                    </w:tc>
                    <w:tc>
                      <w:tcPr>
                        <w:tcW w:w="1411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28.31</w:t>
                        </w:r>
                      </w:p>
                    </w:tc>
                    <w:tc>
                      <w:tcPr>
                        <w:tcW w:w="1011" w:type="dxa"/>
                        <w:tcBorders>
                          <w:left w:val="single" w:sz="6" w:space="0" w:color="ACA899"/>
                          <w:bottom w:val="single" w:sz="6" w:space="0" w:color="ACA899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-0.09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840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1329.96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25.85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1.29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1349.25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1287.53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35.13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0.55</w:t>
                        </w:r>
                      </w:p>
                    </w:tc>
                  </w:tr>
                  <w:tr>
                    <w:trPr>
                      <w:trHeight w:val="578" w:hRule="atLeast"/>
                    </w:trPr>
                    <w:tc>
                      <w:tcPr>
                        <w:tcW w:w="840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1371.43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25.13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1.79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1399.40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1349.25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29.28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0.74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840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1430.26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26.36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0.11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1432.19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1415.80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9.44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6" w:space="0" w:color="ACA899"/>
                          <w:left w:val="single" w:sz="6" w:space="0" w:color="ACA899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0.04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840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1414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1517.06</w:t>
                        </w:r>
                      </w:p>
                    </w:tc>
                    <w:tc>
                      <w:tcPr>
                        <w:tcW w:w="1411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31.04</w:t>
                        </w:r>
                      </w:p>
                    </w:tc>
                    <w:tc>
                      <w:tcPr>
                        <w:tcW w:w="1404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0.35</w:t>
                        </w:r>
                      </w:p>
                    </w:tc>
                    <w:tc>
                      <w:tcPr>
                        <w:tcW w:w="1411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1521.89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1500.67</w:t>
                        </w:r>
                      </w:p>
                    </w:tc>
                    <w:tc>
                      <w:tcPr>
                        <w:tcW w:w="1411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10.68</w:t>
                        </w:r>
                      </w:p>
                    </w:tc>
                    <w:tc>
                      <w:tcPr>
                        <w:tcW w:w="1011" w:type="dxa"/>
                        <w:tcBorders>
                          <w:left w:val="single" w:sz="6" w:space="0" w:color="ACA899"/>
                          <w:bottom w:val="single" w:sz="6" w:space="0" w:color="ACA899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0.06</w:t>
                        </w:r>
                      </w:p>
                    </w:tc>
                  </w:tr>
                  <w:tr>
                    <w:trPr>
                      <w:trHeight w:val="577" w:hRule="atLeast"/>
                    </w:trPr>
                    <w:tc>
                      <w:tcPr>
                        <w:tcW w:w="840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1647.26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26.57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0.21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1649.19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1632.80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9.35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0.03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840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1735.03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26.68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0.09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1735.99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1721.53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8.18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0.03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840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2359.98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31.10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0.07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2361.91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2342.62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9.72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6" w:space="0" w:color="ACA899"/>
                          <w:left w:val="single" w:sz="6" w:space="0" w:color="ACA899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577" w:hRule="atLeast"/>
                    </w:trPr>
                    <w:tc>
                      <w:tcPr>
                        <w:tcW w:w="840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1414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2925.15</w:t>
                        </w:r>
                      </w:p>
                    </w:tc>
                    <w:tc>
                      <w:tcPr>
                        <w:tcW w:w="1411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18.96</w:t>
                        </w:r>
                      </w:p>
                    </w:tc>
                    <w:tc>
                      <w:tcPr>
                        <w:tcW w:w="1404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3.845</w:t>
                        </w:r>
                      </w:p>
                    </w:tc>
                    <w:tc>
                      <w:tcPr>
                        <w:tcW w:w="1411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2983.98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2869.21</w:t>
                        </w:r>
                      </w:p>
                    </w:tc>
                    <w:tc>
                      <w:tcPr>
                        <w:tcW w:w="1411" w:type="dxa"/>
                        <w:tcBorders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77.81</w:t>
                        </w:r>
                      </w:p>
                    </w:tc>
                    <w:tc>
                      <w:tcPr>
                        <w:tcW w:w="1011" w:type="dxa"/>
                        <w:tcBorders>
                          <w:left w:val="single" w:sz="6" w:space="0" w:color="ACA899"/>
                          <w:bottom w:val="single" w:sz="6" w:space="0" w:color="ACA899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4.14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840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3402.54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15.09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0.408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3408.33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3388.08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16.38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0.09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840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3499.95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16.10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0.274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3513.45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3497.06</w:t>
                        </w:r>
                      </w:p>
                    </w:tc>
                    <w:tc>
                      <w:tcPr>
                        <w:tcW w:w="14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single" w:sz="6" w:space="0" w:color="ACA899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12.80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6" w:space="0" w:color="ACA899"/>
                          <w:left w:val="single" w:sz="6" w:space="0" w:color="ACA899"/>
                          <w:bottom w:val="single" w:sz="6" w:space="0" w:color="ACA899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987" w:top="1220" w:bottom="1180" w:left="420" w:right="0"/>
        </w:sectPr>
      </w:pPr>
    </w:p>
    <w:p>
      <w:pPr>
        <w:pStyle w:val="BodyText"/>
        <w:ind w:left="893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99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</w:pPr>
    </w:p>
    <w:p>
      <w:pPr>
        <w:spacing w:before="100"/>
        <w:ind w:left="1267" w:right="0" w:firstLine="0"/>
        <w:jc w:val="left"/>
        <w:rPr>
          <w:sz w:val="24"/>
        </w:rPr>
      </w:pPr>
      <w:r>
        <w:rPr>
          <w:b/>
          <w:sz w:val="24"/>
        </w:rPr>
        <w:t>Appendix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20:</w:t>
      </w:r>
      <w:r>
        <w:rPr>
          <w:b/>
          <w:spacing w:val="2"/>
          <w:sz w:val="24"/>
        </w:rPr>
        <w:t> </w:t>
      </w:r>
      <w:r>
        <w:rPr>
          <w:sz w:val="24"/>
        </w:rPr>
        <w:t>Spectrograph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Acetylated</w:t>
      </w:r>
      <w:r>
        <w:rPr>
          <w:spacing w:val="-1"/>
          <w:sz w:val="24"/>
        </w:rPr>
        <w:t> </w:t>
      </w:r>
      <w:r>
        <w:rPr>
          <w:sz w:val="24"/>
        </w:rPr>
        <w:t>Mango</w:t>
      </w:r>
      <w:r>
        <w:rPr>
          <w:spacing w:val="-3"/>
          <w:sz w:val="24"/>
        </w:rPr>
        <w:t> </w:t>
      </w:r>
      <w:r>
        <w:rPr>
          <w:sz w:val="24"/>
        </w:rPr>
        <w:t>kernel (sample 1)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471805</wp:posOffset>
            </wp:positionH>
            <wp:positionV relativeFrom="paragraph">
              <wp:posOffset>248804</wp:posOffset>
            </wp:positionV>
            <wp:extent cx="6707502" cy="2933700"/>
            <wp:effectExtent l="0" t="0" r="0" b="0"/>
            <wp:wrapTopAndBottom/>
            <wp:docPr id="10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8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904" w:val="left" w:leader="none"/>
        </w:tabs>
        <w:ind w:left="1198"/>
      </w:pPr>
      <w:r>
        <w:rPr/>
        <w:t>FTIR</w:t>
      </w:r>
      <w:r>
        <w:rPr>
          <w:spacing w:val="-5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RESULT</w:t>
      </w:r>
      <w:r>
        <w:rPr>
          <w:spacing w:val="-4"/>
        </w:rPr>
        <w:t> </w:t>
      </w:r>
      <w:r>
        <w:rPr/>
        <w:t>NARICT,ZARIA</w:t>
        <w:tab/>
        <w:t>FTIR-</w:t>
      </w:r>
      <w:r>
        <w:rPr>
          <w:spacing w:val="-4"/>
        </w:rPr>
        <w:t> </w:t>
      </w:r>
      <w:r>
        <w:rPr/>
        <w:t>8400S</w:t>
      </w:r>
      <w:r>
        <w:rPr>
          <w:spacing w:val="-1"/>
        </w:rPr>
        <w:t> </w:t>
      </w:r>
      <w:r>
        <w:rPr/>
        <w:t>FOURIER</w:t>
      </w:r>
      <w:r>
        <w:rPr>
          <w:spacing w:val="-4"/>
        </w:rPr>
        <w:t> </w:t>
      </w:r>
      <w:r>
        <w:rPr/>
        <w:t>TRANSFORM</w:t>
      </w:r>
    </w:p>
    <w:p>
      <w:pPr>
        <w:pStyle w:val="BodyText"/>
        <w:spacing w:before="1"/>
        <w:rPr>
          <w:sz w:val="27"/>
        </w:r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Peak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Intensity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Corr.</w:t>
            </w:r>
          </w:p>
          <w:p>
            <w:pPr>
              <w:pStyle w:val="TableParagraph"/>
              <w:spacing w:line="240" w:lineRule="auto" w:before="1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Intensity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(H)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(L)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Area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Corr.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407.96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15.65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8.27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460.04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85.83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10.63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575.77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16.84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837.13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461.00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285.94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3.79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1028.09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14.54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3.54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1272.1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838.10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336.63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13.70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1415.8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16.85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1495.85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1273.06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170.84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2.34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1533.46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17.37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1574.93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1496.81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59.23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</w:tr>
      <w:tr>
        <w:trPr>
          <w:trHeight w:val="5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1649.19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16.57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1843.04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1575.89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201.18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3.68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2928.04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15.56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2999.41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1844.01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871.45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3393.86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13.28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2.80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3709.24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3000.37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597.60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34.81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3744.92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16.12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3798.93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3710.20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70.15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3866.44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4012.07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3799.89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167.62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540" w:bottom="1180" w:left="420" w:right="0"/>
        </w:sect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4131.66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16.27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4151.91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4013.03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109.43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220" w:bottom="1180" w:left="420" w:right="0"/>
        </w:sectPr>
      </w:pPr>
    </w:p>
    <w:p>
      <w:pPr>
        <w:pStyle w:val="BodyText"/>
        <w:ind w:left="893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103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</w:pPr>
    </w:p>
    <w:p>
      <w:pPr>
        <w:spacing w:before="100"/>
        <w:ind w:left="1198" w:right="0" w:firstLine="0"/>
        <w:jc w:val="left"/>
        <w:rPr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21:</w:t>
      </w:r>
      <w:r>
        <w:rPr>
          <w:b/>
          <w:spacing w:val="1"/>
          <w:sz w:val="24"/>
        </w:rPr>
        <w:t> </w:t>
      </w:r>
      <w:r>
        <w:rPr>
          <w:sz w:val="24"/>
        </w:rPr>
        <w:t>Spectrograph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Acetylated</w:t>
      </w:r>
      <w:r>
        <w:rPr>
          <w:spacing w:val="-2"/>
          <w:sz w:val="24"/>
        </w:rPr>
        <w:t> </w:t>
      </w:r>
      <w:r>
        <w:rPr>
          <w:sz w:val="24"/>
        </w:rPr>
        <w:t>Mango</w:t>
      </w:r>
      <w:r>
        <w:rPr>
          <w:spacing w:val="-3"/>
          <w:sz w:val="24"/>
        </w:rPr>
        <w:t> </w:t>
      </w:r>
      <w:r>
        <w:rPr>
          <w:sz w:val="24"/>
        </w:rPr>
        <w:t>kernel</w:t>
      </w:r>
      <w:r>
        <w:rPr>
          <w:spacing w:val="-1"/>
          <w:sz w:val="24"/>
        </w:rPr>
        <w:t> </w:t>
      </w:r>
      <w:r>
        <w:rPr>
          <w:sz w:val="24"/>
        </w:rPr>
        <w:t>(sample 2)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471805</wp:posOffset>
            </wp:positionH>
            <wp:positionV relativeFrom="paragraph">
              <wp:posOffset>248804</wp:posOffset>
            </wp:positionV>
            <wp:extent cx="6707502" cy="2933700"/>
            <wp:effectExtent l="0" t="0" r="0" b="0"/>
            <wp:wrapTopAndBottom/>
            <wp:docPr id="10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8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6362" w:val="left" w:leader="none"/>
        </w:tabs>
      </w:pPr>
      <w:r>
        <w:rPr/>
        <w:t>FTIR</w:t>
      </w:r>
      <w:r>
        <w:rPr>
          <w:spacing w:val="-4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NARICT,ZARIA</w:t>
        <w:tab/>
        <w:t>FTIR-</w:t>
      </w:r>
      <w:r>
        <w:rPr>
          <w:spacing w:val="-3"/>
        </w:rPr>
        <w:t> </w:t>
      </w:r>
      <w:r>
        <w:rPr/>
        <w:t>8400S</w:t>
      </w:r>
      <w:r>
        <w:rPr>
          <w:spacing w:val="-3"/>
        </w:rPr>
        <w:t> </w:t>
      </w:r>
      <w:r>
        <w:rPr/>
        <w:t>FOURIER</w:t>
      </w:r>
      <w:r>
        <w:rPr>
          <w:spacing w:val="-2"/>
        </w:rPr>
        <w:t> </w:t>
      </w:r>
      <w:r>
        <w:rPr/>
        <w:t>TRANSFORM</w:t>
      </w:r>
    </w:p>
    <w:p>
      <w:pPr>
        <w:pStyle w:val="BodyText"/>
        <w:spacing w:before="1"/>
        <w:rPr>
          <w:b/>
          <w:sz w:val="27"/>
        </w:r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403.14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15.39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14.05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441.71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66.78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12.40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579.63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16.28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873.78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442.68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326.47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8.99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1026.16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13.27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5.71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1224.84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874.75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274.88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21.51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1232.55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1276.92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1225.80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37.63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1359.86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17.51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1504.53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1277.88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168.70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</w:tr>
      <w:tr>
        <w:trPr>
          <w:trHeight w:val="5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1539.25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19.01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1566.25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1505.49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43.73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1646.30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17.29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2.39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1826.65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1567.21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186.79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5.63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2274.15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2326.23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1827.61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344.33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540" w:bottom="1180" w:left="420" w:right="0"/>
        </w:sect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2928.04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15.81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1.06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2999.41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2327.19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500.18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3.04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3391.94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12.46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4.54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3718.88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3000.37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610.93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57.04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3752.64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17.36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3801.82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3719.85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62.22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3875.12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17.26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3919.48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3802.79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88.81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4072.83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17.22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4099.83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3920.45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136.92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4418.10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16.85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4426.78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4100.80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250.63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</w:tr>
    </w:tbl>
    <w:p>
      <w:pPr>
        <w:spacing w:after="0" w:line="284" w:lineRule="exact"/>
        <w:rPr>
          <w:sz w:val="24"/>
        </w:rPr>
        <w:sectPr>
          <w:pgSz w:w="11910" w:h="16840"/>
          <w:pgMar w:header="0" w:footer="987" w:top="1220" w:bottom="1180" w:left="420" w:right="0"/>
        </w:sectPr>
      </w:pPr>
    </w:p>
    <w:p>
      <w:pPr>
        <w:pStyle w:val="BodyText"/>
        <w:ind w:left="893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107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</w:rPr>
      </w:pPr>
    </w:p>
    <w:p>
      <w:pPr>
        <w:pStyle w:val="BodyText"/>
        <w:spacing w:before="100"/>
        <w:ind w:left="1198"/>
      </w:pPr>
      <w:r>
        <w:rPr/>
        <w:t>Appendix</w:t>
      </w:r>
      <w:r>
        <w:rPr>
          <w:spacing w:val="-1"/>
        </w:rPr>
        <w:t> </w:t>
      </w:r>
      <w:r>
        <w:rPr/>
        <w:t>22:</w:t>
      </w:r>
      <w:r>
        <w:rPr>
          <w:spacing w:val="-4"/>
        </w:rPr>
        <w:t> </w:t>
      </w:r>
      <w:r>
        <w:rPr/>
        <w:t>Spectrograph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Acetylated</w:t>
      </w:r>
      <w:r>
        <w:rPr>
          <w:spacing w:val="-3"/>
        </w:rPr>
        <w:t> </w:t>
      </w:r>
      <w:r>
        <w:rPr/>
        <w:t>Mango</w:t>
      </w:r>
      <w:r>
        <w:rPr>
          <w:spacing w:val="-3"/>
        </w:rPr>
        <w:t> </w:t>
      </w:r>
      <w:r>
        <w:rPr/>
        <w:t>kernel</w:t>
      </w:r>
      <w:r>
        <w:rPr>
          <w:spacing w:val="-1"/>
        </w:rPr>
        <w:t> </w:t>
      </w:r>
      <w:r>
        <w:rPr/>
        <w:t>(sample</w:t>
      </w:r>
      <w:r>
        <w:rPr>
          <w:spacing w:val="-2"/>
        </w:rPr>
        <w:t> </w:t>
      </w:r>
      <w:r>
        <w:rPr/>
        <w:t>3)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471805</wp:posOffset>
            </wp:positionH>
            <wp:positionV relativeFrom="paragraph">
              <wp:posOffset>248804</wp:posOffset>
            </wp:positionV>
            <wp:extent cx="6707502" cy="2933700"/>
            <wp:effectExtent l="0" t="0" r="0" b="0"/>
            <wp:wrapTopAndBottom/>
            <wp:docPr id="10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6432" w:val="left" w:leader="none"/>
        </w:tabs>
      </w:pPr>
      <w:r>
        <w:rPr/>
        <w:t>FTIR</w:t>
      </w:r>
      <w:r>
        <w:rPr>
          <w:spacing w:val="-4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NARICT,ZARIA</w:t>
        <w:tab/>
        <w:t>FTIR-</w:t>
      </w:r>
      <w:r>
        <w:rPr>
          <w:spacing w:val="-1"/>
        </w:rPr>
        <w:t> </w:t>
      </w:r>
      <w:r>
        <w:rPr/>
        <w:t>8400S</w:t>
      </w:r>
      <w:r>
        <w:rPr>
          <w:spacing w:val="-5"/>
        </w:rPr>
        <w:t> </w:t>
      </w:r>
      <w:r>
        <w:rPr/>
        <w:t>FOURIER</w:t>
      </w:r>
      <w:r>
        <w:rPr>
          <w:spacing w:val="-2"/>
        </w:rPr>
        <w:t> </w:t>
      </w:r>
      <w:r>
        <w:rPr/>
        <w:t>TRANSFORM</w:t>
      </w:r>
    </w:p>
    <w:p>
      <w:pPr>
        <w:pStyle w:val="BodyText"/>
        <w:spacing w:before="1"/>
        <w:rPr>
          <w:b/>
          <w:sz w:val="27"/>
        </w:r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425.32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15.32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7.04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459.07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81.75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9.62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542.98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14.90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828.45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460.04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290.54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11.83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1024.24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10.28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8.33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1278.85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829.42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369.78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39.82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1360.82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15.86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2.18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1572.04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1279.81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222.90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8.78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1648.23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16.28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4.44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1872.94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1573.00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209.87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11.29</w:t>
            </w:r>
          </w:p>
        </w:tc>
      </w:tr>
      <w:tr>
        <w:trPr>
          <w:trHeight w:val="5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2161.31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22.57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2221.11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1873.91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221.15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2278.01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22.57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2331.05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2222.07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70.32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540" w:bottom="1180" w:left="420" w:right="0"/>
        </w:sect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2925.15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14.93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2.16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3002.30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2332.02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485.54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6.64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3388.08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10.81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7.07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3798.93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3003.27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691.18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95.97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3869.33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19.11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3967.71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3799.89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119.90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4009.18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19.43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4132.63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3968.67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116.49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4403.63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19.20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4475.00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4133.59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243.41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</w:tr>
    </w:tbl>
    <w:p>
      <w:pPr>
        <w:spacing w:after="0" w:line="284" w:lineRule="exact"/>
        <w:rPr>
          <w:sz w:val="24"/>
        </w:rPr>
        <w:sectPr>
          <w:pgSz w:w="11910" w:h="16840"/>
          <w:pgMar w:header="0" w:footer="987" w:top="1220" w:bottom="1180" w:left="420" w:right="0"/>
        </w:sectPr>
      </w:pPr>
    </w:p>
    <w:p>
      <w:pPr>
        <w:pStyle w:val="BodyText"/>
        <w:ind w:left="893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111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</w:rPr>
      </w:pPr>
    </w:p>
    <w:p>
      <w:pPr>
        <w:pStyle w:val="BodyText"/>
        <w:spacing w:before="100"/>
        <w:ind w:left="1198"/>
      </w:pPr>
      <w:r>
        <w:rPr/>
        <w:t>Appendix</w:t>
      </w:r>
      <w:r>
        <w:rPr>
          <w:spacing w:val="-1"/>
        </w:rPr>
        <w:t> </w:t>
      </w:r>
      <w:r>
        <w:rPr/>
        <w:t>23:</w:t>
      </w:r>
      <w:r>
        <w:rPr>
          <w:spacing w:val="-4"/>
        </w:rPr>
        <w:t> </w:t>
      </w:r>
      <w:r>
        <w:rPr/>
        <w:t>Spectrograph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Acetylated</w:t>
      </w:r>
      <w:r>
        <w:rPr>
          <w:spacing w:val="-3"/>
        </w:rPr>
        <w:t> </w:t>
      </w:r>
      <w:r>
        <w:rPr/>
        <w:t>Mango</w:t>
      </w:r>
      <w:r>
        <w:rPr>
          <w:spacing w:val="-3"/>
        </w:rPr>
        <w:t> </w:t>
      </w:r>
      <w:r>
        <w:rPr/>
        <w:t>kernel</w:t>
      </w:r>
      <w:r>
        <w:rPr>
          <w:spacing w:val="-2"/>
        </w:rPr>
        <w:t> </w:t>
      </w:r>
      <w:r>
        <w:rPr/>
        <w:t>(sample</w:t>
      </w:r>
      <w:r>
        <w:rPr>
          <w:spacing w:val="-2"/>
        </w:rPr>
        <w:t> </w:t>
      </w:r>
      <w:r>
        <w:rPr/>
        <w:t>4)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471805</wp:posOffset>
            </wp:positionH>
            <wp:positionV relativeFrom="paragraph">
              <wp:posOffset>248804</wp:posOffset>
            </wp:positionV>
            <wp:extent cx="6707502" cy="2933700"/>
            <wp:effectExtent l="0" t="0" r="0" b="0"/>
            <wp:wrapTopAndBottom/>
            <wp:docPr id="11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9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6432" w:val="left" w:leader="none"/>
        </w:tabs>
      </w:pPr>
      <w:r>
        <w:rPr/>
        <w:t>FTIR</w:t>
      </w:r>
      <w:r>
        <w:rPr>
          <w:spacing w:val="-4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NARICT,ZARIA</w:t>
        <w:tab/>
        <w:t>FTIR-</w:t>
      </w:r>
      <w:r>
        <w:rPr>
          <w:spacing w:val="-1"/>
        </w:rPr>
        <w:t> </w:t>
      </w:r>
      <w:r>
        <w:rPr/>
        <w:t>8400S</w:t>
      </w:r>
      <w:r>
        <w:rPr>
          <w:spacing w:val="-5"/>
        </w:rPr>
        <w:t> </w:t>
      </w:r>
      <w:r>
        <w:rPr/>
        <w:t>FOURIER</w:t>
      </w:r>
      <w:r>
        <w:rPr>
          <w:spacing w:val="-2"/>
        </w:rPr>
        <w:t> </w:t>
      </w:r>
      <w:r>
        <w:rPr/>
        <w:t>TRANSFORM</w:t>
      </w:r>
    </w:p>
    <w:p>
      <w:pPr>
        <w:pStyle w:val="BodyText"/>
        <w:spacing w:before="1"/>
        <w:rPr>
          <w:b/>
          <w:sz w:val="27"/>
        </w:r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414.71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18.21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460.04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77.61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9.62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574.81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17.93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2.08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861.24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283.05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9.56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1026.16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12.97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8.65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1228.70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862.21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276.68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31.90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1240.27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20.37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1281.74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1229.66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35.90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1361.79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19.30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1.88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1572.04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1282.71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198.57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6.28</w:t>
            </w:r>
          </w:p>
        </w:tc>
      </w:tr>
      <w:tr>
        <w:trPr>
          <w:trHeight w:val="5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1650.16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19.46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4.18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1890.30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1573.00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201.77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8.72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2146.84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25.60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2239.43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1891.27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204.30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540" w:bottom="1180" w:left="420" w:right="0"/>
        </w:sect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2261.61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25.76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2336.84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2240.39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56.6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2926.11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18.54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3004.23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2337.80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431.01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3385.18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13.45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7.92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3799.89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3005.2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620.47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88.18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3857.76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22.61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4160.59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3800.86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230.29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4360.23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22.84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4385.31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4161.56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142.91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4658.25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22.38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4700.68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4386.27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202.83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</w:tbl>
    <w:p>
      <w:pPr>
        <w:spacing w:after="0" w:line="284" w:lineRule="exact"/>
        <w:rPr>
          <w:sz w:val="24"/>
        </w:rPr>
        <w:sectPr>
          <w:pgSz w:w="11910" w:h="16840"/>
          <w:pgMar w:header="0" w:footer="987" w:top="1220" w:bottom="1180" w:left="420" w:right="0"/>
        </w:sectPr>
      </w:pPr>
    </w:p>
    <w:p>
      <w:pPr>
        <w:pStyle w:val="BodyText"/>
        <w:ind w:left="8930"/>
        <w:rPr>
          <w:sz w:val="20"/>
        </w:rPr>
      </w:pPr>
      <w:r>
        <w:rPr>
          <w:sz w:val="20"/>
        </w:rPr>
        <w:drawing>
          <wp:inline distT="0" distB="0" distL="0" distR="0">
            <wp:extent cx="1187523" cy="178307"/>
            <wp:effectExtent l="0" t="0" r="0" b="0"/>
            <wp:docPr id="115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523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1198"/>
      </w:pPr>
      <w:r>
        <w:rPr/>
        <w:t>Appendix</w:t>
      </w:r>
      <w:r>
        <w:rPr>
          <w:spacing w:val="-1"/>
        </w:rPr>
        <w:t> </w:t>
      </w:r>
      <w:r>
        <w:rPr/>
        <w:t>24:</w:t>
      </w:r>
      <w:r>
        <w:rPr>
          <w:spacing w:val="-4"/>
        </w:rPr>
        <w:t> </w:t>
      </w:r>
      <w:r>
        <w:rPr/>
        <w:t>Spectrograph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Acetylated</w:t>
      </w:r>
      <w:r>
        <w:rPr>
          <w:spacing w:val="-3"/>
        </w:rPr>
        <w:t> </w:t>
      </w:r>
      <w:r>
        <w:rPr/>
        <w:t>Mango</w:t>
      </w:r>
      <w:r>
        <w:rPr>
          <w:spacing w:val="-3"/>
        </w:rPr>
        <w:t> </w:t>
      </w:r>
      <w:r>
        <w:rPr/>
        <w:t>kernel</w:t>
      </w:r>
      <w:r>
        <w:rPr>
          <w:spacing w:val="-1"/>
        </w:rPr>
        <w:t> </w:t>
      </w:r>
      <w:r>
        <w:rPr/>
        <w:t>(sample</w:t>
      </w:r>
      <w:r>
        <w:rPr>
          <w:spacing w:val="-2"/>
        </w:rPr>
        <w:t> </w:t>
      </w:r>
      <w:r>
        <w:rPr/>
        <w:t>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471805</wp:posOffset>
            </wp:positionH>
            <wp:positionV relativeFrom="paragraph">
              <wp:posOffset>112886</wp:posOffset>
            </wp:positionV>
            <wp:extent cx="6711443" cy="2933700"/>
            <wp:effectExtent l="0" t="0" r="0" b="0"/>
            <wp:wrapTopAndBottom/>
            <wp:docPr id="11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443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6432" w:val="left" w:leader="none"/>
        </w:tabs>
        <w:spacing w:line="266" w:lineRule="exact"/>
      </w:pPr>
      <w:r>
        <w:rPr/>
        <w:t>FTIR</w:t>
      </w:r>
      <w:r>
        <w:rPr>
          <w:spacing w:val="-4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NARICT,ZARIA</w:t>
        <w:tab/>
        <w:t>FTIR-</w:t>
      </w:r>
      <w:r>
        <w:rPr>
          <w:spacing w:val="-1"/>
        </w:rPr>
        <w:t> </w:t>
      </w:r>
      <w:r>
        <w:rPr/>
        <w:t>8400S</w:t>
      </w:r>
      <w:r>
        <w:rPr>
          <w:spacing w:val="-5"/>
        </w:rPr>
        <w:t> </w:t>
      </w:r>
      <w:r>
        <w:rPr/>
        <w:t>FOURIER</w:t>
      </w:r>
      <w:r>
        <w:rPr>
          <w:spacing w:val="-2"/>
        </w:rPr>
        <w:t> </w:t>
      </w:r>
      <w:r>
        <w:rPr/>
        <w:t>TRANSFORM</w:t>
      </w:r>
    </w:p>
    <w:p>
      <w:pPr>
        <w:pStyle w:val="BodyText"/>
        <w:spacing w:before="1"/>
        <w:rPr>
          <w:b/>
          <w:sz w:val="29"/>
        </w:r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1161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411.82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18.47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8.76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441.71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61.71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8.36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578.66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17.32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832.31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442.68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279.32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1027.13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10.56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1210.37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833.28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293.90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41.27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1251.84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18.98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1293.31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1211.34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58.63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1363.72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18.14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2.47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1572.04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1294.28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192.70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7.79</w:t>
            </w:r>
          </w:p>
        </w:tc>
      </w:tr>
      <w:tr>
        <w:trPr>
          <w:trHeight w:val="5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1649.19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18.89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6.47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1888.37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1573.00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195.51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16.11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2143.95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28.83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2331.05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1889.34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235.19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2.96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2927.08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17.68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3.49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3006.16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2332.02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418.81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7.38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3400.62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11.05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12.37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3800.86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3007.12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641.69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137.97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3860.65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26.49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4191.46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3801.82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222.30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1.34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4389.17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27.04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4475.97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4192.42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160.54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540" w:bottom="1180" w:left="420" w:right="0"/>
        </w:sectPr>
      </w:pPr>
    </w:p>
    <w:p>
      <w:pPr>
        <w:pStyle w:val="BodyText"/>
        <w:ind w:left="893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119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0"/>
        <w:ind w:left="1198"/>
      </w:pPr>
      <w:r>
        <w:rPr/>
        <w:t>Appendix</w:t>
      </w:r>
      <w:r>
        <w:rPr>
          <w:spacing w:val="-1"/>
        </w:rPr>
        <w:t> </w:t>
      </w:r>
      <w:r>
        <w:rPr/>
        <w:t>25:</w:t>
      </w:r>
      <w:r>
        <w:rPr>
          <w:spacing w:val="-4"/>
        </w:rPr>
        <w:t> </w:t>
      </w:r>
      <w:r>
        <w:rPr/>
        <w:t>Spectrograph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Acetylated</w:t>
      </w:r>
      <w:r>
        <w:rPr>
          <w:spacing w:val="-3"/>
        </w:rPr>
        <w:t> </w:t>
      </w:r>
      <w:r>
        <w:rPr/>
        <w:t>Mango</w:t>
      </w:r>
      <w:r>
        <w:rPr>
          <w:spacing w:val="-3"/>
        </w:rPr>
        <w:t> </w:t>
      </w:r>
      <w:r>
        <w:rPr/>
        <w:t>kernel</w:t>
      </w:r>
      <w:r>
        <w:rPr>
          <w:spacing w:val="-1"/>
        </w:rPr>
        <w:t> </w:t>
      </w:r>
      <w:r>
        <w:rPr/>
        <w:t>(sample</w:t>
      </w:r>
      <w:r>
        <w:rPr>
          <w:spacing w:val="-2"/>
        </w:rPr>
        <w:t> </w:t>
      </w:r>
      <w:r>
        <w:rPr/>
        <w:t>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471805</wp:posOffset>
            </wp:positionH>
            <wp:positionV relativeFrom="paragraph">
              <wp:posOffset>113589</wp:posOffset>
            </wp:positionV>
            <wp:extent cx="6707502" cy="2933700"/>
            <wp:effectExtent l="0" t="0" r="0" b="0"/>
            <wp:wrapTopAndBottom/>
            <wp:docPr id="121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9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6362" w:val="left" w:leader="none"/>
        </w:tabs>
      </w:pPr>
      <w:r>
        <w:rPr/>
        <w:t>FTIR</w:t>
      </w:r>
      <w:r>
        <w:rPr>
          <w:spacing w:val="-4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NARICT,ZARIA</w:t>
        <w:tab/>
        <w:t>FTIR-</w:t>
      </w:r>
      <w:r>
        <w:rPr>
          <w:spacing w:val="-3"/>
        </w:rPr>
        <w:t> </w:t>
      </w:r>
      <w:r>
        <w:rPr/>
        <w:t>8400S</w:t>
      </w:r>
      <w:r>
        <w:rPr>
          <w:spacing w:val="-3"/>
        </w:rPr>
        <w:t> </w:t>
      </w:r>
      <w:r>
        <w:rPr/>
        <w:t>FOURIER</w:t>
      </w:r>
      <w:r>
        <w:rPr>
          <w:spacing w:val="-2"/>
        </w:rPr>
        <w:t> </w:t>
      </w:r>
      <w:r>
        <w:rPr/>
        <w:t>TRANSFORM</w:t>
      </w:r>
    </w:p>
    <w:p>
      <w:pPr>
        <w:pStyle w:val="BodyText"/>
        <w:spacing w:before="2"/>
        <w:rPr>
          <w:b/>
          <w:sz w:val="27"/>
        </w:r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415.67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17.72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6.81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453.29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74.38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8.08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580.59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3.32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830.38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454.25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269.71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15.25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850.64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24.08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869.92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831.35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23.84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1025.20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11.54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1214.23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870.89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265.24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42.46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1251.84</w:t>
            </w:r>
          </w:p>
        </w:tc>
        <w:tc>
          <w:tcPr>
            <w:tcW w:w="1411" w:type="dxa"/>
          </w:tcPr>
          <w:p>
            <w:pPr>
              <w:pStyle w:val="TableParagraph"/>
              <w:spacing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20.44</w:t>
            </w:r>
          </w:p>
        </w:tc>
        <w:tc>
          <w:tcPr>
            <w:tcW w:w="1406" w:type="dxa"/>
          </w:tcPr>
          <w:p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409" w:type="dxa"/>
          </w:tcPr>
          <w:p>
            <w:pPr>
              <w:pStyle w:val="TableParagraph"/>
              <w:spacing w:line="240" w:lineRule="auto"/>
              <w:ind w:left="42"/>
              <w:rPr>
                <w:sz w:val="24"/>
              </w:rPr>
            </w:pPr>
            <w:r>
              <w:rPr>
                <w:sz w:val="24"/>
              </w:rPr>
              <w:t>1286.56</w:t>
            </w:r>
          </w:p>
        </w:tc>
        <w:tc>
          <w:tcPr>
            <w:tcW w:w="1411" w:type="dxa"/>
          </w:tcPr>
          <w:p>
            <w:pPr>
              <w:pStyle w:val="TableParagraph"/>
              <w:spacing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1215.19</w:t>
            </w:r>
          </w:p>
        </w:tc>
        <w:tc>
          <w:tcPr>
            <w:tcW w:w="1412" w:type="dxa"/>
          </w:tcPr>
          <w:p>
            <w:pPr>
              <w:pStyle w:val="TableParagraph"/>
              <w:spacing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48.94</w:t>
            </w:r>
          </w:p>
        </w:tc>
        <w:tc>
          <w:tcPr>
            <w:tcW w:w="1407" w:type="dxa"/>
          </w:tcPr>
          <w:p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1368.54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19.02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2.69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1506.46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1287.53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151.93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7.92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1527.67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23.20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1573.00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1507.42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41.23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1647.26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19.24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6.06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1880.66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1573.97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189.41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2154.56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27.66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2234.61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1881.62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194.29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2274.15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27.78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2335.87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2235.57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55.57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540" w:bottom="1260" w:left="420" w:right="0"/>
        </w:sect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2927.08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18.34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3003.27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2336.84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420.96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6.86</w:t>
            </w:r>
          </w:p>
        </w:tc>
      </w:tr>
      <w:tr>
        <w:trPr>
          <w:trHeight w:val="5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3381.33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13.58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7.81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3720.81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3004.23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571.33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89.99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3736.24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22.46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3799.89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3721.77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50.23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3863.55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22.71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4014.96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3800.86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136.58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4030.39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23.33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4115.27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4015.93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62.71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520" w:bottom="1180" w:left="420" w:right="0"/>
        </w:sectPr>
      </w:pPr>
    </w:p>
    <w:p>
      <w:pPr>
        <w:pStyle w:val="BodyText"/>
        <w:ind w:left="893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123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0"/>
        <w:ind w:left="1272"/>
      </w:pPr>
      <w:r>
        <w:rPr/>
        <w:t>Appendix</w:t>
      </w:r>
      <w:r>
        <w:rPr>
          <w:spacing w:val="-1"/>
        </w:rPr>
        <w:t> </w:t>
      </w:r>
      <w:r>
        <w:rPr/>
        <w:t>26:</w:t>
      </w:r>
      <w:r>
        <w:rPr>
          <w:spacing w:val="-4"/>
        </w:rPr>
        <w:t> </w:t>
      </w:r>
      <w:r>
        <w:rPr/>
        <w:t>Spectrograph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Acetylated</w:t>
      </w:r>
      <w:r>
        <w:rPr>
          <w:spacing w:val="-2"/>
        </w:rPr>
        <w:t> </w:t>
      </w:r>
      <w:r>
        <w:rPr/>
        <w:t>Mango</w:t>
      </w:r>
      <w:r>
        <w:rPr>
          <w:spacing w:val="-3"/>
        </w:rPr>
        <w:t> </w:t>
      </w:r>
      <w:r>
        <w:rPr/>
        <w:t>kernel (sample</w:t>
      </w:r>
      <w:r>
        <w:rPr>
          <w:spacing w:val="-1"/>
        </w:rPr>
        <w:t> </w:t>
      </w:r>
      <w:r>
        <w:rPr/>
        <w:t>7)</w:t>
      </w: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471805</wp:posOffset>
            </wp:positionH>
            <wp:positionV relativeFrom="paragraph">
              <wp:posOffset>205803</wp:posOffset>
            </wp:positionV>
            <wp:extent cx="6707502" cy="2933700"/>
            <wp:effectExtent l="0" t="0" r="0" b="0"/>
            <wp:wrapTopAndBottom/>
            <wp:docPr id="12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9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6432" w:val="left" w:leader="none"/>
        </w:tabs>
      </w:pPr>
      <w:r>
        <w:rPr/>
        <w:t>FTIR</w:t>
      </w:r>
      <w:r>
        <w:rPr>
          <w:spacing w:val="-4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NARICT,ZARIA</w:t>
        <w:tab/>
        <w:t>FTIR-</w:t>
      </w:r>
      <w:r>
        <w:rPr>
          <w:spacing w:val="-1"/>
        </w:rPr>
        <w:t> </w:t>
      </w:r>
      <w:r>
        <w:rPr/>
        <w:t>8400S</w:t>
      </w:r>
      <w:r>
        <w:rPr>
          <w:spacing w:val="-5"/>
        </w:rPr>
        <w:t> </w:t>
      </w:r>
      <w:r>
        <w:rPr/>
        <w:t>FOURIER</w:t>
      </w:r>
      <w:r>
        <w:rPr>
          <w:spacing w:val="-2"/>
        </w:rPr>
        <w:t> </w:t>
      </w:r>
      <w:r>
        <w:rPr/>
        <w:t>TRANSFORM</w:t>
      </w:r>
    </w:p>
    <w:p>
      <w:pPr>
        <w:pStyle w:val="BodyText"/>
        <w:rPr>
          <w:b/>
          <w:sz w:val="27"/>
        </w:r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1161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408.92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16.29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7.26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450.39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76.91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8.78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580.59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16.35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878.60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451.36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320.32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1026.16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7.46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1213.27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879.57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264.98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28.43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1253.77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18.38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1292.35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1214.23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57.20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1362.75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17.82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1564.32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1293.31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195.06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4.97</w:t>
            </w:r>
          </w:p>
        </w:tc>
      </w:tr>
      <w:tr>
        <w:trPr>
          <w:trHeight w:val="5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1645.33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18.26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3.53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1866.19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1565.29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204.37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8.62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2147.81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22.74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2326.23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1867.16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292.92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2927.08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17.06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1.87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3003.27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2327.19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466.11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4.19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3392.90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12.25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7.15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3728.53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3004.23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602.07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84.81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3741.06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20.25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3803.75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3729.49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51.31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3880.91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20.37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3977.35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3804.72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119.06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540" w:bottom="1180" w:left="420" w:right="0"/>
        </w:sect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4043.90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20.42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4144.20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3978.31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114.38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520" w:bottom="1180" w:left="420" w:right="0"/>
        </w:sectPr>
      </w:pPr>
    </w:p>
    <w:p>
      <w:pPr>
        <w:pStyle w:val="BodyText"/>
        <w:ind w:left="893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127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</w:rPr>
      </w:pPr>
    </w:p>
    <w:p>
      <w:pPr>
        <w:spacing w:before="100"/>
        <w:ind w:left="1198" w:right="0" w:firstLine="0"/>
        <w:jc w:val="left"/>
        <w:rPr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27: </w:t>
      </w:r>
      <w:r>
        <w:rPr>
          <w:sz w:val="24"/>
        </w:rPr>
        <w:t>Spectrograph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acetylated</w:t>
      </w:r>
      <w:r>
        <w:rPr>
          <w:spacing w:val="-5"/>
          <w:sz w:val="24"/>
        </w:rPr>
        <w:t> </w:t>
      </w:r>
      <w:r>
        <w:rPr>
          <w:sz w:val="24"/>
        </w:rPr>
        <w:t>Mango</w:t>
      </w:r>
      <w:r>
        <w:rPr>
          <w:spacing w:val="-3"/>
          <w:sz w:val="24"/>
        </w:rPr>
        <w:t> </w:t>
      </w:r>
      <w:r>
        <w:rPr>
          <w:sz w:val="24"/>
        </w:rPr>
        <w:t>kernel</w:t>
      </w:r>
      <w:r>
        <w:rPr>
          <w:spacing w:val="-3"/>
          <w:sz w:val="24"/>
        </w:rPr>
        <w:t> </w:t>
      </w:r>
      <w:r>
        <w:rPr>
          <w:sz w:val="24"/>
        </w:rPr>
        <w:t>(sample</w:t>
      </w:r>
      <w:r>
        <w:rPr>
          <w:spacing w:val="-3"/>
          <w:sz w:val="24"/>
        </w:rPr>
        <w:t> </w:t>
      </w:r>
      <w:r>
        <w:rPr>
          <w:sz w:val="24"/>
        </w:rPr>
        <w:t>8)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471805</wp:posOffset>
            </wp:positionH>
            <wp:positionV relativeFrom="paragraph">
              <wp:posOffset>248804</wp:posOffset>
            </wp:positionV>
            <wp:extent cx="6707502" cy="2933700"/>
            <wp:effectExtent l="0" t="0" r="0" b="0"/>
            <wp:wrapTopAndBottom/>
            <wp:docPr id="12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9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6362" w:val="left" w:leader="none"/>
        </w:tabs>
      </w:pPr>
      <w:r>
        <w:rPr/>
        <w:t>FTIR</w:t>
      </w:r>
      <w:r>
        <w:rPr>
          <w:spacing w:val="-4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NARICT,ZARIA</w:t>
        <w:tab/>
        <w:t>FTIR-</w:t>
      </w:r>
      <w:r>
        <w:rPr>
          <w:spacing w:val="-3"/>
        </w:rPr>
        <w:t> </w:t>
      </w:r>
      <w:r>
        <w:rPr/>
        <w:t>8400S</w:t>
      </w:r>
      <w:r>
        <w:rPr>
          <w:spacing w:val="-3"/>
        </w:rPr>
        <w:t> </w:t>
      </w:r>
      <w:r>
        <w:rPr/>
        <w:t>FOURIER</w:t>
      </w:r>
      <w:r>
        <w:rPr>
          <w:spacing w:val="-2"/>
        </w:rPr>
        <w:t> </w:t>
      </w:r>
      <w:r>
        <w:rPr/>
        <w:t>TRANSFORM</w:t>
      </w:r>
    </w:p>
    <w:p>
      <w:pPr>
        <w:pStyle w:val="BodyText"/>
        <w:spacing w:before="1"/>
        <w:rPr>
          <w:b/>
          <w:sz w:val="27"/>
        </w:r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414.71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16.81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4.96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432.07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58.62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6.06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582.52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15.66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2.43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831.35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433.03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306.47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13.69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851.60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20.02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867.03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832.31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24.25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1026.16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10.31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8.65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1211.34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868.00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285.74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36.77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1257.63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16.99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1297.17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1212.30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64.79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</w:tr>
      <w:tr>
        <w:trPr>
          <w:trHeight w:val="5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1368.54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16.37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1573.00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1298.14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206.03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6.34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1648.23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16.97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4.12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1896.09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1573.97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223.46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11.73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540" w:bottom="1180" w:left="420" w:right="0"/>
        </w:sect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2142.99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22.92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2255.83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1897.05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227.79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2262.58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23.18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2334.91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2256.79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49.44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2927.08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15.89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2.46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3005.20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2335.87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467.23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6.05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3400.62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10.58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8.59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3799.89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3006.16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681.50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111.10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3857.76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20.34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4166.38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3800.86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249.59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4389.17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20.84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4446.07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4167.35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189.20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</w:tr>
    </w:tbl>
    <w:p>
      <w:pPr>
        <w:spacing w:after="0" w:line="284" w:lineRule="exact"/>
        <w:rPr>
          <w:sz w:val="24"/>
        </w:rPr>
        <w:sectPr>
          <w:pgSz w:w="11910" w:h="16840"/>
          <w:pgMar w:header="0" w:footer="987" w:top="1220" w:bottom="1180" w:left="420" w:right="0"/>
        </w:sectPr>
      </w:pPr>
    </w:p>
    <w:p>
      <w:pPr>
        <w:pStyle w:val="BodyText"/>
        <w:ind w:left="893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131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</w:rPr>
      </w:pPr>
    </w:p>
    <w:p>
      <w:pPr>
        <w:spacing w:before="100"/>
        <w:ind w:left="1198" w:right="0" w:firstLine="0"/>
        <w:jc w:val="left"/>
        <w:rPr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28:</w:t>
      </w:r>
      <w:r>
        <w:rPr>
          <w:b/>
          <w:spacing w:val="1"/>
          <w:sz w:val="24"/>
        </w:rPr>
        <w:t> </w:t>
      </w:r>
      <w:r>
        <w:rPr>
          <w:sz w:val="24"/>
        </w:rPr>
        <w:t>Spectrograph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acetylated</w:t>
      </w:r>
      <w:r>
        <w:rPr>
          <w:spacing w:val="-4"/>
          <w:sz w:val="24"/>
        </w:rPr>
        <w:t> </w:t>
      </w:r>
      <w:r>
        <w:rPr>
          <w:sz w:val="24"/>
        </w:rPr>
        <w:t>Mango</w:t>
      </w:r>
      <w:r>
        <w:rPr>
          <w:spacing w:val="-4"/>
          <w:sz w:val="24"/>
        </w:rPr>
        <w:t> </w:t>
      </w:r>
      <w:r>
        <w:rPr>
          <w:sz w:val="24"/>
        </w:rPr>
        <w:t>kernel</w:t>
      </w:r>
      <w:r>
        <w:rPr>
          <w:spacing w:val="-2"/>
          <w:sz w:val="24"/>
        </w:rPr>
        <w:t> </w:t>
      </w:r>
      <w:r>
        <w:rPr>
          <w:sz w:val="24"/>
        </w:rPr>
        <w:t>(sample</w:t>
      </w:r>
      <w:r>
        <w:rPr>
          <w:spacing w:val="-2"/>
          <w:sz w:val="24"/>
        </w:rPr>
        <w:t> </w:t>
      </w:r>
      <w:r>
        <w:rPr>
          <w:sz w:val="24"/>
        </w:rPr>
        <w:t>10)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471805</wp:posOffset>
            </wp:positionH>
            <wp:positionV relativeFrom="paragraph">
              <wp:posOffset>248804</wp:posOffset>
            </wp:positionV>
            <wp:extent cx="6707502" cy="2933700"/>
            <wp:effectExtent l="0" t="0" r="0" b="0"/>
            <wp:wrapTopAndBottom/>
            <wp:docPr id="13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6432" w:val="left" w:leader="none"/>
        </w:tabs>
      </w:pPr>
      <w:r>
        <w:rPr/>
        <w:t>FTIR</w:t>
      </w:r>
      <w:r>
        <w:rPr>
          <w:spacing w:val="-4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NARICT,ZARIA</w:t>
        <w:tab/>
        <w:t>FTIR-</w:t>
      </w:r>
      <w:r>
        <w:rPr>
          <w:spacing w:val="-1"/>
        </w:rPr>
        <w:t> </w:t>
      </w:r>
      <w:r>
        <w:rPr/>
        <w:t>8400S</w:t>
      </w:r>
      <w:r>
        <w:rPr>
          <w:spacing w:val="-5"/>
        </w:rPr>
        <w:t> </w:t>
      </w:r>
      <w:r>
        <w:rPr/>
        <w:t>FOURIER</w:t>
      </w:r>
      <w:r>
        <w:rPr>
          <w:spacing w:val="-2"/>
        </w:rPr>
        <w:t> </w:t>
      </w:r>
      <w:r>
        <w:rPr/>
        <w:t>TRANSFORM</w:t>
      </w:r>
    </w:p>
    <w:p>
      <w:pPr>
        <w:pStyle w:val="BodyText"/>
        <w:spacing w:before="1"/>
        <w:rPr>
          <w:b/>
          <w:sz w:val="27"/>
        </w:r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400.24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17.17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17.72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461.00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76.45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16.48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544.91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20.61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838.10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461.97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249.28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4.53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1028.09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17.24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5.76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1209.41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839.06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252.44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16.17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1250.88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21.86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1294.28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1210.37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55.17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1363.72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21.56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1494.88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1295.24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131.52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2.19</w:t>
            </w:r>
          </w:p>
        </w:tc>
      </w:tr>
      <w:tr>
        <w:trPr>
          <w:trHeight w:val="5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1530.57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22.63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1578.79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1495.85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53.16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1650.16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21.21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1894.16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1579.75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198.33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5.99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2150.70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25.11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2231.71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1895.12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201.17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540" w:bottom="1180" w:left="420" w:right="0"/>
        </w:sect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2271.26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25.14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2332.02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2232.68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59.47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2928.04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20.94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3003.27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2332.98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423.41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2.65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3387.11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16.91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5.52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3717.92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3004.23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515.56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51.55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3740.10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22.88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3798.93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3718.88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51.06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3863.55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22.95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4160.59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3799.89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228.38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4383.38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23.24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4425.82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4161.56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167.03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4478.86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23.23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4500.08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4426.78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46.45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220" w:bottom="1180" w:left="420" w:right="0"/>
        </w:sectPr>
      </w:pPr>
    </w:p>
    <w:p>
      <w:pPr>
        <w:pStyle w:val="BodyText"/>
        <w:ind w:left="893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135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</w:rPr>
      </w:pPr>
    </w:p>
    <w:p>
      <w:pPr>
        <w:spacing w:before="100"/>
        <w:ind w:left="1198" w:right="0" w:firstLine="0"/>
        <w:jc w:val="left"/>
        <w:rPr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29:</w:t>
      </w:r>
      <w:r>
        <w:rPr>
          <w:b/>
          <w:spacing w:val="1"/>
          <w:sz w:val="24"/>
        </w:rPr>
        <w:t> </w:t>
      </w:r>
      <w:r>
        <w:rPr>
          <w:sz w:val="24"/>
        </w:rPr>
        <w:t>Spectrograph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acetylated</w:t>
      </w:r>
      <w:r>
        <w:rPr>
          <w:spacing w:val="-4"/>
          <w:sz w:val="24"/>
        </w:rPr>
        <w:t> </w:t>
      </w:r>
      <w:r>
        <w:rPr>
          <w:sz w:val="24"/>
        </w:rPr>
        <w:t>Mango</w:t>
      </w:r>
      <w:r>
        <w:rPr>
          <w:spacing w:val="-4"/>
          <w:sz w:val="24"/>
        </w:rPr>
        <w:t> </w:t>
      </w:r>
      <w:r>
        <w:rPr>
          <w:sz w:val="24"/>
        </w:rPr>
        <w:t>kernel</w:t>
      </w:r>
      <w:r>
        <w:rPr>
          <w:spacing w:val="-2"/>
          <w:sz w:val="24"/>
        </w:rPr>
        <w:t> </w:t>
      </w:r>
      <w:r>
        <w:rPr>
          <w:sz w:val="24"/>
        </w:rPr>
        <w:t>(sample</w:t>
      </w:r>
      <w:r>
        <w:rPr>
          <w:spacing w:val="-2"/>
          <w:sz w:val="24"/>
        </w:rPr>
        <w:t> </w:t>
      </w:r>
      <w:r>
        <w:rPr>
          <w:sz w:val="24"/>
        </w:rPr>
        <w:t>11)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471805</wp:posOffset>
            </wp:positionH>
            <wp:positionV relativeFrom="paragraph">
              <wp:posOffset>157226</wp:posOffset>
            </wp:positionV>
            <wp:extent cx="6707502" cy="2933700"/>
            <wp:effectExtent l="0" t="0" r="0" b="0"/>
            <wp:wrapTopAndBottom/>
            <wp:docPr id="13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9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6362" w:val="left" w:leader="none"/>
        </w:tabs>
      </w:pPr>
      <w:r>
        <w:rPr/>
        <w:t>FTIR</w:t>
      </w:r>
      <w:r>
        <w:rPr>
          <w:spacing w:val="-4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NARICT,ZARIA</w:t>
        <w:tab/>
        <w:t>FTIR-</w:t>
      </w:r>
      <w:r>
        <w:rPr>
          <w:spacing w:val="-3"/>
        </w:rPr>
        <w:t> </w:t>
      </w:r>
      <w:r>
        <w:rPr/>
        <w:t>8400S</w:t>
      </w:r>
      <w:r>
        <w:rPr>
          <w:spacing w:val="-3"/>
        </w:rPr>
        <w:t> </w:t>
      </w:r>
      <w:r>
        <w:rPr/>
        <w:t>FOURIER</w:t>
      </w:r>
      <w:r>
        <w:rPr>
          <w:spacing w:val="-2"/>
        </w:rPr>
        <w:t> </w:t>
      </w:r>
      <w:r>
        <w:rPr/>
        <w:t>TRANSFORM</w:t>
      </w:r>
    </w:p>
    <w:p>
      <w:pPr>
        <w:pStyle w:val="BodyText"/>
        <w:spacing w:before="2"/>
        <w:rPr>
          <w:b/>
          <w:sz w:val="27"/>
        </w:r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394.46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16.50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5.94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418.57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54.37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5.87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459.07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16.34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495.72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457.14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30.29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1027.13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15.43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1125.5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877.64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194.52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2.78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1397.47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16.24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1398.44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1290.42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84.67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5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1640.51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15.66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1700.31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1566.25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106.58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1718.63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16.28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1838.22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1711.88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97.95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-0.24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2935.76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2990.73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2418.82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457.57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540" w:bottom="1180" w:left="420" w:right="0"/>
        </w:sect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3426.66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12.96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2.18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3713.09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2990.73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618.02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26.10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3753.60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14.90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3797.00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3713.09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69.12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</w:tbl>
    <w:p>
      <w:pPr>
        <w:spacing w:after="0" w:line="284" w:lineRule="exact"/>
        <w:rPr>
          <w:sz w:val="24"/>
        </w:rPr>
        <w:sectPr>
          <w:pgSz w:w="11910" w:h="16840"/>
          <w:pgMar w:header="0" w:footer="987" w:top="1220" w:bottom="1180" w:left="420" w:right="0"/>
        </w:sectPr>
      </w:pPr>
    </w:p>
    <w:p>
      <w:pPr>
        <w:pStyle w:val="BodyText"/>
        <w:ind w:left="893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139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</w:rPr>
      </w:pPr>
    </w:p>
    <w:p>
      <w:pPr>
        <w:spacing w:before="100"/>
        <w:ind w:left="1198" w:right="0" w:firstLine="0"/>
        <w:jc w:val="left"/>
        <w:rPr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30:</w:t>
      </w:r>
      <w:r>
        <w:rPr>
          <w:b/>
          <w:spacing w:val="1"/>
          <w:sz w:val="24"/>
        </w:rPr>
        <w:t> </w:t>
      </w:r>
      <w:r>
        <w:rPr>
          <w:sz w:val="24"/>
        </w:rPr>
        <w:t>Spectrograph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acetylated</w:t>
      </w:r>
      <w:r>
        <w:rPr>
          <w:spacing w:val="-4"/>
          <w:sz w:val="24"/>
        </w:rPr>
        <w:t> </w:t>
      </w:r>
      <w:r>
        <w:rPr>
          <w:sz w:val="24"/>
        </w:rPr>
        <w:t>Mango</w:t>
      </w:r>
      <w:r>
        <w:rPr>
          <w:spacing w:val="-4"/>
          <w:sz w:val="24"/>
        </w:rPr>
        <w:t> </w:t>
      </w:r>
      <w:r>
        <w:rPr>
          <w:sz w:val="24"/>
        </w:rPr>
        <w:t>kernel</w:t>
      </w:r>
      <w:r>
        <w:rPr>
          <w:spacing w:val="-2"/>
          <w:sz w:val="24"/>
        </w:rPr>
        <w:t> </w:t>
      </w:r>
      <w:r>
        <w:rPr>
          <w:sz w:val="24"/>
        </w:rPr>
        <w:t>(sample</w:t>
      </w:r>
      <w:r>
        <w:rPr>
          <w:spacing w:val="-2"/>
          <w:sz w:val="24"/>
        </w:rPr>
        <w:t> </w:t>
      </w:r>
      <w:r>
        <w:rPr>
          <w:sz w:val="24"/>
        </w:rPr>
        <w:t>12)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471805</wp:posOffset>
            </wp:positionH>
            <wp:positionV relativeFrom="paragraph">
              <wp:posOffset>157226</wp:posOffset>
            </wp:positionV>
            <wp:extent cx="6707502" cy="2933700"/>
            <wp:effectExtent l="0" t="0" r="0" b="0"/>
            <wp:wrapTopAndBottom/>
            <wp:docPr id="14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9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6432" w:val="left" w:leader="none"/>
        </w:tabs>
      </w:pPr>
      <w:r>
        <w:rPr/>
        <w:t>FTIR</w:t>
      </w:r>
      <w:r>
        <w:rPr>
          <w:spacing w:val="-4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NARICT,ZARIA</w:t>
        <w:tab/>
        <w:t>FTIR-</w:t>
      </w:r>
      <w:r>
        <w:rPr>
          <w:spacing w:val="-1"/>
        </w:rPr>
        <w:t> </w:t>
      </w:r>
      <w:r>
        <w:rPr/>
        <w:t>8400S</w:t>
      </w:r>
      <w:r>
        <w:rPr>
          <w:spacing w:val="-5"/>
        </w:rPr>
        <w:t> </w:t>
      </w:r>
      <w:r>
        <w:rPr/>
        <w:t>FOURIER</w:t>
      </w:r>
      <w:r>
        <w:rPr>
          <w:spacing w:val="-2"/>
        </w:rPr>
        <w:t> </w:t>
      </w:r>
      <w:r>
        <w:rPr/>
        <w:t>TRANSFORM</w:t>
      </w:r>
    </w:p>
    <w:p>
      <w:pPr>
        <w:pStyle w:val="BodyText"/>
        <w:spacing w:before="2"/>
        <w:rPr>
          <w:b/>
          <w:sz w:val="27"/>
        </w:r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406.99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15.67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9.82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458.11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82.93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11.64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477.40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17.03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506.33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459.07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36.32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578.66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16.91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858.35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507.30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263.60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2.86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1032.92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15.49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1205.55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859.32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263.73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10.36</w:t>
            </w:r>
          </w:p>
        </w:tc>
      </w:tr>
      <w:tr>
        <w:trPr>
          <w:trHeight w:val="5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1257.63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17.62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1299.10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1206.51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69.54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1394.58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36"/>
              <w:rPr>
                <w:sz w:val="24"/>
              </w:rPr>
            </w:pPr>
            <w:r>
              <w:rPr>
                <w:sz w:val="24"/>
              </w:rPr>
              <w:t>17.18</w:t>
            </w:r>
          </w:p>
        </w:tc>
        <w:tc>
          <w:tcPr>
            <w:tcW w:w="1406" w:type="dxa"/>
          </w:tcPr>
          <w:p>
            <w:pPr>
              <w:pStyle w:val="TableParagraph"/>
              <w:spacing w:line="289" w:lineRule="exact"/>
              <w:ind w:left="37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1409" w:type="dxa"/>
          </w:tcPr>
          <w:p>
            <w:pPr>
              <w:pStyle w:val="TableParagraph"/>
              <w:spacing w:line="289" w:lineRule="exact"/>
              <w:ind w:left="42"/>
              <w:rPr>
                <w:sz w:val="24"/>
              </w:rPr>
            </w:pPr>
            <w:r>
              <w:rPr>
                <w:sz w:val="24"/>
              </w:rPr>
              <w:t>1491.99</w:t>
            </w:r>
          </w:p>
        </w:tc>
        <w:tc>
          <w:tcPr>
            <w:tcW w:w="1411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1300.07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40"/>
              <w:rPr>
                <w:sz w:val="24"/>
              </w:rPr>
            </w:pPr>
            <w:r>
              <w:rPr>
                <w:sz w:val="24"/>
              </w:rPr>
              <w:t>145.22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ind w:left="38"/>
              <w:rPr>
                <w:sz w:val="24"/>
              </w:rPr>
            </w:pPr>
            <w:r>
              <w:rPr>
                <w:sz w:val="24"/>
              </w:rPr>
              <w:t>2.06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1538.28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17.89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1564.32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1492.95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53.19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540" w:bottom="1180" w:left="420" w:right="0"/>
        </w:sectPr>
      </w:pPr>
    </w:p>
    <w:tbl>
      <w:tblPr>
        <w:tblW w:w="0" w:type="auto"/>
        <w:jc w:val="left"/>
        <w:tblInd w:w="125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3"/>
        <w:gridCol w:w="1411"/>
        <w:gridCol w:w="1406"/>
        <w:gridCol w:w="1409"/>
        <w:gridCol w:w="1411"/>
        <w:gridCol w:w="1412"/>
        <w:gridCol w:w="1407"/>
      </w:tblGrid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1644.37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16.21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2.30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1881.62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1565.29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234.63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7.11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2156.49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19.62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2215.32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1882.59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233.77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2269.33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19.61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2327.19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2216.28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78.38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2932.86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16.12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2999.41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2328.16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500.30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1.84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3422.80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12.79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4.17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3726.60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3000.37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610.90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3738.17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3801.82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3727.56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56.39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3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3869.33</w:t>
            </w:r>
          </w:p>
        </w:tc>
        <w:tc>
          <w:tcPr>
            <w:tcW w:w="141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17.31</w:t>
            </w:r>
          </w:p>
        </w:tc>
        <w:tc>
          <w:tcPr>
            <w:tcW w:w="1406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409" w:type="dxa"/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3998.57</w:t>
            </w:r>
          </w:p>
        </w:tc>
        <w:tc>
          <w:tcPr>
            <w:tcW w:w="141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3802.79</w:t>
            </w:r>
          </w:p>
        </w:tc>
        <w:tc>
          <w:tcPr>
            <w:tcW w:w="1412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148.51</w:t>
            </w:r>
          </w:p>
        </w:tc>
        <w:tc>
          <w:tcPr>
            <w:tcW w:w="1407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3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4021.71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36"/>
              <w:rPr>
                <w:sz w:val="24"/>
              </w:rPr>
            </w:pPr>
            <w:r>
              <w:rPr>
                <w:sz w:val="24"/>
              </w:rPr>
              <w:t>17.52</w:t>
            </w:r>
          </w:p>
        </w:tc>
        <w:tc>
          <w:tcPr>
            <w:tcW w:w="1406" w:type="dxa"/>
          </w:tcPr>
          <w:p>
            <w:pPr>
              <w:pStyle w:val="TableParagraph"/>
              <w:spacing w:line="284" w:lineRule="exact"/>
              <w:ind w:left="3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09" w:type="dxa"/>
          </w:tcPr>
          <w:p>
            <w:pPr>
              <w:pStyle w:val="TableParagraph"/>
              <w:spacing w:line="284" w:lineRule="exact"/>
              <w:ind w:left="42"/>
              <w:rPr>
                <w:sz w:val="24"/>
              </w:rPr>
            </w:pPr>
            <w:r>
              <w:rPr>
                <w:sz w:val="24"/>
              </w:rPr>
              <w:t>4124.91</w:t>
            </w:r>
          </w:p>
        </w:tc>
        <w:tc>
          <w:tcPr>
            <w:tcW w:w="1411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3999.53</w:t>
            </w:r>
          </w:p>
        </w:tc>
        <w:tc>
          <w:tcPr>
            <w:tcW w:w="1412" w:type="dxa"/>
          </w:tcPr>
          <w:p>
            <w:pPr>
              <w:pStyle w:val="TableParagraph"/>
              <w:spacing w:line="284" w:lineRule="exact"/>
              <w:ind w:left="40"/>
              <w:rPr>
                <w:sz w:val="24"/>
              </w:rPr>
            </w:pPr>
            <w:r>
              <w:rPr>
                <w:sz w:val="24"/>
              </w:rPr>
              <w:t>94.80</w:t>
            </w:r>
          </w:p>
        </w:tc>
        <w:tc>
          <w:tcPr>
            <w:tcW w:w="1407" w:type="dxa"/>
          </w:tcPr>
          <w:p>
            <w:pPr>
              <w:pStyle w:val="TableParagraph"/>
              <w:spacing w:line="284" w:lineRule="exact"/>
              <w:ind w:left="38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</w:tbl>
    <w:p>
      <w:pPr>
        <w:spacing w:after="0" w:line="284" w:lineRule="exact"/>
        <w:rPr>
          <w:sz w:val="24"/>
        </w:rPr>
        <w:sectPr>
          <w:pgSz w:w="11910" w:h="16840"/>
          <w:pgMar w:header="0" w:footer="987" w:top="1220" w:bottom="1180" w:left="420" w:right="0"/>
        </w:sectPr>
      </w:pPr>
    </w:p>
    <w:p>
      <w:pPr>
        <w:pStyle w:val="BodyText"/>
        <w:ind w:left="911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143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100"/>
        <w:ind w:left="120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31: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Spectrograph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Acetylated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Mango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kernel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(sample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13)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358775</wp:posOffset>
            </wp:positionH>
            <wp:positionV relativeFrom="paragraph">
              <wp:posOffset>248344</wp:posOffset>
            </wp:positionV>
            <wp:extent cx="6707502" cy="2933700"/>
            <wp:effectExtent l="0" t="0" r="0" b="0"/>
            <wp:wrapTopAndBottom/>
            <wp:docPr id="14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9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7623" w:val="left" w:leader="none"/>
        </w:tabs>
        <w:spacing w:line="477" w:lineRule="auto" w:after="43"/>
        <w:ind w:left="1200" w:right="536"/>
      </w:pPr>
      <w:r>
        <w:rPr/>
        <w:t>FTIR</w:t>
      </w:r>
      <w:r>
        <w:rPr>
          <w:spacing w:val="115"/>
        </w:rPr>
        <w:t> </w:t>
      </w:r>
      <w:r>
        <w:rPr/>
        <w:t>ANALYSIS</w:t>
      </w:r>
      <w:r>
        <w:rPr>
          <w:spacing w:val="112"/>
        </w:rPr>
        <w:t> </w:t>
      </w:r>
      <w:r>
        <w:rPr/>
        <w:t>RESULT</w:t>
      </w:r>
      <w:r>
        <w:rPr>
          <w:spacing w:val="114"/>
        </w:rPr>
        <w:t> </w:t>
      </w:r>
      <w:r>
        <w:rPr/>
        <w:t>NARICT,ZARIA</w:t>
        <w:tab/>
        <w:t>FTIR-</w:t>
      </w:r>
      <w:r>
        <w:rPr>
          <w:spacing w:val="46"/>
        </w:rPr>
        <w:t> </w:t>
      </w:r>
      <w:r>
        <w:rPr/>
        <w:t>8400S</w:t>
      </w:r>
      <w:r>
        <w:rPr>
          <w:spacing w:val="45"/>
        </w:rPr>
        <w:t> </w:t>
      </w:r>
      <w:r>
        <w:rPr/>
        <w:t>FOURIER</w:t>
      </w:r>
      <w:r>
        <w:rPr>
          <w:spacing w:val="-68"/>
        </w:rPr>
        <w:t> </w:t>
      </w:r>
      <w:r>
        <w:rPr/>
        <w:t>TRANSFORM</w:t>
      </w:r>
    </w:p>
    <w:tbl>
      <w:tblPr>
        <w:tblW w:w="0" w:type="auto"/>
        <w:jc w:val="left"/>
        <w:tblInd w:w="127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4"/>
        <w:gridCol w:w="1412"/>
        <w:gridCol w:w="1407"/>
        <w:gridCol w:w="1410"/>
        <w:gridCol w:w="1412"/>
        <w:gridCol w:w="1413"/>
        <w:gridCol w:w="1408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406.03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20.81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9.90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444.61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60.93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8.65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584.45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19.71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3.48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838.10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445.57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260.73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14.82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843.88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25.42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866.07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839.06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16.06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1026.16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10.76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13.27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1217.12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867.03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264.49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46.48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1246.06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22.11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1280.78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1218.09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40.94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1364.68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20.34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2.79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1512.24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1281.74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153.46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8.02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1526.71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24.40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1570.11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1513.21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34.67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1647.26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20.78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1878.73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1571.07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183.92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9.39</w:t>
            </w:r>
          </w:p>
        </w:tc>
      </w:tr>
    </w:tbl>
    <w:p>
      <w:pPr>
        <w:spacing w:after="0"/>
        <w:rPr>
          <w:sz w:val="24"/>
        </w:rPr>
        <w:sectPr>
          <w:footerReference w:type="default" r:id="rId116"/>
          <w:pgSz w:w="12240" w:h="15840"/>
          <w:pgMar w:footer="988" w:header="0" w:top="560" w:bottom="1180" w:left="240" w:right="900"/>
        </w:sectPr>
      </w:pPr>
    </w:p>
    <w:tbl>
      <w:tblPr>
        <w:tblW w:w="0" w:type="auto"/>
        <w:jc w:val="left"/>
        <w:tblInd w:w="127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4"/>
        <w:gridCol w:w="1412"/>
        <w:gridCol w:w="1407"/>
        <w:gridCol w:w="1410"/>
        <w:gridCol w:w="1412"/>
        <w:gridCol w:w="1413"/>
        <w:gridCol w:w="1408"/>
      </w:tblGrid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2154.56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27.92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2229.79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1879.69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191.62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2274.15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27.98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2332.02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2230.75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55.90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2927.08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18.65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3004.23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2332.98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416.82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6.14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3391.94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10.93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11.23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3721.77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3005.20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594.90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124.19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3733.35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23.27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3797.00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3722.74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46.70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3861.62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23.39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4080.55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3797.96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176.82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4097.91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23.84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4161.56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4081.51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49.83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4408.46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23.34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4430.64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4162.52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168.24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88" w:top="1440" w:bottom="1180" w:left="240" w:right="900"/>
        </w:sectPr>
      </w:pPr>
    </w:p>
    <w:p>
      <w:pPr>
        <w:pStyle w:val="BodyText"/>
        <w:ind w:left="911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147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100"/>
        <w:ind w:left="120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32: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Spectrograph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Acetylated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Mango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kernel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(sample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14)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358775</wp:posOffset>
            </wp:positionH>
            <wp:positionV relativeFrom="paragraph">
              <wp:posOffset>248344</wp:posOffset>
            </wp:positionV>
            <wp:extent cx="6707502" cy="2933700"/>
            <wp:effectExtent l="0" t="0" r="0" b="0"/>
            <wp:wrapTopAndBottom/>
            <wp:docPr id="14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0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6153" w:val="left" w:leader="none"/>
        </w:tabs>
        <w:ind w:left="1200"/>
      </w:pPr>
      <w:r>
        <w:rPr/>
        <w:t>FTIR</w:t>
      </w:r>
      <w:r>
        <w:rPr>
          <w:spacing w:val="-4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NARICT,ZARIA</w:t>
        <w:tab/>
        <w:t>FTIR-</w:t>
      </w:r>
      <w:r>
        <w:rPr>
          <w:spacing w:val="-3"/>
        </w:rPr>
        <w:t> </w:t>
      </w:r>
      <w:r>
        <w:rPr/>
        <w:t>8400S</w:t>
      </w:r>
      <w:r>
        <w:rPr>
          <w:spacing w:val="-5"/>
        </w:rPr>
        <w:t> </w:t>
      </w:r>
      <w:r>
        <w:rPr/>
        <w:t>FOURIER TRANSFORM</w:t>
      </w:r>
    </w:p>
    <w:p>
      <w:pPr>
        <w:pStyle w:val="BodyText"/>
        <w:spacing w:before="2"/>
        <w:rPr>
          <w:b/>
          <w:sz w:val="27"/>
        </w:rPr>
      </w:pPr>
    </w:p>
    <w:tbl>
      <w:tblPr>
        <w:tblW w:w="0" w:type="auto"/>
        <w:jc w:val="left"/>
        <w:tblInd w:w="127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4"/>
        <w:gridCol w:w="1412"/>
        <w:gridCol w:w="1407"/>
        <w:gridCol w:w="1410"/>
        <w:gridCol w:w="1412"/>
        <w:gridCol w:w="1413"/>
        <w:gridCol w:w="1408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410.85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14.55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9.44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455.22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82.81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11.63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580.59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14.87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1.64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828.45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456.18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296.65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9.38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855.46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18.35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866.07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829.42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26.98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1024.24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10.45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7.31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1278.85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867.03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345.69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34.7</w:t>
            </w:r>
          </w:p>
        </w:tc>
      </w:tr>
      <w:tr>
        <w:trPr>
          <w:trHeight w:val="5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1360.82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15.55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1502.60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1279.81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176.37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5.77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1530.57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17.35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1574.93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1503.56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53.98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1648.23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15.51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3.08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1894.16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1575.89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233.67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7.91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2157.45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20.47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2219.18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1895.12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221.59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2274.15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20.47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2335.87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2220.14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79.53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88" w:top="560" w:bottom="1180" w:left="240" w:right="900"/>
        </w:sectPr>
      </w:pPr>
    </w:p>
    <w:tbl>
      <w:tblPr>
        <w:tblW w:w="0" w:type="auto"/>
        <w:jc w:val="left"/>
        <w:tblInd w:w="127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4"/>
        <w:gridCol w:w="1412"/>
        <w:gridCol w:w="1407"/>
        <w:gridCol w:w="1410"/>
        <w:gridCol w:w="1412"/>
        <w:gridCol w:w="1413"/>
        <w:gridCol w:w="1408"/>
      </w:tblGrid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2927.08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14.71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3001.34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2336.84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498.06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5.21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3379.40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10.66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6.04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3720.81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3002.30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643.06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83.35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3737.20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17.50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3798.93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3721.77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58.10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3858.72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17.65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4144.20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3799.89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257.01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4422.92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17.81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4449.93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4145.16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227.50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4665.96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17.48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4700.68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4450.89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188.29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</w:tr>
    </w:tbl>
    <w:p>
      <w:pPr>
        <w:spacing w:after="0" w:line="289" w:lineRule="exact"/>
        <w:rPr>
          <w:sz w:val="24"/>
        </w:rPr>
        <w:sectPr>
          <w:pgSz w:w="12240" w:h="15840"/>
          <w:pgMar w:header="0" w:footer="988" w:top="1440" w:bottom="1180" w:left="240" w:right="900"/>
        </w:sectPr>
      </w:pPr>
    </w:p>
    <w:p>
      <w:pPr>
        <w:pStyle w:val="BodyText"/>
        <w:ind w:left="911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151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100"/>
        <w:ind w:left="120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33: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Spectrograph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Acetylated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Mango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kernel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(sample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15)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358775</wp:posOffset>
            </wp:positionH>
            <wp:positionV relativeFrom="paragraph">
              <wp:posOffset>248344</wp:posOffset>
            </wp:positionV>
            <wp:extent cx="6707502" cy="2933700"/>
            <wp:effectExtent l="0" t="0" r="0" b="0"/>
            <wp:wrapTopAndBottom/>
            <wp:docPr id="153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0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7623" w:val="left" w:leader="none"/>
        </w:tabs>
        <w:spacing w:line="477" w:lineRule="auto" w:after="43"/>
        <w:ind w:left="1200" w:right="536"/>
      </w:pPr>
      <w:r>
        <w:rPr/>
        <w:t>FTIR</w:t>
      </w:r>
      <w:r>
        <w:rPr>
          <w:spacing w:val="115"/>
        </w:rPr>
        <w:t> </w:t>
      </w:r>
      <w:r>
        <w:rPr/>
        <w:t>ANALYSIS</w:t>
      </w:r>
      <w:r>
        <w:rPr>
          <w:spacing w:val="112"/>
        </w:rPr>
        <w:t> </w:t>
      </w:r>
      <w:r>
        <w:rPr/>
        <w:t>RESULT</w:t>
      </w:r>
      <w:r>
        <w:rPr>
          <w:spacing w:val="114"/>
        </w:rPr>
        <w:t> </w:t>
      </w:r>
      <w:r>
        <w:rPr/>
        <w:t>NARICT,ZARIA</w:t>
        <w:tab/>
        <w:t>FTIR-</w:t>
      </w:r>
      <w:r>
        <w:rPr>
          <w:spacing w:val="46"/>
        </w:rPr>
        <w:t> </w:t>
      </w:r>
      <w:r>
        <w:rPr/>
        <w:t>8400S</w:t>
      </w:r>
      <w:r>
        <w:rPr>
          <w:spacing w:val="44"/>
        </w:rPr>
        <w:t> </w:t>
      </w:r>
      <w:r>
        <w:rPr/>
        <w:t>FOURIER</w:t>
      </w:r>
      <w:r>
        <w:rPr>
          <w:spacing w:val="-68"/>
        </w:rPr>
        <w:t> </w:t>
      </w:r>
      <w:r>
        <w:rPr/>
        <w:t>TRANSFORM</w:t>
      </w:r>
    </w:p>
    <w:tbl>
      <w:tblPr>
        <w:tblW w:w="0" w:type="auto"/>
        <w:jc w:val="left"/>
        <w:tblInd w:w="127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4"/>
        <w:gridCol w:w="1412"/>
        <w:gridCol w:w="1407"/>
        <w:gridCol w:w="1410"/>
        <w:gridCol w:w="1412"/>
        <w:gridCol w:w="1413"/>
        <w:gridCol w:w="1408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407.96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15.60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9.03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448.46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75.24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10.13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576.74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15.66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1.88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831.35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449.43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294.91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10.24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850.64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19.51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868.96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832.31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26.00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1026.16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10.48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8.17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1220.98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869.92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291.35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34.24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1236.41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17.54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1278.85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1221.95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42.89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1359.86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16.44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1.71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1511.28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1279.81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176.97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6.25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1523.82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18.79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1571.07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1512.24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42.49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1646.30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3.23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1880.66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1572.04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220.13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7.81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88" w:top="560" w:bottom="1180" w:left="240" w:right="900"/>
        </w:sectPr>
      </w:pPr>
    </w:p>
    <w:tbl>
      <w:tblPr>
        <w:tblW w:w="0" w:type="auto"/>
        <w:jc w:val="left"/>
        <w:tblInd w:w="127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4"/>
        <w:gridCol w:w="1412"/>
        <w:gridCol w:w="1407"/>
        <w:gridCol w:w="1410"/>
        <w:gridCol w:w="1412"/>
        <w:gridCol w:w="1413"/>
        <w:gridCol w:w="1408"/>
      </w:tblGrid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2164.20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20.95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2213.39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1881.62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223.24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2272.22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20.91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2334.91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2214.35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81.73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2926.11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15.15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3001.34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2335.87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490.66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4.834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3378.43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10.35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6.60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3717.92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3002.30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641.97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89.56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3742.99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17.51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3799.89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3718.88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61.05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3864.51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17.53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3986.99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3800.86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139.98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4035.22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17.81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4134.55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3987.96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109.78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4692.97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16.95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4700.68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4135.52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428.80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88" w:top="1440" w:bottom="1180" w:left="240" w:right="900"/>
        </w:sectPr>
      </w:pPr>
    </w:p>
    <w:p>
      <w:pPr>
        <w:pStyle w:val="BodyText"/>
        <w:ind w:left="911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155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100"/>
        <w:ind w:left="120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34: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Spectrograph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Acetylated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Mango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kernel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(sample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16)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358775</wp:posOffset>
            </wp:positionH>
            <wp:positionV relativeFrom="paragraph">
              <wp:posOffset>248344</wp:posOffset>
            </wp:positionV>
            <wp:extent cx="6707502" cy="2933700"/>
            <wp:effectExtent l="0" t="0" r="0" b="0"/>
            <wp:wrapTopAndBottom/>
            <wp:docPr id="157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0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6153" w:val="left" w:leader="none"/>
        </w:tabs>
        <w:ind w:left="1200"/>
      </w:pPr>
      <w:r>
        <w:rPr/>
        <w:t>FTIR</w:t>
      </w:r>
      <w:r>
        <w:rPr>
          <w:spacing w:val="-4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NARICT,ZARIA</w:t>
        <w:tab/>
        <w:t>FTIR-</w:t>
      </w:r>
      <w:r>
        <w:rPr>
          <w:spacing w:val="-3"/>
        </w:rPr>
        <w:t> </w:t>
      </w:r>
      <w:r>
        <w:rPr/>
        <w:t>8400S</w:t>
      </w:r>
      <w:r>
        <w:rPr>
          <w:spacing w:val="-5"/>
        </w:rPr>
        <w:t> </w:t>
      </w:r>
      <w:r>
        <w:rPr/>
        <w:t>FOURIER</w:t>
      </w:r>
      <w:r>
        <w:rPr>
          <w:spacing w:val="-2"/>
        </w:rPr>
        <w:t> </w:t>
      </w:r>
      <w:r>
        <w:rPr/>
        <w:t>TRANSFORM</w:t>
      </w:r>
    </w:p>
    <w:p>
      <w:pPr>
        <w:pStyle w:val="BodyText"/>
        <w:spacing w:before="2"/>
        <w:rPr>
          <w:b/>
          <w:sz w:val="27"/>
        </w:rPr>
      </w:pPr>
    </w:p>
    <w:tbl>
      <w:tblPr>
        <w:tblW w:w="0" w:type="auto"/>
        <w:jc w:val="left"/>
        <w:tblInd w:w="127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4"/>
        <w:gridCol w:w="1412"/>
        <w:gridCol w:w="1407"/>
        <w:gridCol w:w="1410"/>
        <w:gridCol w:w="1412"/>
        <w:gridCol w:w="1413"/>
        <w:gridCol w:w="1408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404.10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15.82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19.41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471.61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87.22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19.80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548.77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18.12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830.38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472.58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254.97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5.66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851.60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21.87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868.00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831.35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24.19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1023.27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14.88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6.63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1278.85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868.96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298.82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24.21</w:t>
            </w:r>
          </w:p>
        </w:tc>
      </w:tr>
      <w:tr>
        <w:trPr>
          <w:trHeight w:val="5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1362.75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19.71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1402.30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1279.81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85.34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1422.55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19.80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1500.67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1403.26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67.45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1525.74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1578.79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1501.63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51.75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1649.19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19.74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2.71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1889.34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1579.75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202.17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5.80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2173.85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23.82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2215.32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1890.30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201.00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88" w:top="560" w:bottom="1180" w:left="240" w:right="900"/>
        </w:sectPr>
      </w:pPr>
    </w:p>
    <w:tbl>
      <w:tblPr>
        <w:tblW w:w="0" w:type="auto"/>
        <w:jc w:val="left"/>
        <w:tblInd w:w="127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4"/>
        <w:gridCol w:w="1412"/>
        <w:gridCol w:w="1407"/>
        <w:gridCol w:w="1410"/>
        <w:gridCol w:w="1412"/>
        <w:gridCol w:w="1413"/>
        <w:gridCol w:w="1408"/>
      </w:tblGrid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2273.19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23.76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2338.77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2216.28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76.13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2926.11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18.62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3000.37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2339.73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442.34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5.63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3386.15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14.88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5.23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3711.17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3001.34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551.50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56.36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3742.03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20.43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3797.00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3712.13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58.24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3858.72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20.50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4013.03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3797.96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146.77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4049.68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4118.16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4014.00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70.57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4146.13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21.04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4150.95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4119.12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21.55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4673.68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20.24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4700.68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4151.91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376.05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88" w:top="1440" w:bottom="1180" w:left="240" w:right="900"/>
        </w:sectPr>
      </w:pPr>
    </w:p>
    <w:p>
      <w:pPr>
        <w:pStyle w:val="BodyText"/>
        <w:ind w:left="911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159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100"/>
        <w:ind w:left="120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35: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Spectrograph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Acetylated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Mango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kernel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(sample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17)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358775</wp:posOffset>
            </wp:positionH>
            <wp:positionV relativeFrom="paragraph">
              <wp:posOffset>248344</wp:posOffset>
            </wp:positionV>
            <wp:extent cx="6707502" cy="2933700"/>
            <wp:effectExtent l="0" t="0" r="0" b="0"/>
            <wp:wrapTopAndBottom/>
            <wp:docPr id="161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0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6153" w:val="left" w:leader="none"/>
        </w:tabs>
        <w:ind w:left="1200"/>
      </w:pPr>
      <w:r>
        <w:rPr/>
        <w:t>FTIR</w:t>
      </w:r>
      <w:r>
        <w:rPr>
          <w:spacing w:val="-4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NARICT,ZARIA</w:t>
        <w:tab/>
        <w:t>FTIR-</w:t>
      </w:r>
      <w:r>
        <w:rPr>
          <w:spacing w:val="-3"/>
        </w:rPr>
        <w:t> </w:t>
      </w:r>
      <w:r>
        <w:rPr/>
        <w:t>8400S</w:t>
      </w:r>
      <w:r>
        <w:rPr>
          <w:spacing w:val="-5"/>
        </w:rPr>
        <w:t> </w:t>
      </w:r>
      <w:r>
        <w:rPr/>
        <w:t>FOURIER</w:t>
      </w:r>
      <w:r>
        <w:rPr>
          <w:spacing w:val="-2"/>
        </w:rPr>
        <w:t> </w:t>
      </w:r>
      <w:r>
        <w:rPr/>
        <w:t>TRANSFORM</w:t>
      </w:r>
    </w:p>
    <w:p>
      <w:pPr>
        <w:pStyle w:val="BodyText"/>
        <w:spacing w:before="2"/>
        <w:rPr>
          <w:b/>
          <w:sz w:val="27"/>
        </w:rPr>
      </w:pPr>
    </w:p>
    <w:tbl>
      <w:tblPr>
        <w:tblW w:w="0" w:type="auto"/>
        <w:jc w:val="left"/>
        <w:tblInd w:w="127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4"/>
        <w:gridCol w:w="1412"/>
        <w:gridCol w:w="1407"/>
        <w:gridCol w:w="1410"/>
        <w:gridCol w:w="1412"/>
        <w:gridCol w:w="1413"/>
        <w:gridCol w:w="1408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414.71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18.83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12.48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469.68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81.51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14.17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582.52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17.95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872.82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470.65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282.50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10.22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1026.16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11.63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10.05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1219.05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873.78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268.14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37.29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1238.34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19.89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1277.88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1220.02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40.47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</w:tr>
      <w:tr>
        <w:trPr>
          <w:trHeight w:val="5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1359.86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18.40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1503.56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1278.85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160.52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7.10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1528.64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21.23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1573.00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1504.53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45.74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1648.23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17.94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5.14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1837.26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1573.97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175.37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11.58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2168.06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24.19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2214.35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1838.22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226.95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2278.01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24.11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2331.05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2215.32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71.33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88" w:top="560" w:bottom="1180" w:left="240" w:right="900"/>
        </w:sectPr>
      </w:pPr>
    </w:p>
    <w:tbl>
      <w:tblPr>
        <w:tblW w:w="0" w:type="auto"/>
        <w:jc w:val="left"/>
        <w:tblInd w:w="127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4"/>
        <w:gridCol w:w="1412"/>
        <w:gridCol w:w="1407"/>
        <w:gridCol w:w="1410"/>
        <w:gridCol w:w="1412"/>
        <w:gridCol w:w="1413"/>
        <w:gridCol w:w="1408"/>
      </w:tblGrid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2927.08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15.81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2.07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3000.37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2332.02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466.46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5.42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3378.43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10.61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7.57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3715.02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3001.34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630.80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100.95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3740.10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19.12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3797.00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3715.99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57.91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3877.05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19.09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3975.42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3797.96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126.98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4022.68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19.29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4057.40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3976.39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57.89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4096.94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19.29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4128.77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4058.36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50.31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4405.56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18.68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4436.42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4129.73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221.25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4663.07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18.09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4700.68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4437.39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193.66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88" w:top="1440" w:bottom="1180" w:left="240" w:right="900"/>
        </w:sectPr>
      </w:pPr>
    </w:p>
    <w:p>
      <w:pPr>
        <w:pStyle w:val="BodyText"/>
        <w:ind w:left="911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163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100"/>
        <w:ind w:left="120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36: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Spectrograph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Acetylated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Mango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kernel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(sample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18)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358775</wp:posOffset>
            </wp:positionH>
            <wp:positionV relativeFrom="paragraph">
              <wp:posOffset>248344</wp:posOffset>
            </wp:positionV>
            <wp:extent cx="6707502" cy="2933700"/>
            <wp:effectExtent l="0" t="0" r="0" b="0"/>
            <wp:wrapTopAndBottom/>
            <wp:docPr id="165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0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6155" w:val="left" w:leader="none"/>
        </w:tabs>
        <w:ind w:left="1200"/>
      </w:pPr>
      <w:r>
        <w:rPr/>
        <w:t>FTIR</w:t>
      </w:r>
      <w:r>
        <w:rPr>
          <w:spacing w:val="-4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RESULT</w:t>
      </w:r>
      <w:r>
        <w:rPr>
          <w:spacing w:val="-3"/>
        </w:rPr>
        <w:t> </w:t>
      </w:r>
      <w:r>
        <w:rPr/>
        <w:t>NARICT,ZARIA</w:t>
        <w:tab/>
        <w:t>FTIR-</w:t>
      </w:r>
      <w:r>
        <w:rPr>
          <w:spacing w:val="-4"/>
        </w:rPr>
        <w:t> </w:t>
      </w:r>
      <w:r>
        <w:rPr/>
        <w:t>8400S</w:t>
      </w:r>
      <w:r>
        <w:rPr>
          <w:spacing w:val="-5"/>
        </w:rPr>
        <w:t> </w:t>
      </w:r>
      <w:r>
        <w:rPr/>
        <w:t>FOURIER</w:t>
      </w:r>
      <w:r>
        <w:rPr>
          <w:spacing w:val="-2"/>
        </w:rPr>
        <w:t> </w:t>
      </w:r>
      <w:r>
        <w:rPr/>
        <w:t>TRANSFORM</w:t>
      </w:r>
    </w:p>
    <w:p>
      <w:pPr>
        <w:pStyle w:val="BodyText"/>
        <w:spacing w:before="2"/>
        <w:rPr>
          <w:b/>
          <w:sz w:val="27"/>
        </w:rPr>
      </w:pPr>
    </w:p>
    <w:tbl>
      <w:tblPr>
        <w:tblW w:w="0" w:type="auto"/>
        <w:jc w:val="left"/>
        <w:tblInd w:w="127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4"/>
        <w:gridCol w:w="1412"/>
        <w:gridCol w:w="1407"/>
        <w:gridCol w:w="1410"/>
        <w:gridCol w:w="1412"/>
        <w:gridCol w:w="1413"/>
        <w:gridCol w:w="1408"/>
      </w:tblGrid>
      <w:tr>
        <w:trPr>
          <w:trHeight w:val="1158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</w:p>
          <w:p>
            <w:pPr>
              <w:pStyle w:val="TableParagraph"/>
              <w:spacing w:line="240" w:lineRule="auto"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413.74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17.15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5.96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461.00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83.74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7.82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576.74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17.478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866.07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461.97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292.18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8.16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1028.09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13.16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7.67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1277.88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867.03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311.07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29.47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1359.86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18.63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1.63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1562.39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1278.85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199.75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5.23</w:t>
            </w:r>
          </w:p>
        </w:tc>
      </w:tr>
      <w:tr>
        <w:trPr>
          <w:trHeight w:val="5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1647.26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18.62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3.51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1836.29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1563.36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184.57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8.13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2166.13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22.76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2210.50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1837.26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236.77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</w:tr>
      <w:tr>
        <w:trPr>
          <w:trHeight w:val="577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2272.22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22.72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2322.37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2211.46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71.31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5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2927.08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16.85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1.49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3000.37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2323.34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472.99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3.44</w:t>
            </w:r>
          </w:p>
        </w:tc>
      </w:tr>
      <w:tr>
        <w:trPr>
          <w:trHeight w:val="6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3391.94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12.48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6.26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3727.56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3001.34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604.86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75.17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88" w:top="560" w:bottom="1180" w:left="240" w:right="900"/>
        </w:sectPr>
      </w:pPr>
    </w:p>
    <w:tbl>
      <w:tblPr>
        <w:tblW w:w="0" w:type="auto"/>
        <w:jc w:val="left"/>
        <w:tblInd w:w="127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4"/>
        <w:gridCol w:w="1412"/>
        <w:gridCol w:w="1407"/>
        <w:gridCol w:w="1410"/>
        <w:gridCol w:w="1412"/>
        <w:gridCol w:w="1413"/>
        <w:gridCol w:w="1408"/>
      </w:tblGrid>
      <w:tr>
        <w:trPr>
          <w:trHeight w:val="6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3742.03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19.55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3797.96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3728.53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49.13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</w:tr>
      <w:tr>
        <w:trPr>
          <w:trHeight w:val="681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3870.30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19.44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3925.27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3798.93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89.59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</w:tr>
    </w:tbl>
    <w:p>
      <w:pPr>
        <w:spacing w:after="0" w:line="289" w:lineRule="exact"/>
        <w:rPr>
          <w:sz w:val="24"/>
        </w:rPr>
        <w:sectPr>
          <w:pgSz w:w="12240" w:h="15840"/>
          <w:pgMar w:header="0" w:footer="988" w:top="1440" w:bottom="1180" w:left="240" w:right="900"/>
        </w:sectPr>
      </w:pPr>
    </w:p>
    <w:p>
      <w:pPr>
        <w:pStyle w:val="BodyText"/>
        <w:ind w:left="9110"/>
        <w:rPr>
          <w:sz w:val="20"/>
        </w:rPr>
      </w:pPr>
      <w:r>
        <w:rPr>
          <w:sz w:val="20"/>
        </w:rPr>
        <w:drawing>
          <wp:inline distT="0" distB="0" distL="0" distR="0">
            <wp:extent cx="1190820" cy="180022"/>
            <wp:effectExtent l="0" t="0" r="0" b="0"/>
            <wp:docPr id="167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100"/>
        <w:ind w:left="1186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37: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Spectrograph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Acetylated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Mango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kernel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(sample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19)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358775</wp:posOffset>
            </wp:positionH>
            <wp:positionV relativeFrom="paragraph">
              <wp:posOffset>158324</wp:posOffset>
            </wp:positionV>
            <wp:extent cx="6707502" cy="2933700"/>
            <wp:effectExtent l="0" t="0" r="0" b="0"/>
            <wp:wrapTopAndBottom/>
            <wp:docPr id="16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0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7624" w:val="left" w:leader="none"/>
        </w:tabs>
        <w:spacing w:line="477" w:lineRule="auto" w:after="44"/>
        <w:ind w:left="1200" w:right="536"/>
      </w:pPr>
      <w:r>
        <w:rPr/>
        <w:t>FTIR</w:t>
      </w:r>
      <w:r>
        <w:rPr>
          <w:spacing w:val="115"/>
        </w:rPr>
        <w:t> </w:t>
      </w:r>
      <w:r>
        <w:rPr/>
        <w:t>ANALYSIS</w:t>
      </w:r>
      <w:r>
        <w:rPr>
          <w:spacing w:val="113"/>
        </w:rPr>
        <w:t> </w:t>
      </w:r>
      <w:r>
        <w:rPr/>
        <w:t>RESULT</w:t>
      </w:r>
      <w:r>
        <w:rPr>
          <w:spacing w:val="114"/>
        </w:rPr>
        <w:t> </w:t>
      </w:r>
      <w:r>
        <w:rPr/>
        <w:t>NARICT,ZARIA</w:t>
        <w:tab/>
        <w:t>FTIR-</w:t>
      </w:r>
      <w:r>
        <w:rPr>
          <w:spacing w:val="45"/>
        </w:rPr>
        <w:t> </w:t>
      </w:r>
      <w:r>
        <w:rPr/>
        <w:t>8400S</w:t>
      </w:r>
      <w:r>
        <w:rPr>
          <w:spacing w:val="44"/>
        </w:rPr>
        <w:t> </w:t>
      </w:r>
      <w:r>
        <w:rPr/>
        <w:t>FOURIER</w:t>
      </w:r>
      <w:r>
        <w:rPr>
          <w:spacing w:val="-68"/>
        </w:rPr>
        <w:t> </w:t>
      </w:r>
      <w:r>
        <w:rPr/>
        <w:t>TRANSFORM</w:t>
      </w:r>
    </w:p>
    <w:tbl>
      <w:tblPr>
        <w:tblW w:w="0" w:type="auto"/>
        <w:jc w:val="left"/>
        <w:tblInd w:w="127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4"/>
        <w:gridCol w:w="1412"/>
        <w:gridCol w:w="1407"/>
        <w:gridCol w:w="1410"/>
        <w:gridCol w:w="1412"/>
        <w:gridCol w:w="1413"/>
        <w:gridCol w:w="1408"/>
      </w:tblGrid>
      <w:tr>
        <w:trPr>
          <w:trHeight w:val="1259" w:hRule="atLeast"/>
        </w:trPr>
        <w:tc>
          <w:tcPr>
            <w:tcW w:w="84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Peak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1407" w:type="dxa"/>
          </w:tcPr>
          <w:p>
            <w:pPr>
              <w:pStyle w:val="TableParagraph"/>
              <w:spacing w:line="480" w:lineRule="auto"/>
              <w:ind w:right="246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Intensity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(L)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Corr.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6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408.92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18.83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7.97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446.54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339.48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67.09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8.14</w:t>
            </w:r>
          </w:p>
        </w:tc>
      </w:tr>
      <w:tr>
        <w:trPr>
          <w:trHeight w:val="6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573.84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18.51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2.32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875.71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447.50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297.48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11.13</w:t>
            </w:r>
          </w:p>
        </w:tc>
      </w:tr>
      <w:tr>
        <w:trPr>
          <w:trHeight w:val="681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1026.16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12.97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9.05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1215.19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876.68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254.83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31.19</w:t>
            </w:r>
          </w:p>
        </w:tc>
      </w:tr>
      <w:tr>
        <w:trPr>
          <w:trHeight w:val="679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1239.31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20.54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1278.85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1216.16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42.96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</w:tr>
      <w:tr>
        <w:trPr>
          <w:trHeight w:val="6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1357.93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19.35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2.06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1503.56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1279.81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155.05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6.35</w:t>
            </w:r>
          </w:p>
        </w:tc>
      </w:tr>
      <w:tr>
        <w:trPr>
          <w:trHeight w:val="680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1535.39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22.29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1565.29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1504.53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39.49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88" w:top="560" w:bottom="1180" w:left="240" w:right="900"/>
        </w:sectPr>
      </w:pPr>
    </w:p>
    <w:tbl>
      <w:tblPr>
        <w:tblW w:w="0" w:type="auto"/>
        <w:jc w:val="left"/>
        <w:tblInd w:w="127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14"/>
        <w:gridCol w:w="1412"/>
        <w:gridCol w:w="1407"/>
        <w:gridCol w:w="1410"/>
        <w:gridCol w:w="1412"/>
        <w:gridCol w:w="1413"/>
        <w:gridCol w:w="1408"/>
      </w:tblGrid>
      <w:tr>
        <w:trPr>
          <w:trHeight w:val="6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1644.37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18.82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4.68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1824.72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1566.25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169.90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10.16</w:t>
            </w:r>
          </w:p>
        </w:tc>
      </w:tr>
      <w:tr>
        <w:trPr>
          <w:trHeight w:val="681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2176.74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24.07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2206.64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1825.68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230.60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</w:tr>
      <w:tr>
        <w:trPr>
          <w:trHeight w:val="6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2927.08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17.02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2997.48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2207.60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533.71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3.29</w:t>
            </w:r>
          </w:p>
        </w:tc>
      </w:tr>
      <w:tr>
        <w:trPr>
          <w:trHeight w:val="678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3367.82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7.19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3717.92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2998.44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601.01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86.02</w:t>
            </w:r>
          </w:p>
        </w:tc>
      </w:tr>
      <w:tr>
        <w:trPr>
          <w:trHeight w:val="680" w:hRule="atLeast"/>
        </w:trPr>
        <w:tc>
          <w:tcPr>
            <w:tcW w:w="840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4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3746.85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20.44</w:t>
            </w:r>
          </w:p>
        </w:tc>
        <w:tc>
          <w:tcPr>
            <w:tcW w:w="1407" w:type="dxa"/>
          </w:tcPr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410" w:type="dxa"/>
          </w:tcPr>
          <w:p>
            <w:pPr>
              <w:pStyle w:val="TableParagraph"/>
              <w:spacing w:line="289" w:lineRule="exact"/>
              <w:ind w:left="39"/>
              <w:rPr>
                <w:sz w:val="24"/>
              </w:rPr>
            </w:pPr>
            <w:r>
              <w:rPr>
                <w:sz w:val="24"/>
              </w:rPr>
              <w:t>3796.04</w:t>
            </w:r>
          </w:p>
        </w:tc>
        <w:tc>
          <w:tcPr>
            <w:tcW w:w="1412" w:type="dxa"/>
          </w:tcPr>
          <w:p>
            <w:pPr>
              <w:pStyle w:val="TableParagraph"/>
              <w:spacing w:line="289" w:lineRule="exact"/>
              <w:ind w:left="34"/>
              <w:rPr>
                <w:sz w:val="24"/>
              </w:rPr>
            </w:pPr>
            <w:r>
              <w:rPr>
                <w:sz w:val="24"/>
              </w:rPr>
              <w:t>3718.88</w:t>
            </w:r>
          </w:p>
        </w:tc>
        <w:tc>
          <w:tcPr>
            <w:tcW w:w="1413" w:type="dxa"/>
          </w:tcPr>
          <w:p>
            <w:pPr>
              <w:pStyle w:val="TableParagraph"/>
              <w:spacing w:line="289" w:lineRule="exact"/>
              <w:ind w:left="33"/>
              <w:rPr>
                <w:sz w:val="24"/>
              </w:rPr>
            </w:pPr>
            <w:r>
              <w:rPr>
                <w:sz w:val="24"/>
              </w:rPr>
              <w:t>53.08</w:t>
            </w:r>
          </w:p>
        </w:tc>
        <w:tc>
          <w:tcPr>
            <w:tcW w:w="1408" w:type="dxa"/>
          </w:tcPr>
          <w:p>
            <w:pPr>
              <w:pStyle w:val="TableParagraph"/>
              <w:spacing w:line="289" w:lineRule="exact"/>
              <w:ind w:left="3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679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3870.30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20.26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3909.84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3797.00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77.94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</w:tr>
      <w:tr>
        <w:trPr>
          <w:trHeight w:val="681" w:hRule="atLeast"/>
        </w:trPr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4065.11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20.15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410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4123.95</w:t>
            </w:r>
          </w:p>
        </w:tc>
        <w:tc>
          <w:tcPr>
            <w:tcW w:w="1412" w:type="dxa"/>
          </w:tcPr>
          <w:p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3910.8</w:t>
            </w:r>
          </w:p>
        </w:tc>
        <w:tc>
          <w:tcPr>
            <w:tcW w:w="1413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148.09</w:t>
            </w:r>
          </w:p>
        </w:tc>
        <w:tc>
          <w:tcPr>
            <w:tcW w:w="1408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</w:tr>
    </w:tbl>
    <w:sectPr>
      <w:pgSz w:w="12240" w:h="15840"/>
      <w:pgMar w:header="0" w:footer="988" w:top="1440" w:bottom="1180" w:left="24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1.589996pt;margin-top:777.546631pt;width:24pt;height:15.3pt;mso-position-horizontal-relative:page;mso-position-vertical-relative:page;z-index:-244751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049988pt;margin-top:727.602661pt;width:24pt;height:15.3pt;mso-position-horizontal-relative:page;mso-position-vertical-relative:page;z-index:-244746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4"/>
      <w:numFmt w:val="decimal"/>
      <w:lvlText w:val="%1"/>
      <w:lvlJc w:val="left"/>
      <w:pPr>
        <w:ind w:left="191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18" w:hanging="720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1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918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918" w:hanging="720"/>
        <w:jc w:val="left"/>
      </w:pPr>
      <w:rPr>
        <w:rFonts w:hint="default" w:ascii="Tahoma" w:hAnsi="Tahoma" w:eastAsia="Tahoma" w:cs="Tahoma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918" w:hanging="720"/>
        <w:jc w:val="left"/>
      </w:pPr>
      <w:rPr>
        <w:rFonts w:hint="default" w:ascii="Tahoma" w:hAnsi="Tahoma" w:eastAsia="Tahoma" w:cs="Tahom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1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2638" w:hanging="1366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638" w:hanging="1366"/>
        <w:jc w:val="left"/>
      </w:pPr>
      <w:rPr>
        <w:rFonts w:hint="default" w:ascii="Tahoma" w:hAnsi="Tahoma" w:eastAsia="Tahoma" w:cs="Tahoma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638" w:hanging="1440"/>
        <w:jc w:val="right"/>
      </w:pPr>
      <w:rPr>
        <w:rFonts w:hint="default" w:ascii="Tahoma" w:hAnsi="Tahoma" w:eastAsia="Tahoma" w:cs="Tahom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3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7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62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6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0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15" w:hanging="144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918" w:hanging="646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918" w:hanging="646"/>
        <w:jc w:val="left"/>
      </w:pPr>
      <w:rPr>
        <w:rFonts w:hint="default" w:ascii="Tahoma" w:hAnsi="Tahoma" w:eastAsia="Tahoma" w:cs="Tahoma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918" w:hanging="720"/>
        <w:jc w:val="left"/>
      </w:pPr>
      <w:rPr>
        <w:rFonts w:hint="default" w:ascii="Tahoma" w:hAnsi="Tahoma" w:eastAsia="Tahoma" w:cs="Tahom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1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918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918" w:hanging="720"/>
        <w:jc w:val="left"/>
      </w:pPr>
      <w:rPr>
        <w:rFonts w:hint="default" w:ascii="Tahoma" w:hAnsi="Tahoma" w:eastAsia="Tahoma" w:cs="Tahoma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8" w:hanging="720"/>
        <w:jc w:val="left"/>
      </w:pPr>
      <w:rPr>
        <w:rFonts w:hint="default" w:ascii="Tahoma" w:hAnsi="Tahoma" w:eastAsia="Tahoma" w:cs="Tahom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1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918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918" w:hanging="720"/>
        <w:jc w:val="righ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77" w:hanging="680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6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8" w:hanging="6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0" w:hanging="6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3" w:hanging="6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6" w:hanging="6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8" w:hanging="68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91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18" w:hanging="720"/>
        <w:jc w:val="left"/>
      </w:pPr>
      <w:rPr>
        <w:rFonts w:hint="default" w:ascii="Tahoma" w:hAnsi="Tahoma" w:eastAsia="Tahoma" w:cs="Tahoma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8" w:hanging="720"/>
        <w:jc w:val="left"/>
      </w:pPr>
      <w:rPr>
        <w:rFonts w:hint="default" w:ascii="Tahoma" w:hAnsi="Tahoma" w:eastAsia="Tahoma" w:cs="Tahom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6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6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8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"/>
      <w:lvlJc w:val="left"/>
      <w:pPr>
        <w:ind w:left="246" w:hanging="173"/>
      </w:pPr>
      <w:rPr>
        <w:rFonts w:hint="default" w:ascii="Symbol" w:hAnsi="Symbol" w:eastAsia="Symbol" w:cs="Symbol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8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0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8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4" w:hanging="173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91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18" w:hanging="720"/>
        <w:jc w:val="left"/>
      </w:pPr>
      <w:rPr>
        <w:rFonts w:hint="default"/>
        <w:lang w:val="en-US" w:eastAsia="en-US" w:bidi="ar-SA"/>
      </w:rPr>
    </w:lvl>
    <w:lvl w:ilvl="2">
      <w:start w:val="9"/>
      <w:numFmt w:val="decimal"/>
      <w:lvlText w:val="%1.%2.%3"/>
      <w:lvlJc w:val="left"/>
      <w:pPr>
        <w:ind w:left="1918" w:hanging="720"/>
        <w:jc w:val="left"/>
      </w:pPr>
      <w:rPr>
        <w:rFonts w:hint="default" w:ascii="Tahoma" w:hAnsi="Tahoma" w:eastAsia="Tahoma" w:cs="Tahom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1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91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18" w:hanging="72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918" w:hanging="720"/>
        <w:jc w:val="left"/>
      </w:pPr>
      <w:rPr>
        <w:rFonts w:hint="default" w:ascii="Tahoma" w:hAnsi="Tahoma" w:eastAsia="Tahoma" w:cs="Tahom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1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91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18" w:hanging="720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8" w:hanging="720"/>
        <w:jc w:val="left"/>
      </w:pPr>
      <w:rPr>
        <w:rFonts w:hint="default" w:ascii="Tahoma" w:hAnsi="Tahoma" w:eastAsia="Tahoma" w:cs="Tahom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1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2638" w:hanging="14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638" w:hanging="1440"/>
        <w:jc w:val="left"/>
      </w:pPr>
      <w:rPr>
        <w:rFonts w:hint="default"/>
        <w:lang w:val="en-US" w:eastAsia="en-US" w:bidi="ar-SA"/>
      </w:rPr>
    </w:lvl>
    <w:lvl w:ilvl="2">
      <w:start w:val="12"/>
      <w:numFmt w:val="decimal"/>
      <w:lvlText w:val="%1.%2.%3"/>
      <w:lvlJc w:val="left"/>
      <w:pPr>
        <w:ind w:left="2638" w:hanging="144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638" w:hanging="1440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7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62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6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0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15" w:hanging="14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918" w:hanging="360"/>
        <w:jc w:val="left"/>
      </w:pPr>
      <w:rPr>
        <w:rFonts w:hint="default" w:ascii="Tahoma" w:hAnsi="Tahoma" w:eastAsia="Tahoma" w:cs="Tahom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1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918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918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8" w:hanging="720"/>
        <w:jc w:val="left"/>
      </w:pPr>
      <w:rPr>
        <w:rFonts w:hint="default" w:ascii="Tahoma" w:hAnsi="Tahoma" w:eastAsia="Tahoma" w:cs="Tahom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638" w:hanging="1440"/>
        <w:jc w:val="left"/>
      </w:pPr>
      <w:rPr>
        <w:rFonts w:hint="default" w:ascii="Tahoma" w:hAnsi="Tahoma" w:eastAsia="Tahoma" w:cs="Tahoma"/>
        <w:b/>
        <w:b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8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3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6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8" w:hanging="14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358" w:hanging="21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58" w:hanging="2161"/>
        <w:jc w:val="righ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918" w:hanging="36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8" w:hanging="360"/>
      </w:pPr>
      <w:rPr>
        <w:rFonts w:hint="default"/>
        <w:lang w:val="en-US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320" w:lineRule="exact"/>
      <w:jc w:val="right"/>
      <w:outlineLvl w:val="1"/>
    </w:pPr>
    <w:rPr>
      <w:rFonts w:ascii="Arial MT" w:hAnsi="Arial MT" w:eastAsia="Arial MT" w:cs="Arial MT"/>
      <w:sz w:val="33"/>
      <w:szCs w:val="33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ahoma" w:hAnsi="Tahoma" w:eastAsia="Tahoma" w:cs="Tahoma"/>
      <w:sz w:val="25"/>
      <w:szCs w:val="25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198"/>
      <w:outlineLvl w:val="3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918" w:hanging="720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87" w:lineRule="exact"/>
      <w:ind w:left="35"/>
    </w:pPr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hyperlink" Target="http://www.darwin.bio.uci.edu/-" TargetMode="External"/><Relationship Id="rId74" Type="http://schemas.openxmlformats.org/officeDocument/2006/relationships/hyperlink" Target="http://www.businessweek.com/archives/1994/b338184.arc.htm?campaign_id=search" TargetMode="External"/><Relationship Id="rId75" Type="http://schemas.openxmlformats.org/officeDocument/2006/relationships/hyperlink" Target="http://apps.fao.org/default.htm" TargetMode="External"/><Relationship Id="rId76" Type="http://schemas.openxmlformats.org/officeDocument/2006/relationships/hyperlink" Target="http://www.accoya.com/download.asp" TargetMode="External"/><Relationship Id="rId77" Type="http://schemas.openxmlformats.org/officeDocument/2006/relationships/hyperlink" Target="http://www.itopf.com/containment.html" TargetMode="External"/><Relationship Id="rId78" Type="http://schemas.openxmlformats.org/officeDocument/2006/relationships/hyperlink" Target="http://www.uoguelph.ca/plant/research/agronomy/publications/pdf/ontario_biomass_availability_project_final_report_2011.01.27.pdf" TargetMode="External"/><Relationship Id="rId79" Type="http://schemas.openxmlformats.org/officeDocument/2006/relationships/hyperlink" Target="http://www.response.restoration.noaa.gov/oilaids/response/pdfs/methods/disperse.pdf" TargetMode="External"/><Relationship Id="rId80" Type="http://schemas.openxmlformats.org/officeDocument/2006/relationships/hyperlink" Target="http://www.bloomberg.com/apps/news?pid=newsarchive&amp;sid=orgf2xjGoSoM" TargetMode="External"/><Relationship Id="rId81" Type="http://schemas.openxmlformats.org/officeDocument/2006/relationships/hyperlink" Target="http://www.lrc.usace.army.mil/GrtLakes/OilGas/Chapter3.pdf" TargetMode="External"/><Relationship Id="rId82" Type="http://schemas.openxmlformats.org/officeDocument/2006/relationships/hyperlink" Target="http://www.epa.gov/%20oilspill/boom.htm" TargetMode="External"/><Relationship Id="rId83" Type="http://schemas.openxmlformats.org/officeDocument/2006/relationships/hyperlink" Target="http://www.epa.gov/%20oilspill/disperse.htm" TargetMode="External"/><Relationship Id="rId84" Type="http://schemas.openxmlformats.org/officeDocument/2006/relationships/hyperlink" Target="http://www.epa.gov/oilspill/pdfs/biofact.pdf" TargetMode="External"/><Relationship Id="rId85" Type="http://schemas.openxmlformats.org/officeDocument/2006/relationships/image" Target="media/image68.png"/><Relationship Id="rId86" Type="http://schemas.openxmlformats.org/officeDocument/2006/relationships/image" Target="media/image69.jpeg"/><Relationship Id="rId87" Type="http://schemas.openxmlformats.org/officeDocument/2006/relationships/image" Target="media/image70.jpeg"/><Relationship Id="rId88" Type="http://schemas.openxmlformats.org/officeDocument/2006/relationships/image" Target="media/image71.jpeg"/><Relationship Id="rId89" Type="http://schemas.openxmlformats.org/officeDocument/2006/relationships/image" Target="media/image72.jpeg"/><Relationship Id="rId90" Type="http://schemas.openxmlformats.org/officeDocument/2006/relationships/image" Target="media/image73.jpeg"/><Relationship Id="rId91" Type="http://schemas.openxmlformats.org/officeDocument/2006/relationships/image" Target="media/image74.jpeg"/><Relationship Id="rId92" Type="http://schemas.openxmlformats.org/officeDocument/2006/relationships/image" Target="media/image75.jpeg"/><Relationship Id="rId93" Type="http://schemas.openxmlformats.org/officeDocument/2006/relationships/image" Target="media/image76.png"/><Relationship Id="rId94" Type="http://schemas.openxmlformats.org/officeDocument/2006/relationships/image" Target="media/image77.png"/><Relationship Id="rId95" Type="http://schemas.openxmlformats.org/officeDocument/2006/relationships/image" Target="media/image78.png"/><Relationship Id="rId96" Type="http://schemas.openxmlformats.org/officeDocument/2006/relationships/image" Target="media/image79.png"/><Relationship Id="rId97" Type="http://schemas.openxmlformats.org/officeDocument/2006/relationships/image" Target="media/image80.png"/><Relationship Id="rId98" Type="http://schemas.openxmlformats.org/officeDocument/2006/relationships/image" Target="media/image81.png"/><Relationship Id="rId99" Type="http://schemas.openxmlformats.org/officeDocument/2006/relationships/image" Target="media/image82.jpeg"/><Relationship Id="rId100" Type="http://schemas.openxmlformats.org/officeDocument/2006/relationships/image" Target="media/image83.png"/><Relationship Id="rId101" Type="http://schemas.openxmlformats.org/officeDocument/2006/relationships/image" Target="media/image84.png"/><Relationship Id="rId102" Type="http://schemas.openxmlformats.org/officeDocument/2006/relationships/image" Target="media/image85.png"/><Relationship Id="rId103" Type="http://schemas.openxmlformats.org/officeDocument/2006/relationships/image" Target="media/image86.png"/><Relationship Id="rId104" Type="http://schemas.openxmlformats.org/officeDocument/2006/relationships/image" Target="media/image87.png"/><Relationship Id="rId105" Type="http://schemas.openxmlformats.org/officeDocument/2006/relationships/image" Target="media/image88.png"/><Relationship Id="rId106" Type="http://schemas.openxmlformats.org/officeDocument/2006/relationships/image" Target="media/image89.png"/><Relationship Id="rId107" Type="http://schemas.openxmlformats.org/officeDocument/2006/relationships/image" Target="media/image90.png"/><Relationship Id="rId108" Type="http://schemas.openxmlformats.org/officeDocument/2006/relationships/image" Target="media/image91.png"/><Relationship Id="rId109" Type="http://schemas.openxmlformats.org/officeDocument/2006/relationships/image" Target="media/image92.png"/><Relationship Id="rId110" Type="http://schemas.openxmlformats.org/officeDocument/2006/relationships/image" Target="media/image93.png"/><Relationship Id="rId111" Type="http://schemas.openxmlformats.org/officeDocument/2006/relationships/image" Target="media/image94.png"/><Relationship Id="rId112" Type="http://schemas.openxmlformats.org/officeDocument/2006/relationships/image" Target="media/image95.png"/><Relationship Id="rId113" Type="http://schemas.openxmlformats.org/officeDocument/2006/relationships/image" Target="media/image96.png"/><Relationship Id="rId114" Type="http://schemas.openxmlformats.org/officeDocument/2006/relationships/image" Target="media/image97.png"/><Relationship Id="rId115" Type="http://schemas.openxmlformats.org/officeDocument/2006/relationships/image" Target="media/image98.png"/><Relationship Id="rId116" Type="http://schemas.openxmlformats.org/officeDocument/2006/relationships/footer" Target="footer2.xml"/><Relationship Id="rId117" Type="http://schemas.openxmlformats.org/officeDocument/2006/relationships/image" Target="media/image99.png"/><Relationship Id="rId118" Type="http://schemas.openxmlformats.org/officeDocument/2006/relationships/image" Target="media/image100.png"/><Relationship Id="rId119" Type="http://schemas.openxmlformats.org/officeDocument/2006/relationships/image" Target="media/image101.png"/><Relationship Id="rId120" Type="http://schemas.openxmlformats.org/officeDocument/2006/relationships/image" Target="media/image102.png"/><Relationship Id="rId121" Type="http://schemas.openxmlformats.org/officeDocument/2006/relationships/image" Target="media/image103.png"/><Relationship Id="rId122" Type="http://schemas.openxmlformats.org/officeDocument/2006/relationships/image" Target="media/image104.png"/><Relationship Id="rId123" Type="http://schemas.openxmlformats.org/officeDocument/2006/relationships/image" Target="media/image105.png"/><Relationship Id="rId1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Menkiti</dc:creator>
  <dcterms:created xsi:type="dcterms:W3CDTF">2023-10-30T18:05:49Z</dcterms:created>
  <dcterms:modified xsi:type="dcterms:W3CDTF">2023-10-30T18:05:49Z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2023-10-30T00:00:00Z</vt:filetime>
  </property>
</Properties>
</file>