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64"/>
        <w:ind w:left="2978" w:right="1260" w:hanging="1539"/>
        <w:jc w:val="left"/>
        <w:rPr>
          <w:b/>
          <w:sz w:val="28"/>
        </w:rPr>
      </w:pPr>
      <w:r>
        <w:rPr/>
        <mc:AlternateContent>
          <mc:Choice Requires="wps">
            <w:drawing>
              <wp:anchor distT="0" distB="0" distL="0" distR="0" allowOverlap="1" layoutInCell="1" locked="0" behindDoc="1" simplePos="0" relativeHeight="480558080">
                <wp:simplePos x="0" y="0"/>
                <wp:positionH relativeFrom="page">
                  <wp:posOffset>-1537026</wp:posOffset>
                </wp:positionH>
                <wp:positionV relativeFrom="page">
                  <wp:posOffset>4900424</wp:posOffset>
                </wp:positionV>
                <wp:extent cx="10669905" cy="914400"/>
                <wp:effectExtent l="0" t="0" r="0" b="0"/>
                <wp:wrapNone/>
                <wp:docPr id="1" name="Textbox 1"/>
                <wp:cNvGraphicFramePr>
                  <a:graphicFrameLocks/>
                </wp:cNvGraphicFramePr>
                <a:graphic>
                  <a:graphicData uri="http://schemas.microsoft.com/office/word/2010/wordprocessingShape">
                    <wps:wsp>
                      <wps:cNvPr id="1" name="Textbox 1"/>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58400;rotation:306" type="#_x0000_t136" fillcolor="#ff5400" stroked="f">
                <o:extrusion v:ext="view" autorotationcenter="t"/>
                <v:textpath style="font-family:&quot;Arial MT&quot;;font-size:72pt;v-text-kern:t;mso-text-shadow:auto" string="UNIVERSITY OF IBADAN"/>
                <w10:wrap type="none"/>
              </v:shape>
            </w:pict>
          </mc:Fallback>
        </mc:AlternateContent>
      </w:r>
      <w:r>
        <w:rPr>
          <w:b/>
          <w:sz w:val="28"/>
        </w:rPr>
        <w:t>A</w:t>
      </w:r>
      <w:r>
        <w:rPr>
          <w:b/>
          <w:spacing w:val="-6"/>
          <w:sz w:val="28"/>
        </w:rPr>
        <w:t> </w:t>
      </w:r>
      <w:r>
        <w:rPr>
          <w:b/>
          <w:sz w:val="28"/>
        </w:rPr>
        <w:t>STRATEGIC</w:t>
      </w:r>
      <w:r>
        <w:rPr>
          <w:b/>
          <w:spacing w:val="-6"/>
          <w:sz w:val="28"/>
        </w:rPr>
        <w:t> </w:t>
      </w:r>
      <w:r>
        <w:rPr>
          <w:b/>
          <w:sz w:val="28"/>
        </w:rPr>
        <w:t>ASSESSMENT</w:t>
      </w:r>
      <w:r>
        <w:rPr>
          <w:b/>
          <w:spacing w:val="-5"/>
          <w:sz w:val="28"/>
        </w:rPr>
        <w:t> </w:t>
      </w:r>
      <w:r>
        <w:rPr>
          <w:b/>
          <w:sz w:val="28"/>
        </w:rPr>
        <w:t>OF</w:t>
      </w:r>
      <w:r>
        <w:rPr>
          <w:b/>
          <w:spacing w:val="-7"/>
          <w:sz w:val="28"/>
        </w:rPr>
        <w:t> </w:t>
      </w:r>
      <w:r>
        <w:rPr>
          <w:b/>
          <w:sz w:val="28"/>
        </w:rPr>
        <w:t>THE</w:t>
      </w:r>
      <w:r>
        <w:rPr>
          <w:b/>
          <w:spacing w:val="-5"/>
          <w:sz w:val="28"/>
        </w:rPr>
        <w:t> </w:t>
      </w:r>
      <w:r>
        <w:rPr>
          <w:b/>
          <w:sz w:val="28"/>
        </w:rPr>
        <w:t>JOINT</w:t>
      </w:r>
      <w:r>
        <w:rPr>
          <w:b/>
          <w:spacing w:val="-5"/>
          <w:sz w:val="28"/>
        </w:rPr>
        <w:t> </w:t>
      </w:r>
      <w:r>
        <w:rPr>
          <w:b/>
          <w:sz w:val="28"/>
        </w:rPr>
        <w:t>MILITARY</w:t>
      </w:r>
      <w:r>
        <w:rPr>
          <w:b/>
          <w:spacing w:val="-6"/>
          <w:sz w:val="28"/>
        </w:rPr>
        <w:t> </w:t>
      </w:r>
      <w:r>
        <w:rPr>
          <w:b/>
          <w:sz w:val="28"/>
        </w:rPr>
        <w:t>TASK FORCE IN THE NIGER DELTA, 2003-2010</w:t>
      </w:r>
    </w:p>
    <w:p>
      <w:pPr>
        <w:pStyle w:val="BodyText"/>
        <w:ind w:left="0"/>
        <w:rPr>
          <w:b/>
          <w:sz w:val="28"/>
        </w:rPr>
      </w:pPr>
    </w:p>
    <w:p>
      <w:pPr>
        <w:pStyle w:val="BodyText"/>
        <w:ind w:left="0"/>
        <w:rPr>
          <w:b/>
          <w:sz w:val="28"/>
        </w:rPr>
      </w:pPr>
    </w:p>
    <w:p>
      <w:pPr>
        <w:pStyle w:val="BodyText"/>
        <w:ind w:left="0"/>
        <w:rPr>
          <w:b/>
          <w:sz w:val="28"/>
        </w:rPr>
      </w:pPr>
    </w:p>
    <w:p>
      <w:pPr>
        <w:pStyle w:val="BodyText"/>
        <w:ind w:left="0"/>
        <w:rPr>
          <w:b/>
          <w:sz w:val="28"/>
        </w:rPr>
      </w:pPr>
    </w:p>
    <w:p>
      <w:pPr>
        <w:pStyle w:val="BodyText"/>
        <w:ind w:left="0"/>
        <w:rPr>
          <w:b/>
          <w:sz w:val="28"/>
        </w:rPr>
      </w:pPr>
    </w:p>
    <w:p>
      <w:pPr>
        <w:pStyle w:val="BodyText"/>
        <w:ind w:left="0"/>
        <w:rPr>
          <w:b/>
          <w:sz w:val="28"/>
        </w:rPr>
      </w:pPr>
    </w:p>
    <w:p>
      <w:pPr>
        <w:pStyle w:val="BodyText"/>
        <w:ind w:left="0"/>
        <w:rPr>
          <w:b/>
          <w:sz w:val="28"/>
        </w:rPr>
      </w:pPr>
    </w:p>
    <w:p>
      <w:pPr>
        <w:pStyle w:val="BodyText"/>
        <w:ind w:left="0"/>
        <w:rPr>
          <w:b/>
          <w:sz w:val="28"/>
        </w:rPr>
      </w:pPr>
    </w:p>
    <w:p>
      <w:pPr>
        <w:pStyle w:val="BodyText"/>
        <w:spacing w:before="1"/>
        <w:ind w:left="0"/>
        <w:rPr>
          <w:b/>
          <w:sz w:val="28"/>
        </w:rPr>
      </w:pPr>
    </w:p>
    <w:p>
      <w:pPr>
        <w:spacing w:before="0"/>
        <w:ind w:left="1480" w:right="1301" w:firstLine="0"/>
        <w:jc w:val="center"/>
        <w:rPr>
          <w:b/>
          <w:sz w:val="28"/>
        </w:rPr>
      </w:pPr>
      <w:r>
        <w:rPr>
          <w:b/>
          <w:sz w:val="28"/>
        </w:rPr>
        <w:t>MEJABI,</w:t>
      </w:r>
      <w:r>
        <w:rPr>
          <w:b/>
          <w:spacing w:val="-5"/>
          <w:sz w:val="28"/>
        </w:rPr>
        <w:t> </w:t>
      </w:r>
      <w:r>
        <w:rPr>
          <w:b/>
          <w:sz w:val="28"/>
        </w:rPr>
        <w:t>HENRY</w:t>
      </w:r>
      <w:r>
        <w:rPr>
          <w:b/>
          <w:spacing w:val="-5"/>
          <w:sz w:val="28"/>
        </w:rPr>
        <w:t> </w:t>
      </w:r>
      <w:r>
        <w:rPr>
          <w:b/>
          <w:spacing w:val="-2"/>
          <w:sz w:val="28"/>
        </w:rPr>
        <w:t>OLORUNDARE</w:t>
      </w:r>
    </w:p>
    <w:p>
      <w:pPr>
        <w:spacing w:line="322" w:lineRule="exact" w:before="0"/>
        <w:ind w:left="1480" w:right="1299" w:firstLine="0"/>
        <w:jc w:val="center"/>
        <w:rPr>
          <w:b/>
          <w:sz w:val="28"/>
        </w:rPr>
      </w:pPr>
      <w:r>
        <w:rPr>
          <w:b/>
          <w:sz w:val="28"/>
        </w:rPr>
        <w:t>Matriculation</w:t>
      </w:r>
      <w:r>
        <w:rPr>
          <w:b/>
          <w:spacing w:val="-8"/>
          <w:sz w:val="28"/>
        </w:rPr>
        <w:t> </w:t>
      </w:r>
      <w:r>
        <w:rPr>
          <w:b/>
          <w:sz w:val="28"/>
        </w:rPr>
        <w:t>Number</w:t>
      </w:r>
      <w:r>
        <w:rPr>
          <w:b/>
          <w:spacing w:val="-7"/>
          <w:sz w:val="28"/>
        </w:rPr>
        <w:t> </w:t>
      </w:r>
      <w:r>
        <w:rPr>
          <w:b/>
          <w:spacing w:val="-4"/>
          <w:sz w:val="28"/>
        </w:rPr>
        <w:t>25507</w:t>
      </w:r>
    </w:p>
    <w:p>
      <w:pPr>
        <w:spacing w:line="322" w:lineRule="exact" w:before="0"/>
        <w:ind w:left="1480" w:right="1302" w:firstLine="0"/>
        <w:jc w:val="center"/>
        <w:rPr>
          <w:b/>
          <w:sz w:val="28"/>
        </w:rPr>
      </w:pPr>
      <w:r>
        <w:rPr>
          <w:b/>
          <w:sz w:val="28"/>
        </w:rPr>
        <w:t>B.Sc</w:t>
      </w:r>
      <w:r>
        <w:rPr>
          <w:b/>
          <w:spacing w:val="-8"/>
          <w:sz w:val="28"/>
        </w:rPr>
        <w:t> </w:t>
      </w:r>
      <w:r>
        <w:rPr>
          <w:b/>
          <w:sz w:val="28"/>
        </w:rPr>
        <w:t>(Hons.)</w:t>
      </w:r>
      <w:r>
        <w:rPr>
          <w:b/>
          <w:spacing w:val="-5"/>
          <w:sz w:val="28"/>
        </w:rPr>
        <w:t> </w:t>
      </w:r>
      <w:r>
        <w:rPr>
          <w:b/>
          <w:sz w:val="28"/>
        </w:rPr>
        <w:t>Geography</w:t>
      </w:r>
      <w:r>
        <w:rPr>
          <w:b/>
          <w:spacing w:val="-3"/>
          <w:sz w:val="28"/>
        </w:rPr>
        <w:t> </w:t>
      </w:r>
      <w:r>
        <w:rPr>
          <w:b/>
          <w:sz w:val="28"/>
        </w:rPr>
        <w:t>(Ibadan),</w:t>
      </w:r>
      <w:r>
        <w:rPr>
          <w:b/>
          <w:spacing w:val="-5"/>
          <w:sz w:val="28"/>
        </w:rPr>
        <w:t> </w:t>
      </w:r>
      <w:r>
        <w:rPr>
          <w:b/>
          <w:sz w:val="28"/>
        </w:rPr>
        <w:t>M.Sc</w:t>
      </w:r>
      <w:r>
        <w:rPr>
          <w:b/>
          <w:spacing w:val="-7"/>
          <w:sz w:val="28"/>
        </w:rPr>
        <w:t> </w:t>
      </w:r>
      <w:r>
        <w:rPr>
          <w:b/>
          <w:sz w:val="28"/>
        </w:rPr>
        <w:t>Land</w:t>
      </w:r>
      <w:r>
        <w:rPr>
          <w:b/>
          <w:spacing w:val="-5"/>
          <w:sz w:val="28"/>
        </w:rPr>
        <w:t> </w:t>
      </w:r>
      <w:r>
        <w:rPr>
          <w:b/>
          <w:sz w:val="28"/>
        </w:rPr>
        <w:t>Surveying</w:t>
      </w:r>
      <w:r>
        <w:rPr>
          <w:b/>
          <w:spacing w:val="-2"/>
          <w:sz w:val="28"/>
        </w:rPr>
        <w:t> (ABU),</w:t>
      </w:r>
    </w:p>
    <w:p>
      <w:pPr>
        <w:spacing w:before="0"/>
        <w:ind w:left="3183" w:right="0" w:firstLine="0"/>
        <w:jc w:val="left"/>
        <w:rPr>
          <w:b/>
          <w:sz w:val="28"/>
        </w:rPr>
      </w:pPr>
      <w:r>
        <w:rPr>
          <w:b/>
          <w:sz w:val="28"/>
        </w:rPr>
        <w:t>M.</w:t>
      </w:r>
      <w:r>
        <w:rPr>
          <w:b/>
          <w:spacing w:val="-3"/>
          <w:sz w:val="28"/>
        </w:rPr>
        <w:t> </w:t>
      </w:r>
      <w:r>
        <w:rPr>
          <w:b/>
          <w:sz w:val="28"/>
        </w:rPr>
        <w:t>A.</w:t>
      </w:r>
      <w:r>
        <w:rPr>
          <w:b/>
          <w:spacing w:val="-3"/>
          <w:sz w:val="28"/>
        </w:rPr>
        <w:t> </w:t>
      </w:r>
      <w:r>
        <w:rPr>
          <w:b/>
          <w:sz w:val="28"/>
        </w:rPr>
        <w:t>Peace</w:t>
      </w:r>
      <w:r>
        <w:rPr>
          <w:b/>
          <w:spacing w:val="-2"/>
          <w:sz w:val="28"/>
        </w:rPr>
        <w:t> </w:t>
      </w:r>
      <w:r>
        <w:rPr>
          <w:b/>
          <w:sz w:val="28"/>
        </w:rPr>
        <w:t>&amp;</w:t>
      </w:r>
      <w:r>
        <w:rPr>
          <w:b/>
          <w:spacing w:val="-4"/>
          <w:sz w:val="28"/>
        </w:rPr>
        <w:t> </w:t>
      </w:r>
      <w:r>
        <w:rPr>
          <w:b/>
          <w:sz w:val="28"/>
        </w:rPr>
        <w:t>Conflict</w:t>
      </w:r>
      <w:r>
        <w:rPr>
          <w:b/>
          <w:spacing w:val="-2"/>
          <w:sz w:val="28"/>
        </w:rPr>
        <w:t> </w:t>
      </w:r>
      <w:r>
        <w:rPr>
          <w:b/>
          <w:sz w:val="28"/>
        </w:rPr>
        <w:t>Studies</w:t>
      </w:r>
      <w:r>
        <w:rPr>
          <w:b/>
          <w:spacing w:val="-1"/>
          <w:sz w:val="28"/>
        </w:rPr>
        <w:t> </w:t>
      </w:r>
      <w:r>
        <w:rPr>
          <w:b/>
          <w:spacing w:val="-2"/>
          <w:sz w:val="28"/>
        </w:rPr>
        <w:t>(Ibadan)</w:t>
      </w:r>
    </w:p>
    <w:p>
      <w:pPr>
        <w:pStyle w:val="BodyText"/>
        <w:ind w:left="0"/>
        <w:rPr>
          <w:b/>
          <w:sz w:val="28"/>
        </w:rPr>
      </w:pPr>
    </w:p>
    <w:p>
      <w:pPr>
        <w:pStyle w:val="BodyText"/>
        <w:ind w:left="0"/>
        <w:rPr>
          <w:b/>
          <w:sz w:val="28"/>
        </w:rPr>
      </w:pPr>
    </w:p>
    <w:p>
      <w:pPr>
        <w:pStyle w:val="BodyText"/>
        <w:ind w:left="0"/>
        <w:rPr>
          <w:b/>
          <w:sz w:val="28"/>
        </w:rPr>
      </w:pPr>
    </w:p>
    <w:p>
      <w:pPr>
        <w:pStyle w:val="BodyText"/>
        <w:ind w:left="0"/>
        <w:rPr>
          <w:b/>
          <w:sz w:val="28"/>
        </w:rPr>
      </w:pPr>
    </w:p>
    <w:p>
      <w:pPr>
        <w:pStyle w:val="BodyText"/>
        <w:ind w:left="0"/>
        <w:rPr>
          <w:b/>
          <w:sz w:val="28"/>
        </w:rPr>
      </w:pPr>
    </w:p>
    <w:p>
      <w:pPr>
        <w:pStyle w:val="BodyText"/>
        <w:ind w:left="0"/>
        <w:rPr>
          <w:b/>
          <w:sz w:val="28"/>
        </w:rPr>
      </w:pPr>
    </w:p>
    <w:p>
      <w:pPr>
        <w:pStyle w:val="BodyText"/>
        <w:ind w:left="0"/>
        <w:rPr>
          <w:b/>
          <w:sz w:val="28"/>
        </w:rPr>
      </w:pPr>
    </w:p>
    <w:p>
      <w:pPr>
        <w:pStyle w:val="BodyText"/>
        <w:ind w:left="0"/>
        <w:rPr>
          <w:b/>
          <w:sz w:val="28"/>
        </w:rPr>
      </w:pPr>
    </w:p>
    <w:p>
      <w:pPr>
        <w:pStyle w:val="BodyText"/>
        <w:spacing w:before="1"/>
        <w:ind w:left="0"/>
        <w:rPr>
          <w:b/>
          <w:sz w:val="28"/>
        </w:rPr>
      </w:pPr>
    </w:p>
    <w:p>
      <w:pPr>
        <w:spacing w:before="1"/>
        <w:ind w:left="1480" w:right="1299" w:firstLine="0"/>
        <w:jc w:val="center"/>
        <w:rPr>
          <w:b/>
          <w:sz w:val="28"/>
        </w:rPr>
      </w:pPr>
      <w:r>
        <w:rPr>
          <w:b/>
          <w:sz w:val="28"/>
        </w:rPr>
        <w:t>A THESIS SUBMITTED TO THE INSTITUTE OF AFRICAN STUDIES IN PARTIAL FULFILMENT OF THE REQUIREMENTS FOR THE AWARD OF THE DEGREE OF DOCTOR</w:t>
      </w:r>
      <w:r>
        <w:rPr>
          <w:b/>
          <w:spacing w:val="-6"/>
          <w:sz w:val="28"/>
        </w:rPr>
        <w:t> </w:t>
      </w:r>
      <w:r>
        <w:rPr>
          <w:b/>
          <w:sz w:val="28"/>
        </w:rPr>
        <w:t>OF</w:t>
      </w:r>
      <w:r>
        <w:rPr>
          <w:b/>
          <w:spacing w:val="-6"/>
          <w:sz w:val="28"/>
        </w:rPr>
        <w:t> </w:t>
      </w:r>
      <w:r>
        <w:rPr>
          <w:b/>
          <w:sz w:val="28"/>
        </w:rPr>
        <w:t>PHILOSOPHY</w:t>
      </w:r>
      <w:r>
        <w:rPr>
          <w:b/>
          <w:spacing w:val="-5"/>
          <w:sz w:val="28"/>
        </w:rPr>
        <w:t> </w:t>
      </w:r>
      <w:r>
        <w:rPr>
          <w:b/>
          <w:sz w:val="28"/>
        </w:rPr>
        <w:t>OF</w:t>
      </w:r>
      <w:r>
        <w:rPr>
          <w:b/>
          <w:spacing w:val="-6"/>
          <w:sz w:val="28"/>
        </w:rPr>
        <w:t> </w:t>
      </w:r>
      <w:r>
        <w:rPr>
          <w:b/>
          <w:sz w:val="28"/>
        </w:rPr>
        <w:t>THE</w:t>
      </w:r>
      <w:r>
        <w:rPr>
          <w:b/>
          <w:spacing w:val="-5"/>
          <w:sz w:val="28"/>
        </w:rPr>
        <w:t> </w:t>
      </w:r>
      <w:r>
        <w:rPr>
          <w:b/>
          <w:sz w:val="28"/>
        </w:rPr>
        <w:t>UNIVERSITY</w:t>
      </w:r>
      <w:r>
        <w:rPr>
          <w:b/>
          <w:spacing w:val="-5"/>
          <w:sz w:val="28"/>
        </w:rPr>
        <w:t> </w:t>
      </w:r>
      <w:r>
        <w:rPr>
          <w:b/>
          <w:sz w:val="28"/>
        </w:rPr>
        <w:t>OF</w:t>
      </w:r>
      <w:r>
        <w:rPr>
          <w:b/>
          <w:spacing w:val="-6"/>
          <w:sz w:val="28"/>
        </w:rPr>
        <w:t> </w:t>
      </w:r>
      <w:r>
        <w:rPr>
          <w:b/>
          <w:sz w:val="28"/>
        </w:rPr>
        <w:t>IBADAN</w:t>
      </w:r>
    </w:p>
    <w:p>
      <w:pPr>
        <w:pStyle w:val="BodyText"/>
        <w:ind w:left="0"/>
        <w:rPr>
          <w:b/>
          <w:sz w:val="28"/>
        </w:rPr>
      </w:pPr>
    </w:p>
    <w:p>
      <w:pPr>
        <w:pStyle w:val="BodyText"/>
        <w:ind w:left="0"/>
        <w:rPr>
          <w:b/>
          <w:sz w:val="28"/>
        </w:rPr>
      </w:pPr>
    </w:p>
    <w:p>
      <w:pPr>
        <w:pStyle w:val="BodyText"/>
        <w:ind w:left="0"/>
        <w:rPr>
          <w:b/>
          <w:sz w:val="28"/>
        </w:rPr>
      </w:pPr>
    </w:p>
    <w:p>
      <w:pPr>
        <w:pStyle w:val="BodyText"/>
        <w:ind w:left="0"/>
        <w:rPr>
          <w:b/>
          <w:sz w:val="28"/>
        </w:rPr>
      </w:pPr>
    </w:p>
    <w:p>
      <w:pPr>
        <w:pStyle w:val="BodyText"/>
        <w:ind w:left="0"/>
        <w:rPr>
          <w:b/>
          <w:sz w:val="28"/>
        </w:rPr>
      </w:pPr>
    </w:p>
    <w:p>
      <w:pPr>
        <w:pStyle w:val="BodyText"/>
        <w:ind w:left="0"/>
        <w:rPr>
          <w:b/>
          <w:sz w:val="28"/>
        </w:rPr>
      </w:pPr>
    </w:p>
    <w:p>
      <w:pPr>
        <w:pStyle w:val="BodyText"/>
        <w:ind w:left="0"/>
        <w:rPr>
          <w:b/>
          <w:sz w:val="28"/>
        </w:rPr>
      </w:pPr>
    </w:p>
    <w:p>
      <w:pPr>
        <w:pStyle w:val="BodyText"/>
        <w:ind w:left="0"/>
        <w:rPr>
          <w:b/>
          <w:sz w:val="28"/>
        </w:rPr>
      </w:pPr>
    </w:p>
    <w:p>
      <w:pPr>
        <w:pStyle w:val="BodyText"/>
        <w:ind w:left="0"/>
        <w:rPr>
          <w:b/>
          <w:sz w:val="28"/>
        </w:rPr>
      </w:pPr>
    </w:p>
    <w:p>
      <w:pPr>
        <w:spacing w:before="0"/>
        <w:ind w:left="1480" w:right="1300" w:firstLine="0"/>
        <w:jc w:val="center"/>
        <w:rPr>
          <w:b/>
          <w:sz w:val="28"/>
        </w:rPr>
      </w:pPr>
      <w:r>
        <w:rPr>
          <w:b/>
          <w:sz w:val="28"/>
        </w:rPr>
        <w:t>FEBRUARY</w:t>
      </w:r>
      <w:r>
        <w:rPr>
          <w:b/>
          <w:spacing w:val="-13"/>
          <w:sz w:val="28"/>
        </w:rPr>
        <w:t> </w:t>
      </w:r>
      <w:r>
        <w:rPr>
          <w:b/>
          <w:spacing w:val="-4"/>
          <w:sz w:val="28"/>
        </w:rPr>
        <w:t>2012</w:t>
      </w:r>
    </w:p>
    <w:p>
      <w:pPr>
        <w:spacing w:after="0"/>
        <w:jc w:val="center"/>
        <w:rPr>
          <w:sz w:val="28"/>
        </w:rPr>
        <w:sectPr>
          <w:type w:val="continuous"/>
          <w:pgSz w:w="11910" w:h="16840"/>
          <w:pgMar w:top="1360" w:bottom="280" w:left="720" w:right="180"/>
        </w:sectPr>
      </w:pPr>
    </w:p>
    <w:p>
      <w:pPr>
        <w:pStyle w:val="Heading1"/>
        <w:spacing w:before="65"/>
        <w:ind w:left="1480" w:right="1304"/>
        <w:jc w:val="center"/>
      </w:pPr>
      <w:r>
        <w:rPr/>
        <mc:AlternateContent>
          <mc:Choice Requires="wps">
            <w:drawing>
              <wp:anchor distT="0" distB="0" distL="0" distR="0" allowOverlap="1" layoutInCell="1" locked="0" behindDoc="1" simplePos="0" relativeHeight="480559616">
                <wp:simplePos x="0" y="0"/>
                <wp:positionH relativeFrom="page">
                  <wp:posOffset>-1537026</wp:posOffset>
                </wp:positionH>
                <wp:positionV relativeFrom="page">
                  <wp:posOffset>4900424</wp:posOffset>
                </wp:positionV>
                <wp:extent cx="10669905" cy="914400"/>
                <wp:effectExtent l="0" t="0" r="0" b="0"/>
                <wp:wrapNone/>
                <wp:docPr id="3" name="Textbox 3"/>
                <wp:cNvGraphicFramePr>
                  <a:graphicFrameLocks/>
                </wp:cNvGraphicFramePr>
                <a:graphic>
                  <a:graphicData uri="http://schemas.microsoft.com/office/word/2010/wordprocessingShape">
                    <wps:wsp>
                      <wps:cNvPr id="3" name="Textbox 3"/>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56864;rotation:306" type="#_x0000_t136" fillcolor="#ff5400" stroked="f">
                <o:extrusion v:ext="view" autorotationcenter="t"/>
                <v:textpath style="font-family:&quot;Arial MT&quot;;font-size:72pt;v-text-kern:t;mso-text-shadow:auto" string="UNIVERSITY OF IBADAN"/>
                <w10:wrap type="none"/>
              </v:shape>
            </w:pict>
          </mc:Fallback>
        </mc:AlternateContent>
      </w:r>
      <w:bookmarkStart w:name="_TOC_250041" w:id="1"/>
      <w:bookmarkEnd w:id="1"/>
      <w:r>
        <w:rPr>
          <w:spacing w:val="-2"/>
        </w:rPr>
        <w:t>CERTIFICATION</w:t>
      </w:r>
    </w:p>
    <w:p>
      <w:pPr>
        <w:pStyle w:val="BodyText"/>
        <w:spacing w:line="360" w:lineRule="auto" w:before="133"/>
        <w:ind w:right="1259" w:firstLine="720"/>
        <w:jc w:val="both"/>
      </w:pPr>
      <w:r>
        <w:rPr/>
        <w:t>I certify that this work which has been read and approved as meeting the requirement for the award of the Doctor of philosophy (Ph.D) Peace and Conflict Studies, Institute of African Studies, University of Ibadan, was carried out by </w:t>
      </w:r>
      <w:r>
        <w:rPr>
          <w:b/>
        </w:rPr>
        <w:t>HENRY</w:t>
      </w:r>
      <w:r>
        <w:rPr>
          <w:b/>
          <w:spacing w:val="-2"/>
        </w:rPr>
        <w:t> </w:t>
      </w:r>
      <w:r>
        <w:rPr>
          <w:b/>
        </w:rPr>
        <w:t>OLORUNDARE</w:t>
      </w:r>
      <w:r>
        <w:rPr>
          <w:b/>
          <w:spacing w:val="-1"/>
        </w:rPr>
        <w:t> </w:t>
      </w:r>
      <w:r>
        <w:rPr>
          <w:b/>
        </w:rPr>
        <w:t>MEJABI </w:t>
      </w:r>
      <w:r>
        <w:rPr/>
        <w:t>under</w:t>
      </w:r>
      <w:r>
        <w:rPr>
          <w:spacing w:val="-2"/>
        </w:rPr>
        <w:t> </w:t>
      </w:r>
      <w:r>
        <w:rPr/>
        <w:t>my</w:t>
      </w:r>
      <w:r>
        <w:rPr>
          <w:spacing w:val="-4"/>
        </w:rPr>
        <w:t> </w:t>
      </w:r>
      <w:r>
        <w:rPr/>
        <w:t>supervision</w:t>
      </w:r>
      <w:r>
        <w:rPr>
          <w:spacing w:val="-1"/>
        </w:rPr>
        <w:t> </w:t>
      </w:r>
      <w:r>
        <w:rPr/>
        <w:t>at</w:t>
      </w:r>
      <w:r>
        <w:rPr>
          <w:spacing w:val="-1"/>
        </w:rPr>
        <w:t> </w:t>
      </w:r>
      <w:r>
        <w:rPr/>
        <w:t>the Institute</w:t>
      </w:r>
      <w:r>
        <w:rPr>
          <w:spacing w:val="-2"/>
        </w:rPr>
        <w:t> </w:t>
      </w:r>
      <w:r>
        <w:rPr/>
        <w:t>of</w:t>
      </w:r>
      <w:r>
        <w:rPr>
          <w:spacing w:val="-2"/>
        </w:rPr>
        <w:t> </w:t>
      </w:r>
      <w:r>
        <w:rPr/>
        <w:t>African Studies, University of Ibadan, Nigeria.</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13"/>
        <w:ind w:left="0"/>
        <w:rPr>
          <w:sz w:val="20"/>
        </w:rPr>
      </w:pPr>
      <w:r>
        <w:rPr/>
        <mc:AlternateContent>
          <mc:Choice Requires="wps">
            <w:drawing>
              <wp:anchor distT="0" distB="0" distL="0" distR="0" allowOverlap="1" layoutInCell="1" locked="0" behindDoc="1" simplePos="0" relativeHeight="487588352">
                <wp:simplePos x="0" y="0"/>
                <wp:positionH relativeFrom="page">
                  <wp:posOffset>1448053</wp:posOffset>
                </wp:positionH>
                <wp:positionV relativeFrom="paragraph">
                  <wp:posOffset>233268</wp:posOffset>
                </wp:positionV>
                <wp:extent cx="1295400" cy="1270"/>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1295400" cy="1270"/>
                        </a:xfrm>
                        <a:custGeom>
                          <a:avLst/>
                          <a:gdLst/>
                          <a:ahLst/>
                          <a:cxnLst/>
                          <a:rect l="l" t="t" r="r" b="b"/>
                          <a:pathLst>
                            <a:path w="1295400" h="0">
                              <a:moveTo>
                                <a:pt x="0" y="0"/>
                              </a:moveTo>
                              <a:lnTo>
                                <a:pt x="12954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14.019997pt;margin-top:18.367619pt;width:102pt;height:.1pt;mso-position-horizontal-relative:page;mso-position-vertical-relative:paragraph;z-index:-15728128;mso-wrap-distance-left:0;mso-wrap-distance-right:0" id="docshape2" coordorigin="2280,367" coordsize="2040,0" path="m2280,367l4320,367e" filled="false" stroked="true" strokeweight=".75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88864">
                <wp:simplePos x="0" y="0"/>
                <wp:positionH relativeFrom="page">
                  <wp:posOffset>3696334</wp:posOffset>
                </wp:positionH>
                <wp:positionV relativeFrom="paragraph">
                  <wp:posOffset>233268</wp:posOffset>
                </wp:positionV>
                <wp:extent cx="2209800" cy="127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2209800" cy="1270"/>
                        </a:xfrm>
                        <a:custGeom>
                          <a:avLst/>
                          <a:gdLst/>
                          <a:ahLst/>
                          <a:cxnLst/>
                          <a:rect l="l" t="t" r="r" b="b"/>
                          <a:pathLst>
                            <a:path w="2209800" h="0">
                              <a:moveTo>
                                <a:pt x="0" y="0"/>
                              </a:moveTo>
                              <a:lnTo>
                                <a:pt x="22098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91.049988pt;margin-top:18.367619pt;width:174pt;height:.1pt;mso-position-horizontal-relative:page;mso-position-vertical-relative:paragraph;z-index:-15727616;mso-wrap-distance-left:0;mso-wrap-distance-right:0" id="docshape3" coordorigin="5821,367" coordsize="3480,0" path="m5821,367l9301,367e" filled="false" stroked="true" strokeweight=".756pt" strokecolor="#000000">
                <v:path arrowok="t"/>
                <v:stroke dashstyle="solid"/>
                <w10:wrap type="topAndBottom"/>
              </v:shape>
            </w:pict>
          </mc:Fallback>
        </mc:AlternateContent>
      </w:r>
    </w:p>
    <w:p>
      <w:pPr>
        <w:tabs>
          <w:tab w:pos="6181" w:val="left" w:leader="none"/>
        </w:tabs>
        <w:spacing w:before="137"/>
        <w:ind w:left="2400" w:right="0" w:firstLine="0"/>
        <w:jc w:val="left"/>
        <w:rPr>
          <w:b/>
          <w:sz w:val="24"/>
        </w:rPr>
      </w:pPr>
      <w:r>
        <w:rPr>
          <w:b/>
          <w:spacing w:val="-4"/>
          <w:sz w:val="24"/>
        </w:rPr>
        <w:t>Date</w:t>
      </w:r>
      <w:r>
        <w:rPr>
          <w:b/>
          <w:sz w:val="24"/>
        </w:rPr>
        <w:tab/>
      </w:r>
      <w:r>
        <w:rPr>
          <w:b/>
          <w:spacing w:val="-2"/>
          <w:sz w:val="24"/>
        </w:rPr>
        <w:t>Supervisor</w:t>
      </w:r>
    </w:p>
    <w:p>
      <w:pPr>
        <w:pStyle w:val="Heading1"/>
        <w:spacing w:before="139"/>
        <w:ind w:left="5281"/>
      </w:pPr>
      <w:r>
        <w:rPr/>
        <w:t>ISAAC</w:t>
      </w:r>
      <w:r>
        <w:rPr>
          <w:spacing w:val="-1"/>
        </w:rPr>
        <w:t> </w:t>
      </w:r>
      <w:r>
        <w:rPr/>
        <w:t>OLAWALE</w:t>
      </w:r>
      <w:r>
        <w:rPr>
          <w:spacing w:val="-1"/>
        </w:rPr>
        <w:t> </w:t>
      </w:r>
      <w:r>
        <w:rPr>
          <w:spacing w:val="-2"/>
        </w:rPr>
        <w:t>ALBERT</w:t>
      </w:r>
    </w:p>
    <w:p>
      <w:pPr>
        <w:spacing w:line="360" w:lineRule="auto" w:before="137"/>
        <w:ind w:left="5281" w:right="1260" w:firstLine="0"/>
        <w:jc w:val="left"/>
        <w:rPr>
          <w:b/>
          <w:sz w:val="24"/>
        </w:rPr>
      </w:pPr>
      <w:r>
        <w:rPr>
          <w:b/>
          <w:sz w:val="24"/>
        </w:rPr>
        <w:t>Professor</w:t>
      </w:r>
      <w:r>
        <w:rPr>
          <w:b/>
          <w:spacing w:val="-10"/>
          <w:sz w:val="24"/>
        </w:rPr>
        <w:t> </w:t>
      </w:r>
      <w:r>
        <w:rPr>
          <w:b/>
          <w:sz w:val="24"/>
        </w:rPr>
        <w:t>of</w:t>
      </w:r>
      <w:r>
        <w:rPr>
          <w:b/>
          <w:spacing w:val="-10"/>
          <w:sz w:val="24"/>
        </w:rPr>
        <w:t> </w:t>
      </w:r>
      <w:r>
        <w:rPr>
          <w:b/>
          <w:sz w:val="24"/>
        </w:rPr>
        <w:t>African</w:t>
      </w:r>
      <w:r>
        <w:rPr>
          <w:b/>
          <w:spacing w:val="-10"/>
          <w:sz w:val="24"/>
        </w:rPr>
        <w:t> </w:t>
      </w:r>
      <w:r>
        <w:rPr>
          <w:b/>
          <w:sz w:val="24"/>
        </w:rPr>
        <w:t>History/Peace</w:t>
      </w:r>
      <w:r>
        <w:rPr>
          <w:b/>
          <w:spacing w:val="-11"/>
          <w:sz w:val="24"/>
        </w:rPr>
        <w:t> </w:t>
      </w:r>
      <w:r>
        <w:rPr>
          <w:b/>
          <w:sz w:val="24"/>
        </w:rPr>
        <w:t>Studies Institute of African Studies</w:t>
      </w:r>
    </w:p>
    <w:p>
      <w:pPr>
        <w:spacing w:line="360" w:lineRule="auto" w:before="0"/>
        <w:ind w:left="5341" w:right="3112" w:hanging="60"/>
        <w:jc w:val="left"/>
        <w:rPr>
          <w:b/>
          <w:sz w:val="24"/>
        </w:rPr>
      </w:pPr>
      <w:r>
        <w:rPr>
          <w:b/>
          <w:sz w:val="24"/>
        </w:rPr>
        <w:t>University</w:t>
      </w:r>
      <w:r>
        <w:rPr>
          <w:b/>
          <w:spacing w:val="-15"/>
          <w:sz w:val="24"/>
        </w:rPr>
        <w:t> </w:t>
      </w:r>
      <w:r>
        <w:rPr>
          <w:b/>
          <w:sz w:val="24"/>
        </w:rPr>
        <w:t>of</w:t>
      </w:r>
      <w:r>
        <w:rPr>
          <w:b/>
          <w:spacing w:val="-15"/>
          <w:sz w:val="24"/>
        </w:rPr>
        <w:t> </w:t>
      </w:r>
      <w:r>
        <w:rPr>
          <w:b/>
          <w:sz w:val="24"/>
        </w:rPr>
        <w:t>Ibadan Ibadan, Nigeria.</w:t>
      </w:r>
    </w:p>
    <w:p>
      <w:pPr>
        <w:spacing w:after="0" w:line="360" w:lineRule="auto"/>
        <w:jc w:val="left"/>
        <w:rPr>
          <w:sz w:val="24"/>
        </w:rPr>
        <w:sectPr>
          <w:footerReference w:type="default" r:id="rId5"/>
          <w:pgSz w:w="11910" w:h="16840"/>
          <w:pgMar w:header="0" w:footer="1492" w:top="1360" w:bottom="1680" w:left="720" w:right="180"/>
          <w:pgNumType w:start="2"/>
        </w:sectPr>
      </w:pPr>
    </w:p>
    <w:p>
      <w:pPr>
        <w:pStyle w:val="Heading1"/>
        <w:spacing w:before="65"/>
        <w:ind w:left="1480" w:right="1299"/>
        <w:jc w:val="center"/>
      </w:pPr>
      <w:r>
        <w:rPr/>
        <mc:AlternateContent>
          <mc:Choice Requires="wps">
            <w:drawing>
              <wp:anchor distT="0" distB="0" distL="0" distR="0" allowOverlap="1" layoutInCell="1" locked="0" behindDoc="1" simplePos="0" relativeHeight="480560128">
                <wp:simplePos x="0" y="0"/>
                <wp:positionH relativeFrom="page">
                  <wp:posOffset>-1537026</wp:posOffset>
                </wp:positionH>
                <wp:positionV relativeFrom="page">
                  <wp:posOffset>4900424</wp:posOffset>
                </wp:positionV>
                <wp:extent cx="10669905" cy="914400"/>
                <wp:effectExtent l="0" t="0" r="0" b="0"/>
                <wp:wrapNone/>
                <wp:docPr id="6" name="Textbox 6"/>
                <wp:cNvGraphicFramePr>
                  <a:graphicFrameLocks/>
                </wp:cNvGraphicFramePr>
                <a:graphic>
                  <a:graphicData uri="http://schemas.microsoft.com/office/word/2010/wordprocessingShape">
                    <wps:wsp>
                      <wps:cNvPr id="6" name="Textbox 6"/>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56352;rotation:306" type="#_x0000_t136" fillcolor="#ff5400" stroked="f">
                <o:extrusion v:ext="view" autorotationcenter="t"/>
                <v:textpath style="font-family:&quot;Arial MT&quot;;font-size:72pt;v-text-kern:t;mso-text-shadow:auto" string="UNIVERSITY OF IBADAN"/>
                <w10:wrap type="none"/>
              </v:shape>
            </w:pict>
          </mc:Fallback>
        </mc:AlternateContent>
      </w:r>
      <w:bookmarkStart w:name="_TOC_250040" w:id="2"/>
      <w:bookmarkEnd w:id="2"/>
      <w:r>
        <w:rPr>
          <w:spacing w:val="-2"/>
        </w:rPr>
        <w:t>DEDICATION</w:t>
      </w:r>
    </w:p>
    <w:p>
      <w:pPr>
        <w:pStyle w:val="BodyText"/>
        <w:spacing w:line="360" w:lineRule="auto" w:before="133"/>
        <w:ind w:right="1262" w:firstLine="720"/>
        <w:jc w:val="both"/>
      </w:pPr>
      <w:r>
        <w:rPr/>
        <w:t>This Thesis is dedicated to the Glory of God Almighty, the Source of knowledge, the Giver and Sustainer of life. The grace, energy and favour with which this</w:t>
      </w:r>
      <w:r>
        <w:rPr>
          <w:spacing w:val="-1"/>
        </w:rPr>
        <w:t> </w:t>
      </w:r>
      <w:r>
        <w:rPr/>
        <w:t>work</w:t>
      </w:r>
      <w:r>
        <w:rPr>
          <w:spacing w:val="-1"/>
        </w:rPr>
        <w:t> </w:t>
      </w:r>
      <w:r>
        <w:rPr/>
        <w:t>was completed</w:t>
      </w:r>
      <w:r>
        <w:rPr>
          <w:spacing w:val="1"/>
        </w:rPr>
        <w:t> </w:t>
      </w:r>
      <w:r>
        <w:rPr/>
        <w:t>emanated</w:t>
      </w:r>
      <w:r>
        <w:rPr>
          <w:spacing w:val="-1"/>
        </w:rPr>
        <w:t> </w:t>
      </w:r>
      <w:r>
        <w:rPr/>
        <w:t>from Him</w:t>
      </w:r>
      <w:r>
        <w:rPr>
          <w:spacing w:val="-1"/>
        </w:rPr>
        <w:t> </w:t>
      </w:r>
      <w:r>
        <w:rPr/>
        <w:t>who is my</w:t>
      </w:r>
      <w:r>
        <w:rPr>
          <w:spacing w:val="-6"/>
        </w:rPr>
        <w:t> </w:t>
      </w:r>
      <w:r>
        <w:rPr/>
        <w:t>all</w:t>
      </w:r>
      <w:r>
        <w:rPr>
          <w:spacing w:val="-1"/>
        </w:rPr>
        <w:t> </w:t>
      </w:r>
      <w:r>
        <w:rPr/>
        <w:t>in all.</w:t>
      </w:r>
      <w:r>
        <w:rPr>
          <w:spacing w:val="29"/>
        </w:rPr>
        <w:t>  </w:t>
      </w:r>
      <w:r>
        <w:rPr/>
        <w:t>Thank</w:t>
      </w:r>
      <w:r>
        <w:rPr>
          <w:spacing w:val="1"/>
        </w:rPr>
        <w:t> </w:t>
      </w:r>
      <w:r>
        <w:rPr/>
        <w:t>you</w:t>
      </w:r>
      <w:r>
        <w:rPr>
          <w:spacing w:val="2"/>
        </w:rPr>
        <w:t> </w:t>
      </w:r>
      <w:r>
        <w:rPr>
          <w:spacing w:val="-2"/>
        </w:rPr>
        <w:t>Father.</w:t>
      </w:r>
    </w:p>
    <w:p>
      <w:pPr>
        <w:spacing w:after="0" w:line="360" w:lineRule="auto"/>
        <w:jc w:val="both"/>
        <w:sectPr>
          <w:pgSz w:w="11910" w:h="16840"/>
          <w:pgMar w:header="0" w:footer="1492" w:top="1360" w:bottom="1680" w:left="720" w:right="180"/>
        </w:sectPr>
      </w:pPr>
    </w:p>
    <w:p>
      <w:pPr>
        <w:pStyle w:val="Heading1"/>
        <w:spacing w:before="65"/>
        <w:ind w:left="1480" w:right="1301"/>
        <w:jc w:val="center"/>
      </w:pPr>
      <w:r>
        <w:rPr/>
        <mc:AlternateContent>
          <mc:Choice Requires="wps">
            <w:drawing>
              <wp:anchor distT="0" distB="0" distL="0" distR="0" allowOverlap="1" layoutInCell="1" locked="0" behindDoc="1" simplePos="0" relativeHeight="480560640">
                <wp:simplePos x="0" y="0"/>
                <wp:positionH relativeFrom="page">
                  <wp:posOffset>-1537026</wp:posOffset>
                </wp:positionH>
                <wp:positionV relativeFrom="page">
                  <wp:posOffset>4900424</wp:posOffset>
                </wp:positionV>
                <wp:extent cx="10669905" cy="914400"/>
                <wp:effectExtent l="0" t="0" r="0" b="0"/>
                <wp:wrapNone/>
                <wp:docPr id="7" name="Textbox 7"/>
                <wp:cNvGraphicFramePr>
                  <a:graphicFrameLocks/>
                </wp:cNvGraphicFramePr>
                <a:graphic>
                  <a:graphicData uri="http://schemas.microsoft.com/office/word/2010/wordprocessingShape">
                    <wps:wsp>
                      <wps:cNvPr id="7" name="Textbox 7"/>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55840;rotation:306" type="#_x0000_t136" fillcolor="#ff5400" stroked="f">
                <o:extrusion v:ext="view" autorotationcenter="t"/>
                <v:textpath style="font-family:&quot;Arial MT&quot;;font-size:72pt;v-text-kern:t;mso-text-shadow:auto" string="UNIVERSITY OF IBADAN"/>
                <w10:wrap type="none"/>
              </v:shape>
            </w:pict>
          </mc:Fallback>
        </mc:AlternateContent>
      </w:r>
      <w:bookmarkStart w:name="_TOC_250039" w:id="3"/>
      <w:bookmarkEnd w:id="3"/>
      <w:r>
        <w:rPr>
          <w:spacing w:val="-2"/>
        </w:rPr>
        <w:t>ACKNOWLEDGEMENTS</w:t>
      </w:r>
    </w:p>
    <w:p>
      <w:pPr>
        <w:pStyle w:val="BodyText"/>
        <w:spacing w:line="360" w:lineRule="auto" w:before="133"/>
        <w:ind w:right="1258" w:firstLine="720"/>
        <w:jc w:val="both"/>
      </w:pPr>
      <w:r>
        <w:rPr/>
        <w:t>I thank the Almighty God for His Grace, the enablement for making</w:t>
      </w:r>
      <w:r>
        <w:rPr>
          <w:spacing w:val="40"/>
        </w:rPr>
        <w:t> </w:t>
      </w:r>
      <w:r>
        <w:rPr/>
        <w:t>everything possible and this thesis in particular a reality.</w:t>
      </w:r>
    </w:p>
    <w:p>
      <w:pPr>
        <w:pStyle w:val="BodyText"/>
        <w:spacing w:line="360" w:lineRule="auto"/>
        <w:ind w:right="1260" w:firstLine="720"/>
        <w:jc w:val="both"/>
      </w:pPr>
      <w:r>
        <w:rPr/>
        <w:t>My gratitude and appreciation goes to my amiable supervisor and mentor Professor Isaac Olawale Albert an acclaimed scholar and committed academic for painstakingly supervising this work.</w:t>
      </w:r>
      <w:r>
        <w:rPr>
          <w:spacing w:val="40"/>
        </w:rPr>
        <w:t> </w:t>
      </w:r>
      <w:r>
        <w:rPr/>
        <w:t>He worked tirelessly to ensure that I become grounded as a Peace and Conflict Studies Practitioner.</w:t>
      </w:r>
    </w:p>
    <w:p>
      <w:pPr>
        <w:pStyle w:val="BodyText"/>
        <w:spacing w:line="360" w:lineRule="auto"/>
        <w:ind w:right="1260" w:firstLine="720"/>
        <w:jc w:val="both"/>
      </w:pPr>
      <w:r>
        <w:rPr/>
        <w:t>My immense gratitude also goes to Drs Femi Olaoba,</w:t>
      </w:r>
      <w:r>
        <w:rPr>
          <w:spacing w:val="40"/>
        </w:rPr>
        <w:t> </w:t>
      </w:r>
      <w:r>
        <w:rPr/>
        <w:t>Sola Olorunyomi, Adekunle,</w:t>
      </w:r>
      <w:r>
        <w:rPr>
          <w:spacing w:val="40"/>
        </w:rPr>
        <w:t> </w:t>
      </w:r>
      <w:r>
        <w:rPr/>
        <w:t>Nathaniel Danjibo and</w:t>
      </w:r>
      <w:r>
        <w:rPr>
          <w:spacing w:val="40"/>
        </w:rPr>
        <w:t> </w:t>
      </w:r>
      <w:r>
        <w:rPr/>
        <w:t>Kayode Samuel, for their various contributions.</w:t>
      </w:r>
    </w:p>
    <w:p>
      <w:pPr>
        <w:pStyle w:val="BodyText"/>
        <w:spacing w:line="360" w:lineRule="auto"/>
        <w:ind w:right="1255" w:firstLine="720"/>
        <w:jc w:val="both"/>
      </w:pPr>
      <w:r>
        <w:rPr/>
        <w:t>I thank Dr. (Mrs) Ome Mejabi for helping in designing the survey.</w:t>
      </w:r>
      <w:r>
        <w:rPr>
          <w:spacing w:val="80"/>
          <w:w w:val="150"/>
        </w:rPr>
        <w:t> </w:t>
      </w:r>
      <w:r>
        <w:rPr/>
        <w:t>I also thank my cousins Mr. Dayo Mejabi and Dr. (Mrs) Sade Yemi-Esan who enthusiastically encouraged me to press on.</w:t>
      </w:r>
      <w:r>
        <w:rPr>
          <w:spacing w:val="80"/>
        </w:rPr>
        <w:t> </w:t>
      </w:r>
      <w:r>
        <w:rPr/>
        <w:t>To my parents, Brothers and Sisters, I</w:t>
      </w:r>
      <w:r>
        <w:rPr>
          <w:spacing w:val="40"/>
        </w:rPr>
        <w:t> </w:t>
      </w:r>
      <w:r>
        <w:rPr/>
        <w:t>say thank you for your prayers and support.</w:t>
      </w:r>
    </w:p>
    <w:p>
      <w:pPr>
        <w:pStyle w:val="BodyText"/>
        <w:spacing w:line="360" w:lineRule="auto" w:before="1"/>
        <w:ind w:right="1258" w:firstLine="720"/>
        <w:jc w:val="both"/>
      </w:pPr>
      <w:r>
        <w:rPr/>
        <w:t>The Nigerian Army and the Joint Task Force Field Commanders are appreciated for granting permission for data collection.</w:t>
      </w:r>
      <w:r>
        <w:rPr>
          <w:spacing w:val="80"/>
        </w:rPr>
        <w:t> </w:t>
      </w:r>
      <w:r>
        <w:rPr/>
        <w:t>To all respondents who agreed to participate in the study, I say a big thank you.</w:t>
      </w:r>
      <w:r>
        <w:rPr>
          <w:spacing w:val="80"/>
        </w:rPr>
        <w:t> </w:t>
      </w:r>
      <w:r>
        <w:rPr/>
        <w:t>I am extremely appreciative of the contributions of Surv. Olugbenga Obembe, Miss Onyinye Onyido, Lieutenant Colonels</w:t>
      </w:r>
      <w:r>
        <w:rPr>
          <w:spacing w:val="40"/>
        </w:rPr>
        <w:t> </w:t>
      </w:r>
      <w:r>
        <w:rPr/>
        <w:t>NU Efik and C.G. Musa who assisted with data collection.</w:t>
      </w:r>
    </w:p>
    <w:p>
      <w:pPr>
        <w:pStyle w:val="BodyText"/>
        <w:spacing w:line="360" w:lineRule="auto" w:before="1"/>
        <w:ind w:right="1260" w:firstLine="720"/>
        <w:jc w:val="both"/>
      </w:pPr>
      <w:r>
        <w:rPr/>
        <w:t>I also extend my thanks to all Corporate Organizations, Communities and JTF Field Commanders that participated in the in-depth interviews and interactive fora</w:t>
      </w:r>
      <w:r>
        <w:rPr>
          <w:spacing w:val="40"/>
        </w:rPr>
        <w:t> </w:t>
      </w:r>
      <w:r>
        <w:rPr/>
        <w:t>that were components of the study.</w:t>
      </w:r>
    </w:p>
    <w:p>
      <w:pPr>
        <w:pStyle w:val="BodyText"/>
        <w:spacing w:line="360" w:lineRule="auto"/>
        <w:ind w:right="1261" w:firstLine="720"/>
        <w:jc w:val="both"/>
      </w:pPr>
      <w:r>
        <w:rPr/>
        <w:t>The professional contributions of the following brothers, friends and colleagues deserve special recognition Major General Muraina, Major General Tahir Umar, Colonel KK Shaw, Colonel Oladele Babajamu, Messers. Oluwadare Oguntebi, Remi Olufe, Benson Eluma, James Ameh, APS Arogundade, Surv. Winston Ayeni and Mrs.Moji Osunrinade; their untiring efforts have gone a long way to improve the quality of the Thesis.</w:t>
      </w:r>
    </w:p>
    <w:p>
      <w:pPr>
        <w:pStyle w:val="BodyText"/>
        <w:spacing w:line="360" w:lineRule="auto"/>
        <w:ind w:right="1261" w:firstLine="720"/>
        <w:jc w:val="both"/>
      </w:pPr>
      <w:r>
        <w:rPr/>
        <w:t>To my wife Olajumoke „a precious gift‟ for her support in taking care of the home front and for the typesetting of this thesis and also to my children Seyifunmi, Jesunifemi, Olaoluwa and Jesubukunmi for their patience and understanding throughout the period of this study, I love you all.</w:t>
      </w:r>
    </w:p>
    <w:p>
      <w:pPr>
        <w:spacing w:after="0" w:line="360" w:lineRule="auto"/>
        <w:jc w:val="both"/>
        <w:sectPr>
          <w:pgSz w:w="11910" w:h="16840"/>
          <w:pgMar w:header="0" w:footer="1492" w:top="1360" w:bottom="1680" w:left="720" w:right="180"/>
        </w:sectPr>
      </w:pPr>
    </w:p>
    <w:p>
      <w:pPr>
        <w:pStyle w:val="Heading1"/>
        <w:spacing w:before="65"/>
        <w:ind w:left="1480" w:right="1300"/>
        <w:jc w:val="center"/>
      </w:pPr>
      <w:r>
        <w:rPr/>
        <mc:AlternateContent>
          <mc:Choice Requires="wps">
            <w:drawing>
              <wp:anchor distT="0" distB="0" distL="0" distR="0" allowOverlap="1" layoutInCell="1" locked="0" behindDoc="1" simplePos="0" relativeHeight="480561152">
                <wp:simplePos x="0" y="0"/>
                <wp:positionH relativeFrom="page">
                  <wp:posOffset>-1537026</wp:posOffset>
                </wp:positionH>
                <wp:positionV relativeFrom="page">
                  <wp:posOffset>4900424</wp:posOffset>
                </wp:positionV>
                <wp:extent cx="10669905" cy="914400"/>
                <wp:effectExtent l="0" t="0" r="0" b="0"/>
                <wp:wrapNone/>
                <wp:docPr id="8" name="Textbox 8"/>
                <wp:cNvGraphicFramePr>
                  <a:graphicFrameLocks/>
                </wp:cNvGraphicFramePr>
                <a:graphic>
                  <a:graphicData uri="http://schemas.microsoft.com/office/word/2010/wordprocessingShape">
                    <wps:wsp>
                      <wps:cNvPr id="8" name="Textbox 8"/>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55328;rotation:306" type="#_x0000_t136" fillcolor="#ff5400" stroked="f">
                <o:extrusion v:ext="view" autorotationcenter="t"/>
                <v:textpath style="font-family:&quot;Arial MT&quot;;font-size:72pt;v-text-kern:t;mso-text-shadow:auto" string="UNIVERSITY OF IBADAN"/>
                <w10:wrap type="none"/>
              </v:shape>
            </w:pict>
          </mc:Fallback>
        </mc:AlternateContent>
      </w:r>
      <w:bookmarkStart w:name="_TOC_250038" w:id="4"/>
      <w:r>
        <w:rPr/>
        <w:t>TABLE OF</w:t>
      </w:r>
      <w:r>
        <w:rPr>
          <w:spacing w:val="-3"/>
        </w:rPr>
        <w:t> </w:t>
      </w:r>
      <w:bookmarkEnd w:id="4"/>
      <w:r>
        <w:rPr>
          <w:spacing w:val="-2"/>
        </w:rPr>
        <w:t>CONTENTS</w:t>
      </w:r>
    </w:p>
    <w:p>
      <w:pPr>
        <w:pStyle w:val="BodyText"/>
        <w:ind w:left="0"/>
        <w:rPr>
          <w:b/>
        </w:rPr>
      </w:pPr>
    </w:p>
    <w:p>
      <w:pPr>
        <w:pStyle w:val="BodyText"/>
        <w:spacing w:before="1"/>
        <w:ind w:left="0"/>
        <w:rPr>
          <w:b/>
        </w:rPr>
      </w:pPr>
    </w:p>
    <w:p>
      <w:pPr>
        <w:tabs>
          <w:tab w:pos="8941" w:val="left" w:leader="none"/>
        </w:tabs>
        <w:spacing w:before="0"/>
        <w:ind w:left="1440" w:right="0" w:firstLine="0"/>
        <w:jc w:val="left"/>
        <w:rPr>
          <w:b/>
          <w:sz w:val="24"/>
        </w:rPr>
      </w:pPr>
      <w:r>
        <w:rPr>
          <w:b/>
          <w:spacing w:val="-2"/>
          <w:sz w:val="24"/>
        </w:rPr>
        <w:t>TITLE</w:t>
      </w:r>
      <w:r>
        <w:rPr>
          <w:b/>
          <w:sz w:val="24"/>
        </w:rPr>
        <w:tab/>
      </w:r>
      <w:r>
        <w:rPr>
          <w:b/>
          <w:spacing w:val="-4"/>
          <w:sz w:val="24"/>
        </w:rPr>
        <w:t>PAGE</w:t>
      </w:r>
    </w:p>
    <w:p>
      <w:pPr>
        <w:pStyle w:val="BodyText"/>
        <w:tabs>
          <w:tab w:pos="9361" w:val="left" w:leader="none"/>
        </w:tabs>
        <w:spacing w:before="132"/>
      </w:pPr>
      <w:r>
        <w:rPr/>
        <w:t>Title</w:t>
      </w:r>
      <w:r>
        <w:rPr>
          <w:spacing w:val="-1"/>
        </w:rPr>
        <w:t> </w:t>
      </w:r>
      <w:r>
        <w:rPr>
          <w:spacing w:val="-4"/>
        </w:rPr>
        <w:t>page</w:t>
      </w:r>
      <w:r>
        <w:rPr/>
        <w:tab/>
      </w:r>
      <w:r>
        <w:rPr>
          <w:spacing w:val="-10"/>
        </w:rPr>
        <w:t>i</w:t>
      </w:r>
    </w:p>
    <w:sdt>
      <w:sdtPr>
        <w:docPartObj>
          <w:docPartGallery w:val="Table of Contents"/>
          <w:docPartUnique/>
        </w:docPartObj>
      </w:sdtPr>
      <w:sdtEndPr/>
      <w:sdtContent>
        <w:p>
          <w:pPr>
            <w:pStyle w:val="TOC2"/>
            <w:tabs>
              <w:tab w:pos="9496" w:val="right" w:leader="none"/>
            </w:tabs>
            <w:ind w:left="1440" w:firstLine="0"/>
          </w:pPr>
          <w:hyperlink w:history="true" w:anchor="_TOC_250041">
            <w:r>
              <w:rPr>
                <w:spacing w:val="-2"/>
              </w:rPr>
              <w:t>Certification</w:t>
            </w:r>
            <w:r>
              <w:rPr/>
              <w:tab/>
            </w:r>
            <w:r>
              <w:rPr>
                <w:spacing w:val="-5"/>
              </w:rPr>
              <w:t>ii</w:t>
            </w:r>
          </w:hyperlink>
        </w:p>
        <w:p>
          <w:pPr>
            <w:pStyle w:val="TOC2"/>
            <w:tabs>
              <w:tab w:pos="9563" w:val="right" w:leader="none"/>
            </w:tabs>
            <w:spacing w:before="137"/>
            <w:ind w:left="1440" w:firstLine="0"/>
          </w:pPr>
          <w:hyperlink w:history="true" w:anchor="_TOC_250040">
            <w:r>
              <w:rPr>
                <w:spacing w:val="-2"/>
              </w:rPr>
              <w:t>Dedication</w:t>
            </w:r>
            <w:r>
              <w:rPr/>
              <w:tab/>
            </w:r>
            <w:r>
              <w:rPr>
                <w:spacing w:val="-5"/>
              </w:rPr>
              <w:t>iii</w:t>
            </w:r>
          </w:hyperlink>
        </w:p>
        <w:p>
          <w:pPr>
            <w:pStyle w:val="TOC2"/>
            <w:tabs>
              <w:tab w:pos="9549" w:val="right" w:leader="none"/>
            </w:tabs>
            <w:ind w:left="1440" w:firstLine="0"/>
          </w:pPr>
          <w:hyperlink w:history="true" w:anchor="_TOC_250039">
            <w:r>
              <w:rPr>
                <w:spacing w:val="-2"/>
              </w:rPr>
              <w:t>Acknowledgements</w:t>
            </w:r>
            <w:r>
              <w:rPr/>
              <w:tab/>
            </w:r>
            <w:r>
              <w:rPr>
                <w:spacing w:val="-5"/>
              </w:rPr>
              <w:t>iv</w:t>
            </w:r>
          </w:hyperlink>
        </w:p>
        <w:p>
          <w:pPr>
            <w:pStyle w:val="TOC2"/>
            <w:tabs>
              <w:tab w:pos="9481" w:val="right" w:leader="none"/>
            </w:tabs>
            <w:spacing w:before="137"/>
            <w:ind w:left="1440" w:firstLine="0"/>
          </w:pPr>
          <w:hyperlink w:history="true" w:anchor="_TOC_250038">
            <w:r>
              <w:rPr/>
              <w:t>Table</w:t>
            </w:r>
            <w:r>
              <w:rPr>
                <w:spacing w:val="-2"/>
              </w:rPr>
              <w:t> </w:t>
            </w:r>
            <w:r>
              <w:rPr/>
              <w:t>of</w:t>
            </w:r>
            <w:r>
              <w:rPr>
                <w:spacing w:val="-2"/>
              </w:rPr>
              <w:t> contents</w:t>
            </w:r>
            <w:r>
              <w:rPr/>
              <w:tab/>
            </w:r>
            <w:r>
              <w:rPr>
                <w:spacing w:val="-10"/>
              </w:rPr>
              <w:t>v</w:t>
            </w:r>
          </w:hyperlink>
        </w:p>
        <w:p>
          <w:pPr>
            <w:pStyle w:val="TOC2"/>
            <w:tabs>
              <w:tab w:pos="9682" w:val="right" w:leader="none"/>
            </w:tabs>
            <w:ind w:left="1440" w:firstLine="0"/>
          </w:pPr>
          <w:hyperlink w:history="true" w:anchor="_TOC_250037">
            <w:r>
              <w:rPr/>
              <w:t>List</w:t>
            </w:r>
            <w:r>
              <w:rPr>
                <w:spacing w:val="-2"/>
              </w:rPr>
              <w:t> </w:t>
            </w:r>
            <w:r>
              <w:rPr/>
              <w:t>of</w:t>
            </w:r>
            <w:r>
              <w:rPr>
                <w:spacing w:val="-1"/>
              </w:rPr>
              <w:t> </w:t>
            </w:r>
            <w:r>
              <w:rPr>
                <w:spacing w:val="-2"/>
              </w:rPr>
              <w:t>tables</w:t>
            </w:r>
            <w:r>
              <w:rPr/>
              <w:tab/>
            </w:r>
            <w:r>
              <w:rPr>
                <w:spacing w:val="-4"/>
              </w:rPr>
              <w:t>viii</w:t>
            </w:r>
          </w:hyperlink>
        </w:p>
        <w:p>
          <w:pPr>
            <w:pStyle w:val="TOC2"/>
            <w:tabs>
              <w:tab w:pos="9481" w:val="right" w:leader="none"/>
            </w:tabs>
            <w:spacing w:before="137"/>
            <w:ind w:left="1440" w:firstLine="0"/>
          </w:pPr>
          <w:hyperlink w:history="true" w:anchor="_TOC_250036">
            <w:r>
              <w:rPr/>
              <w:t>List</w:t>
            </w:r>
            <w:r>
              <w:rPr>
                <w:spacing w:val="-2"/>
              </w:rPr>
              <w:t> </w:t>
            </w:r>
            <w:r>
              <w:rPr/>
              <w:t>of</w:t>
            </w:r>
            <w:r>
              <w:rPr>
                <w:spacing w:val="-1"/>
              </w:rPr>
              <w:t> </w:t>
            </w:r>
            <w:r>
              <w:rPr>
                <w:spacing w:val="-2"/>
              </w:rPr>
              <w:t>figures</w:t>
            </w:r>
            <w:r>
              <w:rPr/>
              <w:tab/>
            </w:r>
            <w:r>
              <w:rPr>
                <w:spacing w:val="-12"/>
              </w:rPr>
              <w:t>x</w:t>
            </w:r>
          </w:hyperlink>
        </w:p>
        <w:p>
          <w:pPr>
            <w:pStyle w:val="TOC2"/>
            <w:tabs>
              <w:tab w:pos="9553" w:val="right" w:leader="none"/>
            </w:tabs>
            <w:spacing w:before="140"/>
            <w:ind w:left="1440" w:firstLine="0"/>
          </w:pPr>
          <w:hyperlink w:history="true" w:anchor="_TOC_250035">
            <w:r>
              <w:rPr/>
              <w:t>List</w:t>
            </w:r>
            <w:r>
              <w:rPr>
                <w:spacing w:val="-2"/>
              </w:rPr>
              <w:t> </w:t>
            </w:r>
            <w:r>
              <w:rPr/>
              <w:t>of</w:t>
            </w:r>
            <w:r>
              <w:rPr>
                <w:spacing w:val="-1"/>
              </w:rPr>
              <w:t> </w:t>
            </w:r>
            <w:r>
              <w:rPr>
                <w:spacing w:val="-2"/>
              </w:rPr>
              <w:t>appendices</w:t>
            </w:r>
            <w:r>
              <w:rPr/>
              <w:tab/>
            </w:r>
            <w:r>
              <w:rPr>
                <w:spacing w:val="-5"/>
              </w:rPr>
              <w:t>xi</w:t>
            </w:r>
          </w:hyperlink>
        </w:p>
        <w:p>
          <w:pPr>
            <w:pStyle w:val="TOC2"/>
            <w:tabs>
              <w:tab w:pos="9617" w:val="right" w:leader="none"/>
            </w:tabs>
            <w:spacing w:before="137"/>
            <w:ind w:left="1440" w:firstLine="0"/>
          </w:pPr>
          <w:hyperlink w:history="true" w:anchor="_TOC_250034">
            <w:r>
              <w:rPr/>
              <w:t>List</w:t>
            </w:r>
            <w:r>
              <w:rPr>
                <w:spacing w:val="-2"/>
              </w:rPr>
              <w:t> </w:t>
            </w:r>
            <w:r>
              <w:rPr/>
              <w:t>of</w:t>
            </w:r>
            <w:r>
              <w:rPr>
                <w:spacing w:val="-1"/>
              </w:rPr>
              <w:t> </w:t>
            </w:r>
            <w:r>
              <w:rPr>
                <w:spacing w:val="-2"/>
              </w:rPr>
              <w:t>plates</w:t>
            </w:r>
            <w:r>
              <w:rPr/>
              <w:tab/>
            </w:r>
            <w:r>
              <w:rPr>
                <w:spacing w:val="-5"/>
              </w:rPr>
              <w:t>xii</w:t>
            </w:r>
          </w:hyperlink>
        </w:p>
        <w:p>
          <w:pPr>
            <w:pStyle w:val="TOC2"/>
            <w:tabs>
              <w:tab w:pos="9670" w:val="right" w:leader="none"/>
            </w:tabs>
            <w:ind w:left="1440" w:firstLine="0"/>
          </w:pPr>
          <w:hyperlink w:history="true" w:anchor="_TOC_250033">
            <w:r>
              <w:rPr/>
              <w:t>List</w:t>
            </w:r>
            <w:r>
              <w:rPr>
                <w:spacing w:val="-4"/>
              </w:rPr>
              <w:t> </w:t>
            </w:r>
            <w:r>
              <w:rPr/>
              <w:t>of</w:t>
            </w:r>
            <w:r>
              <w:rPr>
                <w:spacing w:val="-1"/>
              </w:rPr>
              <w:t> </w:t>
            </w:r>
            <w:r>
              <w:rPr>
                <w:spacing w:val="-2"/>
              </w:rPr>
              <w:t>abbreviations</w:t>
            </w:r>
            <w:r>
              <w:rPr/>
              <w:tab/>
            </w:r>
            <w:r>
              <w:rPr>
                <w:spacing w:val="-5"/>
              </w:rPr>
              <w:t>xiv</w:t>
            </w:r>
          </w:hyperlink>
        </w:p>
        <w:p>
          <w:pPr>
            <w:pStyle w:val="TOC2"/>
            <w:tabs>
              <w:tab w:pos="9670" w:val="right" w:leader="none"/>
            </w:tabs>
            <w:spacing w:before="552"/>
            <w:ind w:left="1440" w:firstLine="0"/>
          </w:pPr>
          <w:hyperlink w:history="true" w:anchor="_TOC_250032">
            <w:r>
              <w:rPr>
                <w:spacing w:val="-2"/>
              </w:rPr>
              <w:t>Abstract</w:t>
            </w:r>
            <w:r>
              <w:rPr/>
              <w:tab/>
            </w:r>
            <w:r>
              <w:rPr>
                <w:spacing w:val="-5"/>
              </w:rPr>
              <w:t>xvi</w:t>
            </w:r>
          </w:hyperlink>
        </w:p>
        <w:p>
          <w:pPr>
            <w:pStyle w:val="TOC1"/>
            <w:spacing w:before="141"/>
          </w:pPr>
          <w:hyperlink w:history="true" w:anchor="_TOC_250031">
            <w:r>
              <w:rPr/>
              <w:t>CHAPTER</w:t>
            </w:r>
            <w:r>
              <w:rPr>
                <w:spacing w:val="-2"/>
              </w:rPr>
              <w:t> </w:t>
            </w:r>
            <w:r>
              <w:rPr/>
              <w:t>ONE:</w:t>
            </w:r>
            <w:r>
              <w:rPr>
                <w:spacing w:val="58"/>
              </w:rPr>
              <w:t> </w:t>
            </w:r>
            <w:r>
              <w:rPr>
                <w:spacing w:val="-2"/>
              </w:rPr>
              <w:t>INTRODUCTION</w:t>
            </w:r>
          </w:hyperlink>
        </w:p>
        <w:p>
          <w:pPr>
            <w:pStyle w:val="TOC4"/>
            <w:numPr>
              <w:ilvl w:val="1"/>
              <w:numId w:val="1"/>
            </w:numPr>
            <w:tabs>
              <w:tab w:pos="2220" w:val="left" w:leader="none"/>
              <w:tab w:pos="9481" w:val="right" w:leader="none"/>
            </w:tabs>
            <w:spacing w:line="240" w:lineRule="auto" w:before="135" w:after="0"/>
            <w:ind w:left="2220" w:right="0" w:hanging="569"/>
            <w:jc w:val="left"/>
          </w:pPr>
          <w:hyperlink w:history="true" w:anchor="_TOC_250030">
            <w:r>
              <w:rPr/>
              <w:t>Historical</w:t>
            </w:r>
            <w:r>
              <w:rPr>
                <w:spacing w:val="-2"/>
              </w:rPr>
              <w:t> </w:t>
            </w:r>
            <w:r>
              <w:rPr/>
              <w:t>Background</w:t>
            </w:r>
            <w:r>
              <w:rPr>
                <w:spacing w:val="-1"/>
              </w:rPr>
              <w:t> </w:t>
            </w:r>
            <w:r>
              <w:rPr/>
              <w:t>of</w:t>
            </w:r>
            <w:r>
              <w:rPr>
                <w:spacing w:val="-2"/>
              </w:rPr>
              <w:t> </w:t>
            </w:r>
            <w:r>
              <w:rPr/>
              <w:t>the</w:t>
            </w:r>
            <w:r>
              <w:rPr>
                <w:spacing w:val="-2"/>
              </w:rPr>
              <w:t> </w:t>
            </w:r>
            <w:r>
              <w:rPr/>
              <w:t>Niger</w:t>
            </w:r>
            <w:r>
              <w:rPr>
                <w:spacing w:val="-1"/>
              </w:rPr>
              <w:t> </w:t>
            </w:r>
            <w:r>
              <w:rPr/>
              <w:t>Delta</w:t>
            </w:r>
            <w:r>
              <w:rPr>
                <w:spacing w:val="-2"/>
              </w:rPr>
              <w:t> Conflict</w:t>
            </w:r>
            <w:r>
              <w:rPr/>
              <w:tab/>
            </w:r>
            <w:r>
              <w:rPr>
                <w:spacing w:val="-10"/>
              </w:rPr>
              <w:t>1</w:t>
            </w:r>
          </w:hyperlink>
        </w:p>
        <w:p>
          <w:pPr>
            <w:pStyle w:val="TOC4"/>
            <w:numPr>
              <w:ilvl w:val="2"/>
              <w:numId w:val="1"/>
            </w:numPr>
            <w:tabs>
              <w:tab w:pos="2222" w:val="left" w:leader="none"/>
              <w:tab w:pos="9481" w:val="right" w:leader="none"/>
            </w:tabs>
            <w:spacing w:line="240" w:lineRule="auto" w:before="137" w:after="0"/>
            <w:ind w:left="2222" w:right="0" w:hanging="602"/>
            <w:jc w:val="left"/>
          </w:pPr>
          <w:hyperlink w:history="true" w:anchor="_TOC_250029">
            <w:r>
              <w:rPr/>
              <w:t>Location</w:t>
            </w:r>
            <w:r>
              <w:rPr>
                <w:spacing w:val="-3"/>
              </w:rPr>
              <w:t> </w:t>
            </w:r>
            <w:r>
              <w:rPr/>
              <w:t>and</w:t>
            </w:r>
            <w:r>
              <w:rPr>
                <w:spacing w:val="-2"/>
              </w:rPr>
              <w:t> </w:t>
            </w:r>
            <w:r>
              <w:rPr/>
              <w:t>Strategic</w:t>
            </w:r>
            <w:r>
              <w:rPr>
                <w:spacing w:val="2"/>
              </w:rPr>
              <w:t> </w:t>
            </w:r>
            <w:r>
              <w:rPr/>
              <w:t>Importance</w:t>
            </w:r>
            <w:r>
              <w:rPr>
                <w:spacing w:val="-3"/>
              </w:rPr>
              <w:t> </w:t>
            </w:r>
            <w:r>
              <w:rPr/>
              <w:t>of</w:t>
            </w:r>
            <w:r>
              <w:rPr>
                <w:spacing w:val="-2"/>
              </w:rPr>
              <w:t> </w:t>
            </w:r>
            <w:r>
              <w:rPr/>
              <w:t>the</w:t>
            </w:r>
            <w:r>
              <w:rPr>
                <w:spacing w:val="-3"/>
              </w:rPr>
              <w:t> </w:t>
            </w:r>
            <w:r>
              <w:rPr/>
              <w:t>Niger</w:t>
            </w:r>
            <w:r>
              <w:rPr>
                <w:spacing w:val="-1"/>
              </w:rPr>
              <w:t> </w:t>
            </w:r>
            <w:r>
              <w:rPr>
                <w:spacing w:val="-2"/>
              </w:rPr>
              <w:t>Delta</w:t>
            </w:r>
            <w:r>
              <w:rPr/>
              <w:tab/>
            </w:r>
            <w:r>
              <w:rPr>
                <w:spacing w:val="-10"/>
              </w:rPr>
              <w:t>9</w:t>
            </w:r>
          </w:hyperlink>
        </w:p>
        <w:p>
          <w:pPr>
            <w:pStyle w:val="TOC3"/>
            <w:numPr>
              <w:ilvl w:val="2"/>
              <w:numId w:val="1"/>
            </w:numPr>
            <w:tabs>
              <w:tab w:pos="2160" w:val="left" w:leader="none"/>
              <w:tab w:pos="9601" w:val="right" w:leader="none"/>
            </w:tabs>
            <w:spacing w:line="240" w:lineRule="auto" w:before="139" w:after="0"/>
            <w:ind w:left="2160" w:right="0" w:hanging="600"/>
            <w:jc w:val="left"/>
          </w:pPr>
          <w:hyperlink w:history="true" w:anchor="_TOC_250028">
            <w:r>
              <w:rPr/>
              <w:t>Causes</w:t>
            </w:r>
            <w:r>
              <w:rPr>
                <w:spacing w:val="-1"/>
              </w:rPr>
              <w:t> </w:t>
            </w:r>
            <w:r>
              <w:rPr/>
              <w:t>of</w:t>
            </w:r>
            <w:r>
              <w:rPr>
                <w:spacing w:val="-2"/>
              </w:rPr>
              <w:t> </w:t>
            </w:r>
            <w:r>
              <w:rPr/>
              <w:t>the</w:t>
            </w:r>
            <w:r>
              <w:rPr>
                <w:spacing w:val="-1"/>
              </w:rPr>
              <w:t> </w:t>
            </w:r>
            <w:r>
              <w:rPr/>
              <w:t>Niger Delta</w:t>
            </w:r>
            <w:r>
              <w:rPr>
                <w:spacing w:val="-1"/>
              </w:rPr>
              <w:t> </w:t>
            </w:r>
            <w:r>
              <w:rPr>
                <w:spacing w:val="-2"/>
              </w:rPr>
              <w:t>Conflict</w:t>
            </w:r>
            <w:r>
              <w:rPr/>
              <w:tab/>
            </w:r>
            <w:r>
              <w:rPr>
                <w:spacing w:val="-5"/>
              </w:rPr>
              <w:t>12</w:t>
            </w:r>
          </w:hyperlink>
        </w:p>
        <w:p>
          <w:pPr>
            <w:pStyle w:val="TOC3"/>
            <w:numPr>
              <w:ilvl w:val="2"/>
              <w:numId w:val="1"/>
            </w:numPr>
            <w:tabs>
              <w:tab w:pos="2160" w:val="left" w:leader="none"/>
              <w:tab w:pos="9601" w:val="right" w:leader="none"/>
            </w:tabs>
            <w:spacing w:line="240" w:lineRule="auto" w:before="137" w:after="0"/>
            <w:ind w:left="2160" w:right="0" w:hanging="600"/>
            <w:jc w:val="left"/>
          </w:pPr>
          <w:hyperlink w:history="true" w:anchor="_TOC_250027">
            <w:r>
              <w:rPr/>
              <w:t>Implications</w:t>
            </w:r>
            <w:r>
              <w:rPr>
                <w:spacing w:val="-4"/>
              </w:rPr>
              <w:t> </w:t>
            </w:r>
            <w:r>
              <w:rPr/>
              <w:t>of</w:t>
            </w:r>
            <w:r>
              <w:rPr>
                <w:spacing w:val="-1"/>
              </w:rPr>
              <w:t> </w:t>
            </w:r>
            <w:r>
              <w:rPr/>
              <w:t>the</w:t>
            </w:r>
            <w:r>
              <w:rPr>
                <w:spacing w:val="-1"/>
              </w:rPr>
              <w:t> </w:t>
            </w:r>
            <w:r>
              <w:rPr/>
              <w:t>Niger Delta</w:t>
            </w:r>
            <w:r>
              <w:rPr>
                <w:spacing w:val="-2"/>
              </w:rPr>
              <w:t> </w:t>
            </w:r>
            <w:r>
              <w:rPr/>
              <w:t>Conflict</w:t>
            </w:r>
            <w:r>
              <w:rPr>
                <w:spacing w:val="-2"/>
              </w:rPr>
              <w:t> </w:t>
            </w:r>
            <w:r>
              <w:rPr/>
              <w:t>for</w:t>
            </w:r>
            <w:r>
              <w:rPr>
                <w:spacing w:val="-2"/>
              </w:rPr>
              <w:t> </w:t>
            </w:r>
            <w:r>
              <w:rPr/>
              <w:t>National</w:t>
            </w:r>
            <w:r>
              <w:rPr>
                <w:spacing w:val="-1"/>
              </w:rPr>
              <w:t> </w:t>
            </w:r>
            <w:r>
              <w:rPr>
                <w:spacing w:val="-2"/>
              </w:rPr>
              <w:t>Security</w:t>
            </w:r>
            <w:r>
              <w:rPr/>
              <w:tab/>
            </w:r>
            <w:r>
              <w:rPr>
                <w:spacing w:val="-5"/>
              </w:rPr>
              <w:t>16</w:t>
            </w:r>
          </w:hyperlink>
        </w:p>
        <w:p>
          <w:pPr>
            <w:pStyle w:val="TOC4"/>
            <w:numPr>
              <w:ilvl w:val="2"/>
              <w:numId w:val="1"/>
            </w:numPr>
            <w:tabs>
              <w:tab w:pos="2191" w:val="left" w:leader="none"/>
              <w:tab w:pos="9601" w:val="right" w:leader="none"/>
            </w:tabs>
            <w:spacing w:line="240" w:lineRule="auto" w:before="139" w:after="0"/>
            <w:ind w:left="2191" w:right="0" w:hanging="540"/>
            <w:jc w:val="left"/>
          </w:pPr>
          <w:hyperlink w:history="true" w:anchor="_TOC_250026">
            <w:r>
              <w:rPr/>
              <w:t>Attempts</w:t>
            </w:r>
            <w:r>
              <w:rPr>
                <w:spacing w:val="-1"/>
              </w:rPr>
              <w:t> </w:t>
            </w:r>
            <w:r>
              <w:rPr/>
              <w:t>at</w:t>
            </w:r>
            <w:r>
              <w:rPr>
                <w:spacing w:val="-1"/>
              </w:rPr>
              <w:t> </w:t>
            </w:r>
            <w:r>
              <w:rPr/>
              <w:t>Solving</w:t>
            </w:r>
            <w:r>
              <w:rPr>
                <w:spacing w:val="-3"/>
              </w:rPr>
              <w:t> </w:t>
            </w:r>
            <w:r>
              <w:rPr/>
              <w:t>the</w:t>
            </w:r>
            <w:r>
              <w:rPr>
                <w:spacing w:val="-1"/>
              </w:rPr>
              <w:t> </w:t>
            </w:r>
            <w:r>
              <w:rPr/>
              <w:t>Problems</w:t>
            </w:r>
            <w:r>
              <w:rPr>
                <w:spacing w:val="-1"/>
              </w:rPr>
              <w:t> </w:t>
            </w:r>
            <w:r>
              <w:rPr/>
              <w:t>in the</w:t>
            </w:r>
            <w:r>
              <w:rPr>
                <w:spacing w:val="-1"/>
              </w:rPr>
              <w:t> </w:t>
            </w:r>
            <w:r>
              <w:rPr/>
              <w:t>Niger </w:t>
            </w:r>
            <w:r>
              <w:rPr>
                <w:spacing w:val="-2"/>
              </w:rPr>
              <w:t>Delta</w:t>
            </w:r>
            <w:r>
              <w:rPr/>
              <w:tab/>
            </w:r>
            <w:r>
              <w:rPr>
                <w:spacing w:val="-5"/>
              </w:rPr>
              <w:t>25</w:t>
            </w:r>
          </w:hyperlink>
        </w:p>
        <w:p>
          <w:pPr>
            <w:pStyle w:val="TOC4"/>
            <w:numPr>
              <w:ilvl w:val="1"/>
              <w:numId w:val="1"/>
            </w:numPr>
            <w:tabs>
              <w:tab w:pos="2160" w:val="left" w:leader="none"/>
              <w:tab w:pos="9601" w:val="right" w:leader="none"/>
            </w:tabs>
            <w:spacing w:line="240" w:lineRule="auto" w:before="137" w:after="0"/>
            <w:ind w:left="2160" w:right="0" w:hanging="509"/>
            <w:jc w:val="left"/>
          </w:pPr>
          <w:hyperlink w:history="true" w:anchor="_TOC_250025">
            <w:r>
              <w:rPr/>
              <w:t>Statement</w:t>
            </w:r>
            <w:r>
              <w:rPr>
                <w:spacing w:val="-1"/>
              </w:rPr>
              <w:t> </w:t>
            </w:r>
            <w:r>
              <w:rPr/>
              <w:t>of</w:t>
            </w:r>
            <w:r>
              <w:rPr>
                <w:spacing w:val="-1"/>
              </w:rPr>
              <w:t> </w:t>
            </w:r>
            <w:r>
              <w:rPr/>
              <w:t>the</w:t>
            </w:r>
            <w:r>
              <w:rPr>
                <w:spacing w:val="-1"/>
              </w:rPr>
              <w:t> </w:t>
            </w:r>
            <w:r>
              <w:rPr/>
              <w:t>Research </w:t>
            </w:r>
            <w:r>
              <w:rPr>
                <w:spacing w:val="-2"/>
              </w:rPr>
              <w:t>Problem</w:t>
            </w:r>
            <w:r>
              <w:rPr/>
              <w:tab/>
            </w:r>
            <w:r>
              <w:rPr>
                <w:spacing w:val="-5"/>
              </w:rPr>
              <w:t>27</w:t>
            </w:r>
          </w:hyperlink>
        </w:p>
        <w:p>
          <w:pPr>
            <w:pStyle w:val="TOC4"/>
            <w:numPr>
              <w:ilvl w:val="1"/>
              <w:numId w:val="1"/>
            </w:numPr>
            <w:tabs>
              <w:tab w:pos="2160" w:val="left" w:leader="none"/>
              <w:tab w:pos="9601" w:val="right" w:leader="none"/>
            </w:tabs>
            <w:spacing w:line="240" w:lineRule="auto" w:before="139" w:after="0"/>
            <w:ind w:left="2160" w:right="0" w:hanging="509"/>
            <w:jc w:val="left"/>
          </w:pPr>
          <w:hyperlink w:history="true" w:anchor="_TOC_250024">
            <w:r>
              <w:rPr/>
              <w:t>Research</w:t>
            </w:r>
            <w:r>
              <w:rPr>
                <w:spacing w:val="-3"/>
              </w:rPr>
              <w:t> </w:t>
            </w:r>
            <w:r>
              <w:rPr>
                <w:spacing w:val="-2"/>
              </w:rPr>
              <w:t>Objectives</w:t>
            </w:r>
            <w:r>
              <w:rPr/>
              <w:tab/>
            </w:r>
            <w:r>
              <w:rPr>
                <w:spacing w:val="-7"/>
              </w:rPr>
              <w:t>29</w:t>
            </w:r>
          </w:hyperlink>
        </w:p>
        <w:p>
          <w:pPr>
            <w:pStyle w:val="TOC4"/>
            <w:numPr>
              <w:ilvl w:val="1"/>
              <w:numId w:val="1"/>
            </w:numPr>
            <w:tabs>
              <w:tab w:pos="2160" w:val="left" w:leader="none"/>
              <w:tab w:pos="9601" w:val="right" w:leader="none"/>
            </w:tabs>
            <w:spacing w:line="240" w:lineRule="auto" w:before="137" w:after="0"/>
            <w:ind w:left="2160" w:right="0" w:hanging="509"/>
            <w:jc w:val="left"/>
          </w:pPr>
          <w:hyperlink w:history="true" w:anchor="_TOC_250023">
            <w:r>
              <w:rPr/>
              <w:t>Research</w:t>
            </w:r>
            <w:r>
              <w:rPr>
                <w:spacing w:val="-5"/>
              </w:rPr>
              <w:t> </w:t>
            </w:r>
            <w:r>
              <w:rPr>
                <w:spacing w:val="-2"/>
              </w:rPr>
              <w:t>Questions</w:t>
            </w:r>
            <w:r>
              <w:rPr/>
              <w:tab/>
            </w:r>
            <w:r>
              <w:rPr>
                <w:spacing w:val="-7"/>
              </w:rPr>
              <w:t>30</w:t>
            </w:r>
          </w:hyperlink>
        </w:p>
        <w:p>
          <w:pPr>
            <w:pStyle w:val="TOC4"/>
            <w:numPr>
              <w:ilvl w:val="1"/>
              <w:numId w:val="1"/>
            </w:numPr>
            <w:tabs>
              <w:tab w:pos="2160" w:val="left" w:leader="none"/>
              <w:tab w:pos="9601" w:val="right" w:leader="none"/>
            </w:tabs>
            <w:spacing w:line="240" w:lineRule="auto" w:before="139" w:after="0"/>
            <w:ind w:left="2160" w:right="0" w:hanging="509"/>
            <w:jc w:val="left"/>
          </w:pPr>
          <w:hyperlink w:history="true" w:anchor="_TOC_250022">
            <w:r>
              <w:rPr/>
              <w:t>Justification</w:t>
            </w:r>
            <w:r>
              <w:rPr>
                <w:spacing w:val="-2"/>
              </w:rPr>
              <w:t> </w:t>
            </w:r>
            <w:r>
              <w:rPr/>
              <w:t>for</w:t>
            </w:r>
            <w:r>
              <w:rPr>
                <w:spacing w:val="-1"/>
              </w:rPr>
              <w:t> </w:t>
            </w:r>
            <w:r>
              <w:rPr/>
              <w:t>the</w:t>
            </w:r>
            <w:r>
              <w:rPr>
                <w:spacing w:val="-2"/>
              </w:rPr>
              <w:t> Study</w:t>
            </w:r>
            <w:r>
              <w:rPr/>
              <w:tab/>
            </w:r>
            <w:r>
              <w:rPr>
                <w:spacing w:val="-5"/>
              </w:rPr>
              <w:t>30</w:t>
            </w:r>
          </w:hyperlink>
        </w:p>
        <w:p>
          <w:pPr>
            <w:pStyle w:val="TOC4"/>
            <w:numPr>
              <w:ilvl w:val="1"/>
              <w:numId w:val="1"/>
            </w:numPr>
            <w:tabs>
              <w:tab w:pos="2160" w:val="left" w:leader="none"/>
              <w:tab w:pos="9601" w:val="right" w:leader="none"/>
            </w:tabs>
            <w:spacing w:line="240" w:lineRule="auto" w:before="137" w:after="0"/>
            <w:ind w:left="2160" w:right="0" w:hanging="509"/>
            <w:jc w:val="left"/>
          </w:pPr>
          <w:r>
            <w:rPr/>
            <w:t>Scope</w:t>
          </w:r>
          <w:r>
            <w:rPr>
              <w:spacing w:val="-2"/>
            </w:rPr>
            <w:t> </w:t>
          </w:r>
          <w:r>
            <w:rPr/>
            <w:t>and</w:t>
          </w:r>
          <w:r>
            <w:rPr>
              <w:spacing w:val="-1"/>
            </w:rPr>
            <w:t> </w:t>
          </w:r>
          <w:r>
            <w:rPr/>
            <w:t>problems of Delta</w:t>
          </w:r>
          <w:r>
            <w:rPr>
              <w:spacing w:val="-1"/>
            </w:rPr>
            <w:t> </w:t>
          </w:r>
          <w:r>
            <w:rPr>
              <w:spacing w:val="-2"/>
            </w:rPr>
            <w:t>Collection</w:t>
          </w:r>
          <w:r>
            <w:rPr/>
            <w:tab/>
          </w:r>
          <w:r>
            <w:rPr>
              <w:spacing w:val="-5"/>
            </w:rPr>
            <w:t>31</w:t>
          </w:r>
        </w:p>
        <w:p>
          <w:pPr>
            <w:pStyle w:val="TOC4"/>
            <w:numPr>
              <w:ilvl w:val="1"/>
              <w:numId w:val="1"/>
            </w:numPr>
            <w:tabs>
              <w:tab w:pos="2100" w:val="left" w:leader="none"/>
              <w:tab w:pos="9601" w:val="right" w:leader="none"/>
            </w:tabs>
            <w:spacing w:line="240" w:lineRule="auto" w:before="139" w:after="0"/>
            <w:ind w:left="2100" w:right="0" w:hanging="480"/>
            <w:jc w:val="left"/>
          </w:pPr>
          <w:hyperlink w:history="true" w:anchor="_TOC_250021">
            <w:r>
              <w:rPr/>
              <w:t>Definition</w:t>
            </w:r>
            <w:r>
              <w:rPr>
                <w:spacing w:val="-3"/>
              </w:rPr>
              <w:t> </w:t>
            </w:r>
            <w:r>
              <w:rPr/>
              <w:t>of</w:t>
            </w:r>
            <w:r>
              <w:rPr>
                <w:spacing w:val="-2"/>
              </w:rPr>
              <w:t> </w:t>
            </w:r>
            <w:r>
              <w:rPr>
                <w:spacing w:val="-4"/>
              </w:rPr>
              <w:t>terms</w:t>
            </w:r>
            <w:r>
              <w:rPr/>
              <w:tab/>
            </w:r>
            <w:r>
              <w:rPr>
                <w:spacing w:val="-7"/>
              </w:rPr>
              <w:t>32</w:t>
            </w:r>
          </w:hyperlink>
        </w:p>
        <w:p>
          <w:pPr>
            <w:pStyle w:val="TOC1"/>
            <w:spacing w:line="360" w:lineRule="auto" w:before="558"/>
            <w:ind w:right="3112"/>
          </w:pPr>
          <w:r>
            <w:rPr/>
            <w:t>CHAPTER</w:t>
          </w:r>
          <w:r>
            <w:rPr>
              <w:spacing w:val="-8"/>
            </w:rPr>
            <w:t> </w:t>
          </w:r>
          <w:r>
            <w:rPr/>
            <w:t>TWO:</w:t>
          </w:r>
          <w:r>
            <w:rPr>
              <w:spacing w:val="40"/>
            </w:rPr>
            <w:t> </w:t>
          </w:r>
          <w:r>
            <w:rPr/>
            <w:t>LITERATURE</w:t>
          </w:r>
          <w:r>
            <w:rPr>
              <w:spacing w:val="-8"/>
            </w:rPr>
            <w:t> </w:t>
          </w:r>
          <w:r>
            <w:rPr/>
            <w:t>REVIEW</w:t>
          </w:r>
          <w:r>
            <w:rPr>
              <w:spacing w:val="-8"/>
            </w:rPr>
            <w:t> </w:t>
          </w:r>
          <w:r>
            <w:rPr/>
            <w:t>AND THEORETICAL FRAMEWORK</w:t>
          </w:r>
        </w:p>
        <w:p>
          <w:pPr>
            <w:pStyle w:val="TOC2"/>
            <w:numPr>
              <w:ilvl w:val="1"/>
              <w:numId w:val="2"/>
            </w:numPr>
            <w:tabs>
              <w:tab w:pos="1980" w:val="left" w:leader="none"/>
              <w:tab w:pos="9601" w:val="right" w:leader="none"/>
            </w:tabs>
            <w:spacing w:line="271" w:lineRule="exact" w:before="0" w:after="0"/>
            <w:ind w:left="1980" w:right="0" w:hanging="540"/>
            <w:jc w:val="left"/>
          </w:pPr>
          <w:hyperlink w:history="true" w:anchor="_TOC_250020">
            <w:r>
              <w:rPr/>
              <w:t>Conceptual</w:t>
            </w:r>
            <w:r>
              <w:rPr>
                <w:spacing w:val="-2"/>
              </w:rPr>
              <w:t> Discourse</w:t>
            </w:r>
            <w:r>
              <w:rPr/>
              <w:tab/>
            </w:r>
            <w:r>
              <w:rPr>
                <w:spacing w:val="-5"/>
              </w:rPr>
              <w:t>34</w:t>
            </w:r>
          </w:hyperlink>
        </w:p>
        <w:p>
          <w:pPr>
            <w:pStyle w:val="TOC2"/>
            <w:numPr>
              <w:ilvl w:val="2"/>
              <w:numId w:val="2"/>
            </w:numPr>
            <w:tabs>
              <w:tab w:pos="2040" w:val="left" w:leader="none"/>
              <w:tab w:pos="9601" w:val="right" w:leader="none"/>
            </w:tabs>
            <w:spacing w:line="240" w:lineRule="auto" w:before="137" w:after="0"/>
            <w:ind w:left="2040" w:right="0" w:hanging="600"/>
            <w:jc w:val="left"/>
          </w:pPr>
          <w:hyperlink w:history="true" w:anchor="_TOC_250019">
            <w:r>
              <w:rPr/>
              <w:t>Military</w:t>
            </w:r>
            <w:r>
              <w:rPr>
                <w:spacing w:val="-6"/>
              </w:rPr>
              <w:t> </w:t>
            </w:r>
            <w:r>
              <w:rPr/>
              <w:t>Task</w:t>
            </w:r>
            <w:r>
              <w:rPr>
                <w:spacing w:val="1"/>
              </w:rPr>
              <w:t> </w:t>
            </w:r>
            <w:r>
              <w:rPr/>
              <w:t>Force</w:t>
            </w:r>
            <w:r>
              <w:rPr>
                <w:spacing w:val="-2"/>
              </w:rPr>
              <w:t> </w:t>
            </w:r>
            <w:r>
              <w:rPr/>
              <w:t>in</w:t>
            </w:r>
            <w:r>
              <w:rPr>
                <w:spacing w:val="-1"/>
              </w:rPr>
              <w:t> </w:t>
            </w:r>
            <w:r>
              <w:rPr/>
              <w:t>Global </w:t>
            </w:r>
            <w:r>
              <w:rPr>
                <w:spacing w:val="-2"/>
              </w:rPr>
              <w:t>Perspectives</w:t>
            </w:r>
            <w:r>
              <w:rPr/>
              <w:tab/>
            </w:r>
            <w:r>
              <w:rPr>
                <w:spacing w:val="-5"/>
              </w:rPr>
              <w:t>34</w:t>
            </w:r>
          </w:hyperlink>
        </w:p>
        <w:p>
          <w:pPr>
            <w:pStyle w:val="TOC2"/>
            <w:numPr>
              <w:ilvl w:val="3"/>
              <w:numId w:val="2"/>
            </w:numPr>
            <w:tabs>
              <w:tab w:pos="2160" w:val="left" w:leader="none"/>
              <w:tab w:pos="9601" w:val="right" w:leader="none"/>
            </w:tabs>
            <w:spacing w:line="240" w:lineRule="auto" w:before="139" w:after="0"/>
            <w:ind w:left="2160" w:right="0" w:hanging="720"/>
            <w:jc w:val="left"/>
          </w:pPr>
          <w:hyperlink w:history="true" w:anchor="_TOC_250018">
            <w:r>
              <w:rPr/>
              <w:t>Joint Task </w:t>
            </w:r>
            <w:r>
              <w:rPr>
                <w:spacing w:val="-2"/>
              </w:rPr>
              <w:t>Force</w:t>
            </w:r>
            <w:r>
              <w:rPr/>
              <w:tab/>
            </w:r>
            <w:r>
              <w:rPr>
                <w:spacing w:val="-5"/>
              </w:rPr>
              <w:t>36</w:t>
            </w:r>
          </w:hyperlink>
        </w:p>
      </w:sdtContent>
    </w:sdt>
    <w:p>
      <w:pPr>
        <w:spacing w:after="0" w:line="240" w:lineRule="auto"/>
        <w:jc w:val="left"/>
        <w:sectPr>
          <w:pgSz w:w="11910" w:h="16840"/>
          <w:pgMar w:header="0" w:footer="1492" w:top="1360" w:bottom="1680" w:left="720" w:right="180"/>
        </w:sectPr>
      </w:pPr>
    </w:p>
    <w:p>
      <w:pPr>
        <w:pStyle w:val="ListParagraph"/>
        <w:numPr>
          <w:ilvl w:val="3"/>
          <w:numId w:val="2"/>
        </w:numPr>
        <w:tabs>
          <w:tab w:pos="2160" w:val="left" w:leader="none"/>
          <w:tab w:pos="9601" w:val="right" w:leader="none"/>
        </w:tabs>
        <w:spacing w:line="240" w:lineRule="auto" w:before="60" w:after="0"/>
        <w:ind w:left="2160" w:right="0" w:hanging="720"/>
        <w:jc w:val="left"/>
        <w:rPr>
          <w:sz w:val="24"/>
        </w:rPr>
      </w:pPr>
      <w:r>
        <w:rPr/>
        <mc:AlternateContent>
          <mc:Choice Requires="wps">
            <w:drawing>
              <wp:anchor distT="0" distB="0" distL="0" distR="0" allowOverlap="1" layoutInCell="1" locked="0" behindDoc="1" simplePos="0" relativeHeight="480561664">
                <wp:simplePos x="0" y="0"/>
                <wp:positionH relativeFrom="page">
                  <wp:posOffset>-1537026</wp:posOffset>
                </wp:positionH>
                <wp:positionV relativeFrom="page">
                  <wp:posOffset>4900424</wp:posOffset>
                </wp:positionV>
                <wp:extent cx="10669905" cy="914400"/>
                <wp:effectExtent l="0" t="0" r="0" b="0"/>
                <wp:wrapNone/>
                <wp:docPr id="9" name="Textbox 9"/>
                <wp:cNvGraphicFramePr>
                  <a:graphicFrameLocks/>
                </wp:cNvGraphicFramePr>
                <a:graphic>
                  <a:graphicData uri="http://schemas.microsoft.com/office/word/2010/wordprocessingShape">
                    <wps:wsp>
                      <wps:cNvPr id="9" name="Textbox 9"/>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54816;rotation:306" type="#_x0000_t136" fillcolor="#ff5400" stroked="f">
                <o:extrusion v:ext="view" autorotationcenter="t"/>
                <v:textpath style="font-family:&quot;Arial MT&quot;;font-size:72pt;v-text-kern:t;mso-text-shadow:auto" string="UNIVERSITY OF IBADAN"/>
                <w10:wrap type="none"/>
              </v:shape>
            </w:pict>
          </mc:Fallback>
        </mc:AlternateContent>
      </w:r>
      <w:hyperlink w:history="true" w:anchor="_TOC_250017">
        <w:r>
          <w:rPr>
            <w:sz w:val="24"/>
          </w:rPr>
          <w:t>Combined</w:t>
        </w:r>
        <w:r>
          <w:rPr>
            <w:spacing w:val="-2"/>
            <w:sz w:val="24"/>
          </w:rPr>
          <w:t> </w:t>
        </w:r>
        <w:r>
          <w:rPr>
            <w:sz w:val="24"/>
          </w:rPr>
          <w:t>Task</w:t>
        </w:r>
        <w:r>
          <w:rPr>
            <w:spacing w:val="-1"/>
            <w:sz w:val="24"/>
          </w:rPr>
          <w:t> </w:t>
        </w:r>
        <w:r>
          <w:rPr>
            <w:spacing w:val="-2"/>
            <w:sz w:val="24"/>
          </w:rPr>
          <w:t>Force</w:t>
        </w:r>
        <w:r>
          <w:rPr>
            <w:sz w:val="24"/>
          </w:rPr>
          <w:tab/>
        </w:r>
        <w:r>
          <w:rPr>
            <w:spacing w:val="-5"/>
            <w:sz w:val="24"/>
          </w:rPr>
          <w:t>37</w:t>
        </w:r>
      </w:hyperlink>
    </w:p>
    <w:p>
      <w:pPr>
        <w:pStyle w:val="ListParagraph"/>
        <w:numPr>
          <w:ilvl w:val="3"/>
          <w:numId w:val="2"/>
        </w:numPr>
        <w:tabs>
          <w:tab w:pos="2160" w:val="left" w:leader="none"/>
          <w:tab w:pos="9601" w:val="right" w:leader="none"/>
        </w:tabs>
        <w:spacing w:line="240" w:lineRule="auto" w:before="138" w:after="0"/>
        <w:ind w:left="2160" w:right="0" w:hanging="720"/>
        <w:jc w:val="left"/>
        <w:rPr>
          <w:sz w:val="24"/>
        </w:rPr>
      </w:pPr>
      <w:hyperlink w:history="true" w:anchor="_TOC_250016">
        <w:r>
          <w:rPr>
            <w:sz w:val="24"/>
          </w:rPr>
          <w:t>Combined</w:t>
        </w:r>
        <w:r>
          <w:rPr>
            <w:spacing w:val="-4"/>
            <w:sz w:val="24"/>
          </w:rPr>
          <w:t> </w:t>
        </w:r>
        <w:r>
          <w:rPr>
            <w:sz w:val="24"/>
          </w:rPr>
          <w:t>Joint</w:t>
        </w:r>
        <w:r>
          <w:rPr>
            <w:spacing w:val="-2"/>
            <w:sz w:val="24"/>
          </w:rPr>
          <w:t> </w:t>
        </w:r>
        <w:r>
          <w:rPr>
            <w:sz w:val="24"/>
          </w:rPr>
          <w:t>Task</w:t>
        </w:r>
        <w:r>
          <w:rPr>
            <w:spacing w:val="-2"/>
            <w:sz w:val="24"/>
          </w:rPr>
          <w:t> </w:t>
        </w:r>
        <w:r>
          <w:rPr>
            <w:spacing w:val="-4"/>
            <w:sz w:val="24"/>
          </w:rPr>
          <w:t>Force</w:t>
        </w:r>
        <w:r>
          <w:rPr>
            <w:sz w:val="24"/>
          </w:rPr>
          <w:tab/>
        </w:r>
        <w:r>
          <w:rPr>
            <w:spacing w:val="-5"/>
            <w:sz w:val="24"/>
          </w:rPr>
          <w:t>37</w:t>
        </w:r>
      </w:hyperlink>
    </w:p>
    <w:p>
      <w:pPr>
        <w:pStyle w:val="ListParagraph"/>
        <w:numPr>
          <w:ilvl w:val="1"/>
          <w:numId w:val="2"/>
        </w:numPr>
        <w:tabs>
          <w:tab w:pos="2040" w:val="left" w:leader="none"/>
          <w:tab w:pos="9601" w:val="right" w:leader="none"/>
        </w:tabs>
        <w:spacing w:line="240" w:lineRule="auto" w:before="552" w:after="0"/>
        <w:ind w:left="2040" w:right="0" w:hanging="600"/>
        <w:jc w:val="left"/>
        <w:rPr>
          <w:sz w:val="24"/>
        </w:rPr>
      </w:pPr>
      <w:hyperlink w:history="true" w:anchor="_TOC_250015">
        <w:r>
          <w:rPr>
            <w:sz w:val="24"/>
          </w:rPr>
          <w:t>Conceptual</w:t>
        </w:r>
        <w:r>
          <w:rPr>
            <w:spacing w:val="-2"/>
            <w:sz w:val="24"/>
          </w:rPr>
          <w:t> Framework</w:t>
        </w:r>
        <w:r>
          <w:rPr>
            <w:sz w:val="24"/>
          </w:rPr>
          <w:tab/>
        </w:r>
        <w:r>
          <w:rPr>
            <w:spacing w:val="-5"/>
            <w:sz w:val="24"/>
          </w:rPr>
          <w:t>37</w:t>
        </w:r>
      </w:hyperlink>
    </w:p>
    <w:p>
      <w:pPr>
        <w:pStyle w:val="ListParagraph"/>
        <w:numPr>
          <w:ilvl w:val="2"/>
          <w:numId w:val="2"/>
        </w:numPr>
        <w:tabs>
          <w:tab w:pos="2100" w:val="left" w:leader="none"/>
          <w:tab w:pos="9601" w:val="right" w:leader="none"/>
        </w:tabs>
        <w:spacing w:line="240" w:lineRule="auto" w:before="139" w:after="0"/>
        <w:ind w:left="2100" w:right="0" w:hanging="660"/>
        <w:jc w:val="left"/>
        <w:rPr>
          <w:sz w:val="24"/>
        </w:rPr>
      </w:pPr>
      <w:r>
        <w:rPr>
          <w:sz w:val="24"/>
        </w:rPr>
        <w:t>Peace</w:t>
      </w:r>
      <w:r>
        <w:rPr>
          <w:spacing w:val="-3"/>
          <w:sz w:val="24"/>
        </w:rPr>
        <w:t> </w:t>
      </w:r>
      <w:r>
        <w:rPr>
          <w:sz w:val="24"/>
        </w:rPr>
        <w:t>Support</w:t>
      </w:r>
      <w:r>
        <w:rPr>
          <w:spacing w:val="-2"/>
          <w:sz w:val="24"/>
        </w:rPr>
        <w:t> Operations</w:t>
      </w:r>
      <w:r>
        <w:rPr>
          <w:sz w:val="24"/>
        </w:rPr>
        <w:tab/>
      </w:r>
      <w:r>
        <w:rPr>
          <w:spacing w:val="-5"/>
          <w:sz w:val="24"/>
        </w:rPr>
        <w:t>37</w:t>
      </w:r>
    </w:p>
    <w:p>
      <w:pPr>
        <w:pStyle w:val="ListParagraph"/>
        <w:numPr>
          <w:ilvl w:val="2"/>
          <w:numId w:val="2"/>
        </w:numPr>
        <w:tabs>
          <w:tab w:pos="2102" w:val="left" w:leader="none"/>
          <w:tab w:pos="9601" w:val="right" w:leader="none"/>
        </w:tabs>
        <w:spacing w:line="240" w:lineRule="auto" w:before="137" w:after="0"/>
        <w:ind w:left="2102" w:right="0" w:hanging="662"/>
        <w:jc w:val="left"/>
        <w:rPr>
          <w:sz w:val="24"/>
        </w:rPr>
      </w:pPr>
      <w:hyperlink w:history="true" w:anchor="_TOC_250014">
        <w:r>
          <w:rPr>
            <w:sz w:val="24"/>
          </w:rPr>
          <w:t>Internal</w:t>
        </w:r>
        <w:r>
          <w:rPr>
            <w:spacing w:val="-3"/>
            <w:sz w:val="24"/>
          </w:rPr>
          <w:t> </w:t>
        </w:r>
        <w:r>
          <w:rPr>
            <w:sz w:val="24"/>
          </w:rPr>
          <w:t>Security</w:t>
        </w:r>
        <w:r>
          <w:rPr>
            <w:spacing w:val="-4"/>
            <w:sz w:val="24"/>
          </w:rPr>
          <w:t> </w:t>
        </w:r>
        <w:r>
          <w:rPr>
            <w:spacing w:val="-2"/>
            <w:sz w:val="24"/>
          </w:rPr>
          <w:t>Operations</w:t>
        </w:r>
        <w:r>
          <w:rPr>
            <w:sz w:val="24"/>
          </w:rPr>
          <w:tab/>
        </w:r>
        <w:r>
          <w:rPr>
            <w:spacing w:val="-5"/>
            <w:sz w:val="24"/>
          </w:rPr>
          <w:t>39</w:t>
        </w:r>
      </w:hyperlink>
    </w:p>
    <w:p>
      <w:pPr>
        <w:pStyle w:val="ListParagraph"/>
        <w:numPr>
          <w:ilvl w:val="2"/>
          <w:numId w:val="2"/>
        </w:numPr>
        <w:tabs>
          <w:tab w:pos="2100" w:val="left" w:leader="none"/>
          <w:tab w:pos="9601" w:val="right" w:leader="none"/>
        </w:tabs>
        <w:spacing w:line="240" w:lineRule="auto" w:before="139" w:after="0"/>
        <w:ind w:left="2100" w:right="0" w:hanging="660"/>
        <w:jc w:val="left"/>
        <w:rPr>
          <w:sz w:val="24"/>
        </w:rPr>
      </w:pPr>
      <w:r>
        <w:rPr>
          <w:sz w:val="24"/>
        </w:rPr>
        <w:t>Military</w:t>
      </w:r>
      <w:r>
        <w:rPr>
          <w:spacing w:val="-6"/>
          <w:sz w:val="24"/>
        </w:rPr>
        <w:t> </w:t>
      </w:r>
      <w:r>
        <w:rPr>
          <w:sz w:val="24"/>
        </w:rPr>
        <w:t>Operations Other</w:t>
      </w:r>
      <w:r>
        <w:rPr>
          <w:spacing w:val="-3"/>
          <w:sz w:val="24"/>
        </w:rPr>
        <w:t> </w:t>
      </w:r>
      <w:r>
        <w:rPr>
          <w:sz w:val="24"/>
        </w:rPr>
        <w:t>Than </w:t>
      </w:r>
      <w:r>
        <w:rPr>
          <w:spacing w:val="-5"/>
          <w:sz w:val="24"/>
        </w:rPr>
        <w:t>War</w:t>
      </w:r>
      <w:r>
        <w:rPr>
          <w:sz w:val="24"/>
        </w:rPr>
        <w:tab/>
      </w:r>
      <w:r>
        <w:rPr>
          <w:spacing w:val="-5"/>
          <w:sz w:val="24"/>
        </w:rPr>
        <w:t>41</w:t>
      </w:r>
    </w:p>
    <w:p>
      <w:pPr>
        <w:pStyle w:val="ListParagraph"/>
        <w:numPr>
          <w:ilvl w:val="1"/>
          <w:numId w:val="2"/>
        </w:numPr>
        <w:tabs>
          <w:tab w:pos="2102" w:val="left" w:leader="none"/>
          <w:tab w:pos="9601" w:val="right" w:leader="none"/>
        </w:tabs>
        <w:spacing w:line="240" w:lineRule="auto" w:before="137" w:after="0"/>
        <w:ind w:left="2102" w:right="0" w:hanging="662"/>
        <w:jc w:val="left"/>
        <w:rPr>
          <w:sz w:val="24"/>
        </w:rPr>
      </w:pPr>
      <w:hyperlink w:history="true" w:anchor="_TOC_250013">
        <w:r>
          <w:rPr>
            <w:sz w:val="24"/>
          </w:rPr>
          <w:t>Literature</w:t>
        </w:r>
        <w:r>
          <w:rPr>
            <w:spacing w:val="-9"/>
            <w:sz w:val="24"/>
          </w:rPr>
          <w:t> </w:t>
        </w:r>
        <w:r>
          <w:rPr>
            <w:spacing w:val="-2"/>
            <w:sz w:val="24"/>
          </w:rPr>
          <w:t>Review</w:t>
        </w:r>
        <w:r>
          <w:rPr>
            <w:sz w:val="24"/>
          </w:rPr>
          <w:tab/>
        </w:r>
        <w:r>
          <w:rPr>
            <w:spacing w:val="-5"/>
            <w:sz w:val="24"/>
          </w:rPr>
          <w:t>43</w:t>
        </w:r>
      </w:hyperlink>
    </w:p>
    <w:p>
      <w:pPr>
        <w:spacing w:before="557"/>
        <w:ind w:left="1440" w:right="0" w:firstLine="0"/>
        <w:jc w:val="left"/>
        <w:rPr>
          <w:b/>
          <w:sz w:val="24"/>
        </w:rPr>
      </w:pPr>
      <w:r>
        <w:rPr>
          <w:b/>
          <w:sz w:val="24"/>
        </w:rPr>
        <w:t>CHAPTER</w:t>
      </w:r>
      <w:r>
        <w:rPr>
          <w:b/>
          <w:spacing w:val="-4"/>
          <w:sz w:val="24"/>
        </w:rPr>
        <w:t> </w:t>
      </w:r>
      <w:r>
        <w:rPr>
          <w:b/>
          <w:sz w:val="24"/>
        </w:rPr>
        <w:t>THREE:</w:t>
      </w:r>
      <w:r>
        <w:rPr>
          <w:b/>
          <w:spacing w:val="58"/>
          <w:sz w:val="24"/>
        </w:rPr>
        <w:t> </w:t>
      </w:r>
      <w:r>
        <w:rPr>
          <w:b/>
          <w:spacing w:val="-2"/>
          <w:sz w:val="24"/>
        </w:rPr>
        <w:t>METHODOLOGY</w:t>
      </w:r>
    </w:p>
    <w:p>
      <w:pPr>
        <w:pStyle w:val="ListParagraph"/>
        <w:numPr>
          <w:ilvl w:val="1"/>
          <w:numId w:val="3"/>
        </w:numPr>
        <w:tabs>
          <w:tab w:pos="2100" w:val="left" w:leader="none"/>
          <w:tab w:pos="9601" w:val="right" w:leader="none"/>
        </w:tabs>
        <w:spacing w:line="240" w:lineRule="auto" w:before="135" w:after="0"/>
        <w:ind w:left="2100" w:right="0" w:hanging="660"/>
        <w:jc w:val="left"/>
        <w:rPr>
          <w:sz w:val="24"/>
        </w:rPr>
      </w:pPr>
      <w:hyperlink w:history="true" w:anchor="_TOC_250012">
        <w:r>
          <w:rPr>
            <w:sz w:val="24"/>
          </w:rPr>
          <w:t>Background</w:t>
        </w:r>
        <w:r>
          <w:rPr>
            <w:spacing w:val="-2"/>
            <w:sz w:val="24"/>
          </w:rPr>
          <w:t> Information</w:t>
        </w:r>
        <w:r>
          <w:rPr>
            <w:sz w:val="24"/>
          </w:rPr>
          <w:tab/>
        </w:r>
        <w:r>
          <w:rPr>
            <w:spacing w:val="-5"/>
            <w:sz w:val="24"/>
          </w:rPr>
          <w:t>52</w:t>
        </w:r>
      </w:hyperlink>
    </w:p>
    <w:p>
      <w:pPr>
        <w:pStyle w:val="ListParagraph"/>
        <w:numPr>
          <w:ilvl w:val="2"/>
          <w:numId w:val="3"/>
        </w:numPr>
        <w:tabs>
          <w:tab w:pos="2100" w:val="left" w:leader="none"/>
          <w:tab w:pos="9601" w:val="right" w:leader="none"/>
        </w:tabs>
        <w:spacing w:line="240" w:lineRule="auto" w:before="136" w:after="0"/>
        <w:ind w:left="2100" w:right="0" w:hanging="660"/>
        <w:jc w:val="left"/>
        <w:rPr>
          <w:sz w:val="24"/>
        </w:rPr>
      </w:pPr>
      <w:hyperlink w:history="true" w:anchor="_TOC_250011">
        <w:r>
          <w:rPr>
            <w:sz w:val="24"/>
          </w:rPr>
          <w:t>Concept of Strategy</w:t>
        </w:r>
        <w:r>
          <w:rPr>
            <w:spacing w:val="-5"/>
            <w:sz w:val="24"/>
          </w:rPr>
          <w:t> </w:t>
        </w:r>
        <w:r>
          <w:rPr>
            <w:spacing w:val="-2"/>
            <w:sz w:val="24"/>
          </w:rPr>
          <w:t>Circle</w:t>
        </w:r>
        <w:r>
          <w:rPr>
            <w:sz w:val="24"/>
          </w:rPr>
          <w:tab/>
        </w:r>
        <w:r>
          <w:rPr>
            <w:spacing w:val="-5"/>
            <w:sz w:val="24"/>
          </w:rPr>
          <w:t>52</w:t>
        </w:r>
      </w:hyperlink>
    </w:p>
    <w:p>
      <w:pPr>
        <w:pStyle w:val="ListParagraph"/>
        <w:numPr>
          <w:ilvl w:val="1"/>
          <w:numId w:val="3"/>
        </w:numPr>
        <w:tabs>
          <w:tab w:pos="2100" w:val="left" w:leader="none"/>
          <w:tab w:pos="9601" w:val="right" w:leader="none"/>
        </w:tabs>
        <w:spacing w:line="240" w:lineRule="auto" w:before="140" w:after="0"/>
        <w:ind w:left="2100" w:right="0" w:hanging="660"/>
        <w:jc w:val="left"/>
        <w:rPr>
          <w:sz w:val="24"/>
        </w:rPr>
      </w:pPr>
      <w:hyperlink w:history="true" w:anchor="_TOC_250010">
        <w:r>
          <w:rPr>
            <w:sz w:val="24"/>
          </w:rPr>
          <w:t>Research</w:t>
        </w:r>
        <w:r>
          <w:rPr>
            <w:spacing w:val="-1"/>
            <w:sz w:val="24"/>
          </w:rPr>
          <w:t> </w:t>
        </w:r>
        <w:r>
          <w:rPr>
            <w:spacing w:val="-2"/>
            <w:sz w:val="24"/>
          </w:rPr>
          <w:t>Instruments</w:t>
        </w:r>
        <w:r>
          <w:rPr>
            <w:sz w:val="24"/>
          </w:rPr>
          <w:tab/>
        </w:r>
        <w:r>
          <w:rPr>
            <w:spacing w:val="-5"/>
            <w:sz w:val="24"/>
          </w:rPr>
          <w:t>56</w:t>
        </w:r>
      </w:hyperlink>
    </w:p>
    <w:p>
      <w:pPr>
        <w:pStyle w:val="ListParagraph"/>
        <w:numPr>
          <w:ilvl w:val="1"/>
          <w:numId w:val="3"/>
        </w:numPr>
        <w:tabs>
          <w:tab w:pos="2100" w:val="left" w:leader="none"/>
          <w:tab w:pos="9601" w:val="right" w:leader="none"/>
        </w:tabs>
        <w:spacing w:line="240" w:lineRule="auto" w:before="136" w:after="0"/>
        <w:ind w:left="2100" w:right="0" w:hanging="660"/>
        <w:jc w:val="left"/>
        <w:rPr>
          <w:sz w:val="24"/>
        </w:rPr>
      </w:pPr>
      <w:hyperlink w:history="true" w:anchor="_TOC_250009">
        <w:r>
          <w:rPr>
            <w:sz w:val="24"/>
          </w:rPr>
          <w:t>Method</w:t>
        </w:r>
        <w:r>
          <w:rPr>
            <w:spacing w:val="-1"/>
            <w:sz w:val="24"/>
          </w:rPr>
          <w:t> </w:t>
        </w:r>
        <w:r>
          <w:rPr>
            <w:sz w:val="24"/>
          </w:rPr>
          <w:t>of</w:t>
        </w:r>
        <w:r>
          <w:rPr>
            <w:spacing w:val="-1"/>
            <w:sz w:val="24"/>
          </w:rPr>
          <w:t> </w:t>
        </w:r>
        <w:r>
          <w:rPr>
            <w:sz w:val="24"/>
          </w:rPr>
          <w:t>Data</w:t>
        </w:r>
        <w:r>
          <w:rPr>
            <w:spacing w:val="-1"/>
            <w:sz w:val="24"/>
          </w:rPr>
          <w:t> </w:t>
        </w:r>
        <w:r>
          <w:rPr>
            <w:spacing w:val="-2"/>
            <w:sz w:val="24"/>
          </w:rPr>
          <w:t>Collection</w:t>
        </w:r>
        <w:r>
          <w:rPr>
            <w:sz w:val="24"/>
          </w:rPr>
          <w:tab/>
        </w:r>
        <w:r>
          <w:rPr>
            <w:spacing w:val="-5"/>
            <w:sz w:val="24"/>
          </w:rPr>
          <w:t>57</w:t>
        </w:r>
      </w:hyperlink>
    </w:p>
    <w:p>
      <w:pPr>
        <w:pStyle w:val="ListParagraph"/>
        <w:numPr>
          <w:ilvl w:val="1"/>
          <w:numId w:val="3"/>
        </w:numPr>
        <w:tabs>
          <w:tab w:pos="2100" w:val="left" w:leader="none"/>
          <w:tab w:pos="9601" w:val="right" w:leader="none"/>
        </w:tabs>
        <w:spacing w:line="240" w:lineRule="auto" w:before="140" w:after="0"/>
        <w:ind w:left="2100" w:right="0" w:hanging="660"/>
        <w:jc w:val="left"/>
        <w:rPr>
          <w:sz w:val="24"/>
        </w:rPr>
      </w:pPr>
      <w:r>
        <w:rPr>
          <w:sz w:val="24"/>
        </w:rPr>
        <w:t>Method</w:t>
      </w:r>
      <w:r>
        <w:rPr>
          <w:spacing w:val="-1"/>
          <w:sz w:val="24"/>
        </w:rPr>
        <w:t> </w:t>
      </w:r>
      <w:r>
        <w:rPr>
          <w:sz w:val="24"/>
        </w:rPr>
        <w:t>of</w:t>
      </w:r>
      <w:r>
        <w:rPr>
          <w:spacing w:val="-1"/>
          <w:sz w:val="24"/>
        </w:rPr>
        <w:t> </w:t>
      </w:r>
      <w:r>
        <w:rPr>
          <w:sz w:val="24"/>
        </w:rPr>
        <w:t>Data</w:t>
      </w:r>
      <w:r>
        <w:rPr>
          <w:spacing w:val="-1"/>
          <w:sz w:val="24"/>
        </w:rPr>
        <w:t> </w:t>
      </w:r>
      <w:r>
        <w:rPr>
          <w:spacing w:val="-2"/>
          <w:sz w:val="24"/>
        </w:rPr>
        <w:t>Analysis</w:t>
      </w:r>
      <w:r>
        <w:rPr>
          <w:sz w:val="24"/>
        </w:rPr>
        <w:tab/>
      </w:r>
      <w:r>
        <w:rPr>
          <w:spacing w:val="-5"/>
          <w:sz w:val="24"/>
        </w:rPr>
        <w:t>60</w:t>
      </w:r>
    </w:p>
    <w:p>
      <w:pPr>
        <w:pStyle w:val="ListParagraph"/>
        <w:numPr>
          <w:ilvl w:val="1"/>
          <w:numId w:val="3"/>
        </w:numPr>
        <w:tabs>
          <w:tab w:pos="2100" w:val="left" w:leader="none"/>
          <w:tab w:pos="9601" w:val="right" w:leader="none"/>
        </w:tabs>
        <w:spacing w:line="240" w:lineRule="auto" w:before="137" w:after="0"/>
        <w:ind w:left="2100" w:right="0" w:hanging="660"/>
        <w:jc w:val="left"/>
        <w:rPr>
          <w:sz w:val="24"/>
        </w:rPr>
      </w:pPr>
      <w:r>
        <w:rPr>
          <w:sz w:val="24"/>
        </w:rPr>
        <w:t>Samples</w:t>
      </w:r>
      <w:r>
        <w:rPr>
          <w:spacing w:val="-2"/>
          <w:sz w:val="24"/>
        </w:rPr>
        <w:t> </w:t>
      </w:r>
      <w:r>
        <w:rPr>
          <w:sz w:val="24"/>
        </w:rPr>
        <w:t>and</w:t>
      </w:r>
      <w:r>
        <w:rPr>
          <w:spacing w:val="-2"/>
          <w:sz w:val="24"/>
        </w:rPr>
        <w:t> </w:t>
      </w:r>
      <w:r>
        <w:rPr>
          <w:sz w:val="24"/>
        </w:rPr>
        <w:t>Sampling</w:t>
      </w:r>
      <w:r>
        <w:rPr>
          <w:spacing w:val="-2"/>
          <w:sz w:val="24"/>
        </w:rPr>
        <w:t> procedures</w:t>
      </w:r>
      <w:r>
        <w:rPr>
          <w:sz w:val="24"/>
        </w:rPr>
        <w:tab/>
      </w:r>
      <w:r>
        <w:rPr>
          <w:spacing w:val="-5"/>
          <w:sz w:val="24"/>
        </w:rPr>
        <w:t>61</w:t>
      </w:r>
    </w:p>
    <w:p>
      <w:pPr>
        <w:pStyle w:val="ListParagraph"/>
        <w:numPr>
          <w:ilvl w:val="1"/>
          <w:numId w:val="3"/>
        </w:numPr>
        <w:tabs>
          <w:tab w:pos="2040" w:val="left" w:leader="none"/>
          <w:tab w:pos="9601" w:val="right" w:leader="none"/>
        </w:tabs>
        <w:spacing w:line="240" w:lineRule="auto" w:before="139" w:after="0"/>
        <w:ind w:left="2040" w:right="0" w:hanging="600"/>
        <w:jc w:val="left"/>
        <w:rPr>
          <w:sz w:val="24"/>
        </w:rPr>
      </w:pPr>
      <w:hyperlink w:history="true" w:anchor="_TOC_250008">
        <w:r>
          <w:rPr>
            <w:sz w:val="24"/>
          </w:rPr>
          <w:t>Problems</w:t>
        </w:r>
        <w:r>
          <w:rPr>
            <w:spacing w:val="-2"/>
            <w:sz w:val="24"/>
          </w:rPr>
          <w:t> </w:t>
        </w:r>
        <w:r>
          <w:rPr>
            <w:sz w:val="24"/>
          </w:rPr>
          <w:t>of</w:t>
        </w:r>
        <w:r>
          <w:rPr>
            <w:spacing w:val="-1"/>
            <w:sz w:val="24"/>
          </w:rPr>
          <w:t> </w:t>
        </w:r>
        <w:r>
          <w:rPr>
            <w:sz w:val="24"/>
          </w:rPr>
          <w:t>Data </w:t>
        </w:r>
        <w:r>
          <w:rPr>
            <w:spacing w:val="-2"/>
            <w:sz w:val="24"/>
          </w:rPr>
          <w:t>Collection</w:t>
        </w:r>
        <w:r>
          <w:rPr>
            <w:sz w:val="24"/>
          </w:rPr>
          <w:tab/>
        </w:r>
        <w:r>
          <w:rPr>
            <w:spacing w:val="-5"/>
            <w:sz w:val="24"/>
          </w:rPr>
          <w:t>61</w:t>
        </w:r>
      </w:hyperlink>
    </w:p>
    <w:p>
      <w:pPr>
        <w:spacing w:before="557"/>
        <w:ind w:left="1440" w:right="0" w:firstLine="0"/>
        <w:jc w:val="left"/>
        <w:rPr>
          <w:b/>
          <w:sz w:val="24"/>
        </w:rPr>
      </w:pPr>
      <w:hyperlink w:history="true" w:anchor="_TOC_250007">
        <w:r>
          <w:rPr>
            <w:b/>
            <w:sz w:val="24"/>
          </w:rPr>
          <w:t>CHAPTER</w:t>
        </w:r>
        <w:r>
          <w:rPr>
            <w:b/>
            <w:spacing w:val="-1"/>
            <w:sz w:val="24"/>
          </w:rPr>
          <w:t> </w:t>
        </w:r>
        <w:r>
          <w:rPr>
            <w:b/>
            <w:sz w:val="24"/>
          </w:rPr>
          <w:t>FOUR:</w:t>
        </w:r>
        <w:r>
          <w:rPr>
            <w:b/>
            <w:spacing w:val="57"/>
            <w:sz w:val="24"/>
          </w:rPr>
          <w:t> </w:t>
        </w:r>
        <w:r>
          <w:rPr>
            <w:b/>
            <w:sz w:val="24"/>
          </w:rPr>
          <w:t>RESULTS</w:t>
        </w:r>
        <w:r>
          <w:rPr>
            <w:b/>
            <w:spacing w:val="-1"/>
            <w:sz w:val="24"/>
          </w:rPr>
          <w:t> </w:t>
        </w:r>
        <w:r>
          <w:rPr>
            <w:b/>
            <w:sz w:val="24"/>
          </w:rPr>
          <w:t>AND</w:t>
        </w:r>
        <w:r>
          <w:rPr>
            <w:b/>
            <w:spacing w:val="-1"/>
            <w:sz w:val="24"/>
          </w:rPr>
          <w:t> </w:t>
        </w:r>
        <w:r>
          <w:rPr>
            <w:b/>
            <w:spacing w:val="-2"/>
            <w:sz w:val="24"/>
          </w:rPr>
          <w:t>DISCUSSIONS</w:t>
        </w:r>
      </w:hyperlink>
    </w:p>
    <w:p>
      <w:pPr>
        <w:pStyle w:val="ListParagraph"/>
        <w:numPr>
          <w:ilvl w:val="1"/>
          <w:numId w:val="4"/>
        </w:numPr>
        <w:tabs>
          <w:tab w:pos="2160" w:val="left" w:leader="none"/>
          <w:tab w:pos="9601" w:val="right" w:leader="none"/>
        </w:tabs>
        <w:spacing w:line="240" w:lineRule="auto" w:before="132" w:after="0"/>
        <w:ind w:left="2160" w:right="0" w:hanging="720"/>
        <w:jc w:val="left"/>
        <w:rPr>
          <w:sz w:val="24"/>
        </w:rPr>
      </w:pPr>
      <w:r>
        <w:rPr>
          <w:sz w:val="24"/>
        </w:rPr>
        <w:t>Attempts</w:t>
      </w:r>
      <w:r>
        <w:rPr>
          <w:spacing w:val="-1"/>
          <w:sz w:val="24"/>
        </w:rPr>
        <w:t> </w:t>
      </w:r>
      <w:r>
        <w:rPr>
          <w:sz w:val="24"/>
        </w:rPr>
        <w:t>at</w:t>
      </w:r>
      <w:r>
        <w:rPr>
          <w:spacing w:val="-1"/>
          <w:sz w:val="24"/>
        </w:rPr>
        <w:t> </w:t>
      </w:r>
      <w:r>
        <w:rPr>
          <w:sz w:val="24"/>
        </w:rPr>
        <w:t>Solving</w:t>
      </w:r>
      <w:r>
        <w:rPr>
          <w:spacing w:val="-3"/>
          <w:sz w:val="24"/>
        </w:rPr>
        <w:t> </w:t>
      </w:r>
      <w:r>
        <w:rPr>
          <w:sz w:val="24"/>
        </w:rPr>
        <w:t>the</w:t>
      </w:r>
      <w:r>
        <w:rPr>
          <w:spacing w:val="-1"/>
          <w:sz w:val="24"/>
        </w:rPr>
        <w:t> </w:t>
      </w:r>
      <w:r>
        <w:rPr>
          <w:sz w:val="24"/>
        </w:rPr>
        <w:t>Problems</w:t>
      </w:r>
      <w:r>
        <w:rPr>
          <w:spacing w:val="-1"/>
          <w:sz w:val="24"/>
        </w:rPr>
        <w:t> </w:t>
      </w:r>
      <w:r>
        <w:rPr>
          <w:sz w:val="24"/>
        </w:rPr>
        <w:t>in the</w:t>
      </w:r>
      <w:r>
        <w:rPr>
          <w:spacing w:val="-1"/>
          <w:sz w:val="24"/>
        </w:rPr>
        <w:t> </w:t>
      </w:r>
      <w:r>
        <w:rPr>
          <w:sz w:val="24"/>
        </w:rPr>
        <w:t>Niger</w:t>
      </w:r>
      <w:r>
        <w:rPr>
          <w:spacing w:val="1"/>
          <w:sz w:val="24"/>
        </w:rPr>
        <w:t> </w:t>
      </w:r>
      <w:r>
        <w:rPr>
          <w:spacing w:val="-4"/>
          <w:sz w:val="24"/>
        </w:rPr>
        <w:t>Delta</w:t>
      </w:r>
      <w:r>
        <w:rPr>
          <w:sz w:val="24"/>
        </w:rPr>
        <w:tab/>
      </w:r>
      <w:r>
        <w:rPr>
          <w:spacing w:val="-5"/>
          <w:sz w:val="24"/>
        </w:rPr>
        <w:t>63</w:t>
      </w:r>
    </w:p>
    <w:p>
      <w:pPr>
        <w:pStyle w:val="ListParagraph"/>
        <w:numPr>
          <w:ilvl w:val="1"/>
          <w:numId w:val="4"/>
        </w:numPr>
        <w:tabs>
          <w:tab w:pos="2160" w:val="left" w:leader="none"/>
          <w:tab w:pos="9601" w:val="right" w:leader="none"/>
        </w:tabs>
        <w:spacing w:line="240" w:lineRule="auto" w:before="139" w:after="0"/>
        <w:ind w:left="2160" w:right="0" w:hanging="720"/>
        <w:jc w:val="left"/>
        <w:rPr>
          <w:sz w:val="24"/>
        </w:rPr>
      </w:pPr>
      <w:hyperlink w:history="true" w:anchor="_TOC_250006">
        <w:r>
          <w:rPr>
            <w:sz w:val="24"/>
          </w:rPr>
          <w:t>Assessment</w:t>
        </w:r>
        <w:r>
          <w:rPr>
            <w:spacing w:val="-4"/>
            <w:sz w:val="24"/>
          </w:rPr>
          <w:t> </w:t>
        </w:r>
        <w:r>
          <w:rPr>
            <w:sz w:val="24"/>
          </w:rPr>
          <w:t>of</w:t>
        </w:r>
        <w:r>
          <w:rPr>
            <w:spacing w:val="-1"/>
            <w:sz w:val="24"/>
          </w:rPr>
          <w:t> </w:t>
        </w:r>
        <w:r>
          <w:rPr>
            <w:sz w:val="24"/>
          </w:rPr>
          <w:t>Joint</w:t>
        </w:r>
        <w:r>
          <w:rPr>
            <w:spacing w:val="-2"/>
            <w:sz w:val="24"/>
          </w:rPr>
          <w:t> </w:t>
        </w:r>
        <w:r>
          <w:rPr>
            <w:sz w:val="24"/>
          </w:rPr>
          <w:t>Military</w:t>
        </w:r>
        <w:r>
          <w:rPr>
            <w:spacing w:val="-4"/>
            <w:sz w:val="24"/>
          </w:rPr>
          <w:t> </w:t>
        </w:r>
        <w:r>
          <w:rPr>
            <w:sz w:val="24"/>
          </w:rPr>
          <w:t>Task</w:t>
        </w:r>
        <w:r>
          <w:rPr>
            <w:spacing w:val="1"/>
            <w:sz w:val="24"/>
          </w:rPr>
          <w:t> </w:t>
        </w:r>
        <w:r>
          <w:rPr>
            <w:sz w:val="24"/>
          </w:rPr>
          <w:t>Force</w:t>
        </w:r>
        <w:r>
          <w:rPr>
            <w:spacing w:val="-2"/>
            <w:sz w:val="24"/>
          </w:rPr>
          <w:t> </w:t>
        </w:r>
        <w:r>
          <w:rPr>
            <w:sz w:val="24"/>
          </w:rPr>
          <w:t>and</w:t>
        </w:r>
        <w:r>
          <w:rPr>
            <w:spacing w:val="-2"/>
            <w:sz w:val="24"/>
          </w:rPr>
          <w:t> </w:t>
        </w:r>
        <w:r>
          <w:rPr>
            <w:sz w:val="24"/>
          </w:rPr>
          <w:t>Niger</w:t>
        </w:r>
        <w:r>
          <w:rPr>
            <w:spacing w:val="-1"/>
            <w:sz w:val="24"/>
          </w:rPr>
          <w:t> </w:t>
        </w:r>
        <w:r>
          <w:rPr>
            <w:sz w:val="24"/>
          </w:rPr>
          <w:t>Delta</w:t>
        </w:r>
        <w:r>
          <w:rPr>
            <w:spacing w:val="-2"/>
            <w:sz w:val="24"/>
          </w:rPr>
          <w:t> Conflict</w:t>
        </w:r>
        <w:r>
          <w:rPr>
            <w:sz w:val="24"/>
          </w:rPr>
          <w:tab/>
        </w:r>
        <w:r>
          <w:rPr>
            <w:spacing w:val="-5"/>
            <w:sz w:val="24"/>
          </w:rPr>
          <w:t>63</w:t>
        </w:r>
      </w:hyperlink>
    </w:p>
    <w:p>
      <w:pPr>
        <w:pStyle w:val="ListParagraph"/>
        <w:numPr>
          <w:ilvl w:val="2"/>
          <w:numId w:val="4"/>
        </w:numPr>
        <w:tabs>
          <w:tab w:pos="2160" w:val="left" w:leader="none"/>
          <w:tab w:pos="9601" w:val="right" w:leader="none"/>
        </w:tabs>
        <w:spacing w:line="240" w:lineRule="auto" w:before="137" w:after="0"/>
        <w:ind w:left="2160" w:right="0" w:hanging="720"/>
        <w:jc w:val="left"/>
        <w:rPr>
          <w:sz w:val="24"/>
        </w:rPr>
      </w:pPr>
      <w:r>
        <w:rPr>
          <w:sz w:val="24"/>
        </w:rPr>
        <w:t>Evolution</w:t>
      </w:r>
      <w:r>
        <w:rPr>
          <w:spacing w:val="-1"/>
          <w:sz w:val="24"/>
        </w:rPr>
        <w:t> </w:t>
      </w:r>
      <w:r>
        <w:rPr>
          <w:sz w:val="24"/>
        </w:rPr>
        <w:t>of</w:t>
      </w:r>
      <w:r>
        <w:rPr>
          <w:spacing w:val="-1"/>
          <w:sz w:val="24"/>
        </w:rPr>
        <w:t> </w:t>
      </w:r>
      <w:r>
        <w:rPr>
          <w:sz w:val="24"/>
        </w:rPr>
        <w:t>Military</w:t>
      </w:r>
      <w:r>
        <w:rPr>
          <w:spacing w:val="-4"/>
          <w:sz w:val="24"/>
        </w:rPr>
        <w:t> </w:t>
      </w:r>
      <w:r>
        <w:rPr>
          <w:sz w:val="24"/>
        </w:rPr>
        <w:t>Operations</w:t>
      </w:r>
      <w:r>
        <w:rPr>
          <w:spacing w:val="-1"/>
          <w:sz w:val="24"/>
        </w:rPr>
        <w:t> </w:t>
      </w:r>
      <w:r>
        <w:rPr>
          <w:sz w:val="24"/>
        </w:rPr>
        <w:t>in</w:t>
      </w:r>
      <w:r>
        <w:rPr>
          <w:spacing w:val="-1"/>
          <w:sz w:val="24"/>
        </w:rPr>
        <w:t> </w:t>
      </w:r>
      <w:r>
        <w:rPr>
          <w:sz w:val="24"/>
        </w:rPr>
        <w:t>the</w:t>
      </w:r>
      <w:r>
        <w:rPr>
          <w:spacing w:val="-1"/>
          <w:sz w:val="24"/>
        </w:rPr>
        <w:t> </w:t>
      </w:r>
      <w:r>
        <w:rPr>
          <w:sz w:val="24"/>
        </w:rPr>
        <w:t>Niger </w:t>
      </w:r>
      <w:r>
        <w:rPr>
          <w:spacing w:val="-2"/>
          <w:sz w:val="24"/>
        </w:rPr>
        <w:t>Delta</w:t>
      </w:r>
      <w:r>
        <w:rPr>
          <w:sz w:val="24"/>
        </w:rPr>
        <w:tab/>
      </w:r>
      <w:r>
        <w:rPr>
          <w:spacing w:val="-5"/>
          <w:sz w:val="24"/>
        </w:rPr>
        <w:t>63</w:t>
      </w:r>
    </w:p>
    <w:p>
      <w:pPr>
        <w:pStyle w:val="ListParagraph"/>
        <w:numPr>
          <w:ilvl w:val="2"/>
          <w:numId w:val="4"/>
        </w:numPr>
        <w:tabs>
          <w:tab w:pos="2160" w:val="left" w:leader="none"/>
          <w:tab w:pos="9601" w:val="right" w:leader="none"/>
        </w:tabs>
        <w:spacing w:line="240" w:lineRule="auto" w:before="139" w:after="0"/>
        <w:ind w:left="2160" w:right="0" w:hanging="720"/>
        <w:jc w:val="left"/>
        <w:rPr>
          <w:sz w:val="24"/>
        </w:rPr>
      </w:pPr>
      <w:r>
        <w:rPr>
          <w:sz w:val="24"/>
        </w:rPr>
        <w:t>Historical</w:t>
      </w:r>
      <w:r>
        <w:rPr>
          <w:spacing w:val="-1"/>
          <w:sz w:val="24"/>
        </w:rPr>
        <w:t> </w:t>
      </w:r>
      <w:r>
        <w:rPr>
          <w:sz w:val="24"/>
        </w:rPr>
        <w:t>Context</w:t>
      </w:r>
      <w:r>
        <w:rPr>
          <w:spacing w:val="-1"/>
          <w:sz w:val="24"/>
        </w:rPr>
        <w:t> </w:t>
      </w:r>
      <w:r>
        <w:rPr>
          <w:sz w:val="24"/>
        </w:rPr>
        <w:t>of</w:t>
      </w:r>
      <w:r>
        <w:rPr>
          <w:spacing w:val="-2"/>
          <w:sz w:val="24"/>
        </w:rPr>
        <w:t> </w:t>
      </w:r>
      <w:r>
        <w:rPr>
          <w:sz w:val="24"/>
        </w:rPr>
        <w:t>the </w:t>
      </w:r>
      <w:r>
        <w:rPr>
          <w:spacing w:val="-5"/>
          <w:sz w:val="24"/>
        </w:rPr>
        <w:t>JTF</w:t>
      </w:r>
      <w:r>
        <w:rPr>
          <w:sz w:val="24"/>
        </w:rPr>
        <w:tab/>
      </w:r>
      <w:r>
        <w:rPr>
          <w:spacing w:val="-5"/>
          <w:sz w:val="24"/>
        </w:rPr>
        <w:t>73</w:t>
      </w:r>
    </w:p>
    <w:p>
      <w:pPr>
        <w:pStyle w:val="ListParagraph"/>
        <w:numPr>
          <w:ilvl w:val="2"/>
          <w:numId w:val="4"/>
        </w:numPr>
        <w:tabs>
          <w:tab w:pos="2160" w:val="left" w:leader="none"/>
          <w:tab w:pos="9601" w:val="right" w:leader="none"/>
        </w:tabs>
        <w:spacing w:line="240" w:lineRule="auto" w:before="137" w:after="0"/>
        <w:ind w:left="2160" w:right="0" w:hanging="720"/>
        <w:jc w:val="left"/>
        <w:rPr>
          <w:sz w:val="24"/>
        </w:rPr>
      </w:pPr>
      <w:r>
        <w:rPr>
          <w:sz w:val="24"/>
        </w:rPr>
        <w:t>Assessments</w:t>
      </w:r>
      <w:r>
        <w:rPr>
          <w:spacing w:val="-1"/>
          <w:sz w:val="24"/>
        </w:rPr>
        <w:t> </w:t>
      </w:r>
      <w:r>
        <w:rPr>
          <w:sz w:val="24"/>
        </w:rPr>
        <w:t>of</w:t>
      </w:r>
      <w:r>
        <w:rPr>
          <w:spacing w:val="-1"/>
          <w:sz w:val="24"/>
        </w:rPr>
        <w:t> </w:t>
      </w:r>
      <w:r>
        <w:rPr>
          <w:sz w:val="24"/>
        </w:rPr>
        <w:t>Operation</w:t>
      </w:r>
      <w:r>
        <w:rPr>
          <w:spacing w:val="-1"/>
          <w:sz w:val="24"/>
        </w:rPr>
        <w:t> </w:t>
      </w:r>
      <w:r>
        <w:rPr>
          <w:sz w:val="24"/>
        </w:rPr>
        <w:t>RESTORE </w:t>
      </w:r>
      <w:r>
        <w:rPr>
          <w:spacing w:val="-4"/>
          <w:sz w:val="24"/>
        </w:rPr>
        <w:t>HOPE</w:t>
      </w:r>
      <w:r>
        <w:rPr>
          <w:sz w:val="24"/>
        </w:rPr>
        <w:tab/>
      </w:r>
      <w:r>
        <w:rPr>
          <w:spacing w:val="-5"/>
          <w:sz w:val="24"/>
        </w:rPr>
        <w:t>78</w:t>
      </w:r>
    </w:p>
    <w:p>
      <w:pPr>
        <w:pStyle w:val="ListParagraph"/>
        <w:numPr>
          <w:ilvl w:val="1"/>
          <w:numId w:val="4"/>
        </w:numPr>
        <w:tabs>
          <w:tab w:pos="2100" w:val="left" w:leader="none"/>
        </w:tabs>
        <w:spacing w:line="240" w:lineRule="auto" w:before="139" w:after="0"/>
        <w:ind w:left="2100" w:right="0" w:hanging="660"/>
        <w:jc w:val="left"/>
        <w:rPr>
          <w:sz w:val="24"/>
        </w:rPr>
      </w:pPr>
      <w:r>
        <w:rPr>
          <w:sz w:val="24"/>
        </w:rPr>
        <w:t>Strategies Adopted by</w:t>
      </w:r>
      <w:r>
        <w:rPr>
          <w:spacing w:val="-5"/>
          <w:sz w:val="24"/>
        </w:rPr>
        <w:t> </w:t>
      </w:r>
      <w:r>
        <w:rPr>
          <w:sz w:val="24"/>
        </w:rPr>
        <w:t>JTF</w:t>
      </w:r>
      <w:r>
        <w:rPr>
          <w:spacing w:val="-2"/>
          <w:sz w:val="24"/>
        </w:rPr>
        <w:t> </w:t>
      </w:r>
      <w:r>
        <w:rPr>
          <w:sz w:val="24"/>
        </w:rPr>
        <w:t>Towards Achieving</w:t>
      </w:r>
      <w:r>
        <w:rPr>
          <w:spacing w:val="-2"/>
          <w:sz w:val="24"/>
        </w:rPr>
        <w:t> </w:t>
      </w:r>
      <w:r>
        <w:rPr>
          <w:sz w:val="24"/>
        </w:rPr>
        <w:t>its Vision </w:t>
      </w:r>
      <w:r>
        <w:rPr>
          <w:spacing w:val="-5"/>
          <w:sz w:val="24"/>
        </w:rPr>
        <w:t>and</w:t>
      </w:r>
    </w:p>
    <w:p>
      <w:pPr>
        <w:pStyle w:val="BodyText"/>
        <w:tabs>
          <w:tab w:pos="9601" w:val="right" w:leader="none"/>
        </w:tabs>
        <w:spacing w:before="137"/>
        <w:ind w:left="2160"/>
      </w:pPr>
      <w:r>
        <w:rPr>
          <w:spacing w:val="-4"/>
        </w:rPr>
        <w:t>Goals</w:t>
      </w:r>
      <w:r>
        <w:rPr/>
        <w:tab/>
      </w:r>
      <w:r>
        <w:rPr>
          <w:spacing w:val="-5"/>
        </w:rPr>
        <w:t>84</w:t>
      </w:r>
    </w:p>
    <w:p>
      <w:pPr>
        <w:pStyle w:val="ListParagraph"/>
        <w:numPr>
          <w:ilvl w:val="1"/>
          <w:numId w:val="4"/>
        </w:numPr>
        <w:tabs>
          <w:tab w:pos="2100" w:val="left" w:leader="none"/>
          <w:tab w:pos="9601" w:val="right" w:leader="none"/>
        </w:tabs>
        <w:spacing w:line="240" w:lineRule="auto" w:before="139" w:after="0"/>
        <w:ind w:left="2100" w:right="0" w:hanging="660"/>
        <w:jc w:val="left"/>
        <w:rPr>
          <w:sz w:val="24"/>
        </w:rPr>
      </w:pPr>
      <w:hyperlink w:history="true" w:anchor="_TOC_250005">
        <w:r>
          <w:rPr>
            <w:sz w:val="24"/>
          </w:rPr>
          <w:t>Achievements</w:t>
        </w:r>
        <w:r>
          <w:rPr>
            <w:spacing w:val="-2"/>
            <w:sz w:val="24"/>
          </w:rPr>
          <w:t> </w:t>
        </w:r>
        <w:r>
          <w:rPr>
            <w:sz w:val="24"/>
          </w:rPr>
          <w:t>of</w:t>
        </w:r>
        <w:r>
          <w:rPr>
            <w:spacing w:val="-1"/>
            <w:sz w:val="24"/>
          </w:rPr>
          <w:t> </w:t>
        </w:r>
        <w:r>
          <w:rPr>
            <w:sz w:val="24"/>
          </w:rPr>
          <w:t>Operation</w:t>
        </w:r>
        <w:r>
          <w:rPr>
            <w:spacing w:val="-2"/>
            <w:sz w:val="24"/>
          </w:rPr>
          <w:t> </w:t>
        </w:r>
        <w:r>
          <w:rPr>
            <w:sz w:val="24"/>
          </w:rPr>
          <w:t>RESTORE</w:t>
        </w:r>
        <w:r>
          <w:rPr>
            <w:spacing w:val="-1"/>
            <w:sz w:val="24"/>
          </w:rPr>
          <w:t> </w:t>
        </w:r>
        <w:r>
          <w:rPr>
            <w:spacing w:val="-4"/>
            <w:sz w:val="24"/>
          </w:rPr>
          <w:t>HOPE</w:t>
        </w:r>
        <w:r>
          <w:rPr>
            <w:sz w:val="24"/>
          </w:rPr>
          <w:tab/>
        </w:r>
        <w:r>
          <w:rPr>
            <w:spacing w:val="-5"/>
            <w:sz w:val="24"/>
          </w:rPr>
          <w:t>88</w:t>
        </w:r>
      </w:hyperlink>
    </w:p>
    <w:p>
      <w:pPr>
        <w:pStyle w:val="ListParagraph"/>
        <w:numPr>
          <w:ilvl w:val="1"/>
          <w:numId w:val="4"/>
        </w:numPr>
        <w:tabs>
          <w:tab w:pos="2160" w:val="left" w:leader="none"/>
        </w:tabs>
        <w:spacing w:line="240" w:lineRule="auto" w:before="138" w:after="0"/>
        <w:ind w:left="2160" w:right="0" w:hanging="720"/>
        <w:jc w:val="left"/>
        <w:rPr>
          <w:sz w:val="24"/>
        </w:rPr>
      </w:pPr>
      <w:r>
        <w:rPr>
          <w:sz w:val="24"/>
        </w:rPr>
        <w:t>Challenges</w:t>
      </w:r>
      <w:r>
        <w:rPr>
          <w:spacing w:val="-3"/>
          <w:sz w:val="24"/>
        </w:rPr>
        <w:t> </w:t>
      </w:r>
      <w:r>
        <w:rPr>
          <w:sz w:val="24"/>
        </w:rPr>
        <w:t>to Military</w:t>
      </w:r>
      <w:r>
        <w:rPr>
          <w:spacing w:val="-6"/>
          <w:sz w:val="24"/>
        </w:rPr>
        <w:t> </w:t>
      </w:r>
      <w:r>
        <w:rPr>
          <w:sz w:val="24"/>
        </w:rPr>
        <w:t>Joint Task</w:t>
      </w:r>
      <w:r>
        <w:rPr>
          <w:spacing w:val="-1"/>
          <w:sz w:val="24"/>
        </w:rPr>
        <w:t> </w:t>
      </w:r>
      <w:r>
        <w:rPr>
          <w:sz w:val="24"/>
        </w:rPr>
        <w:t>Force</w:t>
      </w:r>
      <w:r>
        <w:rPr>
          <w:spacing w:val="2"/>
          <w:sz w:val="24"/>
        </w:rPr>
        <w:t> </w:t>
      </w:r>
      <w:r>
        <w:rPr>
          <w:sz w:val="24"/>
        </w:rPr>
        <w:t>–</w:t>
      </w:r>
      <w:r>
        <w:rPr>
          <w:spacing w:val="-1"/>
          <w:sz w:val="24"/>
        </w:rPr>
        <w:t> </w:t>
      </w:r>
      <w:r>
        <w:rPr>
          <w:sz w:val="24"/>
        </w:rPr>
        <w:t>Operations in</w:t>
      </w:r>
      <w:r>
        <w:rPr>
          <w:spacing w:val="-1"/>
          <w:sz w:val="24"/>
        </w:rPr>
        <w:t> </w:t>
      </w:r>
      <w:r>
        <w:rPr>
          <w:sz w:val="24"/>
        </w:rPr>
        <w:t>the </w:t>
      </w:r>
      <w:r>
        <w:rPr>
          <w:spacing w:val="-2"/>
          <w:sz w:val="24"/>
        </w:rPr>
        <w:t>Niger</w:t>
      </w:r>
    </w:p>
    <w:p>
      <w:pPr>
        <w:pStyle w:val="BodyText"/>
        <w:tabs>
          <w:tab w:pos="9601" w:val="right" w:leader="none"/>
        </w:tabs>
        <w:spacing w:before="139"/>
        <w:ind w:left="2160"/>
      </w:pPr>
      <w:r>
        <w:rPr>
          <w:spacing w:val="-2"/>
        </w:rPr>
        <w:t>Delta</w:t>
      </w:r>
      <w:r>
        <w:rPr/>
        <w:tab/>
      </w:r>
      <w:r>
        <w:rPr>
          <w:spacing w:val="-5"/>
        </w:rPr>
        <w:t>96</w:t>
      </w:r>
    </w:p>
    <w:p>
      <w:pPr>
        <w:pStyle w:val="ListParagraph"/>
        <w:numPr>
          <w:ilvl w:val="1"/>
          <w:numId w:val="4"/>
        </w:numPr>
        <w:tabs>
          <w:tab w:pos="2100" w:val="left" w:leader="none"/>
          <w:tab w:pos="9721" w:val="right" w:leader="none"/>
        </w:tabs>
        <w:spacing w:line="240" w:lineRule="auto" w:before="137" w:after="0"/>
        <w:ind w:left="2100" w:right="0" w:hanging="660"/>
        <w:jc w:val="left"/>
        <w:rPr>
          <w:sz w:val="24"/>
        </w:rPr>
      </w:pPr>
      <w:r>
        <w:rPr>
          <w:sz w:val="24"/>
        </w:rPr>
        <w:t>Community</w:t>
      </w:r>
      <w:r>
        <w:rPr>
          <w:spacing w:val="-8"/>
          <w:sz w:val="24"/>
        </w:rPr>
        <w:t> </w:t>
      </w:r>
      <w:r>
        <w:rPr>
          <w:sz w:val="24"/>
        </w:rPr>
        <w:t>Perception</w:t>
      </w:r>
      <w:r>
        <w:rPr>
          <w:spacing w:val="1"/>
          <w:sz w:val="24"/>
        </w:rPr>
        <w:t> </w:t>
      </w:r>
      <w:r>
        <w:rPr>
          <w:sz w:val="24"/>
        </w:rPr>
        <w:t>of</w:t>
      </w:r>
      <w:r>
        <w:rPr>
          <w:spacing w:val="1"/>
          <w:sz w:val="24"/>
        </w:rPr>
        <w:t> </w:t>
      </w:r>
      <w:r>
        <w:rPr>
          <w:spacing w:val="-5"/>
          <w:sz w:val="24"/>
        </w:rPr>
        <w:t>JTF</w:t>
      </w:r>
      <w:r>
        <w:rPr>
          <w:sz w:val="24"/>
        </w:rPr>
        <w:tab/>
      </w:r>
      <w:r>
        <w:rPr>
          <w:spacing w:val="-5"/>
          <w:sz w:val="24"/>
        </w:rPr>
        <w:t>110</w:t>
      </w:r>
    </w:p>
    <w:p>
      <w:pPr>
        <w:pStyle w:val="ListParagraph"/>
        <w:numPr>
          <w:ilvl w:val="2"/>
          <w:numId w:val="4"/>
        </w:numPr>
        <w:tabs>
          <w:tab w:pos="2100" w:val="left" w:leader="none"/>
        </w:tabs>
        <w:spacing w:line="240" w:lineRule="auto" w:before="139" w:after="0"/>
        <w:ind w:left="2100" w:right="0" w:hanging="660"/>
        <w:jc w:val="left"/>
        <w:rPr>
          <w:sz w:val="24"/>
        </w:rPr>
      </w:pPr>
      <w:r>
        <w:rPr>
          <w:sz w:val="24"/>
        </w:rPr>
        <w:t>Summary</w:t>
      </w:r>
      <w:r>
        <w:rPr>
          <w:spacing w:val="-6"/>
          <w:sz w:val="24"/>
        </w:rPr>
        <w:t> </w:t>
      </w:r>
      <w:r>
        <w:rPr>
          <w:sz w:val="24"/>
        </w:rPr>
        <w:t>of</w:t>
      </w:r>
      <w:r>
        <w:rPr>
          <w:spacing w:val="60"/>
          <w:sz w:val="24"/>
        </w:rPr>
        <w:t> </w:t>
      </w:r>
      <w:r>
        <w:rPr>
          <w:sz w:val="24"/>
        </w:rPr>
        <w:t>Demographic</w:t>
      </w:r>
      <w:r>
        <w:rPr>
          <w:spacing w:val="-1"/>
          <w:sz w:val="24"/>
        </w:rPr>
        <w:t> </w:t>
      </w:r>
      <w:r>
        <w:rPr>
          <w:sz w:val="24"/>
        </w:rPr>
        <w:t>Characteristics of </w:t>
      </w:r>
      <w:r>
        <w:rPr>
          <w:spacing w:val="-2"/>
          <w:sz w:val="24"/>
        </w:rPr>
        <w:t>Perception</w:t>
      </w:r>
    </w:p>
    <w:p>
      <w:pPr>
        <w:pStyle w:val="BodyText"/>
        <w:tabs>
          <w:tab w:pos="9721" w:val="right" w:leader="none"/>
        </w:tabs>
        <w:spacing w:before="137"/>
        <w:ind w:left="2100"/>
      </w:pPr>
      <w:r>
        <w:rPr/>
        <w:t>Survey</w:t>
      </w:r>
      <w:r>
        <w:rPr>
          <w:spacing w:val="-5"/>
        </w:rPr>
        <w:t> </w:t>
      </w:r>
      <w:r>
        <w:rPr/>
        <w:t>of</w:t>
      </w:r>
      <w:r>
        <w:rPr>
          <w:spacing w:val="2"/>
        </w:rPr>
        <w:t> </w:t>
      </w:r>
      <w:r>
        <w:rPr>
          <w:spacing w:val="-2"/>
        </w:rPr>
        <w:t>Respondents</w:t>
      </w:r>
      <w:r>
        <w:rPr/>
        <w:tab/>
      </w:r>
      <w:r>
        <w:rPr>
          <w:spacing w:val="-5"/>
        </w:rPr>
        <w:t>110</w:t>
      </w:r>
    </w:p>
    <w:p>
      <w:pPr>
        <w:pStyle w:val="BodyText"/>
        <w:tabs>
          <w:tab w:pos="2280" w:val="left" w:leader="none"/>
          <w:tab w:pos="9721" w:val="right" w:leader="none"/>
        </w:tabs>
        <w:spacing w:before="139"/>
      </w:pPr>
      <w:hyperlink w:history="true" w:anchor="_TOC_250004">
        <w:r>
          <w:rPr>
            <w:spacing w:val="-2"/>
          </w:rPr>
          <w:t>4.6.11</w:t>
        </w:r>
        <w:r>
          <w:rPr/>
          <w:tab/>
          <w:t>Data</w:t>
        </w:r>
        <w:r>
          <w:rPr>
            <w:spacing w:val="-4"/>
          </w:rPr>
          <w:t> </w:t>
        </w:r>
        <w:r>
          <w:rPr/>
          <w:t>Presentation</w:t>
        </w:r>
        <w:r>
          <w:rPr>
            <w:spacing w:val="-1"/>
          </w:rPr>
          <w:t> </w:t>
        </w:r>
        <w:r>
          <w:rPr/>
          <w:t>and</w:t>
        </w:r>
        <w:r>
          <w:rPr>
            <w:spacing w:val="-2"/>
          </w:rPr>
          <w:t> </w:t>
        </w:r>
        <w:r>
          <w:rPr/>
          <w:t>Discussion</w:t>
        </w:r>
        <w:r>
          <w:rPr>
            <w:spacing w:val="-1"/>
          </w:rPr>
          <w:t> </w:t>
        </w:r>
        <w:r>
          <w:rPr/>
          <w:t>of</w:t>
        </w:r>
        <w:r>
          <w:rPr>
            <w:spacing w:val="-3"/>
          </w:rPr>
          <w:t> </w:t>
        </w:r>
        <w:r>
          <w:rPr/>
          <w:t>the</w:t>
        </w:r>
        <w:r>
          <w:rPr>
            <w:spacing w:val="-1"/>
          </w:rPr>
          <w:t> </w:t>
        </w:r>
        <w:r>
          <w:rPr/>
          <w:t>Perception</w:t>
        </w:r>
        <w:r>
          <w:rPr>
            <w:spacing w:val="-1"/>
          </w:rPr>
          <w:t> </w:t>
        </w:r>
        <w:r>
          <w:rPr>
            <w:spacing w:val="-2"/>
          </w:rPr>
          <w:t>Survey</w:t>
        </w:r>
        <w:r>
          <w:rPr/>
          <w:tab/>
        </w:r>
        <w:r>
          <w:rPr>
            <w:spacing w:val="-5"/>
          </w:rPr>
          <w:t>116</w:t>
        </w:r>
      </w:hyperlink>
    </w:p>
    <w:p>
      <w:pPr>
        <w:spacing w:after="0"/>
        <w:sectPr>
          <w:pgSz w:w="11910" w:h="16840"/>
          <w:pgMar w:header="0" w:footer="1492" w:top="1360" w:bottom="1680" w:left="720" w:right="180"/>
        </w:sectPr>
      </w:pPr>
    </w:p>
    <w:p>
      <w:pPr>
        <w:pStyle w:val="ListParagraph"/>
        <w:numPr>
          <w:ilvl w:val="1"/>
          <w:numId w:val="4"/>
        </w:numPr>
        <w:tabs>
          <w:tab w:pos="1980" w:val="left" w:leader="none"/>
          <w:tab w:pos="9721" w:val="right" w:leader="none"/>
        </w:tabs>
        <w:spacing w:line="240" w:lineRule="auto" w:before="60" w:after="0"/>
        <w:ind w:left="1980" w:right="0" w:hanging="540"/>
        <w:jc w:val="left"/>
        <w:rPr>
          <w:sz w:val="24"/>
        </w:rPr>
      </w:pPr>
      <w:r>
        <w:rPr/>
        <mc:AlternateContent>
          <mc:Choice Requires="wps">
            <w:drawing>
              <wp:anchor distT="0" distB="0" distL="0" distR="0" allowOverlap="1" layoutInCell="1" locked="0" behindDoc="1" simplePos="0" relativeHeight="480562176">
                <wp:simplePos x="0" y="0"/>
                <wp:positionH relativeFrom="page">
                  <wp:posOffset>-1537026</wp:posOffset>
                </wp:positionH>
                <wp:positionV relativeFrom="page">
                  <wp:posOffset>4900424</wp:posOffset>
                </wp:positionV>
                <wp:extent cx="10669905" cy="914400"/>
                <wp:effectExtent l="0" t="0" r="0" b="0"/>
                <wp:wrapNone/>
                <wp:docPr id="10" name="Textbox 10"/>
                <wp:cNvGraphicFramePr>
                  <a:graphicFrameLocks/>
                </wp:cNvGraphicFramePr>
                <a:graphic>
                  <a:graphicData uri="http://schemas.microsoft.com/office/word/2010/wordprocessingShape">
                    <wps:wsp>
                      <wps:cNvPr id="10" name="Textbox 10"/>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54304;rotation:306" type="#_x0000_t136" fillcolor="#ff5400" stroked="f">
                <o:extrusion v:ext="view" autorotationcenter="t"/>
                <v:textpath style="font-family:&quot;Arial MT&quot;;font-size:72pt;v-text-kern:t;mso-text-shadow:auto" string="UNIVERSITY OF IBADAN"/>
                <w10:wrap type="none"/>
              </v:shape>
            </w:pict>
          </mc:Fallback>
        </mc:AlternateContent>
      </w:r>
      <w:hyperlink w:history="true" w:anchor="_TOC_250003">
        <w:r>
          <w:rPr>
            <w:sz w:val="24"/>
          </w:rPr>
          <w:t>Discussion</w:t>
        </w:r>
        <w:r>
          <w:rPr>
            <w:spacing w:val="-1"/>
            <w:sz w:val="24"/>
          </w:rPr>
          <w:t> </w:t>
        </w:r>
        <w:r>
          <w:rPr>
            <w:sz w:val="24"/>
          </w:rPr>
          <w:t>of</w:t>
        </w:r>
        <w:r>
          <w:rPr>
            <w:spacing w:val="-1"/>
            <w:sz w:val="24"/>
          </w:rPr>
          <w:t> </w:t>
        </w:r>
        <w:r>
          <w:rPr>
            <w:spacing w:val="-2"/>
            <w:sz w:val="24"/>
          </w:rPr>
          <w:t>Findings</w:t>
        </w:r>
        <w:r>
          <w:rPr>
            <w:sz w:val="24"/>
          </w:rPr>
          <w:tab/>
        </w:r>
        <w:r>
          <w:rPr>
            <w:spacing w:val="-5"/>
            <w:sz w:val="24"/>
          </w:rPr>
          <w:t>148</w:t>
        </w:r>
      </w:hyperlink>
    </w:p>
    <w:p>
      <w:pPr>
        <w:pStyle w:val="BodyText"/>
        <w:tabs>
          <w:tab w:pos="9721" w:val="right" w:leader="none"/>
        </w:tabs>
        <w:spacing w:before="138"/>
        <w:ind w:left="1980"/>
      </w:pPr>
      <w:r>
        <w:rPr>
          <w:spacing w:val="-2"/>
        </w:rPr>
        <w:t>Endnotes</w:t>
      </w:r>
      <w:r>
        <w:rPr/>
        <w:tab/>
      </w:r>
      <w:r>
        <w:rPr>
          <w:spacing w:val="-5"/>
        </w:rPr>
        <w:t>154</w:t>
      </w:r>
    </w:p>
    <w:p>
      <w:pPr>
        <w:spacing w:before="144"/>
        <w:ind w:left="1440" w:right="0" w:firstLine="0"/>
        <w:jc w:val="left"/>
        <w:rPr>
          <w:b/>
          <w:sz w:val="24"/>
        </w:rPr>
      </w:pPr>
      <w:r>
        <w:rPr>
          <w:b/>
          <w:sz w:val="24"/>
        </w:rPr>
        <w:t>CHAPTER</w:t>
      </w:r>
      <w:r>
        <w:rPr>
          <w:b/>
          <w:spacing w:val="-1"/>
          <w:sz w:val="24"/>
        </w:rPr>
        <w:t> </w:t>
      </w:r>
      <w:r>
        <w:rPr>
          <w:b/>
          <w:sz w:val="24"/>
        </w:rPr>
        <w:t>FIVE:</w:t>
      </w:r>
      <w:r>
        <w:rPr>
          <w:b/>
          <w:spacing w:val="56"/>
          <w:sz w:val="24"/>
        </w:rPr>
        <w:t> </w:t>
      </w:r>
      <w:r>
        <w:rPr>
          <w:b/>
          <w:sz w:val="24"/>
        </w:rPr>
        <w:t>SUMMARY</w:t>
      </w:r>
      <w:r>
        <w:rPr>
          <w:b/>
          <w:spacing w:val="-1"/>
          <w:sz w:val="24"/>
        </w:rPr>
        <w:t> </w:t>
      </w:r>
      <w:r>
        <w:rPr>
          <w:b/>
          <w:sz w:val="24"/>
        </w:rPr>
        <w:t>AND</w:t>
      </w:r>
      <w:r>
        <w:rPr>
          <w:b/>
          <w:spacing w:val="-1"/>
          <w:sz w:val="24"/>
        </w:rPr>
        <w:t> </w:t>
      </w:r>
      <w:r>
        <w:rPr>
          <w:b/>
          <w:spacing w:val="-2"/>
          <w:sz w:val="24"/>
        </w:rPr>
        <w:t>CONCLUSIONS</w:t>
      </w:r>
    </w:p>
    <w:p>
      <w:pPr>
        <w:pStyle w:val="ListParagraph"/>
        <w:numPr>
          <w:ilvl w:val="1"/>
          <w:numId w:val="5"/>
        </w:numPr>
        <w:tabs>
          <w:tab w:pos="2280" w:val="left" w:leader="none"/>
          <w:tab w:pos="9721" w:val="right" w:leader="none"/>
        </w:tabs>
        <w:spacing w:line="240" w:lineRule="auto" w:before="132" w:after="0"/>
        <w:ind w:left="2280" w:right="0" w:hanging="840"/>
        <w:jc w:val="left"/>
        <w:rPr>
          <w:sz w:val="24"/>
        </w:rPr>
      </w:pPr>
      <w:hyperlink w:history="true" w:anchor="_TOC_250002">
        <w:r>
          <w:rPr>
            <w:spacing w:val="-2"/>
            <w:sz w:val="24"/>
          </w:rPr>
          <w:t>Summary</w:t>
        </w:r>
        <w:r>
          <w:rPr>
            <w:sz w:val="24"/>
          </w:rPr>
          <w:tab/>
        </w:r>
        <w:r>
          <w:rPr>
            <w:spacing w:val="-5"/>
            <w:sz w:val="24"/>
          </w:rPr>
          <w:t>155</w:t>
        </w:r>
      </w:hyperlink>
    </w:p>
    <w:p>
      <w:pPr>
        <w:pStyle w:val="ListParagraph"/>
        <w:numPr>
          <w:ilvl w:val="1"/>
          <w:numId w:val="5"/>
        </w:numPr>
        <w:tabs>
          <w:tab w:pos="2340" w:val="left" w:leader="none"/>
          <w:tab w:pos="9721" w:val="right" w:leader="none"/>
        </w:tabs>
        <w:spacing w:line="240" w:lineRule="auto" w:before="139" w:after="0"/>
        <w:ind w:left="2340" w:right="0" w:hanging="900"/>
        <w:jc w:val="left"/>
        <w:rPr>
          <w:sz w:val="24"/>
        </w:rPr>
      </w:pPr>
      <w:hyperlink w:history="true" w:anchor="_TOC_250001">
        <w:r>
          <w:rPr>
            <w:spacing w:val="-2"/>
            <w:sz w:val="24"/>
          </w:rPr>
          <w:t>Conclusions</w:t>
        </w:r>
        <w:r>
          <w:rPr>
            <w:sz w:val="24"/>
          </w:rPr>
          <w:tab/>
        </w:r>
        <w:r>
          <w:rPr>
            <w:spacing w:val="-5"/>
            <w:sz w:val="24"/>
          </w:rPr>
          <w:t>159</w:t>
        </w:r>
      </w:hyperlink>
    </w:p>
    <w:p>
      <w:pPr>
        <w:pStyle w:val="ListParagraph"/>
        <w:numPr>
          <w:ilvl w:val="1"/>
          <w:numId w:val="5"/>
        </w:numPr>
        <w:tabs>
          <w:tab w:pos="2340" w:val="left" w:leader="none"/>
          <w:tab w:pos="9721" w:val="right" w:leader="none"/>
        </w:tabs>
        <w:spacing w:line="240" w:lineRule="auto" w:before="137" w:after="0"/>
        <w:ind w:left="2340" w:right="0" w:hanging="900"/>
        <w:jc w:val="left"/>
        <w:rPr>
          <w:sz w:val="24"/>
        </w:rPr>
      </w:pPr>
      <w:hyperlink w:history="true" w:anchor="_TOC_250000">
        <w:r>
          <w:rPr>
            <w:spacing w:val="-2"/>
            <w:sz w:val="24"/>
          </w:rPr>
          <w:t>Recommendations</w:t>
        </w:r>
        <w:r>
          <w:rPr>
            <w:sz w:val="24"/>
          </w:rPr>
          <w:tab/>
        </w:r>
        <w:r>
          <w:rPr>
            <w:spacing w:val="-5"/>
            <w:sz w:val="24"/>
          </w:rPr>
          <w:t>160</w:t>
        </w:r>
      </w:hyperlink>
    </w:p>
    <w:p>
      <w:pPr>
        <w:spacing w:before="557"/>
        <w:ind w:left="1440" w:right="0" w:firstLine="0"/>
        <w:jc w:val="left"/>
        <w:rPr>
          <w:b/>
          <w:sz w:val="24"/>
        </w:rPr>
      </w:pPr>
      <w:r>
        <w:rPr>
          <w:b/>
          <w:spacing w:val="-2"/>
          <w:sz w:val="24"/>
        </w:rPr>
        <w:t>BIBLOGRAPHY</w:t>
      </w:r>
    </w:p>
    <w:p>
      <w:pPr>
        <w:spacing w:after="0"/>
        <w:jc w:val="left"/>
        <w:rPr>
          <w:sz w:val="24"/>
        </w:rPr>
        <w:sectPr>
          <w:pgSz w:w="11910" w:h="16840"/>
          <w:pgMar w:header="0" w:footer="1492" w:top="1360" w:bottom="1680" w:left="720" w:right="180"/>
        </w:sectPr>
      </w:pPr>
    </w:p>
    <w:p>
      <w:pPr>
        <w:pStyle w:val="Heading1"/>
        <w:spacing w:before="65"/>
        <w:ind w:left="1480" w:right="1301"/>
        <w:jc w:val="center"/>
      </w:pPr>
      <w:r>
        <w:rPr/>
        <mc:AlternateContent>
          <mc:Choice Requires="wps">
            <w:drawing>
              <wp:anchor distT="0" distB="0" distL="0" distR="0" allowOverlap="1" layoutInCell="1" locked="0" behindDoc="1" simplePos="0" relativeHeight="480562688">
                <wp:simplePos x="0" y="0"/>
                <wp:positionH relativeFrom="page">
                  <wp:posOffset>-1537026</wp:posOffset>
                </wp:positionH>
                <wp:positionV relativeFrom="page">
                  <wp:posOffset>4900424</wp:posOffset>
                </wp:positionV>
                <wp:extent cx="10669905" cy="914400"/>
                <wp:effectExtent l="0" t="0" r="0" b="0"/>
                <wp:wrapNone/>
                <wp:docPr id="11" name="Textbox 11"/>
                <wp:cNvGraphicFramePr>
                  <a:graphicFrameLocks/>
                </wp:cNvGraphicFramePr>
                <a:graphic>
                  <a:graphicData uri="http://schemas.microsoft.com/office/word/2010/wordprocessingShape">
                    <wps:wsp>
                      <wps:cNvPr id="11" name="Textbox 11"/>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53792;rotation:306" type="#_x0000_t136" fillcolor="#ff5400" stroked="f">
                <o:extrusion v:ext="view" autorotationcenter="t"/>
                <v:textpath style="font-family:&quot;Arial MT&quot;;font-size:72pt;v-text-kern:t;mso-text-shadow:auto" string="UNIVERSITY OF IBADAN"/>
                <w10:wrap type="none"/>
              </v:shape>
            </w:pict>
          </mc:Fallback>
        </mc:AlternateContent>
      </w:r>
      <w:bookmarkStart w:name="_TOC_250037" w:id="5"/>
      <w:r>
        <w:rPr/>
        <w:t>LIST OF</w:t>
      </w:r>
      <w:r>
        <w:rPr>
          <w:spacing w:val="-3"/>
        </w:rPr>
        <w:t> </w:t>
      </w:r>
      <w:bookmarkEnd w:id="5"/>
      <w:r>
        <w:rPr>
          <w:spacing w:val="-2"/>
        </w:rPr>
        <w:t>TABLES</w:t>
      </w:r>
    </w:p>
    <w:p>
      <w:pPr>
        <w:pStyle w:val="BodyText"/>
        <w:ind w:left="0"/>
        <w:rPr>
          <w:b/>
          <w:sz w:val="20"/>
        </w:rPr>
      </w:pPr>
    </w:p>
    <w:p>
      <w:pPr>
        <w:pStyle w:val="BodyText"/>
        <w:spacing w:before="53"/>
        <w:ind w:left="0"/>
        <w:rPr>
          <w:b/>
          <w:sz w:val="20"/>
        </w:rPr>
      </w:pPr>
    </w:p>
    <w:tbl>
      <w:tblPr>
        <w:tblW w:w="0" w:type="auto"/>
        <w:jc w:val="left"/>
        <w:tblInd w:w="1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93"/>
        <w:gridCol w:w="6379"/>
        <w:gridCol w:w="811"/>
      </w:tblGrid>
      <w:tr>
        <w:trPr>
          <w:trHeight w:val="386" w:hRule="atLeast"/>
        </w:trPr>
        <w:tc>
          <w:tcPr>
            <w:tcW w:w="1193" w:type="dxa"/>
          </w:tcPr>
          <w:p>
            <w:pPr>
              <w:pStyle w:val="TableParagraph"/>
              <w:spacing w:before="40"/>
              <w:ind w:left="50"/>
              <w:rPr>
                <w:b/>
                <w:sz w:val="24"/>
              </w:rPr>
            </w:pPr>
            <w:r>
              <w:rPr>
                <w:b/>
                <w:spacing w:val="-2"/>
                <w:sz w:val="24"/>
              </w:rPr>
              <w:t>TABLE</w:t>
            </w:r>
          </w:p>
        </w:tc>
        <w:tc>
          <w:tcPr>
            <w:tcW w:w="6379" w:type="dxa"/>
          </w:tcPr>
          <w:p>
            <w:pPr>
              <w:pStyle w:val="TableParagraph"/>
              <w:rPr>
                <w:sz w:val="24"/>
              </w:rPr>
            </w:pPr>
          </w:p>
        </w:tc>
        <w:tc>
          <w:tcPr>
            <w:tcW w:w="811" w:type="dxa"/>
          </w:tcPr>
          <w:p>
            <w:pPr>
              <w:pStyle w:val="TableParagraph"/>
              <w:spacing w:before="40"/>
              <w:ind w:left="39"/>
              <w:rPr>
                <w:b/>
                <w:sz w:val="24"/>
              </w:rPr>
            </w:pPr>
            <w:r>
              <w:rPr>
                <w:b/>
                <w:spacing w:val="-4"/>
                <w:sz w:val="24"/>
              </w:rPr>
              <w:t>PAGE</w:t>
            </w:r>
          </w:p>
        </w:tc>
      </w:tr>
      <w:tr>
        <w:trPr>
          <w:trHeight w:val="411" w:hRule="atLeast"/>
        </w:trPr>
        <w:tc>
          <w:tcPr>
            <w:tcW w:w="1193" w:type="dxa"/>
          </w:tcPr>
          <w:p>
            <w:pPr>
              <w:pStyle w:val="TableParagraph"/>
              <w:spacing w:before="61"/>
              <w:ind w:left="50"/>
              <w:rPr>
                <w:sz w:val="24"/>
              </w:rPr>
            </w:pPr>
            <w:r>
              <w:rPr>
                <w:sz w:val="24"/>
              </w:rPr>
              <w:t>Table</w:t>
            </w:r>
            <w:r>
              <w:rPr>
                <w:spacing w:val="-2"/>
                <w:sz w:val="24"/>
              </w:rPr>
              <w:t> </w:t>
            </w:r>
            <w:r>
              <w:rPr>
                <w:spacing w:val="-10"/>
                <w:sz w:val="24"/>
              </w:rPr>
              <w:t>1</w:t>
            </w:r>
          </w:p>
        </w:tc>
        <w:tc>
          <w:tcPr>
            <w:tcW w:w="6379" w:type="dxa"/>
          </w:tcPr>
          <w:p>
            <w:pPr>
              <w:pStyle w:val="TableParagraph"/>
              <w:spacing w:before="61"/>
              <w:ind w:left="297"/>
              <w:rPr>
                <w:sz w:val="24"/>
              </w:rPr>
            </w:pPr>
            <w:r>
              <w:rPr>
                <w:sz w:val="24"/>
              </w:rPr>
              <w:t>Gender</w:t>
            </w:r>
            <w:r>
              <w:rPr>
                <w:spacing w:val="-1"/>
                <w:sz w:val="24"/>
              </w:rPr>
              <w:t> </w:t>
            </w:r>
            <w:r>
              <w:rPr>
                <w:sz w:val="24"/>
              </w:rPr>
              <w:t>of</w:t>
            </w:r>
            <w:r>
              <w:rPr>
                <w:spacing w:val="-1"/>
                <w:sz w:val="24"/>
              </w:rPr>
              <w:t> </w:t>
            </w:r>
            <w:r>
              <w:rPr>
                <w:spacing w:val="-2"/>
                <w:sz w:val="24"/>
              </w:rPr>
              <w:t>Respondents</w:t>
            </w:r>
          </w:p>
        </w:tc>
        <w:tc>
          <w:tcPr>
            <w:tcW w:w="811" w:type="dxa"/>
          </w:tcPr>
          <w:p>
            <w:pPr>
              <w:pStyle w:val="TableParagraph"/>
              <w:spacing w:before="61"/>
              <w:ind w:right="49"/>
              <w:jc w:val="right"/>
              <w:rPr>
                <w:sz w:val="24"/>
              </w:rPr>
            </w:pPr>
            <w:r>
              <w:rPr>
                <w:spacing w:val="-5"/>
                <w:sz w:val="24"/>
              </w:rPr>
              <w:t>111</w:t>
            </w:r>
          </w:p>
        </w:tc>
      </w:tr>
      <w:tr>
        <w:trPr>
          <w:trHeight w:val="414" w:hRule="atLeast"/>
        </w:trPr>
        <w:tc>
          <w:tcPr>
            <w:tcW w:w="1193" w:type="dxa"/>
          </w:tcPr>
          <w:p>
            <w:pPr>
              <w:pStyle w:val="TableParagraph"/>
              <w:spacing w:before="64"/>
              <w:ind w:left="50"/>
              <w:rPr>
                <w:sz w:val="24"/>
              </w:rPr>
            </w:pPr>
            <w:r>
              <w:rPr>
                <w:sz w:val="24"/>
              </w:rPr>
              <w:t>Table</w:t>
            </w:r>
            <w:r>
              <w:rPr>
                <w:spacing w:val="-2"/>
                <w:sz w:val="24"/>
              </w:rPr>
              <w:t> </w:t>
            </w:r>
            <w:r>
              <w:rPr>
                <w:spacing w:val="-10"/>
                <w:sz w:val="24"/>
              </w:rPr>
              <w:t>2</w:t>
            </w:r>
          </w:p>
        </w:tc>
        <w:tc>
          <w:tcPr>
            <w:tcW w:w="6379" w:type="dxa"/>
          </w:tcPr>
          <w:p>
            <w:pPr>
              <w:pStyle w:val="TableParagraph"/>
              <w:spacing w:before="64"/>
              <w:ind w:left="297"/>
              <w:rPr>
                <w:sz w:val="24"/>
              </w:rPr>
            </w:pPr>
            <w:r>
              <w:rPr>
                <w:sz w:val="24"/>
              </w:rPr>
              <w:t>Ages</w:t>
            </w:r>
            <w:r>
              <w:rPr>
                <w:spacing w:val="-2"/>
                <w:sz w:val="24"/>
              </w:rPr>
              <w:t> </w:t>
            </w:r>
            <w:r>
              <w:rPr>
                <w:sz w:val="24"/>
              </w:rPr>
              <w:t>of</w:t>
            </w:r>
            <w:r>
              <w:rPr>
                <w:spacing w:val="-1"/>
                <w:sz w:val="24"/>
              </w:rPr>
              <w:t> </w:t>
            </w:r>
            <w:r>
              <w:rPr>
                <w:sz w:val="24"/>
              </w:rPr>
              <w:t>Respondents</w:t>
            </w:r>
            <w:r>
              <w:rPr>
                <w:spacing w:val="-1"/>
                <w:sz w:val="24"/>
              </w:rPr>
              <w:t> </w:t>
            </w:r>
            <w:r>
              <w:rPr>
                <w:sz w:val="24"/>
              </w:rPr>
              <w:t>(Age</w:t>
            </w:r>
            <w:r>
              <w:rPr>
                <w:spacing w:val="-1"/>
                <w:sz w:val="24"/>
              </w:rPr>
              <w:t> </w:t>
            </w:r>
            <w:r>
              <w:rPr>
                <w:sz w:val="24"/>
              </w:rPr>
              <w:t>at</w:t>
            </w:r>
            <w:r>
              <w:rPr>
                <w:spacing w:val="-1"/>
                <w:sz w:val="24"/>
              </w:rPr>
              <w:t> </w:t>
            </w:r>
            <w:r>
              <w:rPr>
                <w:sz w:val="24"/>
              </w:rPr>
              <w:t>last</w:t>
            </w:r>
            <w:r>
              <w:rPr>
                <w:spacing w:val="1"/>
                <w:sz w:val="24"/>
              </w:rPr>
              <w:t> </w:t>
            </w:r>
            <w:r>
              <w:rPr>
                <w:spacing w:val="-2"/>
                <w:sz w:val="24"/>
              </w:rPr>
              <w:t>Birthday)</w:t>
            </w:r>
          </w:p>
        </w:tc>
        <w:tc>
          <w:tcPr>
            <w:tcW w:w="811" w:type="dxa"/>
          </w:tcPr>
          <w:p>
            <w:pPr>
              <w:pStyle w:val="TableParagraph"/>
              <w:spacing w:before="64"/>
              <w:ind w:right="49"/>
              <w:jc w:val="right"/>
              <w:rPr>
                <w:sz w:val="24"/>
              </w:rPr>
            </w:pPr>
            <w:r>
              <w:rPr>
                <w:spacing w:val="-5"/>
                <w:sz w:val="24"/>
              </w:rPr>
              <w:t>111</w:t>
            </w:r>
          </w:p>
        </w:tc>
      </w:tr>
      <w:tr>
        <w:trPr>
          <w:trHeight w:val="414" w:hRule="atLeast"/>
        </w:trPr>
        <w:tc>
          <w:tcPr>
            <w:tcW w:w="1193" w:type="dxa"/>
          </w:tcPr>
          <w:p>
            <w:pPr>
              <w:pStyle w:val="TableParagraph"/>
              <w:spacing w:before="63"/>
              <w:ind w:left="50"/>
              <w:rPr>
                <w:sz w:val="24"/>
              </w:rPr>
            </w:pPr>
            <w:r>
              <w:rPr>
                <w:sz w:val="24"/>
              </w:rPr>
              <w:t>Table</w:t>
            </w:r>
            <w:r>
              <w:rPr>
                <w:spacing w:val="-2"/>
                <w:sz w:val="24"/>
              </w:rPr>
              <w:t> </w:t>
            </w:r>
            <w:r>
              <w:rPr>
                <w:spacing w:val="-10"/>
                <w:sz w:val="24"/>
              </w:rPr>
              <w:t>3</w:t>
            </w:r>
          </w:p>
        </w:tc>
        <w:tc>
          <w:tcPr>
            <w:tcW w:w="6379" w:type="dxa"/>
          </w:tcPr>
          <w:p>
            <w:pPr>
              <w:pStyle w:val="TableParagraph"/>
              <w:spacing w:before="63"/>
              <w:ind w:left="297"/>
              <w:rPr>
                <w:sz w:val="24"/>
              </w:rPr>
            </w:pPr>
            <w:r>
              <w:rPr>
                <w:sz w:val="24"/>
              </w:rPr>
              <w:t>Educational</w:t>
            </w:r>
            <w:r>
              <w:rPr>
                <w:spacing w:val="-5"/>
                <w:sz w:val="24"/>
              </w:rPr>
              <w:t> </w:t>
            </w:r>
            <w:r>
              <w:rPr>
                <w:sz w:val="24"/>
              </w:rPr>
              <w:t>Qualifications</w:t>
            </w:r>
            <w:r>
              <w:rPr>
                <w:spacing w:val="-3"/>
                <w:sz w:val="24"/>
              </w:rPr>
              <w:t> </w:t>
            </w:r>
            <w:r>
              <w:rPr>
                <w:sz w:val="24"/>
              </w:rPr>
              <w:t>(Highest Level</w:t>
            </w:r>
            <w:r>
              <w:rPr>
                <w:spacing w:val="-3"/>
                <w:sz w:val="24"/>
              </w:rPr>
              <w:t> </w:t>
            </w:r>
            <w:r>
              <w:rPr>
                <w:sz w:val="24"/>
              </w:rPr>
              <w:t>of</w:t>
            </w:r>
            <w:r>
              <w:rPr>
                <w:spacing w:val="-2"/>
                <w:sz w:val="24"/>
              </w:rPr>
              <w:t> Education)</w:t>
            </w:r>
          </w:p>
        </w:tc>
        <w:tc>
          <w:tcPr>
            <w:tcW w:w="811" w:type="dxa"/>
          </w:tcPr>
          <w:p>
            <w:pPr>
              <w:pStyle w:val="TableParagraph"/>
              <w:spacing w:before="63"/>
              <w:ind w:right="49"/>
              <w:jc w:val="right"/>
              <w:rPr>
                <w:sz w:val="24"/>
              </w:rPr>
            </w:pPr>
            <w:r>
              <w:rPr>
                <w:spacing w:val="-5"/>
                <w:sz w:val="24"/>
              </w:rPr>
              <w:t>112</w:t>
            </w:r>
          </w:p>
        </w:tc>
      </w:tr>
      <w:tr>
        <w:trPr>
          <w:trHeight w:val="413" w:hRule="atLeast"/>
        </w:trPr>
        <w:tc>
          <w:tcPr>
            <w:tcW w:w="1193" w:type="dxa"/>
          </w:tcPr>
          <w:p>
            <w:pPr>
              <w:pStyle w:val="TableParagraph"/>
              <w:spacing w:before="64"/>
              <w:ind w:left="50"/>
              <w:rPr>
                <w:sz w:val="24"/>
              </w:rPr>
            </w:pPr>
            <w:r>
              <w:rPr>
                <w:sz w:val="24"/>
              </w:rPr>
              <w:t>Table</w:t>
            </w:r>
            <w:r>
              <w:rPr>
                <w:spacing w:val="-2"/>
                <w:sz w:val="24"/>
              </w:rPr>
              <w:t> </w:t>
            </w:r>
            <w:r>
              <w:rPr>
                <w:spacing w:val="-10"/>
                <w:sz w:val="24"/>
              </w:rPr>
              <w:t>4</w:t>
            </w:r>
          </w:p>
        </w:tc>
        <w:tc>
          <w:tcPr>
            <w:tcW w:w="6379" w:type="dxa"/>
          </w:tcPr>
          <w:p>
            <w:pPr>
              <w:pStyle w:val="TableParagraph"/>
              <w:spacing w:before="64"/>
              <w:ind w:left="297"/>
              <w:rPr>
                <w:sz w:val="24"/>
              </w:rPr>
            </w:pPr>
            <w:r>
              <w:rPr>
                <w:sz w:val="24"/>
              </w:rPr>
              <w:t>Occupation</w:t>
            </w:r>
            <w:r>
              <w:rPr>
                <w:spacing w:val="-3"/>
                <w:sz w:val="24"/>
              </w:rPr>
              <w:t> </w:t>
            </w:r>
            <w:r>
              <w:rPr>
                <w:sz w:val="24"/>
              </w:rPr>
              <w:t>of</w:t>
            </w:r>
            <w:r>
              <w:rPr>
                <w:spacing w:val="-2"/>
                <w:sz w:val="24"/>
              </w:rPr>
              <w:t> Respondents</w:t>
            </w:r>
          </w:p>
        </w:tc>
        <w:tc>
          <w:tcPr>
            <w:tcW w:w="811" w:type="dxa"/>
          </w:tcPr>
          <w:p>
            <w:pPr>
              <w:pStyle w:val="TableParagraph"/>
              <w:spacing w:before="64"/>
              <w:ind w:right="49"/>
              <w:jc w:val="right"/>
              <w:rPr>
                <w:sz w:val="24"/>
              </w:rPr>
            </w:pPr>
            <w:r>
              <w:rPr>
                <w:spacing w:val="-5"/>
                <w:sz w:val="24"/>
              </w:rPr>
              <w:t>113</w:t>
            </w:r>
          </w:p>
        </w:tc>
      </w:tr>
      <w:tr>
        <w:trPr>
          <w:trHeight w:val="414" w:hRule="atLeast"/>
        </w:trPr>
        <w:tc>
          <w:tcPr>
            <w:tcW w:w="1193" w:type="dxa"/>
          </w:tcPr>
          <w:p>
            <w:pPr>
              <w:pStyle w:val="TableParagraph"/>
              <w:spacing w:before="63"/>
              <w:ind w:left="50"/>
              <w:rPr>
                <w:sz w:val="24"/>
              </w:rPr>
            </w:pPr>
            <w:r>
              <w:rPr>
                <w:sz w:val="24"/>
              </w:rPr>
              <w:t>Table</w:t>
            </w:r>
            <w:r>
              <w:rPr>
                <w:spacing w:val="-2"/>
                <w:sz w:val="24"/>
              </w:rPr>
              <w:t> </w:t>
            </w:r>
            <w:r>
              <w:rPr>
                <w:spacing w:val="-10"/>
                <w:sz w:val="24"/>
              </w:rPr>
              <w:t>5</w:t>
            </w:r>
          </w:p>
        </w:tc>
        <w:tc>
          <w:tcPr>
            <w:tcW w:w="6379" w:type="dxa"/>
          </w:tcPr>
          <w:p>
            <w:pPr>
              <w:pStyle w:val="TableParagraph"/>
              <w:spacing w:before="63"/>
              <w:ind w:left="297"/>
              <w:rPr>
                <w:sz w:val="24"/>
              </w:rPr>
            </w:pPr>
            <w:r>
              <w:rPr>
                <w:sz w:val="24"/>
              </w:rPr>
              <w:t>Marital</w:t>
            </w:r>
            <w:r>
              <w:rPr>
                <w:spacing w:val="-1"/>
                <w:sz w:val="24"/>
              </w:rPr>
              <w:t> </w:t>
            </w:r>
            <w:r>
              <w:rPr>
                <w:sz w:val="24"/>
              </w:rPr>
              <w:t>Status</w:t>
            </w:r>
            <w:r>
              <w:rPr>
                <w:spacing w:val="-1"/>
                <w:sz w:val="24"/>
              </w:rPr>
              <w:t> </w:t>
            </w:r>
            <w:r>
              <w:rPr>
                <w:sz w:val="24"/>
              </w:rPr>
              <w:t>of </w:t>
            </w:r>
            <w:r>
              <w:rPr>
                <w:spacing w:val="-2"/>
                <w:sz w:val="24"/>
              </w:rPr>
              <w:t>Respondents</w:t>
            </w:r>
          </w:p>
        </w:tc>
        <w:tc>
          <w:tcPr>
            <w:tcW w:w="811" w:type="dxa"/>
          </w:tcPr>
          <w:p>
            <w:pPr>
              <w:pStyle w:val="TableParagraph"/>
              <w:spacing w:before="63"/>
              <w:ind w:right="49"/>
              <w:jc w:val="right"/>
              <w:rPr>
                <w:sz w:val="24"/>
              </w:rPr>
            </w:pPr>
            <w:r>
              <w:rPr>
                <w:spacing w:val="-5"/>
                <w:sz w:val="24"/>
              </w:rPr>
              <w:t>114</w:t>
            </w:r>
          </w:p>
        </w:tc>
      </w:tr>
      <w:tr>
        <w:trPr>
          <w:trHeight w:val="414" w:hRule="atLeast"/>
        </w:trPr>
        <w:tc>
          <w:tcPr>
            <w:tcW w:w="1193" w:type="dxa"/>
          </w:tcPr>
          <w:p>
            <w:pPr>
              <w:pStyle w:val="TableParagraph"/>
              <w:spacing w:before="64"/>
              <w:ind w:left="50"/>
              <w:rPr>
                <w:sz w:val="24"/>
              </w:rPr>
            </w:pPr>
            <w:r>
              <w:rPr>
                <w:sz w:val="24"/>
              </w:rPr>
              <w:t>Table</w:t>
            </w:r>
            <w:r>
              <w:rPr>
                <w:spacing w:val="-2"/>
                <w:sz w:val="24"/>
              </w:rPr>
              <w:t> </w:t>
            </w:r>
            <w:r>
              <w:rPr>
                <w:spacing w:val="-10"/>
                <w:sz w:val="24"/>
              </w:rPr>
              <w:t>6</w:t>
            </w:r>
          </w:p>
        </w:tc>
        <w:tc>
          <w:tcPr>
            <w:tcW w:w="6379" w:type="dxa"/>
          </w:tcPr>
          <w:p>
            <w:pPr>
              <w:pStyle w:val="TableParagraph"/>
              <w:spacing w:before="64"/>
              <w:ind w:left="297"/>
              <w:rPr>
                <w:sz w:val="24"/>
              </w:rPr>
            </w:pPr>
            <w:r>
              <w:rPr>
                <w:sz w:val="24"/>
              </w:rPr>
              <w:t>Religion</w:t>
            </w:r>
            <w:r>
              <w:rPr>
                <w:spacing w:val="-2"/>
                <w:sz w:val="24"/>
              </w:rPr>
              <w:t> </w:t>
            </w:r>
            <w:r>
              <w:rPr>
                <w:sz w:val="24"/>
              </w:rPr>
              <w:t>of</w:t>
            </w:r>
            <w:r>
              <w:rPr>
                <w:spacing w:val="-2"/>
                <w:sz w:val="24"/>
              </w:rPr>
              <w:t> Respondents</w:t>
            </w:r>
          </w:p>
        </w:tc>
        <w:tc>
          <w:tcPr>
            <w:tcW w:w="811" w:type="dxa"/>
          </w:tcPr>
          <w:p>
            <w:pPr>
              <w:pStyle w:val="TableParagraph"/>
              <w:spacing w:before="64"/>
              <w:ind w:right="49"/>
              <w:jc w:val="right"/>
              <w:rPr>
                <w:sz w:val="24"/>
              </w:rPr>
            </w:pPr>
            <w:r>
              <w:rPr>
                <w:spacing w:val="-5"/>
                <w:sz w:val="24"/>
              </w:rPr>
              <w:t>114</w:t>
            </w:r>
          </w:p>
        </w:tc>
      </w:tr>
      <w:tr>
        <w:trPr>
          <w:trHeight w:val="414" w:hRule="atLeast"/>
        </w:trPr>
        <w:tc>
          <w:tcPr>
            <w:tcW w:w="1193" w:type="dxa"/>
          </w:tcPr>
          <w:p>
            <w:pPr>
              <w:pStyle w:val="TableParagraph"/>
              <w:spacing w:before="63"/>
              <w:ind w:left="50"/>
              <w:rPr>
                <w:sz w:val="24"/>
              </w:rPr>
            </w:pPr>
            <w:r>
              <w:rPr>
                <w:sz w:val="24"/>
              </w:rPr>
              <w:t>Table</w:t>
            </w:r>
            <w:r>
              <w:rPr>
                <w:spacing w:val="-2"/>
                <w:sz w:val="24"/>
              </w:rPr>
              <w:t> </w:t>
            </w:r>
            <w:r>
              <w:rPr>
                <w:spacing w:val="-10"/>
                <w:sz w:val="24"/>
              </w:rPr>
              <w:t>7</w:t>
            </w:r>
          </w:p>
        </w:tc>
        <w:tc>
          <w:tcPr>
            <w:tcW w:w="6379" w:type="dxa"/>
          </w:tcPr>
          <w:p>
            <w:pPr>
              <w:pStyle w:val="TableParagraph"/>
              <w:spacing w:before="63"/>
              <w:ind w:left="297"/>
              <w:rPr>
                <w:sz w:val="24"/>
              </w:rPr>
            </w:pPr>
            <w:r>
              <w:rPr>
                <w:sz w:val="24"/>
              </w:rPr>
              <w:t>Length</w:t>
            </w:r>
            <w:r>
              <w:rPr>
                <w:spacing w:val="-1"/>
                <w:sz w:val="24"/>
              </w:rPr>
              <w:t> </w:t>
            </w:r>
            <w:r>
              <w:rPr>
                <w:sz w:val="24"/>
              </w:rPr>
              <w:t>of</w:t>
            </w:r>
            <w:r>
              <w:rPr>
                <w:spacing w:val="-1"/>
                <w:sz w:val="24"/>
              </w:rPr>
              <w:t> </w:t>
            </w:r>
            <w:r>
              <w:rPr>
                <w:sz w:val="24"/>
              </w:rPr>
              <w:t>Stay</w:t>
            </w:r>
            <w:r>
              <w:rPr>
                <w:spacing w:val="-5"/>
                <w:sz w:val="24"/>
              </w:rPr>
              <w:t> </w:t>
            </w:r>
            <w:r>
              <w:rPr>
                <w:sz w:val="24"/>
              </w:rPr>
              <w:t>in </w:t>
            </w:r>
            <w:r>
              <w:rPr>
                <w:spacing w:val="-2"/>
                <w:sz w:val="24"/>
              </w:rPr>
              <w:t>Community</w:t>
            </w:r>
          </w:p>
        </w:tc>
        <w:tc>
          <w:tcPr>
            <w:tcW w:w="811" w:type="dxa"/>
          </w:tcPr>
          <w:p>
            <w:pPr>
              <w:pStyle w:val="TableParagraph"/>
              <w:spacing w:before="63"/>
              <w:ind w:right="49"/>
              <w:jc w:val="right"/>
              <w:rPr>
                <w:sz w:val="24"/>
              </w:rPr>
            </w:pPr>
            <w:r>
              <w:rPr>
                <w:spacing w:val="-5"/>
                <w:sz w:val="24"/>
              </w:rPr>
              <w:t>115</w:t>
            </w:r>
          </w:p>
        </w:tc>
      </w:tr>
      <w:tr>
        <w:trPr>
          <w:trHeight w:val="414" w:hRule="atLeast"/>
        </w:trPr>
        <w:tc>
          <w:tcPr>
            <w:tcW w:w="1193" w:type="dxa"/>
          </w:tcPr>
          <w:p>
            <w:pPr>
              <w:pStyle w:val="TableParagraph"/>
              <w:spacing w:before="65"/>
              <w:ind w:left="50"/>
              <w:rPr>
                <w:sz w:val="24"/>
              </w:rPr>
            </w:pPr>
            <w:r>
              <w:rPr>
                <w:sz w:val="24"/>
              </w:rPr>
              <w:t>Table</w:t>
            </w:r>
            <w:r>
              <w:rPr>
                <w:spacing w:val="-2"/>
                <w:sz w:val="24"/>
              </w:rPr>
              <w:t> </w:t>
            </w:r>
            <w:r>
              <w:rPr>
                <w:spacing w:val="-10"/>
                <w:sz w:val="24"/>
              </w:rPr>
              <w:t>8</w:t>
            </w:r>
          </w:p>
        </w:tc>
        <w:tc>
          <w:tcPr>
            <w:tcW w:w="6379" w:type="dxa"/>
          </w:tcPr>
          <w:p>
            <w:pPr>
              <w:pStyle w:val="TableParagraph"/>
              <w:spacing w:before="65"/>
              <w:ind w:left="297"/>
              <w:rPr>
                <w:sz w:val="24"/>
              </w:rPr>
            </w:pPr>
            <w:r>
              <w:rPr>
                <w:sz w:val="24"/>
              </w:rPr>
              <w:t>Status</w:t>
            </w:r>
            <w:r>
              <w:rPr>
                <w:spacing w:val="-3"/>
                <w:sz w:val="24"/>
              </w:rPr>
              <w:t> </w:t>
            </w:r>
            <w:r>
              <w:rPr>
                <w:sz w:val="24"/>
              </w:rPr>
              <w:t>of</w:t>
            </w:r>
            <w:r>
              <w:rPr>
                <w:spacing w:val="-1"/>
                <w:sz w:val="24"/>
              </w:rPr>
              <w:t> </w:t>
            </w:r>
            <w:r>
              <w:rPr>
                <w:sz w:val="24"/>
              </w:rPr>
              <w:t>“Militant”</w:t>
            </w:r>
            <w:r>
              <w:rPr>
                <w:spacing w:val="-3"/>
                <w:sz w:val="24"/>
              </w:rPr>
              <w:t> </w:t>
            </w:r>
            <w:r>
              <w:rPr>
                <w:sz w:val="24"/>
              </w:rPr>
              <w:t>Group</w:t>
            </w:r>
            <w:r>
              <w:rPr>
                <w:spacing w:val="-1"/>
                <w:sz w:val="24"/>
              </w:rPr>
              <w:t> </w:t>
            </w:r>
            <w:r>
              <w:rPr>
                <w:sz w:val="24"/>
              </w:rPr>
              <w:t>in</w:t>
            </w:r>
            <w:r>
              <w:rPr>
                <w:spacing w:val="-2"/>
                <w:sz w:val="24"/>
              </w:rPr>
              <w:t> </w:t>
            </w:r>
            <w:r>
              <w:rPr>
                <w:sz w:val="24"/>
              </w:rPr>
              <w:t>Niger</w:t>
            </w:r>
            <w:r>
              <w:rPr>
                <w:spacing w:val="-1"/>
                <w:sz w:val="24"/>
              </w:rPr>
              <w:t> </w:t>
            </w:r>
            <w:r>
              <w:rPr>
                <w:spacing w:val="-2"/>
                <w:sz w:val="24"/>
              </w:rPr>
              <w:t>Delta</w:t>
            </w:r>
          </w:p>
        </w:tc>
        <w:tc>
          <w:tcPr>
            <w:tcW w:w="811" w:type="dxa"/>
          </w:tcPr>
          <w:p>
            <w:pPr>
              <w:pStyle w:val="TableParagraph"/>
              <w:spacing w:before="65"/>
              <w:ind w:right="49"/>
              <w:jc w:val="right"/>
              <w:rPr>
                <w:sz w:val="24"/>
              </w:rPr>
            </w:pPr>
            <w:r>
              <w:rPr>
                <w:spacing w:val="-5"/>
                <w:sz w:val="24"/>
              </w:rPr>
              <w:t>116</w:t>
            </w:r>
          </w:p>
        </w:tc>
      </w:tr>
      <w:tr>
        <w:trPr>
          <w:trHeight w:val="414" w:hRule="atLeast"/>
        </w:trPr>
        <w:tc>
          <w:tcPr>
            <w:tcW w:w="1193" w:type="dxa"/>
          </w:tcPr>
          <w:p>
            <w:pPr>
              <w:pStyle w:val="TableParagraph"/>
              <w:spacing w:before="63"/>
              <w:ind w:left="50"/>
              <w:rPr>
                <w:sz w:val="24"/>
              </w:rPr>
            </w:pPr>
            <w:r>
              <w:rPr>
                <w:sz w:val="24"/>
              </w:rPr>
              <w:t>Table</w:t>
            </w:r>
            <w:r>
              <w:rPr>
                <w:spacing w:val="-2"/>
                <w:sz w:val="24"/>
              </w:rPr>
              <w:t> </w:t>
            </w:r>
            <w:r>
              <w:rPr>
                <w:spacing w:val="-10"/>
                <w:sz w:val="24"/>
              </w:rPr>
              <w:t>9</w:t>
            </w:r>
          </w:p>
        </w:tc>
        <w:tc>
          <w:tcPr>
            <w:tcW w:w="6379" w:type="dxa"/>
          </w:tcPr>
          <w:p>
            <w:pPr>
              <w:pStyle w:val="TableParagraph"/>
              <w:spacing w:before="63"/>
              <w:ind w:left="297"/>
              <w:rPr>
                <w:sz w:val="24"/>
              </w:rPr>
            </w:pPr>
            <w:r>
              <w:rPr>
                <w:sz w:val="24"/>
              </w:rPr>
              <w:t>Perception</w:t>
            </w:r>
            <w:r>
              <w:rPr>
                <w:spacing w:val="-1"/>
                <w:sz w:val="24"/>
              </w:rPr>
              <w:t> </w:t>
            </w:r>
            <w:r>
              <w:rPr>
                <w:sz w:val="24"/>
              </w:rPr>
              <w:t>on</w:t>
            </w:r>
            <w:r>
              <w:rPr>
                <w:spacing w:val="-1"/>
                <w:sz w:val="24"/>
              </w:rPr>
              <w:t> </w:t>
            </w:r>
            <w:r>
              <w:rPr>
                <w:sz w:val="24"/>
              </w:rPr>
              <w:t>the</w:t>
            </w:r>
            <w:r>
              <w:rPr>
                <w:spacing w:val="-1"/>
                <w:sz w:val="24"/>
              </w:rPr>
              <w:t> </w:t>
            </w:r>
            <w:r>
              <w:rPr>
                <w:sz w:val="24"/>
              </w:rPr>
              <w:t>causes</w:t>
            </w:r>
            <w:r>
              <w:rPr>
                <w:spacing w:val="1"/>
                <w:sz w:val="24"/>
              </w:rPr>
              <w:t> </w:t>
            </w:r>
            <w:r>
              <w:rPr>
                <w:sz w:val="24"/>
              </w:rPr>
              <w:t>of</w:t>
            </w:r>
            <w:r>
              <w:rPr>
                <w:spacing w:val="-2"/>
                <w:sz w:val="24"/>
              </w:rPr>
              <w:t> </w:t>
            </w:r>
            <w:r>
              <w:rPr>
                <w:sz w:val="24"/>
              </w:rPr>
              <w:t>the</w:t>
            </w:r>
            <w:r>
              <w:rPr>
                <w:spacing w:val="-1"/>
                <w:sz w:val="24"/>
              </w:rPr>
              <w:t> </w:t>
            </w:r>
            <w:r>
              <w:rPr>
                <w:sz w:val="24"/>
              </w:rPr>
              <w:t>Militants Acts</w:t>
            </w:r>
            <w:r>
              <w:rPr>
                <w:spacing w:val="-1"/>
                <w:sz w:val="24"/>
              </w:rPr>
              <w:t> </w:t>
            </w:r>
            <w:r>
              <w:rPr>
                <w:sz w:val="24"/>
              </w:rPr>
              <w:t>in</w:t>
            </w:r>
            <w:r>
              <w:rPr>
                <w:spacing w:val="-1"/>
                <w:sz w:val="24"/>
              </w:rPr>
              <w:t> </w:t>
            </w:r>
            <w:r>
              <w:rPr>
                <w:sz w:val="24"/>
              </w:rPr>
              <w:t>the </w:t>
            </w:r>
            <w:r>
              <w:rPr>
                <w:spacing w:val="-2"/>
                <w:sz w:val="24"/>
              </w:rPr>
              <w:t>Niger</w:t>
            </w:r>
          </w:p>
        </w:tc>
        <w:tc>
          <w:tcPr>
            <w:tcW w:w="811" w:type="dxa"/>
          </w:tcPr>
          <w:p>
            <w:pPr>
              <w:pStyle w:val="TableParagraph"/>
              <w:rPr>
                <w:sz w:val="24"/>
              </w:rPr>
            </w:pPr>
          </w:p>
        </w:tc>
      </w:tr>
      <w:tr>
        <w:trPr>
          <w:trHeight w:val="414" w:hRule="atLeast"/>
        </w:trPr>
        <w:tc>
          <w:tcPr>
            <w:tcW w:w="1193" w:type="dxa"/>
          </w:tcPr>
          <w:p>
            <w:pPr>
              <w:pStyle w:val="TableParagraph"/>
              <w:rPr>
                <w:sz w:val="24"/>
              </w:rPr>
            </w:pPr>
          </w:p>
        </w:tc>
        <w:tc>
          <w:tcPr>
            <w:tcW w:w="6379" w:type="dxa"/>
          </w:tcPr>
          <w:p>
            <w:pPr>
              <w:pStyle w:val="TableParagraph"/>
              <w:spacing w:before="64"/>
              <w:ind w:left="297"/>
              <w:rPr>
                <w:sz w:val="24"/>
              </w:rPr>
            </w:pPr>
            <w:r>
              <w:rPr>
                <w:spacing w:val="-2"/>
                <w:sz w:val="24"/>
              </w:rPr>
              <w:t>Delta</w:t>
            </w:r>
          </w:p>
        </w:tc>
        <w:tc>
          <w:tcPr>
            <w:tcW w:w="811" w:type="dxa"/>
          </w:tcPr>
          <w:p>
            <w:pPr>
              <w:pStyle w:val="TableParagraph"/>
              <w:spacing w:before="64"/>
              <w:ind w:right="49"/>
              <w:jc w:val="right"/>
              <w:rPr>
                <w:sz w:val="24"/>
              </w:rPr>
            </w:pPr>
            <w:r>
              <w:rPr>
                <w:spacing w:val="-5"/>
                <w:sz w:val="24"/>
              </w:rPr>
              <w:t>117</w:t>
            </w:r>
          </w:p>
        </w:tc>
      </w:tr>
      <w:tr>
        <w:trPr>
          <w:trHeight w:val="413" w:hRule="atLeast"/>
        </w:trPr>
        <w:tc>
          <w:tcPr>
            <w:tcW w:w="1193" w:type="dxa"/>
          </w:tcPr>
          <w:p>
            <w:pPr>
              <w:pStyle w:val="TableParagraph"/>
              <w:spacing w:before="63"/>
              <w:ind w:left="50"/>
              <w:rPr>
                <w:sz w:val="24"/>
              </w:rPr>
            </w:pPr>
            <w:r>
              <w:rPr>
                <w:sz w:val="24"/>
              </w:rPr>
              <w:t>Table</w:t>
            </w:r>
            <w:r>
              <w:rPr>
                <w:spacing w:val="-2"/>
                <w:sz w:val="24"/>
              </w:rPr>
              <w:t> </w:t>
            </w:r>
            <w:r>
              <w:rPr>
                <w:spacing w:val="-5"/>
                <w:sz w:val="24"/>
              </w:rPr>
              <w:t>10</w:t>
            </w:r>
          </w:p>
        </w:tc>
        <w:tc>
          <w:tcPr>
            <w:tcW w:w="6379" w:type="dxa"/>
          </w:tcPr>
          <w:p>
            <w:pPr>
              <w:pStyle w:val="TableParagraph"/>
              <w:spacing w:before="63"/>
              <w:ind w:left="297"/>
              <w:rPr>
                <w:sz w:val="24"/>
              </w:rPr>
            </w:pPr>
            <w:r>
              <w:rPr>
                <w:sz w:val="24"/>
              </w:rPr>
              <w:t>Perception</w:t>
            </w:r>
            <w:r>
              <w:rPr>
                <w:spacing w:val="-4"/>
                <w:sz w:val="24"/>
              </w:rPr>
              <w:t> </w:t>
            </w:r>
            <w:r>
              <w:rPr>
                <w:sz w:val="24"/>
              </w:rPr>
              <w:t>on</w:t>
            </w:r>
            <w:r>
              <w:rPr>
                <w:spacing w:val="-2"/>
                <w:sz w:val="24"/>
              </w:rPr>
              <w:t> </w:t>
            </w:r>
            <w:r>
              <w:rPr>
                <w:sz w:val="24"/>
              </w:rPr>
              <w:t>Best</w:t>
            </w:r>
            <w:r>
              <w:rPr>
                <w:spacing w:val="-1"/>
                <w:sz w:val="24"/>
              </w:rPr>
              <w:t> </w:t>
            </w:r>
            <w:r>
              <w:rPr>
                <w:sz w:val="24"/>
              </w:rPr>
              <w:t>Ways of</w:t>
            </w:r>
            <w:r>
              <w:rPr>
                <w:spacing w:val="-1"/>
                <w:sz w:val="24"/>
              </w:rPr>
              <w:t> </w:t>
            </w:r>
            <w:r>
              <w:rPr>
                <w:sz w:val="24"/>
              </w:rPr>
              <w:t>Conflict</w:t>
            </w:r>
            <w:r>
              <w:rPr>
                <w:spacing w:val="-2"/>
                <w:sz w:val="24"/>
              </w:rPr>
              <w:t> </w:t>
            </w:r>
            <w:r>
              <w:rPr>
                <w:sz w:val="24"/>
              </w:rPr>
              <w:t>Management</w:t>
            </w:r>
            <w:r>
              <w:rPr>
                <w:spacing w:val="1"/>
                <w:sz w:val="24"/>
              </w:rPr>
              <w:t> </w:t>
            </w:r>
            <w:r>
              <w:rPr>
                <w:sz w:val="24"/>
              </w:rPr>
              <w:t>in</w:t>
            </w:r>
            <w:r>
              <w:rPr>
                <w:spacing w:val="-2"/>
                <w:sz w:val="24"/>
              </w:rPr>
              <w:t> </w:t>
            </w:r>
            <w:r>
              <w:rPr>
                <w:sz w:val="24"/>
              </w:rPr>
              <w:t>the</w:t>
            </w:r>
            <w:r>
              <w:rPr>
                <w:spacing w:val="-2"/>
                <w:sz w:val="24"/>
              </w:rPr>
              <w:t> Niger</w:t>
            </w:r>
          </w:p>
        </w:tc>
        <w:tc>
          <w:tcPr>
            <w:tcW w:w="811" w:type="dxa"/>
          </w:tcPr>
          <w:p>
            <w:pPr>
              <w:pStyle w:val="TableParagraph"/>
              <w:rPr>
                <w:sz w:val="24"/>
              </w:rPr>
            </w:pPr>
          </w:p>
        </w:tc>
      </w:tr>
      <w:tr>
        <w:trPr>
          <w:trHeight w:val="413" w:hRule="atLeast"/>
        </w:trPr>
        <w:tc>
          <w:tcPr>
            <w:tcW w:w="1193" w:type="dxa"/>
          </w:tcPr>
          <w:p>
            <w:pPr>
              <w:pStyle w:val="TableParagraph"/>
              <w:rPr>
                <w:sz w:val="24"/>
              </w:rPr>
            </w:pPr>
          </w:p>
        </w:tc>
        <w:tc>
          <w:tcPr>
            <w:tcW w:w="6379" w:type="dxa"/>
          </w:tcPr>
          <w:p>
            <w:pPr>
              <w:pStyle w:val="TableParagraph"/>
              <w:spacing w:before="64"/>
              <w:ind w:left="297"/>
              <w:rPr>
                <w:sz w:val="24"/>
              </w:rPr>
            </w:pPr>
            <w:r>
              <w:rPr>
                <w:spacing w:val="-2"/>
                <w:sz w:val="24"/>
              </w:rPr>
              <w:t>Delta</w:t>
            </w:r>
          </w:p>
        </w:tc>
        <w:tc>
          <w:tcPr>
            <w:tcW w:w="811" w:type="dxa"/>
          </w:tcPr>
          <w:p>
            <w:pPr>
              <w:pStyle w:val="TableParagraph"/>
              <w:spacing w:before="64"/>
              <w:ind w:right="49"/>
              <w:jc w:val="right"/>
              <w:rPr>
                <w:sz w:val="24"/>
              </w:rPr>
            </w:pPr>
            <w:r>
              <w:rPr>
                <w:spacing w:val="-5"/>
                <w:sz w:val="24"/>
              </w:rPr>
              <w:t>118</w:t>
            </w:r>
          </w:p>
        </w:tc>
      </w:tr>
      <w:tr>
        <w:trPr>
          <w:trHeight w:val="414" w:hRule="atLeast"/>
        </w:trPr>
        <w:tc>
          <w:tcPr>
            <w:tcW w:w="1193" w:type="dxa"/>
          </w:tcPr>
          <w:p>
            <w:pPr>
              <w:pStyle w:val="TableParagraph"/>
              <w:spacing w:before="63"/>
              <w:ind w:left="50"/>
              <w:rPr>
                <w:sz w:val="24"/>
              </w:rPr>
            </w:pPr>
            <w:r>
              <w:rPr>
                <w:sz w:val="24"/>
              </w:rPr>
              <w:t>Table</w:t>
            </w:r>
            <w:r>
              <w:rPr>
                <w:spacing w:val="-5"/>
                <w:sz w:val="24"/>
              </w:rPr>
              <w:t> 11</w:t>
            </w:r>
          </w:p>
        </w:tc>
        <w:tc>
          <w:tcPr>
            <w:tcW w:w="6379" w:type="dxa"/>
          </w:tcPr>
          <w:p>
            <w:pPr>
              <w:pStyle w:val="TableParagraph"/>
              <w:spacing w:before="63"/>
              <w:ind w:left="297"/>
              <w:rPr>
                <w:sz w:val="24"/>
              </w:rPr>
            </w:pPr>
            <w:r>
              <w:rPr>
                <w:sz w:val="24"/>
              </w:rPr>
              <w:t>Perception</w:t>
            </w:r>
            <w:r>
              <w:rPr>
                <w:spacing w:val="-1"/>
                <w:sz w:val="24"/>
              </w:rPr>
              <w:t> </w:t>
            </w:r>
            <w:r>
              <w:rPr>
                <w:sz w:val="24"/>
              </w:rPr>
              <w:t>on</w:t>
            </w:r>
            <w:r>
              <w:rPr>
                <w:spacing w:val="-1"/>
                <w:sz w:val="24"/>
              </w:rPr>
              <w:t> </w:t>
            </w:r>
            <w:r>
              <w:rPr>
                <w:sz w:val="24"/>
              </w:rPr>
              <w:t>Why</w:t>
            </w:r>
            <w:r>
              <w:rPr>
                <w:spacing w:val="-5"/>
                <w:sz w:val="24"/>
              </w:rPr>
              <w:t> </w:t>
            </w:r>
            <w:r>
              <w:rPr>
                <w:sz w:val="24"/>
              </w:rPr>
              <w:t>Joint problem</w:t>
            </w:r>
            <w:r>
              <w:rPr>
                <w:spacing w:val="-1"/>
                <w:sz w:val="24"/>
              </w:rPr>
              <w:t> </w:t>
            </w:r>
            <w:r>
              <w:rPr>
                <w:sz w:val="24"/>
              </w:rPr>
              <w:t>Solving</w:t>
            </w:r>
            <w:r>
              <w:rPr>
                <w:spacing w:val="-3"/>
                <w:sz w:val="24"/>
              </w:rPr>
              <w:t> </w:t>
            </w:r>
            <w:r>
              <w:rPr>
                <w:sz w:val="24"/>
              </w:rPr>
              <w:t>Approach</w:t>
            </w:r>
            <w:r>
              <w:rPr>
                <w:spacing w:val="-1"/>
                <w:sz w:val="24"/>
              </w:rPr>
              <w:t> </w:t>
            </w:r>
            <w:r>
              <w:rPr>
                <w:sz w:val="24"/>
              </w:rPr>
              <w:t>Has </w:t>
            </w:r>
            <w:r>
              <w:rPr>
                <w:spacing w:val="-5"/>
                <w:sz w:val="24"/>
              </w:rPr>
              <w:t>Not</w:t>
            </w:r>
          </w:p>
        </w:tc>
        <w:tc>
          <w:tcPr>
            <w:tcW w:w="811" w:type="dxa"/>
          </w:tcPr>
          <w:p>
            <w:pPr>
              <w:pStyle w:val="TableParagraph"/>
              <w:rPr>
                <w:sz w:val="24"/>
              </w:rPr>
            </w:pPr>
          </w:p>
        </w:tc>
      </w:tr>
      <w:tr>
        <w:trPr>
          <w:trHeight w:val="413" w:hRule="atLeast"/>
        </w:trPr>
        <w:tc>
          <w:tcPr>
            <w:tcW w:w="1193" w:type="dxa"/>
          </w:tcPr>
          <w:p>
            <w:pPr>
              <w:pStyle w:val="TableParagraph"/>
              <w:rPr>
                <w:sz w:val="24"/>
              </w:rPr>
            </w:pPr>
          </w:p>
        </w:tc>
        <w:tc>
          <w:tcPr>
            <w:tcW w:w="6379" w:type="dxa"/>
          </w:tcPr>
          <w:p>
            <w:pPr>
              <w:pStyle w:val="TableParagraph"/>
              <w:spacing w:before="64"/>
              <w:ind w:left="297"/>
              <w:rPr>
                <w:sz w:val="24"/>
              </w:rPr>
            </w:pPr>
            <w:r>
              <w:rPr>
                <w:sz w:val="24"/>
              </w:rPr>
              <w:t>Been Employed</w:t>
            </w:r>
            <w:r>
              <w:rPr>
                <w:spacing w:val="-1"/>
                <w:sz w:val="24"/>
              </w:rPr>
              <w:t> </w:t>
            </w:r>
            <w:r>
              <w:rPr>
                <w:sz w:val="24"/>
              </w:rPr>
              <w:t>in</w:t>
            </w:r>
            <w:r>
              <w:rPr>
                <w:spacing w:val="-1"/>
                <w:sz w:val="24"/>
              </w:rPr>
              <w:t> </w:t>
            </w:r>
            <w:r>
              <w:rPr>
                <w:sz w:val="24"/>
              </w:rPr>
              <w:t>the</w:t>
            </w:r>
            <w:r>
              <w:rPr>
                <w:spacing w:val="-2"/>
                <w:sz w:val="24"/>
              </w:rPr>
              <w:t> </w:t>
            </w:r>
            <w:r>
              <w:rPr>
                <w:sz w:val="24"/>
              </w:rPr>
              <w:t>Niger</w:t>
            </w:r>
            <w:r>
              <w:rPr>
                <w:spacing w:val="-1"/>
                <w:sz w:val="24"/>
              </w:rPr>
              <w:t> </w:t>
            </w:r>
            <w:r>
              <w:rPr>
                <w:spacing w:val="-2"/>
                <w:sz w:val="24"/>
              </w:rPr>
              <w:t>Delta</w:t>
            </w:r>
          </w:p>
        </w:tc>
        <w:tc>
          <w:tcPr>
            <w:tcW w:w="811" w:type="dxa"/>
          </w:tcPr>
          <w:p>
            <w:pPr>
              <w:pStyle w:val="TableParagraph"/>
              <w:spacing w:before="64"/>
              <w:ind w:right="49"/>
              <w:jc w:val="right"/>
              <w:rPr>
                <w:sz w:val="24"/>
              </w:rPr>
            </w:pPr>
            <w:r>
              <w:rPr>
                <w:spacing w:val="-5"/>
                <w:sz w:val="24"/>
              </w:rPr>
              <w:t>119</w:t>
            </w:r>
          </w:p>
        </w:tc>
      </w:tr>
      <w:tr>
        <w:trPr>
          <w:trHeight w:val="413" w:hRule="atLeast"/>
        </w:trPr>
        <w:tc>
          <w:tcPr>
            <w:tcW w:w="1193" w:type="dxa"/>
          </w:tcPr>
          <w:p>
            <w:pPr>
              <w:pStyle w:val="TableParagraph"/>
              <w:spacing w:before="63"/>
              <w:ind w:left="50"/>
              <w:rPr>
                <w:sz w:val="24"/>
              </w:rPr>
            </w:pPr>
            <w:r>
              <w:rPr>
                <w:sz w:val="24"/>
              </w:rPr>
              <w:t>Table</w:t>
            </w:r>
            <w:r>
              <w:rPr>
                <w:spacing w:val="-2"/>
                <w:sz w:val="24"/>
              </w:rPr>
              <w:t> </w:t>
            </w:r>
            <w:r>
              <w:rPr>
                <w:spacing w:val="-5"/>
                <w:sz w:val="24"/>
              </w:rPr>
              <w:t>12</w:t>
            </w:r>
          </w:p>
        </w:tc>
        <w:tc>
          <w:tcPr>
            <w:tcW w:w="6379" w:type="dxa"/>
          </w:tcPr>
          <w:p>
            <w:pPr>
              <w:pStyle w:val="TableParagraph"/>
              <w:spacing w:before="63"/>
              <w:ind w:left="297"/>
              <w:rPr>
                <w:sz w:val="24"/>
              </w:rPr>
            </w:pPr>
            <w:r>
              <w:rPr>
                <w:sz w:val="24"/>
              </w:rPr>
              <w:t>JTF</w:t>
            </w:r>
            <w:r>
              <w:rPr>
                <w:spacing w:val="-2"/>
                <w:sz w:val="24"/>
              </w:rPr>
              <w:t> </w:t>
            </w:r>
            <w:r>
              <w:rPr>
                <w:sz w:val="24"/>
              </w:rPr>
              <w:t>Intervention</w:t>
            </w:r>
            <w:r>
              <w:rPr>
                <w:spacing w:val="-2"/>
                <w:sz w:val="24"/>
              </w:rPr>
              <w:t> </w:t>
            </w:r>
            <w:r>
              <w:rPr>
                <w:sz w:val="24"/>
              </w:rPr>
              <w:t>of</w:t>
            </w:r>
            <w:r>
              <w:rPr>
                <w:spacing w:val="-2"/>
                <w:sz w:val="24"/>
              </w:rPr>
              <w:t> </w:t>
            </w:r>
            <w:r>
              <w:rPr>
                <w:sz w:val="24"/>
              </w:rPr>
              <w:t>Sustainable</w:t>
            </w:r>
            <w:r>
              <w:rPr>
                <w:spacing w:val="-1"/>
                <w:sz w:val="24"/>
              </w:rPr>
              <w:t> </w:t>
            </w:r>
            <w:r>
              <w:rPr>
                <w:spacing w:val="-4"/>
                <w:sz w:val="24"/>
              </w:rPr>
              <w:t>Peace</w:t>
            </w:r>
          </w:p>
        </w:tc>
        <w:tc>
          <w:tcPr>
            <w:tcW w:w="811" w:type="dxa"/>
          </w:tcPr>
          <w:p>
            <w:pPr>
              <w:pStyle w:val="TableParagraph"/>
              <w:spacing w:before="63"/>
              <w:ind w:right="49"/>
              <w:jc w:val="right"/>
              <w:rPr>
                <w:sz w:val="24"/>
              </w:rPr>
            </w:pPr>
            <w:r>
              <w:rPr>
                <w:spacing w:val="-5"/>
                <w:sz w:val="24"/>
              </w:rPr>
              <w:t>120</w:t>
            </w:r>
          </w:p>
        </w:tc>
      </w:tr>
      <w:tr>
        <w:trPr>
          <w:trHeight w:val="414" w:hRule="atLeast"/>
        </w:trPr>
        <w:tc>
          <w:tcPr>
            <w:tcW w:w="1193" w:type="dxa"/>
          </w:tcPr>
          <w:p>
            <w:pPr>
              <w:pStyle w:val="TableParagraph"/>
              <w:spacing w:before="64"/>
              <w:ind w:left="50"/>
              <w:rPr>
                <w:sz w:val="24"/>
              </w:rPr>
            </w:pPr>
            <w:r>
              <w:rPr>
                <w:sz w:val="24"/>
              </w:rPr>
              <w:t>Table</w:t>
            </w:r>
            <w:r>
              <w:rPr>
                <w:spacing w:val="-2"/>
                <w:sz w:val="24"/>
              </w:rPr>
              <w:t> </w:t>
            </w:r>
            <w:r>
              <w:rPr>
                <w:spacing w:val="-5"/>
                <w:sz w:val="24"/>
              </w:rPr>
              <w:t>13</w:t>
            </w:r>
          </w:p>
        </w:tc>
        <w:tc>
          <w:tcPr>
            <w:tcW w:w="6379" w:type="dxa"/>
          </w:tcPr>
          <w:p>
            <w:pPr>
              <w:pStyle w:val="TableParagraph"/>
              <w:spacing w:before="64"/>
              <w:ind w:left="297"/>
              <w:rPr>
                <w:sz w:val="24"/>
              </w:rPr>
            </w:pPr>
            <w:r>
              <w:rPr>
                <w:sz w:val="24"/>
              </w:rPr>
              <w:t>Perception</w:t>
            </w:r>
            <w:r>
              <w:rPr>
                <w:spacing w:val="-1"/>
                <w:sz w:val="24"/>
              </w:rPr>
              <w:t> </w:t>
            </w:r>
            <w:r>
              <w:rPr>
                <w:sz w:val="24"/>
              </w:rPr>
              <w:t>of</w:t>
            </w:r>
            <w:r>
              <w:rPr>
                <w:spacing w:val="-1"/>
                <w:sz w:val="24"/>
              </w:rPr>
              <w:t> </w:t>
            </w:r>
            <w:r>
              <w:rPr>
                <w:sz w:val="24"/>
              </w:rPr>
              <w:t>Niger Delta</w:t>
            </w:r>
            <w:r>
              <w:rPr>
                <w:spacing w:val="-2"/>
                <w:sz w:val="24"/>
              </w:rPr>
              <w:t> </w:t>
            </w:r>
            <w:r>
              <w:rPr>
                <w:sz w:val="24"/>
              </w:rPr>
              <w:t>Youths on JTF</w:t>
            </w:r>
            <w:r>
              <w:rPr>
                <w:spacing w:val="-2"/>
                <w:sz w:val="24"/>
              </w:rPr>
              <w:t> operations</w:t>
            </w:r>
          </w:p>
        </w:tc>
        <w:tc>
          <w:tcPr>
            <w:tcW w:w="811" w:type="dxa"/>
          </w:tcPr>
          <w:p>
            <w:pPr>
              <w:pStyle w:val="TableParagraph"/>
              <w:spacing w:before="64"/>
              <w:ind w:right="49"/>
              <w:jc w:val="right"/>
              <w:rPr>
                <w:sz w:val="24"/>
              </w:rPr>
            </w:pPr>
            <w:r>
              <w:rPr>
                <w:spacing w:val="-5"/>
                <w:sz w:val="24"/>
              </w:rPr>
              <w:t>122</w:t>
            </w:r>
          </w:p>
        </w:tc>
      </w:tr>
      <w:tr>
        <w:trPr>
          <w:trHeight w:val="414" w:hRule="atLeast"/>
        </w:trPr>
        <w:tc>
          <w:tcPr>
            <w:tcW w:w="1193" w:type="dxa"/>
          </w:tcPr>
          <w:p>
            <w:pPr>
              <w:pStyle w:val="TableParagraph"/>
              <w:spacing w:before="63"/>
              <w:ind w:left="50"/>
              <w:rPr>
                <w:sz w:val="24"/>
              </w:rPr>
            </w:pPr>
            <w:r>
              <w:rPr>
                <w:sz w:val="24"/>
              </w:rPr>
              <w:t>Table</w:t>
            </w:r>
            <w:r>
              <w:rPr>
                <w:spacing w:val="-2"/>
                <w:sz w:val="24"/>
              </w:rPr>
              <w:t> </w:t>
            </w:r>
            <w:r>
              <w:rPr>
                <w:spacing w:val="-5"/>
                <w:sz w:val="24"/>
              </w:rPr>
              <w:t>14</w:t>
            </w:r>
          </w:p>
        </w:tc>
        <w:tc>
          <w:tcPr>
            <w:tcW w:w="6379" w:type="dxa"/>
          </w:tcPr>
          <w:p>
            <w:pPr>
              <w:pStyle w:val="TableParagraph"/>
              <w:spacing w:before="63"/>
              <w:ind w:left="297"/>
              <w:rPr>
                <w:sz w:val="24"/>
              </w:rPr>
            </w:pPr>
            <w:r>
              <w:rPr>
                <w:sz w:val="24"/>
              </w:rPr>
              <w:t>Perception</w:t>
            </w:r>
            <w:r>
              <w:rPr>
                <w:spacing w:val="-6"/>
                <w:sz w:val="24"/>
              </w:rPr>
              <w:t> </w:t>
            </w:r>
            <w:r>
              <w:rPr>
                <w:sz w:val="24"/>
              </w:rPr>
              <w:t>of</w:t>
            </w:r>
            <w:r>
              <w:rPr>
                <w:spacing w:val="-5"/>
                <w:sz w:val="24"/>
              </w:rPr>
              <w:t> </w:t>
            </w:r>
            <w:r>
              <w:rPr>
                <w:sz w:val="24"/>
              </w:rPr>
              <w:t>Niger</w:t>
            </w:r>
            <w:r>
              <w:rPr>
                <w:spacing w:val="-6"/>
                <w:sz w:val="24"/>
              </w:rPr>
              <w:t> </w:t>
            </w:r>
            <w:r>
              <w:rPr>
                <w:sz w:val="24"/>
              </w:rPr>
              <w:t>Delta</w:t>
            </w:r>
            <w:r>
              <w:rPr>
                <w:spacing w:val="-5"/>
                <w:sz w:val="24"/>
              </w:rPr>
              <w:t> </w:t>
            </w:r>
            <w:r>
              <w:rPr>
                <w:sz w:val="24"/>
              </w:rPr>
              <w:t>NGO‟s</w:t>
            </w:r>
            <w:r>
              <w:rPr>
                <w:spacing w:val="-6"/>
                <w:sz w:val="24"/>
              </w:rPr>
              <w:t> </w:t>
            </w:r>
            <w:r>
              <w:rPr>
                <w:sz w:val="24"/>
              </w:rPr>
              <w:t>on</w:t>
            </w:r>
            <w:r>
              <w:rPr>
                <w:spacing w:val="-5"/>
                <w:sz w:val="24"/>
              </w:rPr>
              <w:t> </w:t>
            </w:r>
            <w:r>
              <w:rPr>
                <w:sz w:val="24"/>
              </w:rPr>
              <w:t>JTF</w:t>
            </w:r>
            <w:r>
              <w:rPr>
                <w:spacing w:val="-5"/>
                <w:sz w:val="24"/>
              </w:rPr>
              <w:t> </w:t>
            </w:r>
            <w:r>
              <w:rPr>
                <w:spacing w:val="-2"/>
                <w:sz w:val="24"/>
              </w:rPr>
              <w:t>Intervention</w:t>
            </w:r>
          </w:p>
        </w:tc>
        <w:tc>
          <w:tcPr>
            <w:tcW w:w="811" w:type="dxa"/>
          </w:tcPr>
          <w:p>
            <w:pPr>
              <w:pStyle w:val="TableParagraph"/>
              <w:spacing w:before="63"/>
              <w:ind w:right="49"/>
              <w:jc w:val="right"/>
              <w:rPr>
                <w:sz w:val="24"/>
              </w:rPr>
            </w:pPr>
            <w:r>
              <w:rPr>
                <w:spacing w:val="-5"/>
                <w:sz w:val="24"/>
              </w:rPr>
              <w:t>123</w:t>
            </w:r>
          </w:p>
        </w:tc>
      </w:tr>
      <w:tr>
        <w:trPr>
          <w:trHeight w:val="413" w:hRule="atLeast"/>
        </w:trPr>
        <w:tc>
          <w:tcPr>
            <w:tcW w:w="1193" w:type="dxa"/>
          </w:tcPr>
          <w:p>
            <w:pPr>
              <w:pStyle w:val="TableParagraph"/>
              <w:spacing w:before="64"/>
              <w:ind w:left="50"/>
              <w:rPr>
                <w:sz w:val="24"/>
              </w:rPr>
            </w:pPr>
            <w:r>
              <w:rPr>
                <w:sz w:val="24"/>
              </w:rPr>
              <w:t>Table</w:t>
            </w:r>
            <w:r>
              <w:rPr>
                <w:spacing w:val="-2"/>
                <w:sz w:val="24"/>
              </w:rPr>
              <w:t> </w:t>
            </w:r>
            <w:r>
              <w:rPr>
                <w:spacing w:val="-5"/>
                <w:sz w:val="24"/>
              </w:rPr>
              <w:t>15</w:t>
            </w:r>
          </w:p>
        </w:tc>
        <w:tc>
          <w:tcPr>
            <w:tcW w:w="6379" w:type="dxa"/>
          </w:tcPr>
          <w:p>
            <w:pPr>
              <w:pStyle w:val="TableParagraph"/>
              <w:spacing w:before="64"/>
              <w:ind w:left="297"/>
              <w:rPr>
                <w:sz w:val="24"/>
              </w:rPr>
            </w:pPr>
            <w:r>
              <w:rPr>
                <w:sz w:val="24"/>
              </w:rPr>
              <w:t>Public</w:t>
            </w:r>
            <w:r>
              <w:rPr>
                <w:spacing w:val="-2"/>
                <w:sz w:val="24"/>
              </w:rPr>
              <w:t> </w:t>
            </w:r>
            <w:r>
              <w:rPr>
                <w:sz w:val="24"/>
              </w:rPr>
              <w:t>Perception of</w:t>
            </w:r>
            <w:r>
              <w:rPr>
                <w:spacing w:val="-2"/>
                <w:sz w:val="24"/>
              </w:rPr>
              <w:t> </w:t>
            </w:r>
            <w:r>
              <w:rPr>
                <w:sz w:val="24"/>
              </w:rPr>
              <w:t>the</w:t>
            </w:r>
            <w:r>
              <w:rPr>
                <w:spacing w:val="1"/>
                <w:sz w:val="24"/>
              </w:rPr>
              <w:t> </w:t>
            </w:r>
            <w:r>
              <w:rPr>
                <w:sz w:val="24"/>
              </w:rPr>
              <w:t>JTF</w:t>
            </w:r>
            <w:r>
              <w:rPr>
                <w:spacing w:val="-2"/>
                <w:sz w:val="24"/>
              </w:rPr>
              <w:t> Operation</w:t>
            </w:r>
          </w:p>
        </w:tc>
        <w:tc>
          <w:tcPr>
            <w:tcW w:w="811" w:type="dxa"/>
          </w:tcPr>
          <w:p>
            <w:pPr>
              <w:pStyle w:val="TableParagraph"/>
              <w:spacing w:before="64"/>
              <w:ind w:right="49"/>
              <w:jc w:val="right"/>
              <w:rPr>
                <w:sz w:val="24"/>
              </w:rPr>
            </w:pPr>
            <w:r>
              <w:rPr>
                <w:spacing w:val="-5"/>
                <w:sz w:val="24"/>
              </w:rPr>
              <w:t>124</w:t>
            </w:r>
          </w:p>
        </w:tc>
      </w:tr>
      <w:tr>
        <w:trPr>
          <w:trHeight w:val="413" w:hRule="atLeast"/>
        </w:trPr>
        <w:tc>
          <w:tcPr>
            <w:tcW w:w="1193" w:type="dxa"/>
          </w:tcPr>
          <w:p>
            <w:pPr>
              <w:pStyle w:val="TableParagraph"/>
              <w:spacing w:before="63"/>
              <w:ind w:left="50"/>
              <w:rPr>
                <w:sz w:val="24"/>
              </w:rPr>
            </w:pPr>
            <w:r>
              <w:rPr>
                <w:sz w:val="24"/>
              </w:rPr>
              <w:t>Table</w:t>
            </w:r>
            <w:r>
              <w:rPr>
                <w:spacing w:val="-2"/>
                <w:sz w:val="24"/>
              </w:rPr>
              <w:t> </w:t>
            </w:r>
            <w:r>
              <w:rPr>
                <w:spacing w:val="-5"/>
                <w:sz w:val="24"/>
              </w:rPr>
              <w:t>16</w:t>
            </w:r>
          </w:p>
        </w:tc>
        <w:tc>
          <w:tcPr>
            <w:tcW w:w="6379" w:type="dxa"/>
          </w:tcPr>
          <w:p>
            <w:pPr>
              <w:pStyle w:val="TableParagraph"/>
              <w:spacing w:before="63"/>
              <w:ind w:left="297"/>
              <w:rPr>
                <w:sz w:val="24"/>
              </w:rPr>
            </w:pPr>
            <w:r>
              <w:rPr>
                <w:sz w:val="24"/>
              </w:rPr>
              <w:t>Perception</w:t>
            </w:r>
            <w:r>
              <w:rPr>
                <w:spacing w:val="-2"/>
                <w:sz w:val="24"/>
              </w:rPr>
              <w:t> </w:t>
            </w:r>
            <w:r>
              <w:rPr>
                <w:sz w:val="24"/>
              </w:rPr>
              <w:t>of</w:t>
            </w:r>
            <w:r>
              <w:rPr>
                <w:spacing w:val="-1"/>
                <w:sz w:val="24"/>
              </w:rPr>
              <w:t> </w:t>
            </w:r>
            <w:r>
              <w:rPr>
                <w:sz w:val="24"/>
              </w:rPr>
              <w:t>State</w:t>
            </w:r>
            <w:r>
              <w:rPr>
                <w:spacing w:val="-1"/>
                <w:sz w:val="24"/>
              </w:rPr>
              <w:t> </w:t>
            </w:r>
            <w:r>
              <w:rPr>
                <w:sz w:val="24"/>
              </w:rPr>
              <w:t>Governments on JTF</w:t>
            </w:r>
            <w:r>
              <w:rPr>
                <w:spacing w:val="-2"/>
                <w:sz w:val="24"/>
              </w:rPr>
              <w:t> </w:t>
            </w:r>
            <w:r>
              <w:rPr>
                <w:sz w:val="24"/>
              </w:rPr>
              <w:t>as Necessary</w:t>
            </w:r>
            <w:r>
              <w:rPr>
                <w:spacing w:val="-4"/>
                <w:sz w:val="24"/>
              </w:rPr>
              <w:t> </w:t>
            </w:r>
            <w:r>
              <w:rPr>
                <w:spacing w:val="-2"/>
                <w:sz w:val="24"/>
              </w:rPr>
              <w:t>Peace</w:t>
            </w:r>
          </w:p>
        </w:tc>
        <w:tc>
          <w:tcPr>
            <w:tcW w:w="811" w:type="dxa"/>
          </w:tcPr>
          <w:p>
            <w:pPr>
              <w:pStyle w:val="TableParagraph"/>
              <w:rPr>
                <w:sz w:val="24"/>
              </w:rPr>
            </w:pPr>
          </w:p>
        </w:tc>
      </w:tr>
      <w:tr>
        <w:trPr>
          <w:trHeight w:val="413" w:hRule="atLeast"/>
        </w:trPr>
        <w:tc>
          <w:tcPr>
            <w:tcW w:w="1193" w:type="dxa"/>
          </w:tcPr>
          <w:p>
            <w:pPr>
              <w:pStyle w:val="TableParagraph"/>
              <w:rPr>
                <w:sz w:val="24"/>
              </w:rPr>
            </w:pPr>
          </w:p>
        </w:tc>
        <w:tc>
          <w:tcPr>
            <w:tcW w:w="6379" w:type="dxa"/>
          </w:tcPr>
          <w:p>
            <w:pPr>
              <w:pStyle w:val="TableParagraph"/>
              <w:spacing w:before="64"/>
              <w:ind w:left="297"/>
              <w:rPr>
                <w:sz w:val="24"/>
              </w:rPr>
            </w:pPr>
            <w:r>
              <w:rPr>
                <w:spacing w:val="-2"/>
                <w:sz w:val="24"/>
              </w:rPr>
              <w:t>Mechanism</w:t>
            </w:r>
          </w:p>
        </w:tc>
        <w:tc>
          <w:tcPr>
            <w:tcW w:w="811" w:type="dxa"/>
          </w:tcPr>
          <w:p>
            <w:pPr>
              <w:pStyle w:val="TableParagraph"/>
              <w:spacing w:before="64"/>
              <w:ind w:right="49"/>
              <w:jc w:val="right"/>
              <w:rPr>
                <w:sz w:val="24"/>
              </w:rPr>
            </w:pPr>
            <w:r>
              <w:rPr>
                <w:spacing w:val="-5"/>
                <w:sz w:val="24"/>
              </w:rPr>
              <w:t>126</w:t>
            </w:r>
          </w:p>
        </w:tc>
      </w:tr>
      <w:tr>
        <w:trPr>
          <w:trHeight w:val="414" w:hRule="atLeast"/>
        </w:trPr>
        <w:tc>
          <w:tcPr>
            <w:tcW w:w="1193" w:type="dxa"/>
          </w:tcPr>
          <w:p>
            <w:pPr>
              <w:pStyle w:val="TableParagraph"/>
              <w:spacing w:before="63"/>
              <w:ind w:left="50"/>
              <w:rPr>
                <w:sz w:val="24"/>
              </w:rPr>
            </w:pPr>
            <w:r>
              <w:rPr>
                <w:sz w:val="24"/>
              </w:rPr>
              <w:t>Table</w:t>
            </w:r>
            <w:r>
              <w:rPr>
                <w:spacing w:val="-2"/>
                <w:sz w:val="24"/>
              </w:rPr>
              <w:t> </w:t>
            </w:r>
            <w:r>
              <w:rPr>
                <w:spacing w:val="-5"/>
                <w:sz w:val="24"/>
              </w:rPr>
              <w:t>17</w:t>
            </w:r>
          </w:p>
        </w:tc>
        <w:tc>
          <w:tcPr>
            <w:tcW w:w="6379" w:type="dxa"/>
          </w:tcPr>
          <w:p>
            <w:pPr>
              <w:pStyle w:val="TableParagraph"/>
              <w:spacing w:before="63"/>
              <w:ind w:left="297"/>
              <w:rPr>
                <w:sz w:val="24"/>
              </w:rPr>
            </w:pPr>
            <w:r>
              <w:rPr>
                <w:sz w:val="24"/>
              </w:rPr>
              <w:t>Approaches Adopted</w:t>
            </w:r>
            <w:r>
              <w:rPr>
                <w:spacing w:val="-1"/>
                <w:sz w:val="24"/>
              </w:rPr>
              <w:t> </w:t>
            </w:r>
            <w:r>
              <w:rPr>
                <w:sz w:val="24"/>
              </w:rPr>
              <w:t>by</w:t>
            </w:r>
            <w:r>
              <w:rPr>
                <w:spacing w:val="-3"/>
                <w:sz w:val="24"/>
              </w:rPr>
              <w:t> </w:t>
            </w:r>
            <w:r>
              <w:rPr>
                <w:sz w:val="24"/>
              </w:rPr>
              <w:t>JTF</w:t>
            </w:r>
            <w:r>
              <w:rPr>
                <w:spacing w:val="-2"/>
                <w:sz w:val="24"/>
              </w:rPr>
              <w:t> </w:t>
            </w:r>
            <w:r>
              <w:rPr>
                <w:sz w:val="24"/>
              </w:rPr>
              <w:t>in Dealing</w:t>
            </w:r>
            <w:r>
              <w:rPr>
                <w:spacing w:val="-3"/>
                <w:sz w:val="24"/>
              </w:rPr>
              <w:t> </w:t>
            </w:r>
            <w:r>
              <w:rPr>
                <w:sz w:val="24"/>
              </w:rPr>
              <w:t>with Niger</w:t>
            </w:r>
            <w:r>
              <w:rPr>
                <w:spacing w:val="1"/>
                <w:sz w:val="24"/>
              </w:rPr>
              <w:t> </w:t>
            </w:r>
            <w:r>
              <w:rPr>
                <w:spacing w:val="-2"/>
                <w:sz w:val="24"/>
              </w:rPr>
              <w:t>Delta</w:t>
            </w:r>
          </w:p>
        </w:tc>
        <w:tc>
          <w:tcPr>
            <w:tcW w:w="811" w:type="dxa"/>
          </w:tcPr>
          <w:p>
            <w:pPr>
              <w:pStyle w:val="TableParagraph"/>
              <w:rPr>
                <w:sz w:val="24"/>
              </w:rPr>
            </w:pPr>
          </w:p>
        </w:tc>
      </w:tr>
      <w:tr>
        <w:trPr>
          <w:trHeight w:val="413" w:hRule="atLeast"/>
        </w:trPr>
        <w:tc>
          <w:tcPr>
            <w:tcW w:w="1193" w:type="dxa"/>
          </w:tcPr>
          <w:p>
            <w:pPr>
              <w:pStyle w:val="TableParagraph"/>
              <w:rPr>
                <w:sz w:val="24"/>
              </w:rPr>
            </w:pPr>
          </w:p>
        </w:tc>
        <w:tc>
          <w:tcPr>
            <w:tcW w:w="6379" w:type="dxa"/>
          </w:tcPr>
          <w:p>
            <w:pPr>
              <w:pStyle w:val="TableParagraph"/>
              <w:spacing w:before="64"/>
              <w:ind w:left="297"/>
              <w:rPr>
                <w:sz w:val="24"/>
              </w:rPr>
            </w:pPr>
            <w:r>
              <w:rPr>
                <w:spacing w:val="-2"/>
                <w:sz w:val="24"/>
              </w:rPr>
              <w:t>Conflict</w:t>
            </w:r>
          </w:p>
        </w:tc>
        <w:tc>
          <w:tcPr>
            <w:tcW w:w="811" w:type="dxa"/>
          </w:tcPr>
          <w:p>
            <w:pPr>
              <w:pStyle w:val="TableParagraph"/>
              <w:spacing w:before="64"/>
              <w:ind w:right="49"/>
              <w:jc w:val="right"/>
              <w:rPr>
                <w:sz w:val="24"/>
              </w:rPr>
            </w:pPr>
            <w:r>
              <w:rPr>
                <w:spacing w:val="-5"/>
                <w:sz w:val="24"/>
              </w:rPr>
              <w:t>127</w:t>
            </w:r>
          </w:p>
        </w:tc>
      </w:tr>
      <w:tr>
        <w:trPr>
          <w:trHeight w:val="413" w:hRule="atLeast"/>
        </w:trPr>
        <w:tc>
          <w:tcPr>
            <w:tcW w:w="1193" w:type="dxa"/>
          </w:tcPr>
          <w:p>
            <w:pPr>
              <w:pStyle w:val="TableParagraph"/>
              <w:spacing w:before="63"/>
              <w:ind w:left="50"/>
              <w:rPr>
                <w:sz w:val="24"/>
              </w:rPr>
            </w:pPr>
            <w:r>
              <w:rPr>
                <w:sz w:val="24"/>
              </w:rPr>
              <w:t>Table</w:t>
            </w:r>
            <w:r>
              <w:rPr>
                <w:spacing w:val="-2"/>
                <w:sz w:val="24"/>
              </w:rPr>
              <w:t> </w:t>
            </w:r>
            <w:r>
              <w:rPr>
                <w:spacing w:val="-5"/>
                <w:sz w:val="24"/>
              </w:rPr>
              <w:t>18</w:t>
            </w:r>
          </w:p>
        </w:tc>
        <w:tc>
          <w:tcPr>
            <w:tcW w:w="6379" w:type="dxa"/>
          </w:tcPr>
          <w:p>
            <w:pPr>
              <w:pStyle w:val="TableParagraph"/>
              <w:spacing w:before="63"/>
              <w:ind w:left="297"/>
              <w:rPr>
                <w:sz w:val="24"/>
              </w:rPr>
            </w:pPr>
            <w:r>
              <w:rPr>
                <w:sz w:val="24"/>
              </w:rPr>
              <w:t>Mean</w:t>
            </w:r>
            <w:r>
              <w:rPr>
                <w:spacing w:val="-2"/>
                <w:sz w:val="24"/>
              </w:rPr>
              <w:t> </w:t>
            </w:r>
            <w:r>
              <w:rPr>
                <w:sz w:val="24"/>
              </w:rPr>
              <w:t>Showing</w:t>
            </w:r>
            <w:r>
              <w:rPr>
                <w:spacing w:val="-3"/>
                <w:sz w:val="24"/>
              </w:rPr>
              <w:t> </w:t>
            </w:r>
            <w:r>
              <w:rPr>
                <w:sz w:val="24"/>
              </w:rPr>
              <w:t>Differences</w:t>
            </w:r>
            <w:r>
              <w:rPr>
                <w:spacing w:val="-2"/>
                <w:sz w:val="24"/>
              </w:rPr>
              <w:t> </w:t>
            </w:r>
            <w:r>
              <w:rPr>
                <w:sz w:val="24"/>
              </w:rPr>
              <w:t>in</w:t>
            </w:r>
            <w:r>
              <w:rPr>
                <w:spacing w:val="1"/>
                <w:sz w:val="24"/>
              </w:rPr>
              <w:t> </w:t>
            </w:r>
            <w:r>
              <w:rPr>
                <w:sz w:val="24"/>
              </w:rPr>
              <w:t>Level</w:t>
            </w:r>
            <w:r>
              <w:rPr>
                <w:spacing w:val="-2"/>
                <w:sz w:val="24"/>
              </w:rPr>
              <w:t> </w:t>
            </w:r>
            <w:r>
              <w:rPr>
                <w:sz w:val="24"/>
              </w:rPr>
              <w:t>of</w:t>
            </w:r>
            <w:r>
              <w:rPr>
                <w:spacing w:val="-2"/>
                <w:sz w:val="24"/>
              </w:rPr>
              <w:t> </w:t>
            </w:r>
            <w:r>
              <w:rPr>
                <w:sz w:val="24"/>
              </w:rPr>
              <w:t>Perception</w:t>
            </w:r>
            <w:r>
              <w:rPr>
                <w:spacing w:val="1"/>
                <w:sz w:val="24"/>
              </w:rPr>
              <w:t> </w:t>
            </w:r>
            <w:r>
              <w:rPr>
                <w:spacing w:val="-2"/>
                <w:sz w:val="24"/>
              </w:rPr>
              <w:t>Across</w:t>
            </w:r>
          </w:p>
        </w:tc>
        <w:tc>
          <w:tcPr>
            <w:tcW w:w="811" w:type="dxa"/>
          </w:tcPr>
          <w:p>
            <w:pPr>
              <w:pStyle w:val="TableParagraph"/>
              <w:rPr>
                <w:sz w:val="24"/>
              </w:rPr>
            </w:pPr>
          </w:p>
        </w:tc>
      </w:tr>
      <w:tr>
        <w:trPr>
          <w:trHeight w:val="414" w:hRule="atLeast"/>
        </w:trPr>
        <w:tc>
          <w:tcPr>
            <w:tcW w:w="1193" w:type="dxa"/>
          </w:tcPr>
          <w:p>
            <w:pPr>
              <w:pStyle w:val="TableParagraph"/>
              <w:rPr>
                <w:sz w:val="24"/>
              </w:rPr>
            </w:pPr>
          </w:p>
        </w:tc>
        <w:tc>
          <w:tcPr>
            <w:tcW w:w="6379" w:type="dxa"/>
          </w:tcPr>
          <w:p>
            <w:pPr>
              <w:pStyle w:val="TableParagraph"/>
              <w:spacing w:before="64"/>
              <w:ind w:left="297"/>
              <w:rPr>
                <w:sz w:val="24"/>
              </w:rPr>
            </w:pPr>
            <w:r>
              <w:rPr>
                <w:spacing w:val="-2"/>
                <w:sz w:val="24"/>
              </w:rPr>
              <w:t>States</w:t>
            </w:r>
          </w:p>
        </w:tc>
        <w:tc>
          <w:tcPr>
            <w:tcW w:w="811" w:type="dxa"/>
          </w:tcPr>
          <w:p>
            <w:pPr>
              <w:pStyle w:val="TableParagraph"/>
              <w:spacing w:before="64"/>
              <w:ind w:right="49"/>
              <w:jc w:val="right"/>
              <w:rPr>
                <w:sz w:val="24"/>
              </w:rPr>
            </w:pPr>
            <w:r>
              <w:rPr>
                <w:spacing w:val="-5"/>
                <w:sz w:val="24"/>
              </w:rPr>
              <w:t>128</w:t>
            </w:r>
          </w:p>
        </w:tc>
      </w:tr>
      <w:tr>
        <w:trPr>
          <w:trHeight w:val="414" w:hRule="atLeast"/>
        </w:trPr>
        <w:tc>
          <w:tcPr>
            <w:tcW w:w="1193" w:type="dxa"/>
          </w:tcPr>
          <w:p>
            <w:pPr>
              <w:pStyle w:val="TableParagraph"/>
              <w:spacing w:before="63"/>
              <w:ind w:left="50"/>
              <w:rPr>
                <w:sz w:val="24"/>
              </w:rPr>
            </w:pPr>
            <w:r>
              <w:rPr>
                <w:sz w:val="24"/>
              </w:rPr>
              <w:t>Table</w:t>
            </w:r>
            <w:r>
              <w:rPr>
                <w:spacing w:val="-2"/>
                <w:sz w:val="24"/>
              </w:rPr>
              <w:t> </w:t>
            </w:r>
            <w:r>
              <w:rPr>
                <w:spacing w:val="-5"/>
                <w:sz w:val="24"/>
              </w:rPr>
              <w:t>19</w:t>
            </w:r>
          </w:p>
        </w:tc>
        <w:tc>
          <w:tcPr>
            <w:tcW w:w="6379" w:type="dxa"/>
          </w:tcPr>
          <w:p>
            <w:pPr>
              <w:pStyle w:val="TableParagraph"/>
              <w:spacing w:before="63"/>
              <w:ind w:left="297"/>
              <w:rPr>
                <w:sz w:val="24"/>
              </w:rPr>
            </w:pPr>
            <w:r>
              <w:rPr>
                <w:sz w:val="24"/>
              </w:rPr>
              <w:t>Attainment</w:t>
            </w:r>
            <w:r>
              <w:rPr>
                <w:spacing w:val="-1"/>
                <w:sz w:val="24"/>
              </w:rPr>
              <w:t> </w:t>
            </w:r>
            <w:r>
              <w:rPr>
                <w:sz w:val="24"/>
              </w:rPr>
              <w:t>of Peace</w:t>
            </w:r>
            <w:r>
              <w:rPr>
                <w:spacing w:val="1"/>
                <w:sz w:val="24"/>
              </w:rPr>
              <w:t> </w:t>
            </w:r>
            <w:r>
              <w:rPr>
                <w:sz w:val="24"/>
              </w:rPr>
              <w:t>with JTF </w:t>
            </w:r>
            <w:r>
              <w:rPr>
                <w:spacing w:val="-2"/>
                <w:sz w:val="24"/>
              </w:rPr>
              <w:t>Intervention</w:t>
            </w:r>
          </w:p>
        </w:tc>
        <w:tc>
          <w:tcPr>
            <w:tcW w:w="811" w:type="dxa"/>
          </w:tcPr>
          <w:p>
            <w:pPr>
              <w:pStyle w:val="TableParagraph"/>
              <w:spacing w:before="63"/>
              <w:ind w:right="49"/>
              <w:jc w:val="right"/>
              <w:rPr>
                <w:sz w:val="24"/>
              </w:rPr>
            </w:pPr>
            <w:r>
              <w:rPr>
                <w:spacing w:val="-5"/>
                <w:sz w:val="24"/>
              </w:rPr>
              <w:t>129</w:t>
            </w:r>
          </w:p>
        </w:tc>
      </w:tr>
      <w:tr>
        <w:trPr>
          <w:trHeight w:val="413" w:hRule="atLeast"/>
        </w:trPr>
        <w:tc>
          <w:tcPr>
            <w:tcW w:w="1193" w:type="dxa"/>
          </w:tcPr>
          <w:p>
            <w:pPr>
              <w:pStyle w:val="TableParagraph"/>
              <w:spacing w:before="64"/>
              <w:ind w:left="50"/>
              <w:rPr>
                <w:sz w:val="24"/>
              </w:rPr>
            </w:pPr>
            <w:r>
              <w:rPr>
                <w:sz w:val="24"/>
              </w:rPr>
              <w:t>Table</w:t>
            </w:r>
            <w:r>
              <w:rPr>
                <w:spacing w:val="-2"/>
                <w:sz w:val="24"/>
              </w:rPr>
              <w:t> </w:t>
            </w:r>
            <w:r>
              <w:rPr>
                <w:spacing w:val="-5"/>
                <w:sz w:val="24"/>
              </w:rPr>
              <w:t>20</w:t>
            </w:r>
          </w:p>
        </w:tc>
        <w:tc>
          <w:tcPr>
            <w:tcW w:w="6379" w:type="dxa"/>
          </w:tcPr>
          <w:p>
            <w:pPr>
              <w:pStyle w:val="TableParagraph"/>
              <w:spacing w:before="64"/>
              <w:ind w:left="297"/>
              <w:rPr>
                <w:sz w:val="24"/>
              </w:rPr>
            </w:pPr>
            <w:r>
              <w:rPr>
                <w:sz w:val="24"/>
              </w:rPr>
              <w:t>Effectiveness</w:t>
            </w:r>
            <w:r>
              <w:rPr>
                <w:spacing w:val="-1"/>
                <w:sz w:val="24"/>
              </w:rPr>
              <w:t> </w:t>
            </w:r>
            <w:r>
              <w:rPr>
                <w:sz w:val="24"/>
              </w:rPr>
              <w:t>of</w:t>
            </w:r>
            <w:r>
              <w:rPr>
                <w:spacing w:val="-1"/>
                <w:sz w:val="24"/>
              </w:rPr>
              <w:t> </w:t>
            </w:r>
            <w:r>
              <w:rPr>
                <w:sz w:val="24"/>
              </w:rPr>
              <w:t>JTF </w:t>
            </w:r>
            <w:r>
              <w:rPr>
                <w:spacing w:val="-2"/>
                <w:sz w:val="24"/>
              </w:rPr>
              <w:t>Intervention</w:t>
            </w:r>
          </w:p>
        </w:tc>
        <w:tc>
          <w:tcPr>
            <w:tcW w:w="811" w:type="dxa"/>
          </w:tcPr>
          <w:p>
            <w:pPr>
              <w:pStyle w:val="TableParagraph"/>
              <w:spacing w:before="64"/>
              <w:ind w:right="49"/>
              <w:jc w:val="right"/>
              <w:rPr>
                <w:sz w:val="24"/>
              </w:rPr>
            </w:pPr>
            <w:r>
              <w:rPr>
                <w:spacing w:val="-5"/>
                <w:sz w:val="24"/>
              </w:rPr>
              <w:t>131</w:t>
            </w:r>
          </w:p>
        </w:tc>
      </w:tr>
      <w:tr>
        <w:trPr>
          <w:trHeight w:val="414" w:hRule="atLeast"/>
        </w:trPr>
        <w:tc>
          <w:tcPr>
            <w:tcW w:w="1193" w:type="dxa"/>
          </w:tcPr>
          <w:p>
            <w:pPr>
              <w:pStyle w:val="TableParagraph"/>
              <w:spacing w:before="63"/>
              <w:ind w:left="50"/>
              <w:rPr>
                <w:sz w:val="24"/>
              </w:rPr>
            </w:pPr>
            <w:r>
              <w:rPr>
                <w:sz w:val="24"/>
              </w:rPr>
              <w:t>Table</w:t>
            </w:r>
            <w:r>
              <w:rPr>
                <w:spacing w:val="-2"/>
                <w:sz w:val="24"/>
              </w:rPr>
              <w:t> </w:t>
            </w:r>
            <w:r>
              <w:rPr>
                <w:spacing w:val="-5"/>
                <w:sz w:val="24"/>
              </w:rPr>
              <w:t>21</w:t>
            </w:r>
          </w:p>
        </w:tc>
        <w:tc>
          <w:tcPr>
            <w:tcW w:w="6379" w:type="dxa"/>
          </w:tcPr>
          <w:p>
            <w:pPr>
              <w:pStyle w:val="TableParagraph"/>
              <w:spacing w:before="63"/>
              <w:ind w:left="297"/>
              <w:rPr>
                <w:sz w:val="24"/>
              </w:rPr>
            </w:pPr>
            <w:r>
              <w:rPr>
                <w:sz w:val="24"/>
              </w:rPr>
              <w:t>Education</w:t>
            </w:r>
            <w:r>
              <w:rPr>
                <w:spacing w:val="-1"/>
                <w:sz w:val="24"/>
              </w:rPr>
              <w:t> </w:t>
            </w:r>
            <w:r>
              <w:rPr>
                <w:sz w:val="24"/>
              </w:rPr>
              <w:t>Output</w:t>
            </w:r>
            <w:r>
              <w:rPr>
                <w:spacing w:val="-1"/>
                <w:sz w:val="24"/>
              </w:rPr>
              <w:t> </w:t>
            </w:r>
            <w:r>
              <w:rPr>
                <w:sz w:val="24"/>
              </w:rPr>
              <w:t>of</w:t>
            </w:r>
            <w:r>
              <w:rPr>
                <w:spacing w:val="-1"/>
                <w:sz w:val="24"/>
              </w:rPr>
              <w:t> </w:t>
            </w:r>
            <w:r>
              <w:rPr>
                <w:spacing w:val="-2"/>
                <w:sz w:val="24"/>
              </w:rPr>
              <w:t>Respondents</w:t>
            </w:r>
          </w:p>
        </w:tc>
        <w:tc>
          <w:tcPr>
            <w:tcW w:w="811" w:type="dxa"/>
          </w:tcPr>
          <w:p>
            <w:pPr>
              <w:pStyle w:val="TableParagraph"/>
              <w:spacing w:before="63"/>
              <w:ind w:right="49"/>
              <w:jc w:val="right"/>
              <w:rPr>
                <w:sz w:val="24"/>
              </w:rPr>
            </w:pPr>
            <w:r>
              <w:rPr>
                <w:spacing w:val="-5"/>
                <w:sz w:val="24"/>
              </w:rPr>
              <w:t>132</w:t>
            </w:r>
          </w:p>
        </w:tc>
      </w:tr>
      <w:tr>
        <w:trPr>
          <w:trHeight w:val="413" w:hRule="atLeast"/>
        </w:trPr>
        <w:tc>
          <w:tcPr>
            <w:tcW w:w="1193" w:type="dxa"/>
          </w:tcPr>
          <w:p>
            <w:pPr>
              <w:pStyle w:val="TableParagraph"/>
              <w:spacing w:before="64"/>
              <w:ind w:left="50"/>
              <w:rPr>
                <w:sz w:val="24"/>
              </w:rPr>
            </w:pPr>
            <w:r>
              <w:rPr>
                <w:sz w:val="24"/>
              </w:rPr>
              <w:t>Table</w:t>
            </w:r>
            <w:r>
              <w:rPr>
                <w:spacing w:val="-2"/>
                <w:sz w:val="24"/>
              </w:rPr>
              <w:t> </w:t>
            </w:r>
            <w:r>
              <w:rPr>
                <w:spacing w:val="-5"/>
                <w:sz w:val="24"/>
              </w:rPr>
              <w:t>22</w:t>
            </w:r>
          </w:p>
        </w:tc>
        <w:tc>
          <w:tcPr>
            <w:tcW w:w="6379" w:type="dxa"/>
          </w:tcPr>
          <w:p>
            <w:pPr>
              <w:pStyle w:val="TableParagraph"/>
              <w:spacing w:before="64"/>
              <w:ind w:left="297"/>
              <w:rPr>
                <w:sz w:val="24"/>
              </w:rPr>
            </w:pPr>
            <w:r>
              <w:rPr>
                <w:sz w:val="24"/>
              </w:rPr>
              <w:t>Perception</w:t>
            </w:r>
            <w:r>
              <w:rPr>
                <w:spacing w:val="-3"/>
                <w:sz w:val="24"/>
              </w:rPr>
              <w:t> </w:t>
            </w:r>
            <w:r>
              <w:rPr>
                <w:sz w:val="24"/>
              </w:rPr>
              <w:t>on</w:t>
            </w:r>
            <w:r>
              <w:rPr>
                <w:spacing w:val="-1"/>
                <w:sz w:val="24"/>
              </w:rPr>
              <w:t> </w:t>
            </w:r>
            <w:r>
              <w:rPr>
                <w:sz w:val="24"/>
              </w:rPr>
              <w:t>Security</w:t>
            </w:r>
            <w:r>
              <w:rPr>
                <w:spacing w:val="-6"/>
                <w:sz w:val="24"/>
              </w:rPr>
              <w:t> </w:t>
            </w:r>
            <w:r>
              <w:rPr>
                <w:sz w:val="24"/>
              </w:rPr>
              <w:t>Situations in</w:t>
            </w:r>
            <w:r>
              <w:rPr>
                <w:spacing w:val="-1"/>
                <w:sz w:val="24"/>
              </w:rPr>
              <w:t> </w:t>
            </w:r>
            <w:r>
              <w:rPr>
                <w:sz w:val="24"/>
              </w:rPr>
              <w:t>the</w:t>
            </w:r>
            <w:r>
              <w:rPr>
                <w:spacing w:val="-1"/>
                <w:sz w:val="24"/>
              </w:rPr>
              <w:t> </w:t>
            </w:r>
            <w:r>
              <w:rPr>
                <w:sz w:val="24"/>
              </w:rPr>
              <w:t>Niger Delta</w:t>
            </w:r>
            <w:r>
              <w:rPr>
                <w:spacing w:val="-1"/>
                <w:sz w:val="24"/>
              </w:rPr>
              <w:t> </w:t>
            </w:r>
            <w:r>
              <w:rPr>
                <w:spacing w:val="-2"/>
                <w:sz w:val="24"/>
              </w:rPr>
              <w:t>under</w:t>
            </w:r>
          </w:p>
        </w:tc>
        <w:tc>
          <w:tcPr>
            <w:tcW w:w="811" w:type="dxa"/>
          </w:tcPr>
          <w:p>
            <w:pPr>
              <w:pStyle w:val="TableParagraph"/>
              <w:rPr>
                <w:sz w:val="24"/>
              </w:rPr>
            </w:pPr>
          </w:p>
        </w:tc>
      </w:tr>
      <w:tr>
        <w:trPr>
          <w:trHeight w:val="413" w:hRule="atLeast"/>
        </w:trPr>
        <w:tc>
          <w:tcPr>
            <w:tcW w:w="1193" w:type="dxa"/>
          </w:tcPr>
          <w:p>
            <w:pPr>
              <w:pStyle w:val="TableParagraph"/>
              <w:rPr>
                <w:sz w:val="24"/>
              </w:rPr>
            </w:pPr>
          </w:p>
        </w:tc>
        <w:tc>
          <w:tcPr>
            <w:tcW w:w="6379" w:type="dxa"/>
          </w:tcPr>
          <w:p>
            <w:pPr>
              <w:pStyle w:val="TableParagraph"/>
              <w:spacing w:before="63"/>
              <w:ind w:left="297"/>
              <w:rPr>
                <w:sz w:val="24"/>
              </w:rPr>
            </w:pPr>
            <w:r>
              <w:rPr>
                <w:spacing w:val="-5"/>
                <w:sz w:val="24"/>
              </w:rPr>
              <w:t>JTF</w:t>
            </w:r>
          </w:p>
        </w:tc>
        <w:tc>
          <w:tcPr>
            <w:tcW w:w="811" w:type="dxa"/>
          </w:tcPr>
          <w:p>
            <w:pPr>
              <w:pStyle w:val="TableParagraph"/>
              <w:spacing w:before="63"/>
              <w:ind w:right="49"/>
              <w:jc w:val="right"/>
              <w:rPr>
                <w:sz w:val="24"/>
              </w:rPr>
            </w:pPr>
            <w:r>
              <w:rPr>
                <w:spacing w:val="-5"/>
                <w:sz w:val="24"/>
              </w:rPr>
              <w:t>134</w:t>
            </w:r>
          </w:p>
        </w:tc>
      </w:tr>
      <w:tr>
        <w:trPr>
          <w:trHeight w:val="390" w:hRule="atLeast"/>
        </w:trPr>
        <w:tc>
          <w:tcPr>
            <w:tcW w:w="1193" w:type="dxa"/>
          </w:tcPr>
          <w:p>
            <w:pPr>
              <w:pStyle w:val="TableParagraph"/>
              <w:spacing w:before="64"/>
              <w:ind w:left="50"/>
              <w:rPr>
                <w:sz w:val="24"/>
              </w:rPr>
            </w:pPr>
            <w:r>
              <w:rPr>
                <w:sz w:val="24"/>
              </w:rPr>
              <w:t>Table</w:t>
            </w:r>
            <w:r>
              <w:rPr>
                <w:spacing w:val="-2"/>
                <w:sz w:val="24"/>
              </w:rPr>
              <w:t> </w:t>
            </w:r>
            <w:r>
              <w:rPr>
                <w:spacing w:val="-5"/>
                <w:sz w:val="24"/>
              </w:rPr>
              <w:t>23</w:t>
            </w:r>
          </w:p>
        </w:tc>
        <w:tc>
          <w:tcPr>
            <w:tcW w:w="6379" w:type="dxa"/>
          </w:tcPr>
          <w:p>
            <w:pPr>
              <w:pStyle w:val="TableParagraph"/>
              <w:spacing w:before="64"/>
              <w:ind w:left="297"/>
              <w:rPr>
                <w:sz w:val="24"/>
              </w:rPr>
            </w:pPr>
            <w:r>
              <w:rPr>
                <w:sz w:val="24"/>
              </w:rPr>
              <w:t>Justification</w:t>
            </w:r>
            <w:r>
              <w:rPr>
                <w:spacing w:val="-3"/>
                <w:sz w:val="24"/>
              </w:rPr>
              <w:t> </w:t>
            </w:r>
            <w:r>
              <w:rPr>
                <w:sz w:val="24"/>
              </w:rPr>
              <w:t>for the</w:t>
            </w:r>
            <w:r>
              <w:rPr>
                <w:spacing w:val="-2"/>
                <w:sz w:val="24"/>
              </w:rPr>
              <w:t> </w:t>
            </w:r>
            <w:r>
              <w:rPr>
                <w:sz w:val="24"/>
              </w:rPr>
              <w:t>Establishment</w:t>
            </w:r>
            <w:r>
              <w:rPr>
                <w:spacing w:val="-1"/>
                <w:sz w:val="24"/>
              </w:rPr>
              <w:t> </w:t>
            </w:r>
            <w:r>
              <w:rPr>
                <w:sz w:val="24"/>
              </w:rPr>
              <w:t>of JTF</w:t>
            </w:r>
            <w:r>
              <w:rPr>
                <w:spacing w:val="-2"/>
                <w:sz w:val="24"/>
              </w:rPr>
              <w:t> </w:t>
            </w:r>
            <w:r>
              <w:rPr>
                <w:sz w:val="24"/>
              </w:rPr>
              <w:t>in</w:t>
            </w:r>
            <w:r>
              <w:rPr>
                <w:spacing w:val="-1"/>
                <w:sz w:val="24"/>
              </w:rPr>
              <w:t> </w:t>
            </w:r>
            <w:r>
              <w:rPr>
                <w:sz w:val="24"/>
              </w:rPr>
              <w:t>the</w:t>
            </w:r>
            <w:r>
              <w:rPr>
                <w:spacing w:val="-4"/>
                <w:sz w:val="24"/>
              </w:rPr>
              <w:t> </w:t>
            </w:r>
            <w:r>
              <w:rPr>
                <w:sz w:val="24"/>
              </w:rPr>
              <w:t>Niger </w:t>
            </w:r>
            <w:r>
              <w:rPr>
                <w:spacing w:val="-2"/>
                <w:sz w:val="24"/>
              </w:rPr>
              <w:t>Delta</w:t>
            </w:r>
          </w:p>
        </w:tc>
        <w:tc>
          <w:tcPr>
            <w:tcW w:w="811" w:type="dxa"/>
          </w:tcPr>
          <w:p>
            <w:pPr>
              <w:pStyle w:val="TableParagraph"/>
              <w:spacing w:before="64"/>
              <w:ind w:right="49"/>
              <w:jc w:val="right"/>
              <w:rPr>
                <w:sz w:val="24"/>
              </w:rPr>
            </w:pPr>
            <w:r>
              <w:rPr>
                <w:spacing w:val="-5"/>
                <w:sz w:val="24"/>
              </w:rPr>
              <w:t>135</w:t>
            </w:r>
          </w:p>
        </w:tc>
      </w:tr>
    </w:tbl>
    <w:p>
      <w:pPr>
        <w:spacing w:after="0"/>
        <w:jc w:val="right"/>
        <w:rPr>
          <w:sz w:val="24"/>
        </w:rPr>
        <w:sectPr>
          <w:pgSz w:w="11910" w:h="16840"/>
          <w:pgMar w:header="0" w:footer="1492" w:top="1360" w:bottom="1680" w:left="720" w:right="180"/>
        </w:sectPr>
      </w:pPr>
    </w:p>
    <w:tbl>
      <w:tblPr>
        <w:tblW w:w="0" w:type="auto"/>
        <w:jc w:val="left"/>
        <w:tblInd w:w="1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93"/>
        <w:gridCol w:w="6540"/>
        <w:gridCol w:w="650"/>
      </w:tblGrid>
      <w:tr>
        <w:trPr>
          <w:trHeight w:val="389" w:hRule="atLeast"/>
        </w:trPr>
        <w:tc>
          <w:tcPr>
            <w:tcW w:w="1193" w:type="dxa"/>
          </w:tcPr>
          <w:p>
            <w:pPr>
              <w:pStyle w:val="TableParagraph"/>
              <w:spacing w:before="40"/>
              <w:ind w:left="50"/>
              <w:rPr>
                <w:sz w:val="24"/>
              </w:rPr>
            </w:pPr>
            <w:r>
              <w:rPr>
                <w:sz w:val="24"/>
              </w:rPr>
              <w:t>Table</w:t>
            </w:r>
            <w:r>
              <w:rPr>
                <w:spacing w:val="-2"/>
                <w:sz w:val="24"/>
              </w:rPr>
              <w:t> </w:t>
            </w:r>
            <w:r>
              <w:rPr>
                <w:spacing w:val="-5"/>
                <w:sz w:val="24"/>
              </w:rPr>
              <w:t>24</w:t>
            </w:r>
          </w:p>
        </w:tc>
        <w:tc>
          <w:tcPr>
            <w:tcW w:w="6540" w:type="dxa"/>
          </w:tcPr>
          <w:p>
            <w:pPr>
              <w:pStyle w:val="TableParagraph"/>
              <w:spacing w:before="40"/>
              <w:ind w:left="297"/>
              <w:rPr>
                <w:sz w:val="24"/>
              </w:rPr>
            </w:pPr>
            <w:r>
              <w:rPr>
                <w:sz w:val="24"/>
              </w:rPr>
              <w:t>Perception</w:t>
            </w:r>
            <w:r>
              <w:rPr>
                <w:spacing w:val="-4"/>
                <w:sz w:val="24"/>
              </w:rPr>
              <w:t> </w:t>
            </w:r>
            <w:r>
              <w:rPr>
                <w:sz w:val="24"/>
              </w:rPr>
              <w:t>on</w:t>
            </w:r>
            <w:r>
              <w:rPr>
                <w:spacing w:val="-1"/>
                <w:sz w:val="24"/>
              </w:rPr>
              <w:t> </w:t>
            </w:r>
            <w:r>
              <w:rPr>
                <w:sz w:val="24"/>
              </w:rPr>
              <w:t>Whether</w:t>
            </w:r>
            <w:r>
              <w:rPr>
                <w:spacing w:val="-3"/>
                <w:sz w:val="24"/>
              </w:rPr>
              <w:t> </w:t>
            </w:r>
            <w:r>
              <w:rPr>
                <w:sz w:val="24"/>
              </w:rPr>
              <w:t>Observable</w:t>
            </w:r>
            <w:r>
              <w:rPr>
                <w:spacing w:val="-1"/>
                <w:sz w:val="24"/>
              </w:rPr>
              <w:t> </w:t>
            </w:r>
            <w:r>
              <w:rPr>
                <w:sz w:val="24"/>
              </w:rPr>
              <w:t>Mistakes</w:t>
            </w:r>
            <w:r>
              <w:rPr>
                <w:spacing w:val="1"/>
                <w:sz w:val="24"/>
              </w:rPr>
              <w:t> </w:t>
            </w:r>
            <w:r>
              <w:rPr>
                <w:sz w:val="24"/>
              </w:rPr>
              <w:t>were Made</w:t>
            </w:r>
            <w:r>
              <w:rPr>
                <w:spacing w:val="-3"/>
                <w:sz w:val="24"/>
              </w:rPr>
              <w:t> </w:t>
            </w:r>
            <w:r>
              <w:rPr>
                <w:spacing w:val="-5"/>
                <w:sz w:val="24"/>
              </w:rPr>
              <w:t>by</w:t>
            </w:r>
          </w:p>
        </w:tc>
        <w:tc>
          <w:tcPr>
            <w:tcW w:w="650" w:type="dxa"/>
          </w:tcPr>
          <w:p>
            <w:pPr>
              <w:pStyle w:val="TableParagraph"/>
              <w:rPr>
                <w:sz w:val="24"/>
              </w:rPr>
            </w:pPr>
          </w:p>
        </w:tc>
      </w:tr>
      <w:tr>
        <w:trPr>
          <w:trHeight w:val="414" w:hRule="atLeast"/>
        </w:trPr>
        <w:tc>
          <w:tcPr>
            <w:tcW w:w="1193" w:type="dxa"/>
          </w:tcPr>
          <w:p>
            <w:pPr>
              <w:pStyle w:val="TableParagraph"/>
              <w:rPr>
                <w:sz w:val="24"/>
              </w:rPr>
            </w:pPr>
          </w:p>
        </w:tc>
        <w:tc>
          <w:tcPr>
            <w:tcW w:w="6540" w:type="dxa"/>
          </w:tcPr>
          <w:p>
            <w:pPr>
              <w:pStyle w:val="TableParagraph"/>
              <w:spacing w:before="63"/>
              <w:ind w:left="297"/>
              <w:rPr>
                <w:sz w:val="24"/>
              </w:rPr>
            </w:pPr>
            <w:r>
              <w:rPr>
                <w:sz w:val="24"/>
              </w:rPr>
              <w:t>the</w:t>
            </w:r>
            <w:r>
              <w:rPr>
                <w:spacing w:val="-3"/>
                <w:sz w:val="24"/>
              </w:rPr>
              <w:t> </w:t>
            </w:r>
            <w:r>
              <w:rPr>
                <w:sz w:val="24"/>
              </w:rPr>
              <w:t>JTF</w:t>
            </w:r>
            <w:r>
              <w:rPr>
                <w:spacing w:val="-1"/>
                <w:sz w:val="24"/>
              </w:rPr>
              <w:t> </w:t>
            </w:r>
            <w:r>
              <w:rPr>
                <w:sz w:val="24"/>
              </w:rPr>
              <w:t>During</w:t>
            </w:r>
            <w:r>
              <w:rPr>
                <w:spacing w:val="-3"/>
                <w:sz w:val="24"/>
              </w:rPr>
              <w:t> </w:t>
            </w:r>
            <w:r>
              <w:rPr>
                <w:sz w:val="24"/>
              </w:rPr>
              <w:t>their</w:t>
            </w:r>
            <w:r>
              <w:rPr>
                <w:spacing w:val="1"/>
                <w:sz w:val="24"/>
              </w:rPr>
              <w:t> </w:t>
            </w:r>
            <w:r>
              <w:rPr>
                <w:sz w:val="24"/>
              </w:rPr>
              <w:t>Operation</w:t>
            </w:r>
            <w:r>
              <w:rPr>
                <w:spacing w:val="-1"/>
                <w:sz w:val="24"/>
              </w:rPr>
              <w:t> </w:t>
            </w:r>
            <w:r>
              <w:rPr>
                <w:sz w:val="24"/>
              </w:rPr>
              <w:t>in the</w:t>
            </w:r>
            <w:r>
              <w:rPr>
                <w:spacing w:val="-2"/>
                <w:sz w:val="24"/>
              </w:rPr>
              <w:t> </w:t>
            </w:r>
            <w:r>
              <w:rPr>
                <w:sz w:val="24"/>
              </w:rPr>
              <w:t>Niger </w:t>
            </w:r>
            <w:r>
              <w:rPr>
                <w:spacing w:val="-2"/>
                <w:sz w:val="24"/>
              </w:rPr>
              <w:t>Delta</w:t>
            </w:r>
          </w:p>
        </w:tc>
        <w:tc>
          <w:tcPr>
            <w:tcW w:w="650" w:type="dxa"/>
          </w:tcPr>
          <w:p>
            <w:pPr>
              <w:pStyle w:val="TableParagraph"/>
              <w:spacing w:before="63"/>
              <w:ind w:right="49"/>
              <w:jc w:val="right"/>
              <w:rPr>
                <w:sz w:val="24"/>
              </w:rPr>
            </w:pPr>
            <w:r>
              <w:rPr>
                <w:spacing w:val="-5"/>
                <w:sz w:val="24"/>
              </w:rPr>
              <w:t>136</w:t>
            </w:r>
          </w:p>
        </w:tc>
      </w:tr>
      <w:tr>
        <w:trPr>
          <w:trHeight w:val="414" w:hRule="atLeast"/>
        </w:trPr>
        <w:tc>
          <w:tcPr>
            <w:tcW w:w="1193" w:type="dxa"/>
          </w:tcPr>
          <w:p>
            <w:pPr>
              <w:pStyle w:val="TableParagraph"/>
              <w:spacing w:before="64"/>
              <w:ind w:left="50"/>
              <w:rPr>
                <w:sz w:val="24"/>
              </w:rPr>
            </w:pPr>
            <w:r>
              <w:rPr>
                <w:sz w:val="24"/>
              </w:rPr>
              <w:t>Table</w:t>
            </w:r>
            <w:r>
              <w:rPr>
                <w:spacing w:val="-2"/>
                <w:sz w:val="24"/>
              </w:rPr>
              <w:t> </w:t>
            </w:r>
            <w:r>
              <w:rPr>
                <w:spacing w:val="-5"/>
                <w:sz w:val="24"/>
              </w:rPr>
              <w:t>25</w:t>
            </w:r>
          </w:p>
        </w:tc>
        <w:tc>
          <w:tcPr>
            <w:tcW w:w="6540" w:type="dxa"/>
          </w:tcPr>
          <w:p>
            <w:pPr>
              <w:pStyle w:val="TableParagraph"/>
              <w:spacing w:before="64"/>
              <w:ind w:left="297"/>
              <w:rPr>
                <w:sz w:val="24"/>
              </w:rPr>
            </w:pPr>
            <w:r>
              <w:rPr>
                <w:sz w:val="24"/>
              </w:rPr>
              <w:t>Perception</w:t>
            </w:r>
            <w:r>
              <w:rPr>
                <w:spacing w:val="-1"/>
                <w:sz w:val="24"/>
              </w:rPr>
              <w:t> </w:t>
            </w:r>
            <w:r>
              <w:rPr>
                <w:sz w:val="24"/>
              </w:rPr>
              <w:t>on</w:t>
            </w:r>
            <w:r>
              <w:rPr>
                <w:spacing w:val="-2"/>
                <w:sz w:val="24"/>
              </w:rPr>
              <w:t> </w:t>
            </w:r>
            <w:r>
              <w:rPr>
                <w:sz w:val="24"/>
              </w:rPr>
              <w:t>Challenges</w:t>
            </w:r>
            <w:r>
              <w:rPr>
                <w:spacing w:val="1"/>
                <w:sz w:val="24"/>
              </w:rPr>
              <w:t> </w:t>
            </w:r>
            <w:r>
              <w:rPr>
                <w:sz w:val="24"/>
              </w:rPr>
              <w:t>Facing</w:t>
            </w:r>
            <w:r>
              <w:rPr>
                <w:spacing w:val="-4"/>
                <w:sz w:val="24"/>
              </w:rPr>
              <w:t> </w:t>
            </w:r>
            <w:r>
              <w:rPr>
                <w:sz w:val="24"/>
              </w:rPr>
              <w:t>the</w:t>
            </w:r>
            <w:r>
              <w:rPr>
                <w:spacing w:val="-1"/>
                <w:sz w:val="24"/>
              </w:rPr>
              <w:t> </w:t>
            </w:r>
            <w:r>
              <w:rPr>
                <w:sz w:val="24"/>
              </w:rPr>
              <w:t>JTF</w:t>
            </w:r>
            <w:r>
              <w:rPr>
                <w:spacing w:val="-2"/>
                <w:sz w:val="24"/>
              </w:rPr>
              <w:t> </w:t>
            </w:r>
            <w:r>
              <w:rPr>
                <w:sz w:val="24"/>
              </w:rPr>
              <w:t>in</w:t>
            </w:r>
            <w:r>
              <w:rPr>
                <w:spacing w:val="-1"/>
                <w:sz w:val="24"/>
              </w:rPr>
              <w:t> </w:t>
            </w:r>
            <w:r>
              <w:rPr>
                <w:sz w:val="24"/>
              </w:rPr>
              <w:t>the</w:t>
            </w:r>
            <w:r>
              <w:rPr>
                <w:spacing w:val="-2"/>
                <w:sz w:val="24"/>
              </w:rPr>
              <w:t> </w:t>
            </w:r>
            <w:r>
              <w:rPr>
                <w:sz w:val="24"/>
              </w:rPr>
              <w:t>Niger</w:t>
            </w:r>
            <w:r>
              <w:rPr>
                <w:spacing w:val="-1"/>
                <w:sz w:val="24"/>
              </w:rPr>
              <w:t> </w:t>
            </w:r>
            <w:r>
              <w:rPr>
                <w:spacing w:val="-2"/>
                <w:sz w:val="24"/>
              </w:rPr>
              <w:t>Delta</w:t>
            </w:r>
          </w:p>
        </w:tc>
        <w:tc>
          <w:tcPr>
            <w:tcW w:w="650" w:type="dxa"/>
          </w:tcPr>
          <w:p>
            <w:pPr>
              <w:pStyle w:val="TableParagraph"/>
              <w:spacing w:before="64"/>
              <w:ind w:right="49"/>
              <w:jc w:val="right"/>
              <w:rPr>
                <w:sz w:val="24"/>
              </w:rPr>
            </w:pPr>
            <w:r>
              <w:rPr>
                <w:spacing w:val="-5"/>
                <w:sz w:val="24"/>
              </w:rPr>
              <w:t>137</w:t>
            </w:r>
          </w:p>
        </w:tc>
      </w:tr>
      <w:tr>
        <w:trPr>
          <w:trHeight w:val="413" w:hRule="atLeast"/>
        </w:trPr>
        <w:tc>
          <w:tcPr>
            <w:tcW w:w="1193" w:type="dxa"/>
          </w:tcPr>
          <w:p>
            <w:pPr>
              <w:pStyle w:val="TableParagraph"/>
              <w:spacing w:before="63"/>
              <w:ind w:left="50"/>
              <w:rPr>
                <w:sz w:val="24"/>
              </w:rPr>
            </w:pPr>
            <w:r>
              <w:rPr>
                <w:sz w:val="24"/>
              </w:rPr>
              <w:t>Table</w:t>
            </w:r>
            <w:r>
              <w:rPr>
                <w:spacing w:val="-2"/>
                <w:sz w:val="24"/>
              </w:rPr>
              <w:t> </w:t>
            </w:r>
            <w:r>
              <w:rPr>
                <w:spacing w:val="-5"/>
                <w:sz w:val="24"/>
              </w:rPr>
              <w:t>26</w:t>
            </w:r>
          </w:p>
        </w:tc>
        <w:tc>
          <w:tcPr>
            <w:tcW w:w="6540" w:type="dxa"/>
          </w:tcPr>
          <w:p>
            <w:pPr>
              <w:pStyle w:val="TableParagraph"/>
              <w:spacing w:before="63"/>
              <w:ind w:left="297"/>
              <w:rPr>
                <w:sz w:val="24"/>
              </w:rPr>
            </w:pPr>
            <w:r>
              <w:rPr>
                <w:sz w:val="24"/>
              </w:rPr>
              <w:t>Perception</w:t>
            </w:r>
            <w:r>
              <w:rPr>
                <w:spacing w:val="-1"/>
                <w:sz w:val="24"/>
              </w:rPr>
              <w:t> </w:t>
            </w:r>
            <w:r>
              <w:rPr>
                <w:sz w:val="24"/>
              </w:rPr>
              <w:t>on</w:t>
            </w:r>
            <w:r>
              <w:rPr>
                <w:spacing w:val="-1"/>
                <w:sz w:val="24"/>
              </w:rPr>
              <w:t> </w:t>
            </w:r>
            <w:r>
              <w:rPr>
                <w:sz w:val="24"/>
              </w:rPr>
              <w:t>Activities</w:t>
            </w:r>
            <w:r>
              <w:rPr>
                <w:spacing w:val="-1"/>
                <w:sz w:val="24"/>
              </w:rPr>
              <w:t> </w:t>
            </w:r>
            <w:r>
              <w:rPr>
                <w:sz w:val="24"/>
              </w:rPr>
              <w:t>of</w:t>
            </w:r>
            <w:r>
              <w:rPr>
                <w:spacing w:val="-1"/>
                <w:sz w:val="24"/>
              </w:rPr>
              <w:t> </w:t>
            </w:r>
            <w:r>
              <w:rPr>
                <w:sz w:val="24"/>
              </w:rPr>
              <w:t>Youth</w:t>
            </w:r>
            <w:r>
              <w:rPr>
                <w:spacing w:val="-1"/>
                <w:sz w:val="24"/>
              </w:rPr>
              <w:t> </w:t>
            </w:r>
            <w:r>
              <w:rPr>
                <w:sz w:val="24"/>
              </w:rPr>
              <w:t>Organisations</w:t>
            </w:r>
            <w:r>
              <w:rPr>
                <w:spacing w:val="-1"/>
                <w:sz w:val="24"/>
              </w:rPr>
              <w:t> </w:t>
            </w:r>
            <w:r>
              <w:rPr>
                <w:sz w:val="24"/>
              </w:rPr>
              <w:t>in</w:t>
            </w:r>
            <w:r>
              <w:rPr>
                <w:spacing w:val="-1"/>
                <w:sz w:val="24"/>
              </w:rPr>
              <w:t> </w:t>
            </w:r>
            <w:r>
              <w:rPr>
                <w:sz w:val="24"/>
              </w:rPr>
              <w:t>the</w:t>
            </w:r>
            <w:r>
              <w:rPr>
                <w:spacing w:val="-1"/>
                <w:sz w:val="24"/>
              </w:rPr>
              <w:t> </w:t>
            </w:r>
            <w:r>
              <w:rPr>
                <w:spacing w:val="-2"/>
                <w:sz w:val="24"/>
              </w:rPr>
              <w:t>Niger</w:t>
            </w:r>
          </w:p>
        </w:tc>
        <w:tc>
          <w:tcPr>
            <w:tcW w:w="650" w:type="dxa"/>
          </w:tcPr>
          <w:p>
            <w:pPr>
              <w:pStyle w:val="TableParagraph"/>
              <w:rPr>
                <w:sz w:val="24"/>
              </w:rPr>
            </w:pPr>
          </w:p>
        </w:tc>
      </w:tr>
      <w:tr>
        <w:trPr>
          <w:trHeight w:val="414" w:hRule="atLeast"/>
        </w:trPr>
        <w:tc>
          <w:tcPr>
            <w:tcW w:w="1193" w:type="dxa"/>
          </w:tcPr>
          <w:p>
            <w:pPr>
              <w:pStyle w:val="TableParagraph"/>
              <w:rPr>
                <w:sz w:val="24"/>
              </w:rPr>
            </w:pPr>
          </w:p>
        </w:tc>
        <w:tc>
          <w:tcPr>
            <w:tcW w:w="6540" w:type="dxa"/>
          </w:tcPr>
          <w:p>
            <w:pPr>
              <w:pStyle w:val="TableParagraph"/>
              <w:spacing w:before="64"/>
              <w:ind w:left="297"/>
              <w:rPr>
                <w:sz w:val="24"/>
              </w:rPr>
            </w:pPr>
            <w:r>
              <w:rPr>
                <w:spacing w:val="-2"/>
                <w:sz w:val="24"/>
              </w:rPr>
              <w:t>Delta</w:t>
            </w:r>
          </w:p>
        </w:tc>
        <w:tc>
          <w:tcPr>
            <w:tcW w:w="650" w:type="dxa"/>
          </w:tcPr>
          <w:p>
            <w:pPr>
              <w:pStyle w:val="TableParagraph"/>
              <w:spacing w:before="64"/>
              <w:ind w:right="49"/>
              <w:jc w:val="right"/>
              <w:rPr>
                <w:sz w:val="24"/>
              </w:rPr>
            </w:pPr>
            <w:r>
              <w:rPr>
                <w:spacing w:val="-5"/>
                <w:sz w:val="24"/>
              </w:rPr>
              <w:t>138</w:t>
            </w:r>
          </w:p>
        </w:tc>
      </w:tr>
      <w:tr>
        <w:trPr>
          <w:trHeight w:val="414" w:hRule="atLeast"/>
        </w:trPr>
        <w:tc>
          <w:tcPr>
            <w:tcW w:w="1193" w:type="dxa"/>
          </w:tcPr>
          <w:p>
            <w:pPr>
              <w:pStyle w:val="TableParagraph"/>
              <w:spacing w:before="63"/>
              <w:ind w:left="50"/>
              <w:rPr>
                <w:sz w:val="24"/>
              </w:rPr>
            </w:pPr>
            <w:r>
              <w:rPr>
                <w:sz w:val="24"/>
              </w:rPr>
              <w:t>Table</w:t>
            </w:r>
            <w:r>
              <w:rPr>
                <w:spacing w:val="-2"/>
                <w:sz w:val="24"/>
              </w:rPr>
              <w:t> </w:t>
            </w:r>
            <w:r>
              <w:rPr>
                <w:spacing w:val="-5"/>
                <w:sz w:val="24"/>
              </w:rPr>
              <w:t>27</w:t>
            </w:r>
          </w:p>
        </w:tc>
        <w:tc>
          <w:tcPr>
            <w:tcW w:w="6540" w:type="dxa"/>
          </w:tcPr>
          <w:p>
            <w:pPr>
              <w:pStyle w:val="TableParagraph"/>
              <w:spacing w:before="63"/>
              <w:ind w:left="297"/>
              <w:rPr>
                <w:sz w:val="24"/>
              </w:rPr>
            </w:pPr>
            <w:r>
              <w:rPr>
                <w:sz w:val="24"/>
              </w:rPr>
              <w:t>Roles</w:t>
            </w:r>
            <w:r>
              <w:rPr>
                <w:spacing w:val="-2"/>
                <w:sz w:val="24"/>
              </w:rPr>
              <w:t> </w:t>
            </w:r>
            <w:r>
              <w:rPr>
                <w:sz w:val="24"/>
              </w:rPr>
              <w:t>of</w:t>
            </w:r>
            <w:r>
              <w:rPr>
                <w:spacing w:val="-2"/>
                <w:sz w:val="24"/>
              </w:rPr>
              <w:t> </w:t>
            </w:r>
            <w:r>
              <w:rPr>
                <w:sz w:val="24"/>
              </w:rPr>
              <w:t>Government</w:t>
            </w:r>
            <w:r>
              <w:rPr>
                <w:spacing w:val="-1"/>
                <w:sz w:val="24"/>
              </w:rPr>
              <w:t> </w:t>
            </w:r>
            <w:r>
              <w:rPr>
                <w:sz w:val="24"/>
              </w:rPr>
              <w:t>(Federal,</w:t>
            </w:r>
            <w:r>
              <w:rPr>
                <w:spacing w:val="-1"/>
                <w:sz w:val="24"/>
              </w:rPr>
              <w:t> </w:t>
            </w:r>
            <w:r>
              <w:rPr>
                <w:sz w:val="24"/>
              </w:rPr>
              <w:t>States,</w:t>
            </w:r>
            <w:r>
              <w:rPr>
                <w:spacing w:val="1"/>
                <w:sz w:val="24"/>
              </w:rPr>
              <w:t> </w:t>
            </w:r>
            <w:r>
              <w:rPr>
                <w:sz w:val="24"/>
              </w:rPr>
              <w:t>LGA)</w:t>
            </w:r>
            <w:r>
              <w:rPr>
                <w:spacing w:val="-1"/>
                <w:sz w:val="24"/>
              </w:rPr>
              <w:t> </w:t>
            </w:r>
            <w:r>
              <w:rPr>
                <w:sz w:val="24"/>
              </w:rPr>
              <w:t>in</w:t>
            </w:r>
            <w:r>
              <w:rPr>
                <w:spacing w:val="-1"/>
                <w:sz w:val="24"/>
              </w:rPr>
              <w:t> </w:t>
            </w:r>
            <w:r>
              <w:rPr>
                <w:sz w:val="24"/>
              </w:rPr>
              <w:t>Resolving</w:t>
            </w:r>
            <w:r>
              <w:rPr>
                <w:spacing w:val="-4"/>
                <w:sz w:val="24"/>
              </w:rPr>
              <w:t> </w:t>
            </w:r>
            <w:r>
              <w:rPr>
                <w:spacing w:val="-5"/>
                <w:sz w:val="24"/>
              </w:rPr>
              <w:t>the</w:t>
            </w:r>
          </w:p>
        </w:tc>
        <w:tc>
          <w:tcPr>
            <w:tcW w:w="650" w:type="dxa"/>
          </w:tcPr>
          <w:p>
            <w:pPr>
              <w:pStyle w:val="TableParagraph"/>
              <w:rPr>
                <w:sz w:val="24"/>
              </w:rPr>
            </w:pPr>
          </w:p>
        </w:tc>
      </w:tr>
      <w:tr>
        <w:trPr>
          <w:trHeight w:val="413" w:hRule="atLeast"/>
        </w:trPr>
        <w:tc>
          <w:tcPr>
            <w:tcW w:w="1193" w:type="dxa"/>
          </w:tcPr>
          <w:p>
            <w:pPr>
              <w:pStyle w:val="TableParagraph"/>
              <w:rPr>
                <w:sz w:val="24"/>
              </w:rPr>
            </w:pPr>
          </w:p>
        </w:tc>
        <w:tc>
          <w:tcPr>
            <w:tcW w:w="6540" w:type="dxa"/>
          </w:tcPr>
          <w:p>
            <w:pPr>
              <w:pStyle w:val="TableParagraph"/>
              <w:spacing w:before="64"/>
              <w:ind w:left="297"/>
              <w:rPr>
                <w:sz w:val="24"/>
              </w:rPr>
            </w:pPr>
            <w:r>
              <w:rPr>
                <w:sz w:val="24"/>
              </w:rPr>
              <w:t>Niger</w:t>
            </w:r>
            <w:r>
              <w:rPr>
                <w:spacing w:val="-3"/>
                <w:sz w:val="24"/>
              </w:rPr>
              <w:t> </w:t>
            </w:r>
            <w:r>
              <w:rPr>
                <w:sz w:val="24"/>
              </w:rPr>
              <w:t>Delta</w:t>
            </w:r>
            <w:r>
              <w:rPr>
                <w:spacing w:val="-3"/>
                <w:sz w:val="24"/>
              </w:rPr>
              <w:t> </w:t>
            </w:r>
            <w:r>
              <w:rPr>
                <w:spacing w:val="-2"/>
                <w:sz w:val="24"/>
              </w:rPr>
              <w:t>Conflict</w:t>
            </w:r>
          </w:p>
        </w:tc>
        <w:tc>
          <w:tcPr>
            <w:tcW w:w="650" w:type="dxa"/>
          </w:tcPr>
          <w:p>
            <w:pPr>
              <w:pStyle w:val="TableParagraph"/>
              <w:spacing w:before="64"/>
              <w:ind w:right="49"/>
              <w:jc w:val="right"/>
              <w:rPr>
                <w:sz w:val="24"/>
              </w:rPr>
            </w:pPr>
            <w:r>
              <w:rPr>
                <w:spacing w:val="-5"/>
                <w:sz w:val="24"/>
              </w:rPr>
              <w:t>140</w:t>
            </w:r>
          </w:p>
        </w:tc>
      </w:tr>
      <w:tr>
        <w:trPr>
          <w:trHeight w:val="414" w:hRule="atLeast"/>
        </w:trPr>
        <w:tc>
          <w:tcPr>
            <w:tcW w:w="1193" w:type="dxa"/>
          </w:tcPr>
          <w:p>
            <w:pPr>
              <w:pStyle w:val="TableParagraph"/>
              <w:spacing w:before="63"/>
              <w:ind w:left="50"/>
              <w:rPr>
                <w:sz w:val="24"/>
              </w:rPr>
            </w:pPr>
            <w:r>
              <w:rPr>
                <w:sz w:val="24"/>
              </w:rPr>
              <w:t>Table</w:t>
            </w:r>
            <w:r>
              <w:rPr>
                <w:spacing w:val="-2"/>
                <w:sz w:val="24"/>
              </w:rPr>
              <w:t> </w:t>
            </w:r>
            <w:r>
              <w:rPr>
                <w:spacing w:val="-5"/>
                <w:sz w:val="24"/>
              </w:rPr>
              <w:t>28</w:t>
            </w:r>
          </w:p>
        </w:tc>
        <w:tc>
          <w:tcPr>
            <w:tcW w:w="6540" w:type="dxa"/>
          </w:tcPr>
          <w:p>
            <w:pPr>
              <w:pStyle w:val="TableParagraph"/>
              <w:spacing w:before="63"/>
              <w:ind w:left="297"/>
              <w:rPr>
                <w:sz w:val="24"/>
              </w:rPr>
            </w:pPr>
            <w:r>
              <w:rPr>
                <w:sz w:val="24"/>
              </w:rPr>
              <w:t>Role</w:t>
            </w:r>
            <w:r>
              <w:rPr>
                <w:spacing w:val="-1"/>
                <w:sz w:val="24"/>
              </w:rPr>
              <w:t> </w:t>
            </w:r>
            <w:r>
              <w:rPr>
                <w:sz w:val="24"/>
              </w:rPr>
              <w:t>of</w:t>
            </w:r>
            <w:r>
              <w:rPr>
                <w:spacing w:val="-3"/>
                <w:sz w:val="24"/>
              </w:rPr>
              <w:t> </w:t>
            </w:r>
            <w:r>
              <w:rPr>
                <w:sz w:val="24"/>
              </w:rPr>
              <w:t>Political</w:t>
            </w:r>
            <w:r>
              <w:rPr>
                <w:spacing w:val="-1"/>
                <w:sz w:val="24"/>
              </w:rPr>
              <w:t> </w:t>
            </w:r>
            <w:r>
              <w:rPr>
                <w:sz w:val="24"/>
              </w:rPr>
              <w:t>Elites and</w:t>
            </w:r>
            <w:r>
              <w:rPr>
                <w:spacing w:val="-2"/>
                <w:sz w:val="24"/>
              </w:rPr>
              <w:t> </w:t>
            </w:r>
            <w:r>
              <w:rPr>
                <w:sz w:val="24"/>
              </w:rPr>
              <w:t>Politicians</w:t>
            </w:r>
            <w:r>
              <w:rPr>
                <w:spacing w:val="-1"/>
                <w:sz w:val="24"/>
              </w:rPr>
              <w:t> </w:t>
            </w:r>
            <w:r>
              <w:rPr>
                <w:sz w:val="24"/>
              </w:rPr>
              <w:t>Towards</w:t>
            </w:r>
            <w:r>
              <w:rPr>
                <w:spacing w:val="-1"/>
                <w:sz w:val="24"/>
              </w:rPr>
              <w:t> </w:t>
            </w:r>
            <w:r>
              <w:rPr>
                <w:sz w:val="24"/>
              </w:rPr>
              <w:t>Resolving</w:t>
            </w:r>
            <w:r>
              <w:rPr>
                <w:spacing w:val="-2"/>
                <w:sz w:val="24"/>
              </w:rPr>
              <w:t> </w:t>
            </w:r>
            <w:r>
              <w:rPr>
                <w:spacing w:val="-5"/>
                <w:sz w:val="24"/>
              </w:rPr>
              <w:t>the</w:t>
            </w:r>
          </w:p>
        </w:tc>
        <w:tc>
          <w:tcPr>
            <w:tcW w:w="650" w:type="dxa"/>
          </w:tcPr>
          <w:p>
            <w:pPr>
              <w:pStyle w:val="TableParagraph"/>
              <w:rPr>
                <w:sz w:val="24"/>
              </w:rPr>
            </w:pPr>
          </w:p>
        </w:tc>
      </w:tr>
      <w:tr>
        <w:trPr>
          <w:trHeight w:val="414" w:hRule="atLeast"/>
        </w:trPr>
        <w:tc>
          <w:tcPr>
            <w:tcW w:w="1193" w:type="dxa"/>
          </w:tcPr>
          <w:p>
            <w:pPr>
              <w:pStyle w:val="TableParagraph"/>
              <w:rPr>
                <w:sz w:val="24"/>
              </w:rPr>
            </w:pPr>
          </w:p>
        </w:tc>
        <w:tc>
          <w:tcPr>
            <w:tcW w:w="6540" w:type="dxa"/>
          </w:tcPr>
          <w:p>
            <w:pPr>
              <w:pStyle w:val="TableParagraph"/>
              <w:spacing w:before="64"/>
              <w:ind w:left="297"/>
              <w:rPr>
                <w:sz w:val="24"/>
              </w:rPr>
            </w:pPr>
            <w:r>
              <w:rPr>
                <w:sz w:val="24"/>
              </w:rPr>
              <w:t>Niger</w:t>
            </w:r>
            <w:r>
              <w:rPr>
                <w:spacing w:val="-3"/>
                <w:sz w:val="24"/>
              </w:rPr>
              <w:t> </w:t>
            </w:r>
            <w:r>
              <w:rPr>
                <w:sz w:val="24"/>
              </w:rPr>
              <w:t>Delta</w:t>
            </w:r>
            <w:r>
              <w:rPr>
                <w:spacing w:val="-3"/>
                <w:sz w:val="24"/>
              </w:rPr>
              <w:t> </w:t>
            </w:r>
            <w:r>
              <w:rPr>
                <w:spacing w:val="-2"/>
                <w:sz w:val="24"/>
              </w:rPr>
              <w:t>Conflict</w:t>
            </w:r>
          </w:p>
        </w:tc>
        <w:tc>
          <w:tcPr>
            <w:tcW w:w="650" w:type="dxa"/>
          </w:tcPr>
          <w:p>
            <w:pPr>
              <w:pStyle w:val="TableParagraph"/>
              <w:spacing w:before="64"/>
              <w:ind w:right="49"/>
              <w:jc w:val="right"/>
              <w:rPr>
                <w:sz w:val="24"/>
              </w:rPr>
            </w:pPr>
            <w:r>
              <w:rPr>
                <w:spacing w:val="-5"/>
                <w:sz w:val="24"/>
              </w:rPr>
              <w:t>141</w:t>
            </w:r>
          </w:p>
        </w:tc>
      </w:tr>
      <w:tr>
        <w:trPr>
          <w:trHeight w:val="414" w:hRule="atLeast"/>
        </w:trPr>
        <w:tc>
          <w:tcPr>
            <w:tcW w:w="1193" w:type="dxa"/>
          </w:tcPr>
          <w:p>
            <w:pPr>
              <w:pStyle w:val="TableParagraph"/>
              <w:spacing w:before="63"/>
              <w:ind w:left="50"/>
              <w:rPr>
                <w:sz w:val="24"/>
              </w:rPr>
            </w:pPr>
            <w:r>
              <w:rPr>
                <w:sz w:val="24"/>
              </w:rPr>
              <w:t>Table</w:t>
            </w:r>
            <w:r>
              <w:rPr>
                <w:spacing w:val="-2"/>
                <w:sz w:val="24"/>
              </w:rPr>
              <w:t> </w:t>
            </w:r>
            <w:r>
              <w:rPr>
                <w:spacing w:val="-5"/>
                <w:sz w:val="24"/>
              </w:rPr>
              <w:t>29</w:t>
            </w:r>
          </w:p>
        </w:tc>
        <w:tc>
          <w:tcPr>
            <w:tcW w:w="6540" w:type="dxa"/>
          </w:tcPr>
          <w:p>
            <w:pPr>
              <w:pStyle w:val="TableParagraph"/>
              <w:spacing w:before="63"/>
              <w:ind w:left="297"/>
              <w:rPr>
                <w:sz w:val="24"/>
              </w:rPr>
            </w:pPr>
            <w:r>
              <w:rPr>
                <w:sz w:val="24"/>
              </w:rPr>
              <w:t>Perception</w:t>
            </w:r>
            <w:r>
              <w:rPr>
                <w:spacing w:val="-1"/>
                <w:sz w:val="24"/>
              </w:rPr>
              <w:t> </w:t>
            </w:r>
            <w:r>
              <w:rPr>
                <w:sz w:val="24"/>
              </w:rPr>
              <w:t>on the</w:t>
            </w:r>
            <w:r>
              <w:rPr>
                <w:spacing w:val="-1"/>
                <w:sz w:val="24"/>
              </w:rPr>
              <w:t> </w:t>
            </w:r>
            <w:r>
              <w:rPr>
                <w:sz w:val="24"/>
              </w:rPr>
              <w:t>Roles</w:t>
            </w:r>
            <w:r>
              <w:rPr>
                <w:spacing w:val="2"/>
                <w:sz w:val="24"/>
              </w:rPr>
              <w:t> </w:t>
            </w:r>
            <w:r>
              <w:rPr>
                <w:sz w:val="24"/>
              </w:rPr>
              <w:t>of</w:t>
            </w:r>
            <w:r>
              <w:rPr>
                <w:spacing w:val="-1"/>
                <w:sz w:val="24"/>
              </w:rPr>
              <w:t> </w:t>
            </w:r>
            <w:r>
              <w:rPr>
                <w:sz w:val="24"/>
              </w:rPr>
              <w:t>Civil</w:t>
            </w:r>
            <w:r>
              <w:rPr>
                <w:spacing w:val="2"/>
                <w:sz w:val="24"/>
              </w:rPr>
              <w:t> </w:t>
            </w:r>
            <w:r>
              <w:rPr>
                <w:sz w:val="24"/>
              </w:rPr>
              <w:t>Society</w:t>
            </w:r>
            <w:r>
              <w:rPr>
                <w:spacing w:val="-8"/>
                <w:sz w:val="24"/>
              </w:rPr>
              <w:t> </w:t>
            </w:r>
            <w:r>
              <w:rPr>
                <w:sz w:val="24"/>
              </w:rPr>
              <w:t>organizations </w:t>
            </w:r>
            <w:r>
              <w:rPr>
                <w:spacing w:val="-2"/>
                <w:sz w:val="24"/>
              </w:rPr>
              <w:t>(CSOs)</w:t>
            </w:r>
          </w:p>
        </w:tc>
        <w:tc>
          <w:tcPr>
            <w:tcW w:w="650" w:type="dxa"/>
          </w:tcPr>
          <w:p>
            <w:pPr>
              <w:pStyle w:val="TableParagraph"/>
              <w:rPr>
                <w:sz w:val="24"/>
              </w:rPr>
            </w:pPr>
          </w:p>
        </w:tc>
      </w:tr>
      <w:tr>
        <w:trPr>
          <w:trHeight w:val="414" w:hRule="atLeast"/>
        </w:trPr>
        <w:tc>
          <w:tcPr>
            <w:tcW w:w="1193" w:type="dxa"/>
          </w:tcPr>
          <w:p>
            <w:pPr>
              <w:pStyle w:val="TableParagraph"/>
              <w:rPr>
                <w:sz w:val="24"/>
              </w:rPr>
            </w:pPr>
          </w:p>
        </w:tc>
        <w:tc>
          <w:tcPr>
            <w:tcW w:w="6540" w:type="dxa"/>
          </w:tcPr>
          <w:p>
            <w:pPr>
              <w:pStyle w:val="TableParagraph"/>
              <w:spacing w:before="65"/>
              <w:ind w:left="297"/>
              <w:rPr>
                <w:sz w:val="24"/>
              </w:rPr>
            </w:pPr>
            <w:r>
              <w:rPr>
                <w:sz w:val="24"/>
              </w:rPr>
              <w:t>In</w:t>
            </w:r>
            <w:r>
              <w:rPr>
                <w:spacing w:val="-2"/>
                <w:sz w:val="24"/>
              </w:rPr>
              <w:t> </w:t>
            </w:r>
            <w:r>
              <w:rPr>
                <w:sz w:val="24"/>
              </w:rPr>
              <w:t>the</w:t>
            </w:r>
            <w:r>
              <w:rPr>
                <w:spacing w:val="-1"/>
                <w:sz w:val="24"/>
              </w:rPr>
              <w:t> </w:t>
            </w:r>
            <w:r>
              <w:rPr>
                <w:sz w:val="24"/>
              </w:rPr>
              <w:t>Resolution</w:t>
            </w:r>
            <w:r>
              <w:rPr>
                <w:spacing w:val="-1"/>
                <w:sz w:val="24"/>
              </w:rPr>
              <w:t> </w:t>
            </w:r>
            <w:r>
              <w:rPr>
                <w:sz w:val="24"/>
              </w:rPr>
              <w:t>of</w:t>
            </w:r>
            <w:r>
              <w:rPr>
                <w:spacing w:val="-1"/>
                <w:sz w:val="24"/>
              </w:rPr>
              <w:t> </w:t>
            </w:r>
            <w:r>
              <w:rPr>
                <w:sz w:val="24"/>
              </w:rPr>
              <w:t>the</w:t>
            </w:r>
            <w:r>
              <w:rPr>
                <w:spacing w:val="-2"/>
                <w:sz w:val="24"/>
              </w:rPr>
              <w:t> </w:t>
            </w:r>
            <w:r>
              <w:rPr>
                <w:sz w:val="24"/>
              </w:rPr>
              <w:t>Niger</w:t>
            </w:r>
            <w:r>
              <w:rPr>
                <w:spacing w:val="-1"/>
                <w:sz w:val="24"/>
              </w:rPr>
              <w:t> </w:t>
            </w:r>
            <w:r>
              <w:rPr>
                <w:sz w:val="24"/>
              </w:rPr>
              <w:t>Delta</w:t>
            </w:r>
            <w:r>
              <w:rPr>
                <w:spacing w:val="-2"/>
                <w:sz w:val="24"/>
              </w:rPr>
              <w:t> Conflict</w:t>
            </w:r>
          </w:p>
        </w:tc>
        <w:tc>
          <w:tcPr>
            <w:tcW w:w="650" w:type="dxa"/>
          </w:tcPr>
          <w:p>
            <w:pPr>
              <w:pStyle w:val="TableParagraph"/>
              <w:spacing w:before="65"/>
              <w:ind w:right="49"/>
              <w:jc w:val="right"/>
              <w:rPr>
                <w:sz w:val="24"/>
              </w:rPr>
            </w:pPr>
            <w:r>
              <w:rPr>
                <w:spacing w:val="-5"/>
                <w:sz w:val="24"/>
              </w:rPr>
              <w:t>142</w:t>
            </w:r>
          </w:p>
        </w:tc>
      </w:tr>
      <w:tr>
        <w:trPr>
          <w:trHeight w:val="414" w:hRule="atLeast"/>
        </w:trPr>
        <w:tc>
          <w:tcPr>
            <w:tcW w:w="1193" w:type="dxa"/>
          </w:tcPr>
          <w:p>
            <w:pPr>
              <w:pStyle w:val="TableParagraph"/>
              <w:spacing w:before="63"/>
              <w:ind w:left="50"/>
              <w:rPr>
                <w:sz w:val="24"/>
              </w:rPr>
            </w:pPr>
            <w:r>
              <w:rPr>
                <w:sz w:val="24"/>
              </w:rPr>
              <w:t>Table</w:t>
            </w:r>
            <w:r>
              <w:rPr>
                <w:spacing w:val="-2"/>
                <w:sz w:val="24"/>
              </w:rPr>
              <w:t> </w:t>
            </w:r>
            <w:r>
              <w:rPr>
                <w:spacing w:val="-5"/>
                <w:sz w:val="24"/>
              </w:rPr>
              <w:t>30</w:t>
            </w:r>
          </w:p>
        </w:tc>
        <w:tc>
          <w:tcPr>
            <w:tcW w:w="6540" w:type="dxa"/>
          </w:tcPr>
          <w:p>
            <w:pPr>
              <w:pStyle w:val="TableParagraph"/>
              <w:spacing w:before="63"/>
              <w:ind w:left="297"/>
              <w:rPr>
                <w:sz w:val="24"/>
              </w:rPr>
            </w:pPr>
            <w:r>
              <w:rPr>
                <w:sz w:val="24"/>
              </w:rPr>
              <w:t>Perception</w:t>
            </w:r>
            <w:r>
              <w:rPr>
                <w:spacing w:val="-1"/>
                <w:sz w:val="24"/>
              </w:rPr>
              <w:t> </w:t>
            </w:r>
            <w:r>
              <w:rPr>
                <w:sz w:val="24"/>
              </w:rPr>
              <w:t>on</w:t>
            </w:r>
            <w:r>
              <w:rPr>
                <w:spacing w:val="-1"/>
                <w:sz w:val="24"/>
              </w:rPr>
              <w:t> </w:t>
            </w:r>
            <w:r>
              <w:rPr>
                <w:sz w:val="24"/>
              </w:rPr>
              <w:t>the Roles</w:t>
            </w:r>
            <w:r>
              <w:rPr>
                <w:spacing w:val="1"/>
                <w:sz w:val="24"/>
              </w:rPr>
              <w:t> </w:t>
            </w:r>
            <w:r>
              <w:rPr>
                <w:sz w:val="24"/>
              </w:rPr>
              <w:t>of</w:t>
            </w:r>
            <w:r>
              <w:rPr>
                <w:spacing w:val="-2"/>
                <w:sz w:val="24"/>
              </w:rPr>
              <w:t> </w:t>
            </w:r>
            <w:r>
              <w:rPr>
                <w:sz w:val="24"/>
              </w:rPr>
              <w:t>Oil &amp;</w:t>
            </w:r>
            <w:r>
              <w:rPr>
                <w:spacing w:val="-3"/>
                <w:sz w:val="24"/>
              </w:rPr>
              <w:t> </w:t>
            </w:r>
            <w:r>
              <w:rPr>
                <w:sz w:val="24"/>
              </w:rPr>
              <w:t>Gas Companies</w:t>
            </w:r>
            <w:r>
              <w:rPr>
                <w:spacing w:val="-1"/>
                <w:sz w:val="24"/>
              </w:rPr>
              <w:t> </w:t>
            </w:r>
            <w:r>
              <w:rPr>
                <w:sz w:val="24"/>
              </w:rPr>
              <w:t>in </w:t>
            </w:r>
            <w:r>
              <w:rPr>
                <w:spacing w:val="-5"/>
                <w:sz w:val="24"/>
              </w:rPr>
              <w:t>the</w:t>
            </w:r>
          </w:p>
        </w:tc>
        <w:tc>
          <w:tcPr>
            <w:tcW w:w="650" w:type="dxa"/>
          </w:tcPr>
          <w:p>
            <w:pPr>
              <w:pStyle w:val="TableParagraph"/>
              <w:rPr>
                <w:sz w:val="24"/>
              </w:rPr>
            </w:pPr>
          </w:p>
        </w:tc>
      </w:tr>
      <w:tr>
        <w:trPr>
          <w:trHeight w:val="414" w:hRule="atLeast"/>
        </w:trPr>
        <w:tc>
          <w:tcPr>
            <w:tcW w:w="1193" w:type="dxa"/>
          </w:tcPr>
          <w:p>
            <w:pPr>
              <w:pStyle w:val="TableParagraph"/>
              <w:rPr>
                <w:sz w:val="24"/>
              </w:rPr>
            </w:pPr>
          </w:p>
        </w:tc>
        <w:tc>
          <w:tcPr>
            <w:tcW w:w="6540" w:type="dxa"/>
          </w:tcPr>
          <w:p>
            <w:pPr>
              <w:pStyle w:val="TableParagraph"/>
              <w:spacing w:before="64"/>
              <w:ind w:left="297"/>
              <w:rPr>
                <w:sz w:val="24"/>
              </w:rPr>
            </w:pPr>
            <w:r>
              <w:rPr>
                <w:sz w:val="24"/>
              </w:rPr>
              <w:t>Resolution</w:t>
            </w:r>
            <w:r>
              <w:rPr>
                <w:spacing w:val="-1"/>
                <w:sz w:val="24"/>
              </w:rPr>
              <w:t> </w:t>
            </w:r>
            <w:r>
              <w:rPr>
                <w:sz w:val="24"/>
              </w:rPr>
              <w:t>of</w:t>
            </w:r>
            <w:r>
              <w:rPr>
                <w:spacing w:val="-1"/>
                <w:sz w:val="24"/>
              </w:rPr>
              <w:t> </w:t>
            </w:r>
            <w:r>
              <w:rPr>
                <w:sz w:val="24"/>
              </w:rPr>
              <w:t>the</w:t>
            </w:r>
            <w:r>
              <w:rPr>
                <w:spacing w:val="-2"/>
                <w:sz w:val="24"/>
              </w:rPr>
              <w:t> </w:t>
            </w:r>
            <w:r>
              <w:rPr>
                <w:sz w:val="24"/>
              </w:rPr>
              <w:t>Niger</w:t>
            </w:r>
            <w:r>
              <w:rPr>
                <w:spacing w:val="-1"/>
                <w:sz w:val="24"/>
              </w:rPr>
              <w:t> </w:t>
            </w:r>
            <w:r>
              <w:rPr>
                <w:sz w:val="24"/>
              </w:rPr>
              <w:t>Delta</w:t>
            </w:r>
            <w:r>
              <w:rPr>
                <w:spacing w:val="-1"/>
                <w:sz w:val="24"/>
              </w:rPr>
              <w:t> </w:t>
            </w:r>
            <w:r>
              <w:rPr>
                <w:spacing w:val="-2"/>
                <w:sz w:val="24"/>
              </w:rPr>
              <w:t>Conflict</w:t>
            </w:r>
          </w:p>
        </w:tc>
        <w:tc>
          <w:tcPr>
            <w:tcW w:w="650" w:type="dxa"/>
          </w:tcPr>
          <w:p>
            <w:pPr>
              <w:pStyle w:val="TableParagraph"/>
              <w:spacing w:before="64"/>
              <w:ind w:right="49"/>
              <w:jc w:val="right"/>
              <w:rPr>
                <w:sz w:val="24"/>
              </w:rPr>
            </w:pPr>
            <w:r>
              <w:rPr>
                <w:spacing w:val="-5"/>
                <w:sz w:val="24"/>
              </w:rPr>
              <w:t>143</w:t>
            </w:r>
          </w:p>
        </w:tc>
      </w:tr>
      <w:tr>
        <w:trPr>
          <w:trHeight w:val="413" w:hRule="atLeast"/>
        </w:trPr>
        <w:tc>
          <w:tcPr>
            <w:tcW w:w="1193" w:type="dxa"/>
          </w:tcPr>
          <w:p>
            <w:pPr>
              <w:pStyle w:val="TableParagraph"/>
              <w:spacing w:before="63"/>
              <w:ind w:left="50"/>
              <w:rPr>
                <w:sz w:val="24"/>
              </w:rPr>
            </w:pPr>
            <w:r>
              <w:rPr>
                <w:sz w:val="24"/>
              </w:rPr>
              <w:t>Table</w:t>
            </w:r>
            <w:r>
              <w:rPr>
                <w:spacing w:val="-2"/>
                <w:sz w:val="24"/>
              </w:rPr>
              <w:t> </w:t>
            </w:r>
            <w:r>
              <w:rPr>
                <w:spacing w:val="-5"/>
                <w:sz w:val="24"/>
              </w:rPr>
              <w:t>31</w:t>
            </w:r>
          </w:p>
        </w:tc>
        <w:tc>
          <w:tcPr>
            <w:tcW w:w="6540" w:type="dxa"/>
          </w:tcPr>
          <w:p>
            <w:pPr>
              <w:pStyle w:val="TableParagraph"/>
              <w:spacing w:before="63"/>
              <w:ind w:left="297"/>
              <w:rPr>
                <w:sz w:val="24"/>
              </w:rPr>
            </w:pPr>
            <w:r>
              <w:rPr>
                <w:sz w:val="24"/>
              </w:rPr>
              <w:t>Perception</w:t>
            </w:r>
            <w:r>
              <w:rPr>
                <w:spacing w:val="-1"/>
                <w:sz w:val="24"/>
              </w:rPr>
              <w:t> </w:t>
            </w:r>
            <w:r>
              <w:rPr>
                <w:sz w:val="24"/>
              </w:rPr>
              <w:t>on</w:t>
            </w:r>
            <w:r>
              <w:rPr>
                <w:spacing w:val="-1"/>
                <w:sz w:val="24"/>
              </w:rPr>
              <w:t> </w:t>
            </w:r>
            <w:r>
              <w:rPr>
                <w:sz w:val="24"/>
              </w:rPr>
              <w:t>the Roles</w:t>
            </w:r>
            <w:r>
              <w:rPr>
                <w:spacing w:val="1"/>
                <w:sz w:val="24"/>
              </w:rPr>
              <w:t> </w:t>
            </w:r>
            <w:r>
              <w:rPr>
                <w:sz w:val="24"/>
              </w:rPr>
              <w:t>of</w:t>
            </w:r>
            <w:r>
              <w:rPr>
                <w:spacing w:val="-1"/>
                <w:sz w:val="24"/>
              </w:rPr>
              <w:t> </w:t>
            </w:r>
            <w:r>
              <w:rPr>
                <w:sz w:val="24"/>
              </w:rPr>
              <w:t>Youths</w:t>
            </w:r>
            <w:r>
              <w:rPr>
                <w:spacing w:val="-1"/>
                <w:sz w:val="24"/>
              </w:rPr>
              <w:t> </w:t>
            </w:r>
            <w:r>
              <w:rPr>
                <w:sz w:val="24"/>
              </w:rPr>
              <w:t>in</w:t>
            </w:r>
            <w:r>
              <w:rPr>
                <w:spacing w:val="-1"/>
                <w:sz w:val="24"/>
              </w:rPr>
              <w:t> </w:t>
            </w:r>
            <w:r>
              <w:rPr>
                <w:sz w:val="24"/>
              </w:rPr>
              <w:t>the Resolution</w:t>
            </w:r>
            <w:r>
              <w:rPr>
                <w:spacing w:val="2"/>
                <w:sz w:val="24"/>
              </w:rPr>
              <w:t> </w:t>
            </w:r>
            <w:r>
              <w:rPr>
                <w:sz w:val="24"/>
              </w:rPr>
              <w:t>of</w:t>
            </w:r>
            <w:r>
              <w:rPr>
                <w:spacing w:val="-1"/>
                <w:sz w:val="24"/>
              </w:rPr>
              <w:t> </w:t>
            </w:r>
            <w:r>
              <w:rPr>
                <w:spacing w:val="-5"/>
                <w:sz w:val="24"/>
              </w:rPr>
              <w:t>the</w:t>
            </w:r>
          </w:p>
        </w:tc>
        <w:tc>
          <w:tcPr>
            <w:tcW w:w="650" w:type="dxa"/>
          </w:tcPr>
          <w:p>
            <w:pPr>
              <w:pStyle w:val="TableParagraph"/>
              <w:rPr>
                <w:sz w:val="24"/>
              </w:rPr>
            </w:pPr>
          </w:p>
        </w:tc>
      </w:tr>
      <w:tr>
        <w:trPr>
          <w:trHeight w:val="413" w:hRule="atLeast"/>
        </w:trPr>
        <w:tc>
          <w:tcPr>
            <w:tcW w:w="1193" w:type="dxa"/>
          </w:tcPr>
          <w:p>
            <w:pPr>
              <w:pStyle w:val="TableParagraph"/>
              <w:rPr>
                <w:sz w:val="24"/>
              </w:rPr>
            </w:pPr>
          </w:p>
        </w:tc>
        <w:tc>
          <w:tcPr>
            <w:tcW w:w="6540" w:type="dxa"/>
          </w:tcPr>
          <w:p>
            <w:pPr>
              <w:pStyle w:val="TableParagraph"/>
              <w:spacing w:before="64"/>
              <w:ind w:left="297"/>
              <w:rPr>
                <w:sz w:val="24"/>
              </w:rPr>
            </w:pPr>
            <w:r>
              <w:rPr>
                <w:sz w:val="24"/>
              </w:rPr>
              <w:t>Niger</w:t>
            </w:r>
            <w:r>
              <w:rPr>
                <w:spacing w:val="-3"/>
                <w:sz w:val="24"/>
              </w:rPr>
              <w:t> </w:t>
            </w:r>
            <w:r>
              <w:rPr>
                <w:sz w:val="24"/>
              </w:rPr>
              <w:t>Delta</w:t>
            </w:r>
            <w:r>
              <w:rPr>
                <w:spacing w:val="-3"/>
                <w:sz w:val="24"/>
              </w:rPr>
              <w:t> </w:t>
            </w:r>
            <w:r>
              <w:rPr>
                <w:spacing w:val="-2"/>
                <w:sz w:val="24"/>
              </w:rPr>
              <w:t>Conflict</w:t>
            </w:r>
          </w:p>
        </w:tc>
        <w:tc>
          <w:tcPr>
            <w:tcW w:w="650" w:type="dxa"/>
          </w:tcPr>
          <w:p>
            <w:pPr>
              <w:pStyle w:val="TableParagraph"/>
              <w:spacing w:before="64"/>
              <w:ind w:right="49"/>
              <w:jc w:val="right"/>
              <w:rPr>
                <w:sz w:val="24"/>
              </w:rPr>
            </w:pPr>
            <w:r>
              <w:rPr>
                <w:spacing w:val="-5"/>
                <w:sz w:val="24"/>
              </w:rPr>
              <w:t>144</w:t>
            </w:r>
          </w:p>
        </w:tc>
      </w:tr>
      <w:tr>
        <w:trPr>
          <w:trHeight w:val="414" w:hRule="atLeast"/>
        </w:trPr>
        <w:tc>
          <w:tcPr>
            <w:tcW w:w="1193" w:type="dxa"/>
          </w:tcPr>
          <w:p>
            <w:pPr>
              <w:pStyle w:val="TableParagraph"/>
              <w:spacing w:before="63"/>
              <w:ind w:left="50"/>
              <w:rPr>
                <w:sz w:val="24"/>
              </w:rPr>
            </w:pPr>
            <w:r>
              <w:rPr>
                <w:sz w:val="24"/>
              </w:rPr>
              <w:t>Table</w:t>
            </w:r>
            <w:r>
              <w:rPr>
                <w:spacing w:val="-2"/>
                <w:sz w:val="24"/>
              </w:rPr>
              <w:t> </w:t>
            </w:r>
            <w:r>
              <w:rPr>
                <w:spacing w:val="-5"/>
                <w:sz w:val="24"/>
              </w:rPr>
              <w:t>32</w:t>
            </w:r>
          </w:p>
        </w:tc>
        <w:tc>
          <w:tcPr>
            <w:tcW w:w="6540" w:type="dxa"/>
          </w:tcPr>
          <w:p>
            <w:pPr>
              <w:pStyle w:val="TableParagraph"/>
              <w:spacing w:before="63"/>
              <w:ind w:left="297"/>
              <w:rPr>
                <w:sz w:val="24"/>
              </w:rPr>
            </w:pPr>
            <w:r>
              <w:rPr>
                <w:sz w:val="24"/>
              </w:rPr>
              <w:t>The</w:t>
            </w:r>
            <w:r>
              <w:rPr>
                <w:spacing w:val="-3"/>
                <w:sz w:val="24"/>
              </w:rPr>
              <w:t> </w:t>
            </w:r>
            <w:r>
              <w:rPr>
                <w:sz w:val="24"/>
              </w:rPr>
              <w:t>Roles of</w:t>
            </w:r>
            <w:r>
              <w:rPr>
                <w:spacing w:val="-1"/>
                <w:sz w:val="24"/>
              </w:rPr>
              <w:t> </w:t>
            </w:r>
            <w:r>
              <w:rPr>
                <w:sz w:val="24"/>
              </w:rPr>
              <w:t>the</w:t>
            </w:r>
            <w:r>
              <w:rPr>
                <w:spacing w:val="-1"/>
                <w:sz w:val="24"/>
              </w:rPr>
              <w:t> </w:t>
            </w:r>
            <w:r>
              <w:rPr>
                <w:sz w:val="24"/>
              </w:rPr>
              <w:t>Niger</w:t>
            </w:r>
            <w:r>
              <w:rPr>
                <w:spacing w:val="1"/>
                <w:sz w:val="24"/>
              </w:rPr>
              <w:t> </w:t>
            </w:r>
            <w:r>
              <w:rPr>
                <w:sz w:val="24"/>
              </w:rPr>
              <w:t>Delta</w:t>
            </w:r>
            <w:r>
              <w:rPr>
                <w:spacing w:val="-1"/>
                <w:sz w:val="24"/>
              </w:rPr>
              <w:t> </w:t>
            </w:r>
            <w:r>
              <w:rPr>
                <w:sz w:val="24"/>
              </w:rPr>
              <w:t>Communities</w:t>
            </w:r>
            <w:r>
              <w:rPr>
                <w:spacing w:val="-1"/>
                <w:sz w:val="24"/>
              </w:rPr>
              <w:t> </w:t>
            </w:r>
            <w:r>
              <w:rPr>
                <w:sz w:val="24"/>
              </w:rPr>
              <w:t>in the</w:t>
            </w:r>
            <w:r>
              <w:rPr>
                <w:spacing w:val="-4"/>
                <w:sz w:val="24"/>
              </w:rPr>
              <w:t> </w:t>
            </w:r>
            <w:r>
              <w:rPr>
                <w:spacing w:val="-2"/>
                <w:sz w:val="24"/>
              </w:rPr>
              <w:t>Resolution</w:t>
            </w:r>
          </w:p>
        </w:tc>
        <w:tc>
          <w:tcPr>
            <w:tcW w:w="650" w:type="dxa"/>
          </w:tcPr>
          <w:p>
            <w:pPr>
              <w:pStyle w:val="TableParagraph"/>
              <w:rPr>
                <w:sz w:val="24"/>
              </w:rPr>
            </w:pPr>
          </w:p>
        </w:tc>
      </w:tr>
      <w:tr>
        <w:trPr>
          <w:trHeight w:val="413" w:hRule="atLeast"/>
        </w:trPr>
        <w:tc>
          <w:tcPr>
            <w:tcW w:w="1193" w:type="dxa"/>
          </w:tcPr>
          <w:p>
            <w:pPr>
              <w:pStyle w:val="TableParagraph"/>
              <w:rPr>
                <w:sz w:val="24"/>
              </w:rPr>
            </w:pPr>
          </w:p>
        </w:tc>
        <w:tc>
          <w:tcPr>
            <w:tcW w:w="6540" w:type="dxa"/>
          </w:tcPr>
          <w:p>
            <w:pPr>
              <w:pStyle w:val="TableParagraph"/>
              <w:spacing w:before="64"/>
              <w:ind w:left="297"/>
              <w:rPr>
                <w:sz w:val="24"/>
              </w:rPr>
            </w:pPr>
            <w:r>
              <w:rPr>
                <w:sz w:val="24"/>
              </w:rPr>
              <w:t>of</w:t>
            </w:r>
            <w:r>
              <w:rPr>
                <w:spacing w:val="-2"/>
                <w:sz w:val="24"/>
              </w:rPr>
              <w:t> </w:t>
            </w:r>
            <w:r>
              <w:rPr>
                <w:sz w:val="24"/>
              </w:rPr>
              <w:t>the</w:t>
            </w:r>
            <w:r>
              <w:rPr>
                <w:spacing w:val="-1"/>
                <w:sz w:val="24"/>
              </w:rPr>
              <w:t> </w:t>
            </w:r>
            <w:r>
              <w:rPr>
                <w:sz w:val="24"/>
              </w:rPr>
              <w:t>Niger</w:t>
            </w:r>
            <w:r>
              <w:rPr>
                <w:spacing w:val="-1"/>
                <w:sz w:val="24"/>
              </w:rPr>
              <w:t> </w:t>
            </w:r>
            <w:r>
              <w:rPr>
                <w:sz w:val="24"/>
              </w:rPr>
              <w:t>Delta</w:t>
            </w:r>
            <w:r>
              <w:rPr>
                <w:spacing w:val="-2"/>
                <w:sz w:val="24"/>
              </w:rPr>
              <w:t> Conflict</w:t>
            </w:r>
          </w:p>
        </w:tc>
        <w:tc>
          <w:tcPr>
            <w:tcW w:w="650" w:type="dxa"/>
          </w:tcPr>
          <w:p>
            <w:pPr>
              <w:pStyle w:val="TableParagraph"/>
              <w:spacing w:before="64"/>
              <w:ind w:right="49"/>
              <w:jc w:val="right"/>
              <w:rPr>
                <w:sz w:val="24"/>
              </w:rPr>
            </w:pPr>
            <w:r>
              <w:rPr>
                <w:spacing w:val="-5"/>
                <w:sz w:val="24"/>
              </w:rPr>
              <w:t>145</w:t>
            </w:r>
          </w:p>
        </w:tc>
      </w:tr>
      <w:tr>
        <w:trPr>
          <w:trHeight w:val="413" w:hRule="atLeast"/>
        </w:trPr>
        <w:tc>
          <w:tcPr>
            <w:tcW w:w="1193" w:type="dxa"/>
          </w:tcPr>
          <w:p>
            <w:pPr>
              <w:pStyle w:val="TableParagraph"/>
              <w:spacing w:before="63"/>
              <w:ind w:left="50"/>
              <w:rPr>
                <w:sz w:val="24"/>
              </w:rPr>
            </w:pPr>
            <w:r>
              <w:rPr>
                <w:sz w:val="24"/>
              </w:rPr>
              <w:t>Table</w:t>
            </w:r>
            <w:r>
              <w:rPr>
                <w:spacing w:val="-2"/>
                <w:sz w:val="24"/>
              </w:rPr>
              <w:t> </w:t>
            </w:r>
            <w:r>
              <w:rPr>
                <w:spacing w:val="-5"/>
                <w:sz w:val="24"/>
              </w:rPr>
              <w:t>33</w:t>
            </w:r>
          </w:p>
        </w:tc>
        <w:tc>
          <w:tcPr>
            <w:tcW w:w="6540" w:type="dxa"/>
          </w:tcPr>
          <w:p>
            <w:pPr>
              <w:pStyle w:val="TableParagraph"/>
              <w:spacing w:before="63"/>
              <w:ind w:left="297"/>
              <w:rPr>
                <w:sz w:val="24"/>
              </w:rPr>
            </w:pPr>
            <w:r>
              <w:rPr>
                <w:sz w:val="24"/>
              </w:rPr>
              <w:t>Perception</w:t>
            </w:r>
            <w:r>
              <w:rPr>
                <w:spacing w:val="-1"/>
                <w:sz w:val="24"/>
              </w:rPr>
              <w:t> </w:t>
            </w:r>
            <w:r>
              <w:rPr>
                <w:sz w:val="24"/>
              </w:rPr>
              <w:t>on the Roles</w:t>
            </w:r>
            <w:r>
              <w:rPr>
                <w:spacing w:val="1"/>
                <w:sz w:val="24"/>
              </w:rPr>
              <w:t> </w:t>
            </w:r>
            <w:r>
              <w:rPr>
                <w:sz w:val="24"/>
              </w:rPr>
              <w:t>of</w:t>
            </w:r>
            <w:r>
              <w:rPr>
                <w:spacing w:val="-1"/>
                <w:sz w:val="24"/>
              </w:rPr>
              <w:t> </w:t>
            </w:r>
            <w:r>
              <w:rPr>
                <w:sz w:val="24"/>
              </w:rPr>
              <w:t>the</w:t>
            </w:r>
            <w:r>
              <w:rPr>
                <w:spacing w:val="-1"/>
                <w:sz w:val="24"/>
              </w:rPr>
              <w:t> </w:t>
            </w:r>
            <w:r>
              <w:rPr>
                <w:sz w:val="24"/>
              </w:rPr>
              <w:t>Community</w:t>
            </w:r>
            <w:r>
              <w:rPr>
                <w:spacing w:val="-6"/>
                <w:sz w:val="24"/>
              </w:rPr>
              <w:t> </w:t>
            </w:r>
            <w:r>
              <w:rPr>
                <w:sz w:val="24"/>
              </w:rPr>
              <w:t>Leaders in </w:t>
            </w:r>
            <w:r>
              <w:rPr>
                <w:spacing w:val="-5"/>
                <w:sz w:val="24"/>
              </w:rPr>
              <w:t>the</w:t>
            </w:r>
          </w:p>
        </w:tc>
        <w:tc>
          <w:tcPr>
            <w:tcW w:w="650" w:type="dxa"/>
          </w:tcPr>
          <w:p>
            <w:pPr>
              <w:pStyle w:val="TableParagraph"/>
              <w:rPr>
                <w:sz w:val="24"/>
              </w:rPr>
            </w:pPr>
          </w:p>
        </w:tc>
      </w:tr>
      <w:tr>
        <w:trPr>
          <w:trHeight w:val="414" w:hRule="atLeast"/>
        </w:trPr>
        <w:tc>
          <w:tcPr>
            <w:tcW w:w="1193" w:type="dxa"/>
          </w:tcPr>
          <w:p>
            <w:pPr>
              <w:pStyle w:val="TableParagraph"/>
              <w:rPr>
                <w:sz w:val="24"/>
              </w:rPr>
            </w:pPr>
          </w:p>
        </w:tc>
        <w:tc>
          <w:tcPr>
            <w:tcW w:w="6540" w:type="dxa"/>
          </w:tcPr>
          <w:p>
            <w:pPr>
              <w:pStyle w:val="TableParagraph"/>
              <w:spacing w:before="64"/>
              <w:ind w:left="297"/>
              <w:rPr>
                <w:sz w:val="24"/>
              </w:rPr>
            </w:pPr>
            <w:r>
              <w:rPr>
                <w:sz w:val="24"/>
              </w:rPr>
              <w:t>Resolution</w:t>
            </w:r>
            <w:r>
              <w:rPr>
                <w:spacing w:val="-1"/>
                <w:sz w:val="24"/>
              </w:rPr>
              <w:t> </w:t>
            </w:r>
            <w:r>
              <w:rPr>
                <w:sz w:val="24"/>
              </w:rPr>
              <w:t>of</w:t>
            </w:r>
            <w:r>
              <w:rPr>
                <w:spacing w:val="-1"/>
                <w:sz w:val="24"/>
              </w:rPr>
              <w:t> </w:t>
            </w:r>
            <w:r>
              <w:rPr>
                <w:sz w:val="24"/>
              </w:rPr>
              <w:t>the</w:t>
            </w:r>
            <w:r>
              <w:rPr>
                <w:spacing w:val="-2"/>
                <w:sz w:val="24"/>
              </w:rPr>
              <w:t> </w:t>
            </w:r>
            <w:r>
              <w:rPr>
                <w:sz w:val="24"/>
              </w:rPr>
              <w:t>Niger</w:t>
            </w:r>
            <w:r>
              <w:rPr>
                <w:spacing w:val="-1"/>
                <w:sz w:val="24"/>
              </w:rPr>
              <w:t> </w:t>
            </w:r>
            <w:r>
              <w:rPr>
                <w:sz w:val="24"/>
              </w:rPr>
              <w:t>Delta</w:t>
            </w:r>
            <w:r>
              <w:rPr>
                <w:spacing w:val="-1"/>
                <w:sz w:val="24"/>
              </w:rPr>
              <w:t> </w:t>
            </w:r>
            <w:r>
              <w:rPr>
                <w:spacing w:val="-2"/>
                <w:sz w:val="24"/>
              </w:rPr>
              <w:t>Conflict</w:t>
            </w:r>
          </w:p>
        </w:tc>
        <w:tc>
          <w:tcPr>
            <w:tcW w:w="650" w:type="dxa"/>
          </w:tcPr>
          <w:p>
            <w:pPr>
              <w:pStyle w:val="TableParagraph"/>
              <w:spacing w:before="64"/>
              <w:ind w:right="49"/>
              <w:jc w:val="right"/>
              <w:rPr>
                <w:sz w:val="24"/>
              </w:rPr>
            </w:pPr>
            <w:r>
              <w:rPr>
                <w:spacing w:val="-5"/>
                <w:sz w:val="24"/>
              </w:rPr>
              <w:t>146</w:t>
            </w:r>
          </w:p>
        </w:tc>
      </w:tr>
      <w:tr>
        <w:trPr>
          <w:trHeight w:val="414" w:hRule="atLeast"/>
        </w:trPr>
        <w:tc>
          <w:tcPr>
            <w:tcW w:w="1193" w:type="dxa"/>
          </w:tcPr>
          <w:p>
            <w:pPr>
              <w:pStyle w:val="TableParagraph"/>
              <w:spacing w:before="63"/>
              <w:ind w:left="50"/>
              <w:rPr>
                <w:sz w:val="24"/>
              </w:rPr>
            </w:pPr>
            <w:r>
              <w:rPr>
                <w:sz w:val="24"/>
              </w:rPr>
              <w:t>Table</w:t>
            </w:r>
            <w:r>
              <w:rPr>
                <w:spacing w:val="-2"/>
                <w:sz w:val="24"/>
              </w:rPr>
              <w:t> </w:t>
            </w:r>
            <w:r>
              <w:rPr>
                <w:spacing w:val="-5"/>
                <w:sz w:val="24"/>
              </w:rPr>
              <w:t>34</w:t>
            </w:r>
          </w:p>
        </w:tc>
        <w:tc>
          <w:tcPr>
            <w:tcW w:w="6540" w:type="dxa"/>
          </w:tcPr>
          <w:p>
            <w:pPr>
              <w:pStyle w:val="TableParagraph"/>
              <w:spacing w:before="63"/>
              <w:ind w:left="297"/>
              <w:rPr>
                <w:sz w:val="24"/>
              </w:rPr>
            </w:pPr>
            <w:r>
              <w:rPr>
                <w:sz w:val="24"/>
              </w:rPr>
              <w:t>Perception</w:t>
            </w:r>
            <w:r>
              <w:rPr>
                <w:spacing w:val="-1"/>
                <w:sz w:val="24"/>
              </w:rPr>
              <w:t> </w:t>
            </w:r>
            <w:r>
              <w:rPr>
                <w:sz w:val="24"/>
              </w:rPr>
              <w:t>on</w:t>
            </w:r>
            <w:r>
              <w:rPr>
                <w:spacing w:val="-2"/>
                <w:sz w:val="24"/>
              </w:rPr>
              <w:t> </w:t>
            </w:r>
            <w:r>
              <w:rPr>
                <w:sz w:val="24"/>
              </w:rPr>
              <w:t>the</w:t>
            </w:r>
            <w:r>
              <w:rPr>
                <w:spacing w:val="-1"/>
                <w:sz w:val="24"/>
              </w:rPr>
              <w:t> </w:t>
            </w:r>
            <w:r>
              <w:rPr>
                <w:sz w:val="24"/>
              </w:rPr>
              <w:t>Roles</w:t>
            </w:r>
            <w:r>
              <w:rPr>
                <w:spacing w:val="1"/>
                <w:sz w:val="24"/>
              </w:rPr>
              <w:t> </w:t>
            </w:r>
            <w:r>
              <w:rPr>
                <w:sz w:val="24"/>
              </w:rPr>
              <w:t>of</w:t>
            </w:r>
            <w:r>
              <w:rPr>
                <w:spacing w:val="-2"/>
                <w:sz w:val="24"/>
              </w:rPr>
              <w:t> </w:t>
            </w:r>
            <w:r>
              <w:rPr>
                <w:sz w:val="24"/>
              </w:rPr>
              <w:t>Joint</w:t>
            </w:r>
            <w:r>
              <w:rPr>
                <w:spacing w:val="-1"/>
                <w:sz w:val="24"/>
              </w:rPr>
              <w:t> </w:t>
            </w:r>
            <w:r>
              <w:rPr>
                <w:sz w:val="24"/>
              </w:rPr>
              <w:t>Military</w:t>
            </w:r>
            <w:r>
              <w:rPr>
                <w:spacing w:val="-5"/>
                <w:sz w:val="24"/>
              </w:rPr>
              <w:t> </w:t>
            </w:r>
            <w:r>
              <w:rPr>
                <w:sz w:val="24"/>
              </w:rPr>
              <w:t>Task</w:t>
            </w:r>
            <w:r>
              <w:rPr>
                <w:spacing w:val="1"/>
                <w:sz w:val="24"/>
              </w:rPr>
              <w:t> </w:t>
            </w:r>
            <w:r>
              <w:rPr>
                <w:sz w:val="24"/>
              </w:rPr>
              <w:t>Force</w:t>
            </w:r>
            <w:r>
              <w:rPr>
                <w:spacing w:val="-2"/>
                <w:sz w:val="24"/>
              </w:rPr>
              <w:t> </w:t>
            </w:r>
            <w:r>
              <w:rPr>
                <w:sz w:val="24"/>
              </w:rPr>
              <w:t>(JTF)</w:t>
            </w:r>
            <w:r>
              <w:rPr>
                <w:spacing w:val="-1"/>
                <w:sz w:val="24"/>
              </w:rPr>
              <w:t> </w:t>
            </w:r>
            <w:r>
              <w:rPr>
                <w:spacing w:val="-5"/>
                <w:sz w:val="24"/>
              </w:rPr>
              <w:t>in</w:t>
            </w:r>
          </w:p>
        </w:tc>
        <w:tc>
          <w:tcPr>
            <w:tcW w:w="650" w:type="dxa"/>
          </w:tcPr>
          <w:p>
            <w:pPr>
              <w:pStyle w:val="TableParagraph"/>
              <w:rPr>
                <w:sz w:val="24"/>
              </w:rPr>
            </w:pPr>
          </w:p>
        </w:tc>
      </w:tr>
      <w:tr>
        <w:trPr>
          <w:trHeight w:val="413" w:hRule="atLeast"/>
        </w:trPr>
        <w:tc>
          <w:tcPr>
            <w:tcW w:w="1193" w:type="dxa"/>
          </w:tcPr>
          <w:p>
            <w:pPr>
              <w:pStyle w:val="TableParagraph"/>
              <w:rPr>
                <w:sz w:val="24"/>
              </w:rPr>
            </w:pPr>
          </w:p>
        </w:tc>
        <w:tc>
          <w:tcPr>
            <w:tcW w:w="6540" w:type="dxa"/>
          </w:tcPr>
          <w:p>
            <w:pPr>
              <w:pStyle w:val="TableParagraph"/>
              <w:spacing w:before="64"/>
              <w:ind w:left="297"/>
              <w:rPr>
                <w:sz w:val="24"/>
              </w:rPr>
            </w:pPr>
            <w:r>
              <w:rPr>
                <w:sz w:val="24"/>
              </w:rPr>
              <w:t>the</w:t>
            </w:r>
            <w:r>
              <w:rPr>
                <w:spacing w:val="-1"/>
                <w:sz w:val="24"/>
              </w:rPr>
              <w:t> </w:t>
            </w:r>
            <w:r>
              <w:rPr>
                <w:sz w:val="24"/>
              </w:rPr>
              <w:t>Resolution</w:t>
            </w:r>
            <w:r>
              <w:rPr>
                <w:spacing w:val="-1"/>
                <w:sz w:val="24"/>
              </w:rPr>
              <w:t> </w:t>
            </w:r>
            <w:r>
              <w:rPr>
                <w:sz w:val="24"/>
              </w:rPr>
              <w:t>of</w:t>
            </w:r>
            <w:r>
              <w:rPr>
                <w:spacing w:val="-1"/>
                <w:sz w:val="24"/>
              </w:rPr>
              <w:t> </w:t>
            </w:r>
            <w:r>
              <w:rPr>
                <w:sz w:val="24"/>
              </w:rPr>
              <w:t>the</w:t>
            </w:r>
            <w:r>
              <w:rPr>
                <w:spacing w:val="-1"/>
                <w:sz w:val="24"/>
              </w:rPr>
              <w:t> </w:t>
            </w:r>
            <w:r>
              <w:rPr>
                <w:sz w:val="24"/>
              </w:rPr>
              <w:t>Niger</w:t>
            </w:r>
            <w:r>
              <w:rPr>
                <w:spacing w:val="-2"/>
                <w:sz w:val="24"/>
              </w:rPr>
              <w:t> </w:t>
            </w:r>
            <w:r>
              <w:rPr>
                <w:sz w:val="24"/>
              </w:rPr>
              <w:t>Delta</w:t>
            </w:r>
            <w:r>
              <w:rPr>
                <w:spacing w:val="-1"/>
                <w:sz w:val="24"/>
              </w:rPr>
              <w:t> </w:t>
            </w:r>
            <w:r>
              <w:rPr>
                <w:spacing w:val="-2"/>
                <w:sz w:val="24"/>
              </w:rPr>
              <w:t>Conflict</w:t>
            </w:r>
          </w:p>
        </w:tc>
        <w:tc>
          <w:tcPr>
            <w:tcW w:w="650" w:type="dxa"/>
          </w:tcPr>
          <w:p>
            <w:pPr>
              <w:pStyle w:val="TableParagraph"/>
              <w:spacing w:before="64"/>
              <w:ind w:right="49"/>
              <w:jc w:val="right"/>
              <w:rPr>
                <w:sz w:val="24"/>
              </w:rPr>
            </w:pPr>
            <w:r>
              <w:rPr>
                <w:spacing w:val="-5"/>
                <w:sz w:val="24"/>
              </w:rPr>
              <w:t>147</w:t>
            </w:r>
          </w:p>
        </w:tc>
      </w:tr>
      <w:tr>
        <w:trPr>
          <w:trHeight w:val="413" w:hRule="atLeast"/>
        </w:trPr>
        <w:tc>
          <w:tcPr>
            <w:tcW w:w="1193" w:type="dxa"/>
          </w:tcPr>
          <w:p>
            <w:pPr>
              <w:pStyle w:val="TableParagraph"/>
              <w:spacing w:before="63"/>
              <w:ind w:left="50"/>
              <w:rPr>
                <w:sz w:val="24"/>
              </w:rPr>
            </w:pPr>
            <w:r>
              <w:rPr>
                <w:sz w:val="24"/>
              </w:rPr>
              <w:t>Table</w:t>
            </w:r>
            <w:r>
              <w:rPr>
                <w:spacing w:val="-2"/>
                <w:sz w:val="24"/>
              </w:rPr>
              <w:t> </w:t>
            </w:r>
            <w:r>
              <w:rPr>
                <w:spacing w:val="-5"/>
                <w:sz w:val="24"/>
              </w:rPr>
              <w:t>35</w:t>
            </w:r>
          </w:p>
        </w:tc>
        <w:tc>
          <w:tcPr>
            <w:tcW w:w="6540" w:type="dxa"/>
          </w:tcPr>
          <w:p>
            <w:pPr>
              <w:pStyle w:val="TableParagraph"/>
              <w:spacing w:before="63"/>
              <w:ind w:left="297"/>
              <w:rPr>
                <w:sz w:val="24"/>
              </w:rPr>
            </w:pPr>
            <w:r>
              <w:rPr>
                <w:sz w:val="24"/>
              </w:rPr>
              <w:t>Systemic</w:t>
            </w:r>
            <w:r>
              <w:rPr>
                <w:spacing w:val="-2"/>
                <w:sz w:val="24"/>
              </w:rPr>
              <w:t> </w:t>
            </w:r>
            <w:r>
              <w:rPr>
                <w:sz w:val="24"/>
              </w:rPr>
              <w:t>Analysis</w:t>
            </w:r>
            <w:r>
              <w:rPr>
                <w:spacing w:val="-1"/>
                <w:sz w:val="24"/>
              </w:rPr>
              <w:t> </w:t>
            </w:r>
            <w:r>
              <w:rPr>
                <w:sz w:val="24"/>
              </w:rPr>
              <w:t>of</w:t>
            </w:r>
            <w:r>
              <w:rPr>
                <w:spacing w:val="-1"/>
                <w:sz w:val="24"/>
              </w:rPr>
              <w:t> </w:t>
            </w:r>
            <w:r>
              <w:rPr>
                <w:sz w:val="24"/>
              </w:rPr>
              <w:t>JTF</w:t>
            </w:r>
            <w:r>
              <w:rPr>
                <w:spacing w:val="-3"/>
                <w:sz w:val="24"/>
              </w:rPr>
              <w:t> </w:t>
            </w:r>
            <w:r>
              <w:rPr>
                <w:sz w:val="24"/>
              </w:rPr>
              <w:t>Tasks</w:t>
            </w:r>
            <w:r>
              <w:rPr>
                <w:spacing w:val="-1"/>
                <w:sz w:val="24"/>
              </w:rPr>
              <w:t> </w:t>
            </w:r>
            <w:r>
              <w:rPr>
                <w:sz w:val="24"/>
              </w:rPr>
              <w:t>and </w:t>
            </w:r>
            <w:r>
              <w:rPr>
                <w:spacing w:val="-2"/>
                <w:sz w:val="24"/>
              </w:rPr>
              <w:t>Strategies</w:t>
            </w:r>
          </w:p>
        </w:tc>
        <w:tc>
          <w:tcPr>
            <w:tcW w:w="650" w:type="dxa"/>
          </w:tcPr>
          <w:p>
            <w:pPr>
              <w:pStyle w:val="TableParagraph"/>
              <w:spacing w:before="63"/>
              <w:ind w:right="49"/>
              <w:jc w:val="right"/>
              <w:rPr>
                <w:sz w:val="24"/>
              </w:rPr>
            </w:pPr>
            <w:r>
              <w:rPr>
                <w:spacing w:val="-5"/>
                <w:sz w:val="24"/>
              </w:rPr>
              <w:t>150</w:t>
            </w:r>
          </w:p>
        </w:tc>
      </w:tr>
      <w:tr>
        <w:trPr>
          <w:trHeight w:val="413" w:hRule="atLeast"/>
        </w:trPr>
        <w:tc>
          <w:tcPr>
            <w:tcW w:w="1193" w:type="dxa"/>
          </w:tcPr>
          <w:p>
            <w:pPr>
              <w:pStyle w:val="TableParagraph"/>
              <w:spacing w:before="64"/>
              <w:ind w:left="50"/>
              <w:rPr>
                <w:sz w:val="24"/>
              </w:rPr>
            </w:pPr>
            <w:r>
              <w:rPr>
                <w:sz w:val="24"/>
              </w:rPr>
              <w:t>Table</w:t>
            </w:r>
            <w:r>
              <w:rPr>
                <w:spacing w:val="-2"/>
                <w:sz w:val="24"/>
              </w:rPr>
              <w:t> </w:t>
            </w:r>
            <w:r>
              <w:rPr>
                <w:spacing w:val="-5"/>
                <w:sz w:val="24"/>
              </w:rPr>
              <w:t>36</w:t>
            </w:r>
          </w:p>
        </w:tc>
        <w:tc>
          <w:tcPr>
            <w:tcW w:w="6540" w:type="dxa"/>
          </w:tcPr>
          <w:p>
            <w:pPr>
              <w:pStyle w:val="TableParagraph"/>
              <w:spacing w:before="64"/>
              <w:ind w:left="297"/>
              <w:rPr>
                <w:sz w:val="24"/>
              </w:rPr>
            </w:pPr>
            <w:r>
              <w:rPr>
                <w:sz w:val="24"/>
              </w:rPr>
              <w:t>Correlation</w:t>
            </w:r>
            <w:r>
              <w:rPr>
                <w:spacing w:val="-3"/>
                <w:sz w:val="24"/>
              </w:rPr>
              <w:t> </w:t>
            </w:r>
            <w:r>
              <w:rPr>
                <w:sz w:val="24"/>
              </w:rPr>
              <w:t>Between</w:t>
            </w:r>
            <w:r>
              <w:rPr>
                <w:spacing w:val="-1"/>
                <w:sz w:val="24"/>
              </w:rPr>
              <w:t> </w:t>
            </w:r>
            <w:r>
              <w:rPr>
                <w:sz w:val="24"/>
              </w:rPr>
              <w:t>the</w:t>
            </w:r>
            <w:r>
              <w:rPr>
                <w:spacing w:val="-1"/>
                <w:sz w:val="24"/>
              </w:rPr>
              <w:t> </w:t>
            </w:r>
            <w:r>
              <w:rPr>
                <w:sz w:val="24"/>
              </w:rPr>
              <w:t>Adopted</w:t>
            </w:r>
            <w:r>
              <w:rPr>
                <w:spacing w:val="-1"/>
                <w:sz w:val="24"/>
              </w:rPr>
              <w:t> </w:t>
            </w:r>
            <w:r>
              <w:rPr>
                <w:sz w:val="24"/>
              </w:rPr>
              <w:t>JTF</w:t>
            </w:r>
            <w:r>
              <w:rPr>
                <w:spacing w:val="-2"/>
                <w:sz w:val="24"/>
              </w:rPr>
              <w:t> </w:t>
            </w:r>
            <w:r>
              <w:rPr>
                <w:sz w:val="24"/>
              </w:rPr>
              <w:t>Strategies and</w:t>
            </w:r>
            <w:r>
              <w:rPr>
                <w:spacing w:val="-1"/>
                <w:sz w:val="24"/>
              </w:rPr>
              <w:t> </w:t>
            </w:r>
            <w:r>
              <w:rPr>
                <w:spacing w:val="-2"/>
                <w:sz w:val="24"/>
              </w:rPr>
              <w:t>Actions</w:t>
            </w:r>
          </w:p>
        </w:tc>
        <w:tc>
          <w:tcPr>
            <w:tcW w:w="650" w:type="dxa"/>
          </w:tcPr>
          <w:p>
            <w:pPr>
              <w:pStyle w:val="TableParagraph"/>
              <w:rPr>
                <w:sz w:val="24"/>
              </w:rPr>
            </w:pPr>
          </w:p>
        </w:tc>
      </w:tr>
      <w:tr>
        <w:trPr>
          <w:trHeight w:val="389" w:hRule="atLeast"/>
        </w:trPr>
        <w:tc>
          <w:tcPr>
            <w:tcW w:w="1193" w:type="dxa"/>
          </w:tcPr>
          <w:p>
            <w:pPr>
              <w:pStyle w:val="TableParagraph"/>
              <w:rPr>
                <w:sz w:val="24"/>
              </w:rPr>
            </w:pPr>
          </w:p>
        </w:tc>
        <w:tc>
          <w:tcPr>
            <w:tcW w:w="6540" w:type="dxa"/>
          </w:tcPr>
          <w:p>
            <w:pPr>
              <w:pStyle w:val="TableParagraph"/>
              <w:spacing w:before="63"/>
              <w:ind w:left="297"/>
              <w:rPr>
                <w:sz w:val="24"/>
              </w:rPr>
            </w:pPr>
            <w:r>
              <w:rPr>
                <w:sz w:val="24"/>
              </w:rPr>
              <w:t>Adopted</w:t>
            </w:r>
            <w:r>
              <w:rPr>
                <w:spacing w:val="1"/>
                <w:sz w:val="24"/>
              </w:rPr>
              <w:t> </w:t>
            </w:r>
            <w:r>
              <w:rPr>
                <w:sz w:val="24"/>
              </w:rPr>
              <w:t>by</w:t>
            </w:r>
            <w:r>
              <w:rPr>
                <w:spacing w:val="-5"/>
                <w:sz w:val="24"/>
              </w:rPr>
              <w:t> </w:t>
            </w:r>
            <w:r>
              <w:rPr>
                <w:sz w:val="24"/>
              </w:rPr>
              <w:t>the</w:t>
            </w:r>
            <w:r>
              <w:rPr>
                <w:spacing w:val="1"/>
                <w:sz w:val="24"/>
              </w:rPr>
              <w:t> </w:t>
            </w:r>
            <w:r>
              <w:rPr>
                <w:spacing w:val="-5"/>
                <w:sz w:val="24"/>
              </w:rPr>
              <w:t>JTF</w:t>
            </w:r>
          </w:p>
        </w:tc>
        <w:tc>
          <w:tcPr>
            <w:tcW w:w="650" w:type="dxa"/>
          </w:tcPr>
          <w:p>
            <w:pPr>
              <w:pStyle w:val="TableParagraph"/>
              <w:spacing w:before="63"/>
              <w:ind w:right="49"/>
              <w:jc w:val="right"/>
              <w:rPr>
                <w:sz w:val="24"/>
              </w:rPr>
            </w:pPr>
            <w:r>
              <w:rPr>
                <w:spacing w:val="-5"/>
                <w:sz w:val="24"/>
              </w:rPr>
              <w:t>153</w:t>
            </w:r>
          </w:p>
        </w:tc>
      </w:tr>
    </w:tbl>
    <w:p>
      <w:pPr>
        <w:rPr>
          <w:sz w:val="2"/>
          <w:szCs w:val="2"/>
        </w:rPr>
      </w:pPr>
      <w:r>
        <w:rPr/>
        <mc:AlternateContent>
          <mc:Choice Requires="wps">
            <w:drawing>
              <wp:anchor distT="0" distB="0" distL="0" distR="0" allowOverlap="1" layoutInCell="1" locked="0" behindDoc="1" simplePos="0" relativeHeight="480563200">
                <wp:simplePos x="0" y="0"/>
                <wp:positionH relativeFrom="page">
                  <wp:posOffset>-1537026</wp:posOffset>
                </wp:positionH>
                <wp:positionV relativeFrom="page">
                  <wp:posOffset>4900424</wp:posOffset>
                </wp:positionV>
                <wp:extent cx="10669905" cy="914400"/>
                <wp:effectExtent l="0" t="0" r="0" b="0"/>
                <wp:wrapNone/>
                <wp:docPr id="12" name="Textbox 12"/>
                <wp:cNvGraphicFramePr>
                  <a:graphicFrameLocks/>
                </wp:cNvGraphicFramePr>
                <a:graphic>
                  <a:graphicData uri="http://schemas.microsoft.com/office/word/2010/wordprocessingShape">
                    <wps:wsp>
                      <wps:cNvPr id="12" name="Textbox 12"/>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53280;rotation:306" type="#_x0000_t136" fillcolor="#ff5400" stroked="f">
                <o:extrusion v:ext="view" autorotationcenter="t"/>
                <v:textpath style="font-family:&quot;Arial MT&quot;;font-size:72pt;v-text-kern:t;mso-text-shadow:auto" string="UNIVERSITY OF IBADAN"/>
                <w10:wrap type="none"/>
              </v:shape>
            </w:pict>
          </mc:Fallback>
        </mc:AlternateContent>
      </w:r>
    </w:p>
    <w:p>
      <w:pPr>
        <w:spacing w:after="0"/>
        <w:rPr>
          <w:sz w:val="2"/>
          <w:szCs w:val="2"/>
        </w:rPr>
        <w:sectPr>
          <w:type w:val="continuous"/>
          <w:pgSz w:w="11910" w:h="16840"/>
          <w:pgMar w:header="0" w:footer="1492" w:top="1360" w:bottom="1680" w:left="720" w:right="180"/>
        </w:sectPr>
      </w:pPr>
    </w:p>
    <w:p>
      <w:pPr>
        <w:pStyle w:val="Heading1"/>
        <w:spacing w:before="65"/>
        <w:ind w:left="1480" w:right="1303"/>
        <w:jc w:val="center"/>
      </w:pPr>
      <w:r>
        <w:rPr/>
        <mc:AlternateContent>
          <mc:Choice Requires="wps">
            <w:drawing>
              <wp:anchor distT="0" distB="0" distL="0" distR="0" allowOverlap="1" layoutInCell="1" locked="0" behindDoc="1" simplePos="0" relativeHeight="480563712">
                <wp:simplePos x="0" y="0"/>
                <wp:positionH relativeFrom="page">
                  <wp:posOffset>-1537026</wp:posOffset>
                </wp:positionH>
                <wp:positionV relativeFrom="page">
                  <wp:posOffset>4900424</wp:posOffset>
                </wp:positionV>
                <wp:extent cx="10669905" cy="914400"/>
                <wp:effectExtent l="0" t="0" r="0" b="0"/>
                <wp:wrapNone/>
                <wp:docPr id="13" name="Textbox 13"/>
                <wp:cNvGraphicFramePr>
                  <a:graphicFrameLocks/>
                </wp:cNvGraphicFramePr>
                <a:graphic>
                  <a:graphicData uri="http://schemas.microsoft.com/office/word/2010/wordprocessingShape">
                    <wps:wsp>
                      <wps:cNvPr id="13" name="Textbox 13"/>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52768;rotation:306" type="#_x0000_t136" fillcolor="#ff5400" stroked="f">
                <o:extrusion v:ext="view" autorotationcenter="t"/>
                <v:textpath style="font-family:&quot;Arial MT&quot;;font-size:72pt;v-text-kern:t;mso-text-shadow:auto" string="UNIVERSITY OF IBADAN"/>
                <w10:wrap type="none"/>
              </v:shape>
            </w:pict>
          </mc:Fallback>
        </mc:AlternateContent>
      </w:r>
      <w:bookmarkStart w:name="_TOC_250036" w:id="6"/>
      <w:r>
        <w:rPr/>
        <w:t>LIST OF</w:t>
      </w:r>
      <w:r>
        <w:rPr>
          <w:spacing w:val="-3"/>
        </w:rPr>
        <w:t> </w:t>
      </w:r>
      <w:bookmarkEnd w:id="6"/>
      <w:r>
        <w:rPr>
          <w:spacing w:val="-2"/>
        </w:rPr>
        <w:t>FIGURES</w:t>
      </w:r>
    </w:p>
    <w:p>
      <w:pPr>
        <w:pStyle w:val="BodyText"/>
        <w:ind w:left="0"/>
        <w:rPr>
          <w:b/>
        </w:rPr>
      </w:pPr>
    </w:p>
    <w:p>
      <w:pPr>
        <w:pStyle w:val="BodyText"/>
        <w:spacing w:before="1"/>
        <w:ind w:left="0"/>
        <w:rPr>
          <w:b/>
        </w:rPr>
      </w:pPr>
    </w:p>
    <w:p>
      <w:pPr>
        <w:tabs>
          <w:tab w:pos="7773" w:val="left" w:leader="none"/>
        </w:tabs>
        <w:spacing w:before="0"/>
        <w:ind w:left="1440" w:right="0" w:firstLine="0"/>
        <w:jc w:val="left"/>
        <w:rPr>
          <w:b/>
          <w:sz w:val="24"/>
        </w:rPr>
      </w:pPr>
      <w:r>
        <w:rPr>
          <w:b/>
          <w:spacing w:val="-2"/>
          <w:sz w:val="24"/>
        </w:rPr>
        <w:t>FIGURE</w:t>
      </w:r>
      <w:r>
        <w:rPr>
          <w:b/>
          <w:sz w:val="24"/>
        </w:rPr>
        <w:tab/>
      </w:r>
      <w:r>
        <w:rPr>
          <w:b/>
          <w:spacing w:val="-4"/>
          <w:sz w:val="24"/>
        </w:rPr>
        <w:t>PAGE</w:t>
      </w:r>
    </w:p>
    <w:p>
      <w:pPr>
        <w:pStyle w:val="BodyText"/>
        <w:ind w:left="0"/>
        <w:rPr>
          <w:b/>
          <w:sz w:val="20"/>
        </w:rPr>
      </w:pPr>
    </w:p>
    <w:p>
      <w:pPr>
        <w:pStyle w:val="BodyText"/>
        <w:spacing w:before="47"/>
        <w:ind w:left="0"/>
        <w:rPr>
          <w:b/>
          <w:sz w:val="20"/>
        </w:rPr>
      </w:pPr>
    </w:p>
    <w:tbl>
      <w:tblPr>
        <w:tblW w:w="0" w:type="auto"/>
        <w:jc w:val="left"/>
        <w:tblInd w:w="1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42"/>
        <w:gridCol w:w="5851"/>
        <w:gridCol w:w="669"/>
      </w:tblGrid>
      <w:tr>
        <w:trPr>
          <w:trHeight w:val="389" w:hRule="atLeast"/>
        </w:trPr>
        <w:tc>
          <w:tcPr>
            <w:tcW w:w="1142" w:type="dxa"/>
          </w:tcPr>
          <w:p>
            <w:pPr>
              <w:pStyle w:val="TableParagraph"/>
              <w:spacing w:before="40"/>
              <w:ind w:left="50"/>
              <w:rPr>
                <w:sz w:val="24"/>
              </w:rPr>
            </w:pPr>
            <w:r>
              <w:rPr>
                <w:sz w:val="24"/>
              </w:rPr>
              <w:t>Figure</w:t>
            </w:r>
            <w:r>
              <w:rPr>
                <w:spacing w:val="-4"/>
                <w:sz w:val="24"/>
              </w:rPr>
              <w:t> </w:t>
            </w:r>
            <w:r>
              <w:rPr>
                <w:spacing w:val="-10"/>
                <w:sz w:val="24"/>
              </w:rPr>
              <w:t>1</w:t>
            </w:r>
          </w:p>
        </w:tc>
        <w:tc>
          <w:tcPr>
            <w:tcW w:w="5851" w:type="dxa"/>
          </w:tcPr>
          <w:p>
            <w:pPr>
              <w:pStyle w:val="TableParagraph"/>
              <w:spacing w:before="40"/>
              <w:ind w:left="348"/>
              <w:rPr>
                <w:sz w:val="24"/>
              </w:rPr>
            </w:pPr>
            <w:r>
              <w:rPr>
                <w:sz w:val="24"/>
              </w:rPr>
              <w:t>Map</w:t>
            </w:r>
            <w:r>
              <w:rPr>
                <w:spacing w:val="-2"/>
                <w:sz w:val="24"/>
              </w:rPr>
              <w:t> </w:t>
            </w:r>
            <w:r>
              <w:rPr>
                <w:sz w:val="24"/>
              </w:rPr>
              <w:t>of</w:t>
            </w:r>
            <w:r>
              <w:rPr>
                <w:spacing w:val="-1"/>
                <w:sz w:val="24"/>
              </w:rPr>
              <w:t> </w:t>
            </w:r>
            <w:r>
              <w:rPr>
                <w:sz w:val="24"/>
              </w:rPr>
              <w:t>Nigeria</w:t>
            </w:r>
            <w:r>
              <w:rPr>
                <w:spacing w:val="-1"/>
                <w:sz w:val="24"/>
              </w:rPr>
              <w:t> </w:t>
            </w:r>
            <w:r>
              <w:rPr>
                <w:sz w:val="24"/>
              </w:rPr>
              <w:t>Showing</w:t>
            </w:r>
            <w:r>
              <w:rPr>
                <w:spacing w:val="-2"/>
                <w:sz w:val="24"/>
              </w:rPr>
              <w:t> </w:t>
            </w:r>
            <w:r>
              <w:rPr>
                <w:sz w:val="24"/>
              </w:rPr>
              <w:t>the Niger</w:t>
            </w:r>
            <w:r>
              <w:rPr>
                <w:spacing w:val="-2"/>
                <w:sz w:val="24"/>
              </w:rPr>
              <w:t> </w:t>
            </w:r>
            <w:r>
              <w:rPr>
                <w:spacing w:val="-4"/>
                <w:sz w:val="24"/>
              </w:rPr>
              <w:t>Delt</w:t>
            </w:r>
          </w:p>
        </w:tc>
        <w:tc>
          <w:tcPr>
            <w:tcW w:w="669" w:type="dxa"/>
          </w:tcPr>
          <w:p>
            <w:pPr>
              <w:pStyle w:val="TableParagraph"/>
              <w:spacing w:before="40"/>
              <w:ind w:left="258"/>
              <w:rPr>
                <w:sz w:val="24"/>
              </w:rPr>
            </w:pPr>
            <w:r>
              <w:rPr>
                <w:spacing w:val="-10"/>
                <w:sz w:val="24"/>
              </w:rPr>
              <w:t>1</w:t>
            </w:r>
          </w:p>
        </w:tc>
      </w:tr>
      <w:tr>
        <w:trPr>
          <w:trHeight w:val="414" w:hRule="atLeast"/>
        </w:trPr>
        <w:tc>
          <w:tcPr>
            <w:tcW w:w="1142" w:type="dxa"/>
          </w:tcPr>
          <w:p>
            <w:pPr>
              <w:pStyle w:val="TableParagraph"/>
              <w:rPr>
                <w:sz w:val="24"/>
              </w:rPr>
            </w:pPr>
          </w:p>
        </w:tc>
        <w:tc>
          <w:tcPr>
            <w:tcW w:w="5851" w:type="dxa"/>
          </w:tcPr>
          <w:p>
            <w:pPr>
              <w:pStyle w:val="TableParagraph"/>
              <w:spacing w:before="63"/>
              <w:ind w:left="288"/>
              <w:rPr>
                <w:sz w:val="24"/>
              </w:rPr>
            </w:pPr>
            <w:r>
              <w:rPr>
                <w:spacing w:val="-2"/>
                <w:sz w:val="24"/>
              </w:rPr>
              <w:t>Region</w:t>
            </w:r>
          </w:p>
        </w:tc>
        <w:tc>
          <w:tcPr>
            <w:tcW w:w="669" w:type="dxa"/>
          </w:tcPr>
          <w:p>
            <w:pPr>
              <w:pStyle w:val="TableParagraph"/>
              <w:rPr>
                <w:sz w:val="24"/>
              </w:rPr>
            </w:pPr>
          </w:p>
        </w:tc>
      </w:tr>
      <w:tr>
        <w:trPr>
          <w:trHeight w:val="413" w:hRule="atLeast"/>
        </w:trPr>
        <w:tc>
          <w:tcPr>
            <w:tcW w:w="1142" w:type="dxa"/>
          </w:tcPr>
          <w:p>
            <w:pPr>
              <w:pStyle w:val="TableParagraph"/>
              <w:spacing w:before="64"/>
              <w:ind w:left="50"/>
              <w:rPr>
                <w:sz w:val="24"/>
              </w:rPr>
            </w:pPr>
            <w:r>
              <w:rPr>
                <w:sz w:val="24"/>
              </w:rPr>
              <w:t>Figure</w:t>
            </w:r>
            <w:r>
              <w:rPr>
                <w:spacing w:val="-4"/>
                <w:sz w:val="24"/>
              </w:rPr>
              <w:t> </w:t>
            </w:r>
            <w:r>
              <w:rPr>
                <w:spacing w:val="-10"/>
                <w:sz w:val="24"/>
              </w:rPr>
              <w:t>2</w:t>
            </w:r>
          </w:p>
        </w:tc>
        <w:tc>
          <w:tcPr>
            <w:tcW w:w="5851" w:type="dxa"/>
          </w:tcPr>
          <w:p>
            <w:pPr>
              <w:pStyle w:val="TableParagraph"/>
              <w:spacing w:before="64"/>
              <w:ind w:left="348"/>
              <w:rPr>
                <w:sz w:val="24"/>
              </w:rPr>
            </w:pPr>
            <w:r>
              <w:rPr>
                <w:sz w:val="24"/>
              </w:rPr>
              <w:t>Incidences</w:t>
            </w:r>
            <w:r>
              <w:rPr>
                <w:spacing w:val="-1"/>
                <w:sz w:val="24"/>
              </w:rPr>
              <w:t> </w:t>
            </w:r>
            <w:r>
              <w:rPr>
                <w:sz w:val="24"/>
              </w:rPr>
              <w:t>of</w:t>
            </w:r>
            <w:r>
              <w:rPr>
                <w:spacing w:val="-2"/>
                <w:sz w:val="24"/>
              </w:rPr>
              <w:t> </w:t>
            </w:r>
            <w:r>
              <w:rPr>
                <w:sz w:val="24"/>
              </w:rPr>
              <w:t>Hostage</w:t>
            </w:r>
            <w:r>
              <w:rPr>
                <w:spacing w:val="-1"/>
                <w:sz w:val="24"/>
              </w:rPr>
              <w:t> </w:t>
            </w:r>
            <w:r>
              <w:rPr>
                <w:sz w:val="24"/>
              </w:rPr>
              <w:t>Taking</w:t>
            </w:r>
            <w:r>
              <w:rPr>
                <w:spacing w:val="-3"/>
                <w:sz w:val="24"/>
              </w:rPr>
              <w:t> </w:t>
            </w:r>
            <w:r>
              <w:rPr>
                <w:sz w:val="24"/>
              </w:rPr>
              <w:t>in</w:t>
            </w:r>
            <w:r>
              <w:rPr>
                <w:spacing w:val="-1"/>
                <w:sz w:val="24"/>
              </w:rPr>
              <w:t> </w:t>
            </w:r>
            <w:r>
              <w:rPr>
                <w:sz w:val="24"/>
              </w:rPr>
              <w:t>Niger Delta</w:t>
            </w:r>
            <w:r>
              <w:rPr>
                <w:spacing w:val="-2"/>
                <w:sz w:val="24"/>
              </w:rPr>
              <w:t> </w:t>
            </w:r>
            <w:r>
              <w:rPr>
                <w:sz w:val="24"/>
              </w:rPr>
              <w:t>in</w:t>
            </w:r>
            <w:r>
              <w:rPr>
                <w:spacing w:val="-1"/>
                <w:sz w:val="24"/>
              </w:rPr>
              <w:t> </w:t>
            </w:r>
            <w:r>
              <w:rPr>
                <w:spacing w:val="-4"/>
                <w:sz w:val="24"/>
              </w:rPr>
              <w:t>2008</w:t>
            </w:r>
          </w:p>
        </w:tc>
        <w:tc>
          <w:tcPr>
            <w:tcW w:w="669" w:type="dxa"/>
          </w:tcPr>
          <w:p>
            <w:pPr>
              <w:pStyle w:val="TableParagraph"/>
              <w:spacing w:before="64"/>
              <w:ind w:left="258"/>
              <w:rPr>
                <w:sz w:val="24"/>
              </w:rPr>
            </w:pPr>
            <w:r>
              <w:rPr>
                <w:spacing w:val="-5"/>
                <w:sz w:val="24"/>
              </w:rPr>
              <w:t>20</w:t>
            </w:r>
          </w:p>
        </w:tc>
      </w:tr>
      <w:tr>
        <w:trPr>
          <w:trHeight w:val="414" w:hRule="atLeast"/>
        </w:trPr>
        <w:tc>
          <w:tcPr>
            <w:tcW w:w="1142" w:type="dxa"/>
          </w:tcPr>
          <w:p>
            <w:pPr>
              <w:pStyle w:val="TableParagraph"/>
              <w:spacing w:before="63"/>
              <w:ind w:left="50"/>
              <w:rPr>
                <w:sz w:val="24"/>
              </w:rPr>
            </w:pPr>
            <w:r>
              <w:rPr>
                <w:sz w:val="24"/>
              </w:rPr>
              <w:t>Figure</w:t>
            </w:r>
            <w:r>
              <w:rPr>
                <w:spacing w:val="-4"/>
                <w:sz w:val="24"/>
              </w:rPr>
              <w:t> </w:t>
            </w:r>
            <w:r>
              <w:rPr>
                <w:spacing w:val="-10"/>
                <w:sz w:val="24"/>
              </w:rPr>
              <w:t>3</w:t>
            </w:r>
          </w:p>
        </w:tc>
        <w:tc>
          <w:tcPr>
            <w:tcW w:w="5851" w:type="dxa"/>
          </w:tcPr>
          <w:p>
            <w:pPr>
              <w:pStyle w:val="TableParagraph"/>
              <w:spacing w:before="63"/>
              <w:ind w:left="348"/>
              <w:rPr>
                <w:sz w:val="24"/>
              </w:rPr>
            </w:pPr>
            <w:r>
              <w:rPr>
                <w:sz w:val="24"/>
              </w:rPr>
              <w:t>Crude</w:t>
            </w:r>
            <w:r>
              <w:rPr>
                <w:spacing w:val="-5"/>
                <w:sz w:val="24"/>
              </w:rPr>
              <w:t> </w:t>
            </w:r>
            <w:r>
              <w:rPr>
                <w:sz w:val="24"/>
              </w:rPr>
              <w:t>Oil Theft</w:t>
            </w:r>
            <w:r>
              <w:rPr>
                <w:spacing w:val="-1"/>
                <w:sz w:val="24"/>
              </w:rPr>
              <w:t> </w:t>
            </w:r>
            <w:r>
              <w:rPr>
                <w:sz w:val="24"/>
              </w:rPr>
              <w:t>in the</w:t>
            </w:r>
            <w:r>
              <w:rPr>
                <w:spacing w:val="-2"/>
                <w:sz w:val="24"/>
              </w:rPr>
              <w:t> </w:t>
            </w:r>
            <w:r>
              <w:rPr>
                <w:sz w:val="24"/>
              </w:rPr>
              <w:t>Niger Delta</w:t>
            </w:r>
            <w:r>
              <w:rPr>
                <w:spacing w:val="-2"/>
                <w:sz w:val="24"/>
              </w:rPr>
              <w:t> </w:t>
            </w:r>
            <w:r>
              <w:rPr>
                <w:sz w:val="24"/>
              </w:rPr>
              <w:t>2003</w:t>
            </w:r>
            <w:r>
              <w:rPr>
                <w:spacing w:val="2"/>
                <w:sz w:val="24"/>
              </w:rPr>
              <w:t> </w:t>
            </w:r>
            <w:r>
              <w:rPr>
                <w:sz w:val="24"/>
              </w:rPr>
              <w:t>– </w:t>
            </w:r>
            <w:r>
              <w:rPr>
                <w:spacing w:val="-4"/>
                <w:sz w:val="24"/>
              </w:rPr>
              <w:t>2008</w:t>
            </w:r>
          </w:p>
        </w:tc>
        <w:tc>
          <w:tcPr>
            <w:tcW w:w="669" w:type="dxa"/>
          </w:tcPr>
          <w:p>
            <w:pPr>
              <w:pStyle w:val="TableParagraph"/>
              <w:spacing w:before="63"/>
              <w:ind w:left="258"/>
              <w:rPr>
                <w:sz w:val="24"/>
              </w:rPr>
            </w:pPr>
            <w:r>
              <w:rPr>
                <w:spacing w:val="-5"/>
                <w:sz w:val="24"/>
              </w:rPr>
              <w:t>28</w:t>
            </w:r>
          </w:p>
        </w:tc>
      </w:tr>
      <w:tr>
        <w:trPr>
          <w:trHeight w:val="414" w:hRule="atLeast"/>
        </w:trPr>
        <w:tc>
          <w:tcPr>
            <w:tcW w:w="1142" w:type="dxa"/>
          </w:tcPr>
          <w:p>
            <w:pPr>
              <w:pStyle w:val="TableParagraph"/>
              <w:spacing w:before="64"/>
              <w:ind w:left="50"/>
              <w:rPr>
                <w:sz w:val="24"/>
              </w:rPr>
            </w:pPr>
            <w:r>
              <w:rPr>
                <w:sz w:val="24"/>
              </w:rPr>
              <w:t>Figure</w:t>
            </w:r>
            <w:r>
              <w:rPr>
                <w:spacing w:val="-4"/>
                <w:sz w:val="24"/>
              </w:rPr>
              <w:t> </w:t>
            </w:r>
            <w:r>
              <w:rPr>
                <w:spacing w:val="-10"/>
                <w:sz w:val="24"/>
              </w:rPr>
              <w:t>4</w:t>
            </w:r>
          </w:p>
        </w:tc>
        <w:tc>
          <w:tcPr>
            <w:tcW w:w="5851" w:type="dxa"/>
          </w:tcPr>
          <w:p>
            <w:pPr>
              <w:pStyle w:val="TableParagraph"/>
              <w:spacing w:before="64"/>
              <w:ind w:left="348"/>
              <w:rPr>
                <w:sz w:val="24"/>
              </w:rPr>
            </w:pPr>
            <w:r>
              <w:rPr>
                <w:sz w:val="24"/>
              </w:rPr>
              <w:t>Components</w:t>
            </w:r>
            <w:r>
              <w:rPr>
                <w:spacing w:val="-1"/>
                <w:sz w:val="24"/>
              </w:rPr>
              <w:t> </w:t>
            </w:r>
            <w:r>
              <w:rPr>
                <w:sz w:val="24"/>
              </w:rPr>
              <w:t>of Strategy</w:t>
            </w:r>
            <w:r>
              <w:rPr>
                <w:spacing w:val="-3"/>
                <w:sz w:val="24"/>
              </w:rPr>
              <w:t> </w:t>
            </w:r>
            <w:r>
              <w:rPr>
                <w:spacing w:val="-2"/>
                <w:sz w:val="24"/>
              </w:rPr>
              <w:t>Circle</w:t>
            </w:r>
          </w:p>
        </w:tc>
        <w:tc>
          <w:tcPr>
            <w:tcW w:w="669" w:type="dxa"/>
          </w:tcPr>
          <w:p>
            <w:pPr>
              <w:pStyle w:val="TableParagraph"/>
              <w:spacing w:before="64"/>
              <w:ind w:left="258"/>
              <w:rPr>
                <w:sz w:val="24"/>
              </w:rPr>
            </w:pPr>
            <w:r>
              <w:rPr>
                <w:spacing w:val="-5"/>
                <w:sz w:val="24"/>
              </w:rPr>
              <w:t>53</w:t>
            </w:r>
          </w:p>
        </w:tc>
      </w:tr>
      <w:tr>
        <w:trPr>
          <w:trHeight w:val="414" w:hRule="atLeast"/>
        </w:trPr>
        <w:tc>
          <w:tcPr>
            <w:tcW w:w="1142" w:type="dxa"/>
          </w:tcPr>
          <w:p>
            <w:pPr>
              <w:pStyle w:val="TableParagraph"/>
              <w:spacing w:before="63"/>
              <w:ind w:left="50"/>
              <w:rPr>
                <w:sz w:val="24"/>
              </w:rPr>
            </w:pPr>
            <w:r>
              <w:rPr>
                <w:sz w:val="24"/>
              </w:rPr>
              <w:t>Figure</w:t>
            </w:r>
            <w:r>
              <w:rPr>
                <w:spacing w:val="-4"/>
                <w:sz w:val="24"/>
              </w:rPr>
              <w:t> </w:t>
            </w:r>
            <w:r>
              <w:rPr>
                <w:spacing w:val="-10"/>
                <w:sz w:val="24"/>
              </w:rPr>
              <w:t>5</w:t>
            </w:r>
          </w:p>
        </w:tc>
        <w:tc>
          <w:tcPr>
            <w:tcW w:w="5851" w:type="dxa"/>
          </w:tcPr>
          <w:p>
            <w:pPr>
              <w:pStyle w:val="TableParagraph"/>
              <w:spacing w:before="63"/>
              <w:ind w:left="348"/>
              <w:rPr>
                <w:sz w:val="24"/>
              </w:rPr>
            </w:pPr>
            <w:r>
              <w:rPr>
                <w:sz w:val="24"/>
              </w:rPr>
              <w:t>Organogram</w:t>
            </w:r>
            <w:r>
              <w:rPr>
                <w:spacing w:val="-3"/>
                <w:sz w:val="24"/>
              </w:rPr>
              <w:t> </w:t>
            </w:r>
            <w:r>
              <w:rPr>
                <w:sz w:val="24"/>
              </w:rPr>
              <w:t>Showing</w:t>
            </w:r>
            <w:r>
              <w:rPr>
                <w:spacing w:val="-4"/>
                <w:sz w:val="24"/>
              </w:rPr>
              <w:t> </w:t>
            </w:r>
            <w:r>
              <w:rPr>
                <w:sz w:val="24"/>
              </w:rPr>
              <w:t>the</w:t>
            </w:r>
            <w:r>
              <w:rPr>
                <w:spacing w:val="-2"/>
                <w:sz w:val="24"/>
              </w:rPr>
              <w:t> </w:t>
            </w:r>
            <w:r>
              <w:rPr>
                <w:sz w:val="24"/>
              </w:rPr>
              <w:t>JTF</w:t>
            </w:r>
            <w:r>
              <w:rPr>
                <w:spacing w:val="-2"/>
                <w:sz w:val="24"/>
              </w:rPr>
              <w:t> </w:t>
            </w:r>
            <w:r>
              <w:rPr>
                <w:sz w:val="24"/>
              </w:rPr>
              <w:t>Organisation</w:t>
            </w:r>
            <w:r>
              <w:rPr>
                <w:spacing w:val="-1"/>
                <w:sz w:val="24"/>
              </w:rPr>
              <w:t> </w:t>
            </w:r>
            <w:r>
              <w:rPr>
                <w:sz w:val="24"/>
              </w:rPr>
              <w:t>as</w:t>
            </w:r>
            <w:r>
              <w:rPr>
                <w:spacing w:val="-1"/>
                <w:sz w:val="24"/>
              </w:rPr>
              <w:t> </w:t>
            </w:r>
            <w:r>
              <w:rPr>
                <w:sz w:val="24"/>
              </w:rPr>
              <w:t>at</w:t>
            </w:r>
            <w:r>
              <w:rPr>
                <w:spacing w:val="1"/>
                <w:sz w:val="24"/>
              </w:rPr>
              <w:t> </w:t>
            </w:r>
            <w:r>
              <w:rPr>
                <w:spacing w:val="-4"/>
                <w:sz w:val="24"/>
              </w:rPr>
              <w:t>2008</w:t>
            </w:r>
          </w:p>
        </w:tc>
        <w:tc>
          <w:tcPr>
            <w:tcW w:w="669" w:type="dxa"/>
          </w:tcPr>
          <w:p>
            <w:pPr>
              <w:pStyle w:val="TableParagraph"/>
              <w:spacing w:before="63"/>
              <w:ind w:left="258"/>
              <w:rPr>
                <w:sz w:val="24"/>
              </w:rPr>
            </w:pPr>
            <w:r>
              <w:rPr>
                <w:spacing w:val="-5"/>
                <w:sz w:val="24"/>
              </w:rPr>
              <w:t>77</w:t>
            </w:r>
          </w:p>
        </w:tc>
      </w:tr>
      <w:tr>
        <w:trPr>
          <w:trHeight w:val="390" w:hRule="atLeast"/>
        </w:trPr>
        <w:tc>
          <w:tcPr>
            <w:tcW w:w="1142" w:type="dxa"/>
          </w:tcPr>
          <w:p>
            <w:pPr>
              <w:pStyle w:val="TableParagraph"/>
              <w:spacing w:before="65"/>
              <w:ind w:left="50"/>
              <w:rPr>
                <w:sz w:val="24"/>
              </w:rPr>
            </w:pPr>
            <w:r>
              <w:rPr>
                <w:sz w:val="24"/>
              </w:rPr>
              <w:t>Figure</w:t>
            </w:r>
            <w:r>
              <w:rPr>
                <w:spacing w:val="-4"/>
                <w:sz w:val="24"/>
              </w:rPr>
              <w:t> </w:t>
            </w:r>
            <w:r>
              <w:rPr>
                <w:spacing w:val="-10"/>
                <w:sz w:val="24"/>
              </w:rPr>
              <w:t>6</w:t>
            </w:r>
          </w:p>
        </w:tc>
        <w:tc>
          <w:tcPr>
            <w:tcW w:w="5851" w:type="dxa"/>
          </w:tcPr>
          <w:p>
            <w:pPr>
              <w:pStyle w:val="TableParagraph"/>
              <w:spacing w:before="65"/>
              <w:ind w:left="348"/>
              <w:rPr>
                <w:sz w:val="24"/>
              </w:rPr>
            </w:pPr>
            <w:r>
              <w:rPr>
                <w:sz w:val="24"/>
              </w:rPr>
              <w:t>Conflict</w:t>
            </w:r>
            <w:r>
              <w:rPr>
                <w:spacing w:val="-2"/>
                <w:sz w:val="24"/>
              </w:rPr>
              <w:t> </w:t>
            </w:r>
            <w:r>
              <w:rPr>
                <w:sz w:val="24"/>
              </w:rPr>
              <w:t>Transformation </w:t>
            </w:r>
            <w:r>
              <w:rPr>
                <w:spacing w:val="-2"/>
                <w:sz w:val="24"/>
              </w:rPr>
              <w:t>Diagram</w:t>
            </w:r>
          </w:p>
        </w:tc>
        <w:tc>
          <w:tcPr>
            <w:tcW w:w="669" w:type="dxa"/>
          </w:tcPr>
          <w:p>
            <w:pPr>
              <w:pStyle w:val="TableParagraph"/>
              <w:spacing w:before="65"/>
              <w:ind w:left="258"/>
              <w:rPr>
                <w:sz w:val="24"/>
              </w:rPr>
            </w:pPr>
            <w:r>
              <w:rPr>
                <w:spacing w:val="-5"/>
                <w:sz w:val="24"/>
              </w:rPr>
              <w:t>158</w:t>
            </w:r>
          </w:p>
        </w:tc>
      </w:tr>
    </w:tbl>
    <w:p>
      <w:pPr>
        <w:spacing w:after="0"/>
        <w:rPr>
          <w:sz w:val="24"/>
        </w:rPr>
        <w:sectPr>
          <w:pgSz w:w="11910" w:h="16840"/>
          <w:pgMar w:header="0" w:footer="1492" w:top="1360" w:bottom="1680" w:left="720" w:right="180"/>
        </w:sectPr>
      </w:pPr>
    </w:p>
    <w:p>
      <w:pPr>
        <w:pStyle w:val="Heading1"/>
        <w:spacing w:before="65"/>
        <w:ind w:left="1480" w:right="1301"/>
        <w:jc w:val="center"/>
      </w:pPr>
      <w:r>
        <w:rPr/>
        <mc:AlternateContent>
          <mc:Choice Requires="wps">
            <w:drawing>
              <wp:anchor distT="0" distB="0" distL="0" distR="0" allowOverlap="1" layoutInCell="1" locked="0" behindDoc="1" simplePos="0" relativeHeight="480564224">
                <wp:simplePos x="0" y="0"/>
                <wp:positionH relativeFrom="page">
                  <wp:posOffset>-1537026</wp:posOffset>
                </wp:positionH>
                <wp:positionV relativeFrom="page">
                  <wp:posOffset>4900424</wp:posOffset>
                </wp:positionV>
                <wp:extent cx="10669905" cy="914400"/>
                <wp:effectExtent l="0" t="0" r="0" b="0"/>
                <wp:wrapNone/>
                <wp:docPr id="14" name="Textbox 14"/>
                <wp:cNvGraphicFramePr>
                  <a:graphicFrameLocks/>
                </wp:cNvGraphicFramePr>
                <a:graphic>
                  <a:graphicData uri="http://schemas.microsoft.com/office/word/2010/wordprocessingShape">
                    <wps:wsp>
                      <wps:cNvPr id="14" name="Textbox 14"/>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52256;rotation:306" type="#_x0000_t136" fillcolor="#ff5400" stroked="f">
                <o:extrusion v:ext="view" autorotationcenter="t"/>
                <v:textpath style="font-family:&quot;Arial MT&quot;;font-size:72pt;v-text-kern:t;mso-text-shadow:auto" string="UNIVERSITY OF IBADAN"/>
                <w10:wrap type="none"/>
              </v:shape>
            </w:pict>
          </mc:Fallback>
        </mc:AlternateContent>
      </w:r>
      <w:bookmarkStart w:name="_TOC_250035" w:id="7"/>
      <w:r>
        <w:rPr/>
        <w:t>LIST OF</w:t>
      </w:r>
      <w:r>
        <w:rPr>
          <w:spacing w:val="-3"/>
        </w:rPr>
        <w:t> </w:t>
      </w:r>
      <w:bookmarkEnd w:id="7"/>
      <w:r>
        <w:rPr>
          <w:spacing w:val="-2"/>
        </w:rPr>
        <w:t>APPENDICES</w:t>
      </w:r>
    </w:p>
    <w:p>
      <w:pPr>
        <w:pStyle w:val="BodyText"/>
        <w:ind w:left="0"/>
        <w:rPr>
          <w:b/>
        </w:rPr>
      </w:pPr>
    </w:p>
    <w:p>
      <w:pPr>
        <w:pStyle w:val="BodyText"/>
        <w:spacing w:before="1"/>
        <w:ind w:left="0"/>
        <w:rPr>
          <w:b/>
        </w:rPr>
      </w:pPr>
    </w:p>
    <w:p>
      <w:pPr>
        <w:tabs>
          <w:tab w:pos="7778" w:val="left" w:leader="none"/>
        </w:tabs>
        <w:spacing w:before="0"/>
        <w:ind w:left="157" w:right="0" w:firstLine="0"/>
        <w:jc w:val="center"/>
        <w:rPr>
          <w:b/>
          <w:sz w:val="24"/>
        </w:rPr>
      </w:pPr>
      <w:r>
        <w:rPr>
          <w:b/>
          <w:spacing w:val="-2"/>
          <w:sz w:val="24"/>
        </w:rPr>
        <w:t>APPENDICES</w:t>
      </w:r>
      <w:r>
        <w:rPr>
          <w:b/>
          <w:sz w:val="24"/>
        </w:rPr>
        <w:tab/>
      </w:r>
      <w:r>
        <w:rPr>
          <w:b/>
          <w:spacing w:val="-4"/>
          <w:sz w:val="24"/>
        </w:rPr>
        <w:t>PAGE</w:t>
      </w:r>
    </w:p>
    <w:p>
      <w:pPr>
        <w:pStyle w:val="BodyText"/>
        <w:tabs>
          <w:tab w:pos="2880" w:val="left" w:leader="none"/>
          <w:tab w:pos="9714" w:val="right" w:leader="none"/>
        </w:tabs>
        <w:spacing w:before="547"/>
      </w:pPr>
      <w:r>
        <w:rPr/>
        <w:t>Appendix </w:t>
      </w:r>
      <w:r>
        <w:rPr>
          <w:spacing w:val="-10"/>
        </w:rPr>
        <w:t>1</w:t>
      </w:r>
      <w:r>
        <w:rPr/>
        <w:tab/>
        <w:t>Questionnaire</w:t>
      </w:r>
      <w:r>
        <w:rPr>
          <w:spacing w:val="-3"/>
        </w:rPr>
        <w:t> </w:t>
      </w:r>
      <w:r>
        <w:rPr/>
        <w:t>used for</w:t>
      </w:r>
      <w:r>
        <w:rPr>
          <w:spacing w:val="-3"/>
        </w:rPr>
        <w:t> </w:t>
      </w:r>
      <w:r>
        <w:rPr/>
        <w:t>Perception</w:t>
      </w:r>
      <w:r>
        <w:rPr>
          <w:spacing w:val="-1"/>
        </w:rPr>
        <w:t> </w:t>
      </w:r>
      <w:r>
        <w:rPr>
          <w:spacing w:val="-2"/>
        </w:rPr>
        <w:t>Study</w:t>
      </w:r>
      <w:r>
        <w:rPr/>
        <w:tab/>
      </w:r>
      <w:r>
        <w:rPr>
          <w:spacing w:val="-5"/>
        </w:rPr>
        <w:t>171</w:t>
      </w:r>
    </w:p>
    <w:p>
      <w:pPr>
        <w:pStyle w:val="BodyText"/>
        <w:tabs>
          <w:tab w:pos="2880" w:val="left" w:leader="none"/>
        </w:tabs>
        <w:spacing w:before="552"/>
      </w:pPr>
      <w:r>
        <w:rPr/>
        <w:t>Appendix </w:t>
      </w:r>
      <w:r>
        <w:rPr>
          <w:spacing w:val="-10"/>
        </w:rPr>
        <w:t>2</w:t>
      </w:r>
      <w:r>
        <w:rPr/>
        <w:tab/>
        <w:t>Assessment</w:t>
      </w:r>
      <w:r>
        <w:rPr>
          <w:spacing w:val="-2"/>
        </w:rPr>
        <w:t> </w:t>
      </w:r>
      <w:r>
        <w:rPr/>
        <w:t>of</w:t>
      </w:r>
      <w:r>
        <w:rPr>
          <w:spacing w:val="-1"/>
        </w:rPr>
        <w:t> </w:t>
      </w:r>
      <w:r>
        <w:rPr/>
        <w:t>the</w:t>
      </w:r>
      <w:r>
        <w:rPr>
          <w:spacing w:val="-1"/>
        </w:rPr>
        <w:t> </w:t>
      </w:r>
      <w:r>
        <w:rPr/>
        <w:t>Joint</w:t>
      </w:r>
      <w:r>
        <w:rPr>
          <w:spacing w:val="-3"/>
        </w:rPr>
        <w:t> </w:t>
      </w:r>
      <w:r>
        <w:rPr/>
        <w:t>Task</w:t>
      </w:r>
      <w:r>
        <w:rPr>
          <w:spacing w:val="-1"/>
        </w:rPr>
        <w:t> </w:t>
      </w:r>
      <w:r>
        <w:rPr/>
        <w:t>Force Impact</w:t>
      </w:r>
      <w:r>
        <w:rPr>
          <w:spacing w:val="-1"/>
        </w:rPr>
        <w:t> </w:t>
      </w:r>
      <w:r>
        <w:rPr/>
        <w:t>on</w:t>
      </w:r>
      <w:r>
        <w:rPr>
          <w:spacing w:val="-1"/>
        </w:rPr>
        <w:t> </w:t>
      </w:r>
      <w:r>
        <w:rPr>
          <w:spacing w:val="-5"/>
        </w:rPr>
        <w:t>the</w:t>
      </w:r>
    </w:p>
    <w:p>
      <w:pPr>
        <w:pStyle w:val="BodyText"/>
        <w:tabs>
          <w:tab w:pos="9721" w:val="right" w:leader="none"/>
        </w:tabs>
        <w:spacing w:before="137"/>
        <w:ind w:left="2880"/>
      </w:pPr>
      <w:r>
        <w:rPr/>
        <w:t>Niger</w:t>
      </w:r>
      <w:r>
        <w:rPr>
          <w:spacing w:val="-3"/>
        </w:rPr>
        <w:t> </w:t>
      </w:r>
      <w:r>
        <w:rPr/>
        <w:t>Delta</w:t>
      </w:r>
      <w:r>
        <w:rPr>
          <w:spacing w:val="-3"/>
        </w:rPr>
        <w:t> </w:t>
      </w:r>
      <w:r>
        <w:rPr>
          <w:spacing w:val="-2"/>
        </w:rPr>
        <w:t>Conflict</w:t>
      </w:r>
      <w:r>
        <w:rPr/>
        <w:tab/>
      </w:r>
      <w:r>
        <w:rPr>
          <w:spacing w:val="-5"/>
        </w:rPr>
        <w:t>179</w:t>
      </w:r>
    </w:p>
    <w:p>
      <w:pPr>
        <w:pStyle w:val="BodyText"/>
        <w:tabs>
          <w:tab w:pos="2880" w:val="left" w:leader="none"/>
          <w:tab w:pos="9661" w:val="right" w:leader="none"/>
        </w:tabs>
        <w:spacing w:before="552"/>
      </w:pPr>
      <w:r>
        <w:rPr/>
        <w:t>Appendix </w:t>
      </w:r>
      <w:r>
        <w:rPr>
          <w:spacing w:val="-10"/>
        </w:rPr>
        <w:t>3</w:t>
      </w:r>
      <w:r>
        <w:rPr/>
        <w:tab/>
        <w:t>List</w:t>
      </w:r>
      <w:r>
        <w:rPr>
          <w:spacing w:val="-4"/>
        </w:rPr>
        <w:t> </w:t>
      </w:r>
      <w:r>
        <w:rPr/>
        <w:t>of</w:t>
      </w:r>
      <w:r>
        <w:rPr>
          <w:spacing w:val="-1"/>
        </w:rPr>
        <w:t> </w:t>
      </w:r>
      <w:r>
        <w:rPr/>
        <w:t>Key</w:t>
      </w:r>
      <w:r>
        <w:rPr>
          <w:spacing w:val="-5"/>
        </w:rPr>
        <w:t> </w:t>
      </w:r>
      <w:r>
        <w:rPr/>
        <w:t>personnel Interviewed</w:t>
      </w:r>
      <w:r>
        <w:rPr>
          <w:spacing w:val="1"/>
        </w:rPr>
        <w:t> </w:t>
      </w:r>
      <w:r>
        <w:rPr/>
        <w:t>(Primary</w:t>
      </w:r>
      <w:r>
        <w:rPr>
          <w:spacing w:val="-5"/>
        </w:rPr>
        <w:t> </w:t>
      </w:r>
      <w:r>
        <w:rPr>
          <w:spacing w:val="-2"/>
        </w:rPr>
        <w:t>Sources)</w:t>
      </w:r>
      <w:r>
        <w:rPr/>
        <w:tab/>
      </w:r>
      <w:r>
        <w:rPr>
          <w:spacing w:val="-5"/>
        </w:rPr>
        <w:t>182</w:t>
      </w:r>
    </w:p>
    <w:p>
      <w:pPr>
        <w:pStyle w:val="BodyText"/>
        <w:tabs>
          <w:tab w:pos="2940" w:val="left" w:leader="none"/>
          <w:tab w:pos="9661" w:val="right" w:leader="none"/>
        </w:tabs>
        <w:spacing w:before="552"/>
      </w:pPr>
      <w:r>
        <w:rPr/>
        <w:t>Appendix </w:t>
      </w:r>
      <w:r>
        <w:rPr>
          <w:spacing w:val="-10"/>
        </w:rPr>
        <w:t>4</w:t>
      </w:r>
      <w:r>
        <w:rPr/>
        <w:tab/>
        <w:t>Details</w:t>
      </w:r>
      <w:r>
        <w:rPr>
          <w:spacing w:val="-6"/>
        </w:rPr>
        <w:t> </w:t>
      </w:r>
      <w:r>
        <w:rPr/>
        <w:t>of</w:t>
      </w:r>
      <w:r>
        <w:rPr>
          <w:spacing w:val="-4"/>
        </w:rPr>
        <w:t> </w:t>
      </w:r>
      <w:r>
        <w:rPr/>
        <w:t>Identified</w:t>
      </w:r>
      <w:r>
        <w:rPr>
          <w:spacing w:val="-5"/>
        </w:rPr>
        <w:t> </w:t>
      </w:r>
      <w:r>
        <w:rPr/>
        <w:t>Militants‟</w:t>
      </w:r>
      <w:r>
        <w:rPr>
          <w:spacing w:val="-6"/>
        </w:rPr>
        <w:t> </w:t>
      </w:r>
      <w:r>
        <w:rPr/>
        <w:t>camps</w:t>
      </w:r>
      <w:r>
        <w:rPr>
          <w:spacing w:val="-6"/>
        </w:rPr>
        <w:t> </w:t>
      </w:r>
      <w:r>
        <w:rPr/>
        <w:t>in</w:t>
      </w:r>
      <w:r>
        <w:rPr>
          <w:spacing w:val="-5"/>
        </w:rPr>
        <w:t> </w:t>
      </w:r>
      <w:r>
        <w:rPr/>
        <w:t>Niger</w:t>
      </w:r>
      <w:r>
        <w:rPr>
          <w:spacing w:val="-6"/>
        </w:rPr>
        <w:t> </w:t>
      </w:r>
      <w:r>
        <w:rPr>
          <w:spacing w:val="-2"/>
        </w:rPr>
        <w:t>Delta</w:t>
      </w:r>
      <w:r>
        <w:rPr/>
        <w:tab/>
      </w:r>
      <w:r>
        <w:rPr>
          <w:spacing w:val="-5"/>
        </w:rPr>
        <w:t>184</w:t>
      </w:r>
    </w:p>
    <w:p>
      <w:pPr>
        <w:pStyle w:val="BodyText"/>
        <w:tabs>
          <w:tab w:pos="2880" w:val="left" w:leader="none"/>
        </w:tabs>
        <w:spacing w:before="552"/>
      </w:pPr>
      <w:r>
        <w:rPr/>
        <w:t>Appendix </w:t>
      </w:r>
      <w:r>
        <w:rPr>
          <w:spacing w:val="-10"/>
        </w:rPr>
        <w:t>5</w:t>
      </w:r>
      <w:r>
        <w:rPr/>
        <w:tab/>
        <w:t>Statistics</w:t>
      </w:r>
      <w:r>
        <w:rPr>
          <w:spacing w:val="-2"/>
        </w:rPr>
        <w:t> </w:t>
      </w:r>
      <w:r>
        <w:rPr/>
        <w:t>of</w:t>
      </w:r>
      <w:r>
        <w:rPr>
          <w:spacing w:val="56"/>
        </w:rPr>
        <w:t> </w:t>
      </w:r>
      <w:r>
        <w:rPr/>
        <w:t>Petroleum</w:t>
      </w:r>
      <w:r>
        <w:rPr>
          <w:spacing w:val="58"/>
        </w:rPr>
        <w:t> </w:t>
      </w:r>
      <w:r>
        <w:rPr/>
        <w:t>Recovered</w:t>
      </w:r>
      <w:r>
        <w:rPr>
          <w:spacing w:val="-2"/>
        </w:rPr>
        <w:t> </w:t>
      </w:r>
      <w:r>
        <w:rPr/>
        <w:t>from</w:t>
      </w:r>
      <w:r>
        <w:rPr>
          <w:spacing w:val="1"/>
        </w:rPr>
        <w:t> </w:t>
      </w:r>
      <w:r>
        <w:rPr/>
        <w:t>Illegal</w:t>
      </w:r>
      <w:r>
        <w:rPr>
          <w:spacing w:val="-1"/>
        </w:rPr>
        <w:t> </w:t>
      </w:r>
      <w:r>
        <w:rPr>
          <w:spacing w:val="-2"/>
        </w:rPr>
        <w:t>Bunkering</w:t>
      </w:r>
    </w:p>
    <w:p>
      <w:pPr>
        <w:pStyle w:val="BodyText"/>
        <w:tabs>
          <w:tab w:pos="9661" w:val="right" w:leader="none"/>
        </w:tabs>
        <w:spacing w:before="140"/>
        <w:ind w:left="2880"/>
      </w:pPr>
      <w:r>
        <w:rPr/>
        <w:t>Activities,</w:t>
      </w:r>
      <w:r>
        <w:rPr>
          <w:spacing w:val="-1"/>
        </w:rPr>
        <w:t> </w:t>
      </w:r>
      <w:r>
        <w:rPr/>
        <w:t>2001 – </w:t>
      </w:r>
      <w:r>
        <w:rPr>
          <w:spacing w:val="-4"/>
        </w:rPr>
        <w:t>2008</w:t>
      </w:r>
      <w:r>
        <w:rPr/>
        <w:tab/>
      </w:r>
      <w:r>
        <w:rPr>
          <w:spacing w:val="-5"/>
        </w:rPr>
        <w:t>187</w:t>
      </w:r>
    </w:p>
    <w:p>
      <w:pPr>
        <w:spacing w:after="0"/>
        <w:sectPr>
          <w:pgSz w:w="11910" w:h="16840"/>
          <w:pgMar w:header="0" w:footer="1492" w:top="1360" w:bottom="1680" w:left="720" w:right="180"/>
        </w:sectPr>
      </w:pPr>
    </w:p>
    <w:p>
      <w:pPr>
        <w:pStyle w:val="Heading1"/>
        <w:spacing w:before="65"/>
        <w:ind w:left="1480" w:right="1301"/>
        <w:jc w:val="center"/>
      </w:pPr>
      <w:r>
        <w:rPr/>
        <mc:AlternateContent>
          <mc:Choice Requires="wps">
            <w:drawing>
              <wp:anchor distT="0" distB="0" distL="0" distR="0" allowOverlap="1" layoutInCell="1" locked="0" behindDoc="1" simplePos="0" relativeHeight="480564736">
                <wp:simplePos x="0" y="0"/>
                <wp:positionH relativeFrom="page">
                  <wp:posOffset>-1537026</wp:posOffset>
                </wp:positionH>
                <wp:positionV relativeFrom="page">
                  <wp:posOffset>4900424</wp:posOffset>
                </wp:positionV>
                <wp:extent cx="10669905" cy="914400"/>
                <wp:effectExtent l="0" t="0" r="0" b="0"/>
                <wp:wrapNone/>
                <wp:docPr id="15" name="Textbox 15"/>
                <wp:cNvGraphicFramePr>
                  <a:graphicFrameLocks/>
                </wp:cNvGraphicFramePr>
                <a:graphic>
                  <a:graphicData uri="http://schemas.microsoft.com/office/word/2010/wordprocessingShape">
                    <wps:wsp>
                      <wps:cNvPr id="15" name="Textbox 15"/>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51744;rotation:306" type="#_x0000_t136" fillcolor="#ff5400" stroked="f">
                <o:extrusion v:ext="view" autorotationcenter="t"/>
                <v:textpath style="font-family:&quot;Arial MT&quot;;font-size:72pt;v-text-kern:t;mso-text-shadow:auto" string="UNIVERSITY OF IBADAN"/>
                <w10:wrap type="none"/>
              </v:shape>
            </w:pict>
          </mc:Fallback>
        </mc:AlternateContent>
      </w:r>
      <w:bookmarkStart w:name="_TOC_250034" w:id="8"/>
      <w:r>
        <w:rPr/>
        <w:t>LIST OF</w:t>
      </w:r>
      <w:r>
        <w:rPr>
          <w:spacing w:val="-3"/>
        </w:rPr>
        <w:t> </w:t>
      </w:r>
      <w:bookmarkEnd w:id="8"/>
      <w:r>
        <w:rPr>
          <w:spacing w:val="-2"/>
        </w:rPr>
        <w:t>PLATES</w:t>
      </w:r>
    </w:p>
    <w:p>
      <w:pPr>
        <w:pStyle w:val="BodyText"/>
        <w:ind w:left="0"/>
        <w:rPr>
          <w:b/>
        </w:rPr>
      </w:pPr>
    </w:p>
    <w:p>
      <w:pPr>
        <w:pStyle w:val="BodyText"/>
        <w:spacing w:before="1"/>
        <w:ind w:left="0"/>
        <w:rPr>
          <w:b/>
        </w:rPr>
      </w:pPr>
    </w:p>
    <w:p>
      <w:pPr>
        <w:tabs>
          <w:tab w:pos="8961" w:val="left" w:leader="none"/>
        </w:tabs>
        <w:spacing w:before="0"/>
        <w:ind w:left="1440" w:right="0" w:firstLine="0"/>
        <w:jc w:val="left"/>
        <w:rPr>
          <w:b/>
          <w:sz w:val="24"/>
        </w:rPr>
      </w:pPr>
      <w:r>
        <w:rPr>
          <w:b/>
          <w:spacing w:val="-2"/>
          <w:sz w:val="24"/>
        </w:rPr>
        <w:t>PLATE</w:t>
      </w:r>
      <w:r>
        <w:rPr>
          <w:b/>
          <w:sz w:val="24"/>
        </w:rPr>
        <w:tab/>
      </w:r>
      <w:r>
        <w:rPr>
          <w:b/>
          <w:spacing w:val="-4"/>
          <w:sz w:val="24"/>
        </w:rPr>
        <w:t>PAGE</w:t>
      </w:r>
    </w:p>
    <w:p>
      <w:pPr>
        <w:pStyle w:val="BodyText"/>
        <w:tabs>
          <w:tab w:pos="9481" w:val="right" w:leader="none"/>
        </w:tabs>
        <w:spacing w:before="132"/>
      </w:pPr>
      <w:r>
        <w:rPr/>
        <w:t>Plate</w:t>
      </w:r>
      <w:r>
        <w:rPr>
          <w:spacing w:val="57"/>
        </w:rPr>
        <w:t> </w:t>
      </w:r>
      <w:r>
        <w:rPr/>
        <w:t>1</w:t>
      </w:r>
      <w:r>
        <w:rPr>
          <w:spacing w:val="28"/>
        </w:rPr>
        <w:t>  </w:t>
      </w:r>
      <w:r>
        <w:rPr/>
        <w:t>Shell</w:t>
      </w:r>
      <w:r>
        <w:rPr>
          <w:spacing w:val="1"/>
        </w:rPr>
        <w:t> </w:t>
      </w:r>
      <w:r>
        <w:rPr/>
        <w:t>Operations</w:t>
      </w:r>
      <w:r>
        <w:rPr>
          <w:spacing w:val="58"/>
        </w:rPr>
        <w:t> </w:t>
      </w:r>
      <w:r>
        <w:rPr/>
        <w:t>in</w:t>
      </w:r>
      <w:r>
        <w:rPr>
          <w:spacing w:val="-1"/>
        </w:rPr>
        <w:t> </w:t>
      </w:r>
      <w:r>
        <w:rPr/>
        <w:t>Oloibiri</w:t>
      </w:r>
      <w:r>
        <w:rPr>
          <w:spacing w:val="-1"/>
        </w:rPr>
        <w:t> </w:t>
      </w:r>
      <w:r>
        <w:rPr/>
        <w:t>,</w:t>
      </w:r>
      <w:r>
        <w:rPr>
          <w:spacing w:val="-1"/>
        </w:rPr>
        <w:t> </w:t>
      </w:r>
      <w:r>
        <w:rPr/>
        <w:t>Bayelsa </w:t>
      </w:r>
      <w:r>
        <w:rPr>
          <w:spacing w:val="-4"/>
        </w:rPr>
        <w:t>State</w:t>
      </w:r>
      <w:r>
        <w:rPr/>
        <w:tab/>
      </w:r>
      <w:r>
        <w:rPr>
          <w:spacing w:val="-10"/>
        </w:rPr>
        <w:t>2</w:t>
      </w:r>
    </w:p>
    <w:p>
      <w:pPr>
        <w:pStyle w:val="BodyText"/>
        <w:tabs>
          <w:tab w:pos="2400" w:val="left" w:leader="none"/>
          <w:tab w:pos="9481" w:val="right" w:leader="none"/>
        </w:tabs>
        <w:spacing w:before="139"/>
      </w:pPr>
      <w:r>
        <w:rPr/>
        <w:t>Plate</w:t>
      </w:r>
      <w:r>
        <w:rPr>
          <w:spacing w:val="59"/>
        </w:rPr>
        <w:t> </w:t>
      </w:r>
      <w:r>
        <w:rPr>
          <w:spacing w:val="-10"/>
        </w:rPr>
        <w:t>2</w:t>
      </w:r>
      <w:r>
        <w:rPr/>
        <w:tab/>
        <w:t>Shell</w:t>
      </w:r>
      <w:r>
        <w:rPr>
          <w:spacing w:val="-3"/>
        </w:rPr>
        <w:t> </w:t>
      </w:r>
      <w:r>
        <w:rPr/>
        <w:t>Opeartions</w:t>
      </w:r>
      <w:r>
        <w:rPr>
          <w:spacing w:val="-1"/>
        </w:rPr>
        <w:t> </w:t>
      </w:r>
      <w:r>
        <w:rPr/>
        <w:t>in</w:t>
      </w:r>
      <w:r>
        <w:rPr>
          <w:spacing w:val="-1"/>
        </w:rPr>
        <w:t> </w:t>
      </w:r>
      <w:r>
        <w:rPr/>
        <w:t>Oloibiri Showing</w:t>
      </w:r>
      <w:r>
        <w:rPr>
          <w:spacing w:val="-4"/>
        </w:rPr>
        <w:t> </w:t>
      </w:r>
      <w:r>
        <w:rPr/>
        <w:t>Polluted </w:t>
      </w:r>
      <w:r>
        <w:rPr>
          <w:spacing w:val="-2"/>
        </w:rPr>
        <w:t>Areas</w:t>
      </w:r>
      <w:r>
        <w:rPr/>
        <w:tab/>
      </w:r>
      <w:r>
        <w:rPr>
          <w:spacing w:val="-10"/>
        </w:rPr>
        <w:t>2</w:t>
      </w:r>
    </w:p>
    <w:p>
      <w:pPr>
        <w:pStyle w:val="BodyText"/>
        <w:tabs>
          <w:tab w:pos="2399" w:val="left" w:leader="none"/>
          <w:tab w:pos="9541" w:val="right" w:leader="none"/>
        </w:tabs>
        <w:spacing w:before="137"/>
      </w:pPr>
      <w:r>
        <w:rPr/>
        <w:t>Plate</w:t>
      </w:r>
      <w:r>
        <w:rPr>
          <w:spacing w:val="-1"/>
        </w:rPr>
        <w:t> </w:t>
      </w:r>
      <w:r>
        <w:rPr>
          <w:spacing w:val="-10"/>
        </w:rPr>
        <w:t>3</w:t>
      </w:r>
      <w:r>
        <w:rPr/>
        <w:tab/>
        <w:t>Activities</w:t>
      </w:r>
      <w:r>
        <w:rPr>
          <w:spacing w:val="-2"/>
        </w:rPr>
        <w:t> </w:t>
      </w:r>
      <w:r>
        <w:rPr/>
        <w:t>of</w:t>
      </w:r>
      <w:r>
        <w:rPr>
          <w:spacing w:val="-2"/>
        </w:rPr>
        <w:t> </w:t>
      </w:r>
      <w:r>
        <w:rPr/>
        <w:t>Illegal</w:t>
      </w:r>
      <w:r>
        <w:rPr>
          <w:spacing w:val="-2"/>
        </w:rPr>
        <w:t> </w:t>
      </w:r>
      <w:r>
        <w:rPr/>
        <w:t>Refineries</w:t>
      </w:r>
      <w:r>
        <w:rPr>
          <w:spacing w:val="-1"/>
        </w:rPr>
        <w:t> </w:t>
      </w:r>
      <w:r>
        <w:rPr/>
        <w:t>Polluted</w:t>
      </w:r>
      <w:r>
        <w:rPr>
          <w:spacing w:val="-2"/>
        </w:rPr>
        <w:t> Areas</w:t>
      </w:r>
      <w:r>
        <w:rPr/>
        <w:tab/>
      </w:r>
      <w:r>
        <w:rPr>
          <w:spacing w:val="-10"/>
        </w:rPr>
        <w:t>2</w:t>
      </w:r>
    </w:p>
    <w:p>
      <w:pPr>
        <w:pStyle w:val="BodyText"/>
        <w:tabs>
          <w:tab w:pos="2399" w:val="left" w:leader="none"/>
          <w:tab w:pos="9541" w:val="right" w:leader="none"/>
        </w:tabs>
        <w:spacing w:before="139"/>
      </w:pPr>
      <w:r>
        <w:rPr/>
        <w:t>Plate</w:t>
      </w:r>
      <w:r>
        <w:rPr>
          <w:spacing w:val="-1"/>
        </w:rPr>
        <w:t> </w:t>
      </w:r>
      <w:r>
        <w:rPr>
          <w:spacing w:val="-10"/>
        </w:rPr>
        <w:t>4</w:t>
      </w:r>
      <w:r>
        <w:rPr/>
        <w:tab/>
        <w:t>Captured</w:t>
      </w:r>
      <w:r>
        <w:rPr>
          <w:spacing w:val="-2"/>
        </w:rPr>
        <w:t> </w:t>
      </w:r>
      <w:r>
        <w:rPr/>
        <w:t>Militants</w:t>
      </w:r>
      <w:r>
        <w:rPr>
          <w:spacing w:val="-1"/>
        </w:rPr>
        <w:t> </w:t>
      </w:r>
      <w:r>
        <w:rPr/>
        <w:t>Weapons</w:t>
      </w:r>
      <w:r>
        <w:rPr>
          <w:spacing w:val="-1"/>
        </w:rPr>
        <w:t> </w:t>
      </w:r>
      <w:r>
        <w:rPr>
          <w:spacing w:val="-2"/>
        </w:rPr>
        <w:t>Magazine</w:t>
      </w:r>
      <w:r>
        <w:rPr/>
        <w:tab/>
      </w:r>
      <w:r>
        <w:rPr>
          <w:spacing w:val="-10"/>
        </w:rPr>
        <w:t>3</w:t>
      </w:r>
    </w:p>
    <w:p>
      <w:pPr>
        <w:pStyle w:val="BodyText"/>
        <w:tabs>
          <w:tab w:pos="2399" w:val="left" w:leader="none"/>
          <w:tab w:pos="9541" w:val="right" w:leader="none"/>
        </w:tabs>
        <w:spacing w:before="137"/>
      </w:pPr>
      <w:r>
        <w:rPr/>
        <w:t>Plate</w:t>
      </w:r>
      <w:r>
        <w:rPr>
          <w:spacing w:val="-1"/>
        </w:rPr>
        <w:t> </w:t>
      </w:r>
      <w:r>
        <w:rPr>
          <w:spacing w:val="-10"/>
        </w:rPr>
        <w:t>5</w:t>
      </w:r>
      <w:r>
        <w:rPr/>
        <w:tab/>
        <w:t>Captured</w:t>
      </w:r>
      <w:r>
        <w:rPr>
          <w:spacing w:val="-2"/>
        </w:rPr>
        <w:t> </w:t>
      </w:r>
      <w:r>
        <w:rPr/>
        <w:t>Militants</w:t>
      </w:r>
      <w:r>
        <w:rPr>
          <w:spacing w:val="-1"/>
        </w:rPr>
        <w:t> </w:t>
      </w:r>
      <w:r>
        <w:rPr>
          <w:spacing w:val="-2"/>
        </w:rPr>
        <w:t>Weapons</w:t>
      </w:r>
      <w:r>
        <w:rPr/>
        <w:tab/>
      </w:r>
      <w:r>
        <w:rPr>
          <w:spacing w:val="-10"/>
        </w:rPr>
        <w:t>3</w:t>
      </w:r>
    </w:p>
    <w:p>
      <w:pPr>
        <w:pStyle w:val="BodyText"/>
        <w:tabs>
          <w:tab w:pos="2400" w:val="left" w:leader="none"/>
          <w:tab w:pos="9541" w:val="right" w:leader="none"/>
        </w:tabs>
        <w:spacing w:before="139"/>
      </w:pPr>
      <w:r>
        <w:rPr/>
        <w:t>Plate</w:t>
      </w:r>
      <w:r>
        <w:rPr>
          <w:spacing w:val="-1"/>
        </w:rPr>
        <w:t> </w:t>
      </w:r>
      <w:r>
        <w:rPr>
          <w:spacing w:val="-10"/>
        </w:rPr>
        <w:t>6</w:t>
      </w:r>
      <w:r>
        <w:rPr/>
        <w:tab/>
        <w:t>Typical</w:t>
      </w:r>
      <w:r>
        <w:rPr>
          <w:spacing w:val="-2"/>
        </w:rPr>
        <w:t> </w:t>
      </w:r>
      <w:r>
        <w:rPr/>
        <w:t>Militant</w:t>
      </w:r>
      <w:r>
        <w:rPr>
          <w:spacing w:val="-1"/>
        </w:rPr>
        <w:t> </w:t>
      </w:r>
      <w:r>
        <w:rPr/>
        <w:t>Group</w:t>
      </w:r>
      <w:r>
        <w:rPr>
          <w:spacing w:val="-1"/>
        </w:rPr>
        <w:t> </w:t>
      </w:r>
      <w:r>
        <w:rPr/>
        <w:t>in</w:t>
      </w:r>
      <w:r>
        <w:rPr>
          <w:spacing w:val="-1"/>
        </w:rPr>
        <w:t> </w:t>
      </w:r>
      <w:r>
        <w:rPr/>
        <w:t>the</w:t>
      </w:r>
      <w:r>
        <w:rPr>
          <w:spacing w:val="-2"/>
        </w:rPr>
        <w:t> </w:t>
      </w:r>
      <w:r>
        <w:rPr/>
        <w:t>Niger</w:t>
      </w:r>
      <w:r>
        <w:rPr>
          <w:spacing w:val="-1"/>
        </w:rPr>
        <w:t> </w:t>
      </w:r>
      <w:r>
        <w:rPr>
          <w:spacing w:val="-4"/>
        </w:rPr>
        <w:t>Delta</w:t>
      </w:r>
      <w:r>
        <w:rPr/>
        <w:tab/>
      </w:r>
      <w:r>
        <w:rPr>
          <w:spacing w:val="-10"/>
        </w:rPr>
        <w:t>4</w:t>
      </w:r>
    </w:p>
    <w:p>
      <w:pPr>
        <w:pStyle w:val="BodyText"/>
        <w:tabs>
          <w:tab w:pos="2402" w:val="left" w:leader="none"/>
          <w:tab w:pos="9541" w:val="right" w:leader="none"/>
        </w:tabs>
        <w:spacing w:before="137"/>
      </w:pPr>
      <w:r>
        <w:rPr/>
        <w:t>Plate</w:t>
      </w:r>
      <w:r>
        <w:rPr>
          <w:spacing w:val="-1"/>
        </w:rPr>
        <w:t> </w:t>
      </w:r>
      <w:r>
        <w:rPr>
          <w:spacing w:val="-10"/>
        </w:rPr>
        <w:t>7</w:t>
      </w:r>
      <w:r>
        <w:rPr/>
        <w:tab/>
        <w:t>Late</w:t>
      </w:r>
      <w:r>
        <w:rPr>
          <w:spacing w:val="-3"/>
        </w:rPr>
        <w:t> </w:t>
      </w:r>
      <w:r>
        <w:rPr/>
        <w:t>Ken</w:t>
      </w:r>
      <w:r>
        <w:rPr>
          <w:spacing w:val="-1"/>
        </w:rPr>
        <w:t> </w:t>
      </w:r>
      <w:r>
        <w:rPr/>
        <w:t>Saro Wiwa</w:t>
      </w:r>
      <w:r>
        <w:rPr>
          <w:spacing w:val="-2"/>
        </w:rPr>
        <w:t> </w:t>
      </w:r>
      <w:r>
        <w:rPr/>
        <w:t>(MOSOP</w:t>
      </w:r>
      <w:r>
        <w:rPr>
          <w:spacing w:val="1"/>
        </w:rPr>
        <w:t> </w:t>
      </w:r>
      <w:r>
        <w:rPr>
          <w:spacing w:val="-2"/>
        </w:rPr>
        <w:t>Leader)</w:t>
      </w:r>
      <w:r>
        <w:rPr/>
        <w:tab/>
      </w:r>
      <w:r>
        <w:rPr>
          <w:spacing w:val="-10"/>
        </w:rPr>
        <w:t>6</w:t>
      </w:r>
    </w:p>
    <w:p>
      <w:pPr>
        <w:pStyle w:val="BodyText"/>
        <w:tabs>
          <w:tab w:pos="2339" w:val="left" w:leader="none"/>
          <w:tab w:pos="9541" w:val="right" w:leader="none"/>
        </w:tabs>
        <w:spacing w:before="140"/>
      </w:pPr>
      <w:r>
        <w:rPr/>
        <w:t>Plate</w:t>
      </w:r>
      <w:r>
        <w:rPr>
          <w:spacing w:val="-1"/>
        </w:rPr>
        <w:t> </w:t>
      </w:r>
      <w:r>
        <w:rPr>
          <w:spacing w:val="-10"/>
        </w:rPr>
        <w:t>8</w:t>
      </w:r>
      <w:r>
        <w:rPr/>
        <w:tab/>
        <w:t>Oil</w:t>
      </w:r>
      <w:r>
        <w:rPr>
          <w:spacing w:val="-3"/>
        </w:rPr>
        <w:t> </w:t>
      </w:r>
      <w:r>
        <w:rPr/>
        <w:t>Spills</w:t>
      </w:r>
      <w:r>
        <w:rPr>
          <w:spacing w:val="-1"/>
        </w:rPr>
        <w:t> </w:t>
      </w:r>
      <w:r>
        <w:rPr/>
        <w:t>and</w:t>
      </w:r>
      <w:r>
        <w:rPr>
          <w:spacing w:val="-1"/>
        </w:rPr>
        <w:t> </w:t>
      </w:r>
      <w:r>
        <w:rPr/>
        <w:t>Environmental Disasters</w:t>
      </w:r>
      <w:r>
        <w:rPr>
          <w:spacing w:val="-1"/>
        </w:rPr>
        <w:t> </w:t>
      </w:r>
      <w:r>
        <w:rPr/>
        <w:t>in</w:t>
      </w:r>
      <w:r>
        <w:rPr>
          <w:spacing w:val="-1"/>
        </w:rPr>
        <w:t> </w:t>
      </w:r>
      <w:r>
        <w:rPr/>
        <w:t>Niger </w:t>
      </w:r>
      <w:r>
        <w:rPr>
          <w:spacing w:val="-2"/>
        </w:rPr>
        <w:t>Delta</w:t>
      </w:r>
      <w:r>
        <w:rPr/>
        <w:tab/>
      </w:r>
      <w:r>
        <w:rPr>
          <w:spacing w:val="-10"/>
        </w:rPr>
        <w:t>7</w:t>
      </w:r>
    </w:p>
    <w:p>
      <w:pPr>
        <w:pStyle w:val="BodyText"/>
        <w:tabs>
          <w:tab w:pos="2339" w:val="left" w:leader="none"/>
          <w:tab w:pos="9601" w:val="right" w:leader="none"/>
        </w:tabs>
        <w:spacing w:before="137"/>
      </w:pPr>
      <w:r>
        <w:rPr/>
        <w:t>Plate</w:t>
      </w:r>
      <w:r>
        <w:rPr>
          <w:spacing w:val="-1"/>
        </w:rPr>
        <w:t> </w:t>
      </w:r>
      <w:r>
        <w:rPr>
          <w:spacing w:val="-10"/>
        </w:rPr>
        <w:t>9</w:t>
      </w:r>
      <w:r>
        <w:rPr/>
        <w:tab/>
        <w:t>Oloibiri</w:t>
      </w:r>
      <w:r>
        <w:rPr>
          <w:spacing w:val="-1"/>
        </w:rPr>
        <w:t> </w:t>
      </w:r>
      <w:r>
        <w:rPr/>
        <w:t>in</w:t>
      </w:r>
      <w:r>
        <w:rPr>
          <w:spacing w:val="-1"/>
        </w:rPr>
        <w:t> </w:t>
      </w:r>
      <w:r>
        <w:rPr/>
        <w:t>Bayelsa</w:t>
      </w:r>
      <w:r>
        <w:rPr>
          <w:spacing w:val="-1"/>
        </w:rPr>
        <w:t> </w:t>
      </w:r>
      <w:r>
        <w:rPr>
          <w:spacing w:val="-4"/>
        </w:rPr>
        <w:t>State</w:t>
      </w:r>
      <w:r>
        <w:rPr/>
        <w:tab/>
      </w:r>
      <w:r>
        <w:rPr>
          <w:spacing w:val="-5"/>
        </w:rPr>
        <w:t>10</w:t>
      </w:r>
    </w:p>
    <w:p>
      <w:pPr>
        <w:pStyle w:val="BodyText"/>
        <w:tabs>
          <w:tab w:pos="9601" w:val="right" w:leader="none"/>
        </w:tabs>
        <w:spacing w:before="139"/>
      </w:pPr>
      <w:r>
        <w:rPr/>
        <w:t>Plate</w:t>
      </w:r>
      <w:r>
        <w:rPr>
          <w:spacing w:val="-1"/>
        </w:rPr>
        <w:t> </w:t>
      </w:r>
      <w:r>
        <w:rPr/>
        <w:t>10</w:t>
      </w:r>
      <w:r>
        <w:rPr>
          <w:spacing w:val="60"/>
        </w:rPr>
        <w:t> </w:t>
      </w:r>
      <w:r>
        <w:rPr/>
        <w:t>Oloibiri Community</w:t>
      </w:r>
      <w:r>
        <w:rPr>
          <w:spacing w:val="-4"/>
        </w:rPr>
        <w:t> </w:t>
      </w:r>
      <w:r>
        <w:rPr/>
        <w:t>After Decades of Oil</w:t>
      </w:r>
      <w:r>
        <w:rPr>
          <w:spacing w:val="1"/>
        </w:rPr>
        <w:t> </w:t>
      </w:r>
      <w:r>
        <w:rPr>
          <w:spacing w:val="-2"/>
        </w:rPr>
        <w:t>Exploration</w:t>
      </w:r>
      <w:r>
        <w:rPr/>
        <w:tab/>
      </w:r>
      <w:r>
        <w:rPr>
          <w:spacing w:val="-5"/>
        </w:rPr>
        <w:t>10</w:t>
      </w:r>
    </w:p>
    <w:p>
      <w:pPr>
        <w:pStyle w:val="BodyText"/>
        <w:tabs>
          <w:tab w:pos="9601" w:val="right" w:leader="none"/>
        </w:tabs>
        <w:spacing w:before="137"/>
      </w:pPr>
      <w:r>
        <w:rPr/>
        <w:t>Plate</w:t>
      </w:r>
      <w:r>
        <w:rPr>
          <w:spacing w:val="-4"/>
        </w:rPr>
        <w:t> </w:t>
      </w:r>
      <w:r>
        <w:rPr/>
        <w:t>11</w:t>
      </w:r>
      <w:r>
        <w:rPr>
          <w:spacing w:val="59"/>
        </w:rPr>
        <w:t> </w:t>
      </w:r>
      <w:r>
        <w:rPr/>
        <w:t>Ogoni</w:t>
      </w:r>
      <w:r>
        <w:rPr>
          <w:spacing w:val="-1"/>
        </w:rPr>
        <w:t> </w:t>
      </w:r>
      <w:r>
        <w:rPr/>
        <w:t>Crisis Showing</w:t>
      </w:r>
      <w:r>
        <w:rPr>
          <w:spacing w:val="-4"/>
        </w:rPr>
        <w:t> </w:t>
      </w:r>
      <w:r>
        <w:rPr/>
        <w:t>Protests (1992-</w:t>
      </w:r>
      <w:r>
        <w:rPr>
          <w:spacing w:val="-2"/>
        </w:rPr>
        <w:t>1995)</w:t>
      </w:r>
      <w:r>
        <w:rPr/>
        <w:tab/>
      </w:r>
      <w:r>
        <w:rPr>
          <w:spacing w:val="-5"/>
        </w:rPr>
        <w:t>10</w:t>
      </w:r>
    </w:p>
    <w:p>
      <w:pPr>
        <w:pStyle w:val="BodyText"/>
        <w:tabs>
          <w:tab w:pos="9601" w:val="right" w:leader="none"/>
        </w:tabs>
        <w:spacing w:before="139"/>
      </w:pPr>
      <w:r>
        <w:rPr/>
        <w:t>Plate</w:t>
      </w:r>
      <w:r>
        <w:rPr>
          <w:spacing w:val="-2"/>
        </w:rPr>
        <w:t> </w:t>
      </w:r>
      <w:r>
        <w:rPr/>
        <w:t>12</w:t>
      </w:r>
      <w:r>
        <w:rPr>
          <w:spacing w:val="60"/>
        </w:rPr>
        <w:t> </w:t>
      </w:r>
      <w:r>
        <w:rPr/>
        <w:t>Ogoni Crisis</w:t>
      </w:r>
      <w:r>
        <w:rPr>
          <w:spacing w:val="-1"/>
        </w:rPr>
        <w:t> </w:t>
      </w:r>
      <w:r>
        <w:rPr/>
        <w:t>on NO</w:t>
      </w:r>
      <w:r>
        <w:rPr>
          <w:spacing w:val="-1"/>
        </w:rPr>
        <w:t> </w:t>
      </w:r>
      <w:r>
        <w:rPr/>
        <w:t>TO SHELL</w:t>
      </w:r>
      <w:r>
        <w:rPr>
          <w:spacing w:val="-3"/>
        </w:rPr>
        <w:t> </w:t>
      </w:r>
      <w:r>
        <w:rPr/>
        <w:t>(1992-</w:t>
      </w:r>
      <w:r>
        <w:rPr>
          <w:spacing w:val="-2"/>
        </w:rPr>
        <w:t>1995)</w:t>
      </w:r>
      <w:r>
        <w:rPr/>
        <w:tab/>
      </w:r>
      <w:r>
        <w:rPr>
          <w:spacing w:val="-5"/>
        </w:rPr>
        <w:t>11</w:t>
      </w:r>
    </w:p>
    <w:p>
      <w:pPr>
        <w:pStyle w:val="BodyText"/>
        <w:tabs>
          <w:tab w:pos="9601" w:val="right" w:leader="none"/>
        </w:tabs>
        <w:spacing w:before="137"/>
      </w:pPr>
      <w:r>
        <w:rPr/>
        <w:t>Plate</w:t>
      </w:r>
      <w:r>
        <w:rPr>
          <w:spacing w:val="-2"/>
        </w:rPr>
        <w:t> </w:t>
      </w:r>
      <w:r>
        <w:rPr/>
        <w:t>13</w:t>
      </w:r>
      <w:r>
        <w:rPr>
          <w:spacing w:val="30"/>
        </w:rPr>
        <w:t>  </w:t>
      </w:r>
      <w:r>
        <w:rPr/>
        <w:t>Attack on Opobo Pipeline </w:t>
      </w:r>
      <w:r>
        <w:rPr>
          <w:spacing w:val="-4"/>
        </w:rPr>
        <w:t>2004</w:t>
      </w:r>
      <w:r>
        <w:rPr/>
        <w:tab/>
      </w:r>
      <w:r>
        <w:rPr>
          <w:spacing w:val="-5"/>
        </w:rPr>
        <w:t>13</w:t>
      </w:r>
    </w:p>
    <w:p>
      <w:pPr>
        <w:pStyle w:val="BodyText"/>
        <w:tabs>
          <w:tab w:pos="2462" w:val="left" w:leader="none"/>
          <w:tab w:pos="9601" w:val="right" w:leader="none"/>
        </w:tabs>
        <w:spacing w:before="139"/>
      </w:pPr>
      <w:r>
        <w:rPr/>
        <w:t>Plate</w:t>
      </w:r>
      <w:r>
        <w:rPr>
          <w:spacing w:val="-1"/>
        </w:rPr>
        <w:t> </w:t>
      </w:r>
      <w:r>
        <w:rPr>
          <w:spacing w:val="-5"/>
        </w:rPr>
        <w:t>14</w:t>
      </w:r>
      <w:r>
        <w:rPr/>
        <w:tab/>
        <w:t>Illegal</w:t>
      </w:r>
      <w:r>
        <w:rPr>
          <w:spacing w:val="-3"/>
        </w:rPr>
        <w:t> </w:t>
      </w:r>
      <w:r>
        <w:rPr/>
        <w:t>Oil</w:t>
      </w:r>
      <w:r>
        <w:rPr>
          <w:spacing w:val="-3"/>
        </w:rPr>
        <w:t> </w:t>
      </w:r>
      <w:r>
        <w:rPr>
          <w:spacing w:val="-2"/>
        </w:rPr>
        <w:t>Refinery</w:t>
      </w:r>
      <w:r>
        <w:rPr/>
        <w:tab/>
      </w:r>
      <w:r>
        <w:rPr>
          <w:spacing w:val="-5"/>
        </w:rPr>
        <w:t>13</w:t>
      </w:r>
    </w:p>
    <w:p>
      <w:pPr>
        <w:pStyle w:val="BodyText"/>
        <w:tabs>
          <w:tab w:pos="2460" w:val="left" w:leader="none"/>
          <w:tab w:pos="9601" w:val="right" w:leader="none"/>
        </w:tabs>
        <w:spacing w:before="137"/>
      </w:pPr>
      <w:r>
        <w:rPr/>
        <w:t>Plate</w:t>
      </w:r>
      <w:r>
        <w:rPr>
          <w:spacing w:val="-1"/>
        </w:rPr>
        <w:t> </w:t>
      </w:r>
      <w:r>
        <w:rPr>
          <w:spacing w:val="-5"/>
        </w:rPr>
        <w:t>15</w:t>
      </w:r>
      <w:r>
        <w:rPr/>
        <w:tab/>
        <w:t>JTF</w:t>
      </w:r>
      <w:r>
        <w:rPr>
          <w:spacing w:val="-6"/>
        </w:rPr>
        <w:t> </w:t>
      </w:r>
      <w:r>
        <w:rPr/>
        <w:t>operatives Destroying Illegal</w:t>
      </w:r>
      <w:r>
        <w:rPr>
          <w:spacing w:val="-2"/>
        </w:rPr>
        <w:t> </w:t>
      </w:r>
      <w:r>
        <w:rPr/>
        <w:t>Refinery</w:t>
      </w:r>
      <w:r>
        <w:rPr>
          <w:spacing w:val="-7"/>
        </w:rPr>
        <w:t> </w:t>
      </w:r>
      <w:r>
        <w:rPr/>
        <w:t>in</w:t>
      </w:r>
      <w:r>
        <w:rPr>
          <w:spacing w:val="-2"/>
        </w:rPr>
        <w:t> </w:t>
      </w:r>
      <w:r>
        <w:rPr/>
        <w:t>Niger</w:t>
      </w:r>
      <w:r>
        <w:rPr>
          <w:spacing w:val="-1"/>
        </w:rPr>
        <w:t> </w:t>
      </w:r>
      <w:r>
        <w:rPr>
          <w:spacing w:val="-2"/>
        </w:rPr>
        <w:t>Delta</w:t>
      </w:r>
      <w:r>
        <w:rPr/>
        <w:tab/>
      </w:r>
      <w:r>
        <w:rPr>
          <w:spacing w:val="-5"/>
        </w:rPr>
        <w:t>13</w:t>
      </w:r>
    </w:p>
    <w:p>
      <w:pPr>
        <w:pStyle w:val="BodyText"/>
        <w:tabs>
          <w:tab w:pos="2459" w:val="left" w:leader="none"/>
          <w:tab w:pos="9601" w:val="right" w:leader="none"/>
        </w:tabs>
        <w:spacing w:before="139"/>
      </w:pPr>
      <w:r>
        <w:rPr/>
        <w:t>Plate</w:t>
      </w:r>
      <w:r>
        <w:rPr>
          <w:spacing w:val="-1"/>
        </w:rPr>
        <w:t> </w:t>
      </w:r>
      <w:r>
        <w:rPr>
          <w:spacing w:val="-5"/>
        </w:rPr>
        <w:t>16</w:t>
      </w:r>
      <w:r>
        <w:rPr/>
        <w:tab/>
        <w:t>Spills</w:t>
      </w:r>
      <w:r>
        <w:rPr>
          <w:spacing w:val="-3"/>
        </w:rPr>
        <w:t> </w:t>
      </w:r>
      <w:r>
        <w:rPr/>
        <w:t>from Illegal</w:t>
      </w:r>
      <w:r>
        <w:rPr>
          <w:spacing w:val="-2"/>
        </w:rPr>
        <w:t> </w:t>
      </w:r>
      <w:r>
        <w:rPr/>
        <w:t>Refinery</w:t>
      </w:r>
      <w:r>
        <w:rPr>
          <w:spacing w:val="-5"/>
        </w:rPr>
        <w:t> </w:t>
      </w:r>
      <w:r>
        <w:rPr>
          <w:spacing w:val="-2"/>
        </w:rPr>
        <w:t>Activities</w:t>
      </w:r>
      <w:r>
        <w:rPr/>
        <w:tab/>
      </w:r>
      <w:r>
        <w:rPr>
          <w:spacing w:val="-5"/>
        </w:rPr>
        <w:t>14</w:t>
      </w:r>
    </w:p>
    <w:p>
      <w:pPr>
        <w:pStyle w:val="BodyText"/>
        <w:tabs>
          <w:tab w:pos="2462" w:val="left" w:leader="none"/>
          <w:tab w:pos="9601" w:val="right" w:leader="none"/>
        </w:tabs>
        <w:spacing w:before="137"/>
      </w:pPr>
      <w:r>
        <w:rPr/>
        <w:t>Plate</w:t>
      </w:r>
      <w:r>
        <w:rPr>
          <w:spacing w:val="-1"/>
        </w:rPr>
        <w:t> </w:t>
      </w:r>
      <w:r>
        <w:rPr>
          <w:spacing w:val="-5"/>
        </w:rPr>
        <w:t>17</w:t>
      </w:r>
      <w:r>
        <w:rPr/>
        <w:tab/>
        <w:t>Illegal</w:t>
      </w:r>
      <w:r>
        <w:rPr>
          <w:spacing w:val="-2"/>
        </w:rPr>
        <w:t> </w:t>
      </w:r>
      <w:r>
        <w:rPr/>
        <w:t>Oil</w:t>
      </w:r>
      <w:r>
        <w:rPr>
          <w:spacing w:val="58"/>
        </w:rPr>
        <w:t> </w:t>
      </w:r>
      <w:r>
        <w:rPr/>
        <w:t>Refinery</w:t>
      </w:r>
      <w:r>
        <w:rPr>
          <w:spacing w:val="-5"/>
        </w:rPr>
        <w:t> </w:t>
      </w:r>
      <w:r>
        <w:rPr/>
        <w:t>in</w:t>
      </w:r>
      <w:r>
        <w:rPr>
          <w:spacing w:val="-1"/>
        </w:rPr>
        <w:t> </w:t>
      </w:r>
      <w:r>
        <w:rPr/>
        <w:t>Niger </w:t>
      </w:r>
      <w:r>
        <w:rPr>
          <w:spacing w:val="-2"/>
        </w:rPr>
        <w:t>Delta</w:t>
      </w:r>
      <w:r>
        <w:rPr/>
        <w:tab/>
      </w:r>
      <w:r>
        <w:rPr>
          <w:spacing w:val="-5"/>
        </w:rPr>
        <w:t>14</w:t>
      </w:r>
    </w:p>
    <w:p>
      <w:pPr>
        <w:pStyle w:val="BodyText"/>
        <w:tabs>
          <w:tab w:pos="9601" w:val="right" w:leader="none"/>
        </w:tabs>
        <w:spacing w:before="139"/>
      </w:pPr>
      <w:r>
        <w:rPr/>
        <w:t>Plate</w:t>
      </w:r>
      <w:r>
        <w:rPr>
          <w:spacing w:val="58"/>
        </w:rPr>
        <w:t> </w:t>
      </w:r>
      <w:r>
        <w:rPr/>
        <w:t>18</w:t>
      </w:r>
      <w:r>
        <w:rPr>
          <w:spacing w:val="29"/>
        </w:rPr>
        <w:t>  </w:t>
      </w:r>
      <w:r>
        <w:rPr/>
        <w:t>Pollution</w:t>
      </w:r>
      <w:r>
        <w:rPr>
          <w:spacing w:val="1"/>
        </w:rPr>
        <w:t> </w:t>
      </w:r>
      <w:r>
        <w:rPr/>
        <w:t>from</w:t>
      </w:r>
      <w:r>
        <w:rPr>
          <w:spacing w:val="-2"/>
        </w:rPr>
        <w:t> </w:t>
      </w:r>
      <w:r>
        <w:rPr/>
        <w:t>Oil </w:t>
      </w:r>
      <w:r>
        <w:rPr>
          <w:spacing w:val="-2"/>
        </w:rPr>
        <w:t>Spills</w:t>
      </w:r>
      <w:r>
        <w:rPr/>
        <w:tab/>
      </w:r>
      <w:r>
        <w:rPr>
          <w:spacing w:val="-5"/>
        </w:rPr>
        <w:t>15</w:t>
      </w:r>
    </w:p>
    <w:p>
      <w:pPr>
        <w:pStyle w:val="BodyText"/>
        <w:tabs>
          <w:tab w:pos="2459" w:val="left" w:leader="none"/>
          <w:tab w:pos="9661" w:val="right" w:leader="none"/>
        </w:tabs>
        <w:spacing w:before="137"/>
      </w:pPr>
      <w:r>
        <w:rPr/>
        <w:t>Plate</w:t>
      </w:r>
      <w:r>
        <w:rPr>
          <w:spacing w:val="-1"/>
        </w:rPr>
        <w:t> </w:t>
      </w:r>
      <w:r>
        <w:rPr>
          <w:spacing w:val="-5"/>
        </w:rPr>
        <w:t>19</w:t>
      </w:r>
      <w:r>
        <w:rPr/>
        <w:tab/>
        <w:t>Seized</w:t>
      </w:r>
      <w:r>
        <w:rPr>
          <w:spacing w:val="-3"/>
        </w:rPr>
        <w:t> </w:t>
      </w:r>
      <w:r>
        <w:rPr/>
        <w:t>Crude</w:t>
      </w:r>
      <w:r>
        <w:rPr>
          <w:spacing w:val="-1"/>
        </w:rPr>
        <w:t> </w:t>
      </w:r>
      <w:r>
        <w:rPr/>
        <w:t>from</w:t>
      </w:r>
      <w:r>
        <w:rPr>
          <w:spacing w:val="-1"/>
        </w:rPr>
        <w:t> </w:t>
      </w:r>
      <w:r>
        <w:rPr/>
        <w:t>Bunkerers During</w:t>
      </w:r>
      <w:r>
        <w:rPr>
          <w:spacing w:val="-3"/>
        </w:rPr>
        <w:t> </w:t>
      </w:r>
      <w:r>
        <w:rPr/>
        <w:t>JTF</w:t>
      </w:r>
      <w:r>
        <w:rPr>
          <w:spacing w:val="-2"/>
        </w:rPr>
        <w:t> Raids</w:t>
      </w:r>
      <w:r>
        <w:rPr/>
        <w:tab/>
      </w:r>
      <w:r>
        <w:rPr>
          <w:spacing w:val="-5"/>
        </w:rPr>
        <w:t>15</w:t>
      </w:r>
    </w:p>
    <w:p>
      <w:pPr>
        <w:pStyle w:val="BodyText"/>
        <w:tabs>
          <w:tab w:pos="2460" w:val="left" w:leader="none"/>
          <w:tab w:pos="9601" w:val="right" w:leader="none"/>
        </w:tabs>
        <w:spacing w:before="139"/>
      </w:pPr>
      <w:r>
        <w:rPr/>
        <w:t>Plate</w:t>
      </w:r>
      <w:r>
        <w:rPr>
          <w:spacing w:val="-1"/>
        </w:rPr>
        <w:t> </w:t>
      </w:r>
      <w:r>
        <w:rPr>
          <w:spacing w:val="-5"/>
        </w:rPr>
        <w:t>20</w:t>
      </w:r>
      <w:r>
        <w:rPr/>
        <w:tab/>
        <w:t>Chanomi</w:t>
      </w:r>
      <w:r>
        <w:rPr>
          <w:spacing w:val="-4"/>
        </w:rPr>
        <w:t> </w:t>
      </w:r>
      <w:r>
        <w:rPr/>
        <w:t>Creek</w:t>
      </w:r>
      <w:r>
        <w:rPr>
          <w:spacing w:val="-1"/>
        </w:rPr>
        <w:t> </w:t>
      </w:r>
      <w:r>
        <w:rPr/>
        <w:t>Pipeline –</w:t>
      </w:r>
      <w:r>
        <w:rPr>
          <w:spacing w:val="-1"/>
        </w:rPr>
        <w:t> </w:t>
      </w:r>
      <w:r>
        <w:rPr/>
        <w:t>Warri</w:t>
      </w:r>
      <w:r>
        <w:rPr>
          <w:spacing w:val="-1"/>
        </w:rPr>
        <w:t> </w:t>
      </w:r>
      <w:r>
        <w:rPr/>
        <w:t>and</w:t>
      </w:r>
      <w:r>
        <w:rPr>
          <w:spacing w:val="-1"/>
        </w:rPr>
        <w:t> </w:t>
      </w:r>
      <w:r>
        <w:rPr/>
        <w:t>Kadunna</w:t>
      </w:r>
      <w:r>
        <w:rPr>
          <w:spacing w:val="-2"/>
        </w:rPr>
        <w:t> </w:t>
      </w:r>
      <w:r>
        <w:rPr/>
        <w:t>Refineries</w:t>
      </w:r>
      <w:r>
        <w:rPr>
          <w:spacing w:val="-1"/>
        </w:rPr>
        <w:t> </w:t>
      </w:r>
      <w:r>
        <w:rPr>
          <w:spacing w:val="-4"/>
        </w:rPr>
        <w:t>2003</w:t>
      </w:r>
      <w:r>
        <w:rPr/>
        <w:tab/>
      </w:r>
      <w:r>
        <w:rPr>
          <w:spacing w:val="-5"/>
        </w:rPr>
        <w:t>17</w:t>
      </w:r>
    </w:p>
    <w:p>
      <w:pPr>
        <w:pStyle w:val="BodyText"/>
        <w:tabs>
          <w:tab w:pos="2519" w:val="left" w:leader="none"/>
          <w:tab w:pos="9601" w:val="right" w:leader="none"/>
        </w:tabs>
        <w:spacing w:before="137"/>
      </w:pPr>
      <w:r>
        <w:rPr/>
        <w:t>Plate</w:t>
      </w:r>
      <w:r>
        <w:rPr>
          <w:spacing w:val="-1"/>
        </w:rPr>
        <w:t> </w:t>
      </w:r>
      <w:r>
        <w:rPr>
          <w:spacing w:val="-5"/>
        </w:rPr>
        <w:t>21</w:t>
      </w:r>
      <w:r>
        <w:rPr/>
        <w:tab/>
        <w:t>Oil</w:t>
      </w:r>
      <w:r>
        <w:rPr>
          <w:spacing w:val="-3"/>
        </w:rPr>
        <w:t> </w:t>
      </w:r>
      <w:r>
        <w:rPr/>
        <w:t>Spills and</w:t>
      </w:r>
      <w:r>
        <w:rPr>
          <w:spacing w:val="-3"/>
        </w:rPr>
        <w:t> </w:t>
      </w:r>
      <w:r>
        <w:rPr/>
        <w:t>Environmental</w:t>
      </w:r>
      <w:r>
        <w:rPr>
          <w:spacing w:val="-1"/>
        </w:rPr>
        <w:t> </w:t>
      </w:r>
      <w:r>
        <w:rPr/>
        <w:t>Disaster</w:t>
      </w:r>
      <w:r>
        <w:rPr>
          <w:spacing w:val="1"/>
        </w:rPr>
        <w:t> </w:t>
      </w:r>
      <w:r>
        <w:rPr/>
        <w:t>in the</w:t>
      </w:r>
      <w:r>
        <w:rPr>
          <w:spacing w:val="58"/>
        </w:rPr>
        <w:t> </w:t>
      </w:r>
      <w:r>
        <w:rPr/>
        <w:t>Niger </w:t>
      </w:r>
      <w:r>
        <w:rPr>
          <w:spacing w:val="-2"/>
        </w:rPr>
        <w:t>Delta</w:t>
      </w:r>
      <w:r>
        <w:rPr/>
        <w:tab/>
      </w:r>
      <w:r>
        <w:rPr>
          <w:spacing w:val="-5"/>
        </w:rPr>
        <w:t>17</w:t>
      </w:r>
    </w:p>
    <w:p>
      <w:pPr>
        <w:pStyle w:val="BodyText"/>
        <w:tabs>
          <w:tab w:pos="2579" w:val="left" w:leader="none"/>
          <w:tab w:pos="9601" w:val="right" w:leader="none"/>
        </w:tabs>
        <w:spacing w:before="139"/>
      </w:pPr>
      <w:r>
        <w:rPr/>
        <w:t>Plate</w:t>
      </w:r>
      <w:r>
        <w:rPr>
          <w:spacing w:val="-1"/>
        </w:rPr>
        <w:t> </w:t>
      </w:r>
      <w:r>
        <w:rPr>
          <w:spacing w:val="-5"/>
        </w:rPr>
        <w:t>22</w:t>
      </w:r>
      <w:r>
        <w:rPr/>
        <w:tab/>
        <w:t>Pipelines</w:t>
      </w:r>
      <w:r>
        <w:rPr>
          <w:spacing w:val="-2"/>
        </w:rPr>
        <w:t> </w:t>
      </w:r>
      <w:r>
        <w:rPr/>
        <w:t>Traversing</w:t>
      </w:r>
      <w:r>
        <w:rPr>
          <w:spacing w:val="-3"/>
        </w:rPr>
        <w:t> </w:t>
      </w:r>
      <w:r>
        <w:rPr/>
        <w:t>Niger</w:t>
      </w:r>
      <w:r>
        <w:rPr>
          <w:spacing w:val="-1"/>
        </w:rPr>
        <w:t> </w:t>
      </w:r>
      <w:r>
        <w:rPr>
          <w:spacing w:val="-2"/>
        </w:rPr>
        <w:t>Delta</w:t>
      </w:r>
      <w:r>
        <w:rPr/>
        <w:tab/>
      </w:r>
      <w:r>
        <w:rPr>
          <w:spacing w:val="-5"/>
        </w:rPr>
        <w:t>17</w:t>
      </w:r>
    </w:p>
    <w:p>
      <w:pPr>
        <w:pStyle w:val="BodyText"/>
        <w:tabs>
          <w:tab w:pos="2519" w:val="left" w:leader="none"/>
          <w:tab w:pos="9601" w:val="right" w:leader="none"/>
        </w:tabs>
        <w:spacing w:before="137"/>
      </w:pPr>
      <w:r>
        <w:rPr/>
        <w:t>Plate</w:t>
      </w:r>
      <w:r>
        <w:rPr>
          <w:spacing w:val="-1"/>
        </w:rPr>
        <w:t> </w:t>
      </w:r>
      <w:r>
        <w:rPr>
          <w:spacing w:val="-5"/>
        </w:rPr>
        <w:t>23</w:t>
      </w:r>
      <w:r>
        <w:rPr/>
        <w:tab/>
        <w:t>Typical</w:t>
      </w:r>
      <w:r>
        <w:rPr>
          <w:spacing w:val="-4"/>
        </w:rPr>
        <w:t> </w:t>
      </w:r>
      <w:r>
        <w:rPr/>
        <w:t>Militant</w:t>
      </w:r>
      <w:r>
        <w:rPr>
          <w:spacing w:val="-2"/>
        </w:rPr>
        <w:t> </w:t>
      </w:r>
      <w:r>
        <w:rPr/>
        <w:t>Group</w:t>
      </w:r>
      <w:r>
        <w:rPr>
          <w:spacing w:val="-1"/>
        </w:rPr>
        <w:t> </w:t>
      </w:r>
      <w:r>
        <w:rPr/>
        <w:t>in</w:t>
      </w:r>
      <w:r>
        <w:rPr>
          <w:spacing w:val="-2"/>
        </w:rPr>
        <w:t> </w:t>
      </w:r>
      <w:r>
        <w:rPr/>
        <w:t>the</w:t>
      </w:r>
      <w:r>
        <w:rPr>
          <w:spacing w:val="-3"/>
        </w:rPr>
        <w:t> </w:t>
      </w:r>
      <w:r>
        <w:rPr/>
        <w:t>Niger </w:t>
      </w:r>
      <w:r>
        <w:rPr>
          <w:spacing w:val="-2"/>
        </w:rPr>
        <w:t>Delta</w:t>
      </w:r>
      <w:r>
        <w:rPr/>
        <w:tab/>
      </w:r>
      <w:r>
        <w:rPr>
          <w:spacing w:val="-5"/>
        </w:rPr>
        <w:t>18</w:t>
      </w:r>
    </w:p>
    <w:p>
      <w:pPr>
        <w:pStyle w:val="BodyText"/>
        <w:tabs>
          <w:tab w:pos="2459" w:val="left" w:leader="none"/>
          <w:tab w:pos="9601" w:val="right" w:leader="none"/>
        </w:tabs>
        <w:spacing w:before="139"/>
      </w:pPr>
      <w:r>
        <w:rPr/>
        <w:t>Plate</w:t>
      </w:r>
      <w:r>
        <w:rPr>
          <w:spacing w:val="-1"/>
        </w:rPr>
        <w:t> </w:t>
      </w:r>
      <w:r>
        <w:rPr>
          <w:spacing w:val="-5"/>
        </w:rPr>
        <w:t>24</w:t>
      </w:r>
      <w:r>
        <w:rPr/>
        <w:tab/>
        <w:t>Gas</w:t>
      </w:r>
      <w:r>
        <w:rPr>
          <w:spacing w:val="-3"/>
        </w:rPr>
        <w:t> </w:t>
      </w:r>
      <w:r>
        <w:rPr/>
        <w:t>Flaring</w:t>
      </w:r>
      <w:r>
        <w:rPr>
          <w:spacing w:val="-4"/>
        </w:rPr>
        <w:t> </w:t>
      </w:r>
      <w:r>
        <w:rPr/>
        <w:t>in</w:t>
      </w:r>
      <w:r>
        <w:rPr>
          <w:spacing w:val="1"/>
        </w:rPr>
        <w:t> </w:t>
      </w:r>
      <w:r>
        <w:rPr/>
        <w:t>the</w:t>
      </w:r>
      <w:r>
        <w:rPr>
          <w:spacing w:val="-1"/>
        </w:rPr>
        <w:t> </w:t>
      </w:r>
      <w:r>
        <w:rPr/>
        <w:t>Niger</w:t>
      </w:r>
      <w:r>
        <w:rPr>
          <w:spacing w:val="-2"/>
        </w:rPr>
        <w:t> Delta</w:t>
      </w:r>
      <w:r>
        <w:rPr/>
        <w:tab/>
      </w:r>
      <w:r>
        <w:rPr>
          <w:spacing w:val="-5"/>
        </w:rPr>
        <w:t>21</w:t>
      </w:r>
    </w:p>
    <w:p>
      <w:pPr>
        <w:pStyle w:val="BodyText"/>
        <w:tabs>
          <w:tab w:pos="2519" w:val="left" w:leader="none"/>
          <w:tab w:pos="9601" w:val="right" w:leader="none"/>
        </w:tabs>
        <w:spacing w:before="138"/>
      </w:pPr>
      <w:r>
        <w:rPr/>
        <w:t>Plate</w:t>
      </w:r>
      <w:r>
        <w:rPr>
          <w:spacing w:val="-1"/>
        </w:rPr>
        <w:t> </w:t>
      </w:r>
      <w:r>
        <w:rPr>
          <w:spacing w:val="-5"/>
        </w:rPr>
        <w:t>25</w:t>
      </w:r>
      <w:r>
        <w:rPr/>
        <w:tab/>
        <w:t>Pollution</w:t>
      </w:r>
      <w:r>
        <w:rPr>
          <w:spacing w:val="-1"/>
        </w:rPr>
        <w:t> </w:t>
      </w:r>
      <w:r>
        <w:rPr/>
        <w:t>of</w:t>
      </w:r>
      <w:r>
        <w:rPr>
          <w:spacing w:val="-2"/>
        </w:rPr>
        <w:t> </w:t>
      </w:r>
      <w:r>
        <w:rPr/>
        <w:t>the</w:t>
      </w:r>
      <w:r>
        <w:rPr>
          <w:spacing w:val="-1"/>
        </w:rPr>
        <w:t> </w:t>
      </w:r>
      <w:r>
        <w:rPr/>
        <w:t>Creeks</w:t>
      </w:r>
      <w:r>
        <w:rPr>
          <w:spacing w:val="1"/>
        </w:rPr>
        <w:t> </w:t>
      </w:r>
      <w:r>
        <w:rPr/>
        <w:t>Due</w:t>
      </w:r>
      <w:r>
        <w:rPr>
          <w:spacing w:val="-2"/>
        </w:rPr>
        <w:t> </w:t>
      </w:r>
      <w:r>
        <w:rPr/>
        <w:t>to </w:t>
      </w:r>
      <w:r>
        <w:rPr>
          <w:spacing w:val="-2"/>
        </w:rPr>
        <w:t>Vandalism</w:t>
      </w:r>
      <w:r>
        <w:rPr/>
        <w:tab/>
      </w:r>
      <w:r>
        <w:rPr>
          <w:spacing w:val="-5"/>
        </w:rPr>
        <w:t>22</w:t>
      </w:r>
    </w:p>
    <w:p>
      <w:pPr>
        <w:pStyle w:val="BodyText"/>
        <w:tabs>
          <w:tab w:pos="2519" w:val="left" w:leader="none"/>
          <w:tab w:pos="9618" w:val="right" w:leader="none"/>
        </w:tabs>
        <w:spacing w:before="139"/>
      </w:pPr>
      <w:r>
        <w:rPr/>
        <w:t>Plate</w:t>
      </w:r>
      <w:r>
        <w:rPr>
          <w:spacing w:val="-1"/>
        </w:rPr>
        <w:t> </w:t>
      </w:r>
      <w:r>
        <w:rPr>
          <w:spacing w:val="-5"/>
        </w:rPr>
        <w:t>26</w:t>
      </w:r>
      <w:r>
        <w:rPr/>
        <w:tab/>
        <w:t>Pollution</w:t>
      </w:r>
      <w:r>
        <w:rPr>
          <w:spacing w:val="-3"/>
        </w:rPr>
        <w:t> </w:t>
      </w:r>
      <w:r>
        <w:rPr/>
        <w:t>of</w:t>
      </w:r>
      <w:r>
        <w:rPr>
          <w:spacing w:val="-1"/>
        </w:rPr>
        <w:t> </w:t>
      </w:r>
      <w:r>
        <w:rPr/>
        <w:t>the</w:t>
      </w:r>
      <w:r>
        <w:rPr>
          <w:spacing w:val="-2"/>
        </w:rPr>
        <w:t> </w:t>
      </w:r>
      <w:r>
        <w:rPr/>
        <w:t>Niger Delta</w:t>
      </w:r>
      <w:r>
        <w:rPr>
          <w:spacing w:val="-1"/>
        </w:rPr>
        <w:t> </w:t>
      </w:r>
      <w:r>
        <w:rPr/>
        <w:t>Environment</w:t>
      </w:r>
      <w:r>
        <w:rPr>
          <w:spacing w:val="59"/>
        </w:rPr>
        <w:t> </w:t>
      </w:r>
      <w:r>
        <w:rPr/>
        <w:t>Due</w:t>
      </w:r>
      <w:r>
        <w:rPr>
          <w:spacing w:val="-2"/>
        </w:rPr>
        <w:t> </w:t>
      </w:r>
      <w:r>
        <w:rPr/>
        <w:t>to Militants </w:t>
      </w:r>
      <w:r>
        <w:rPr>
          <w:spacing w:val="-2"/>
        </w:rPr>
        <w:t>Activities</w:t>
      </w:r>
      <w:r>
        <w:rPr/>
        <w:tab/>
      </w:r>
      <w:r>
        <w:rPr>
          <w:spacing w:val="-5"/>
        </w:rPr>
        <w:t>22</w:t>
      </w:r>
    </w:p>
    <w:p>
      <w:pPr>
        <w:pStyle w:val="BodyText"/>
        <w:tabs>
          <w:tab w:pos="2519" w:val="left" w:leader="none"/>
          <w:tab w:pos="9663" w:val="right" w:leader="none"/>
        </w:tabs>
        <w:spacing w:before="137"/>
      </w:pPr>
      <w:r>
        <w:rPr/>
        <w:t>Plate</w:t>
      </w:r>
      <w:r>
        <w:rPr>
          <w:spacing w:val="-1"/>
        </w:rPr>
        <w:t> </w:t>
      </w:r>
      <w:r>
        <w:rPr>
          <w:spacing w:val="-5"/>
        </w:rPr>
        <w:t>27</w:t>
      </w:r>
      <w:r>
        <w:rPr/>
        <w:tab/>
        <w:t>A</w:t>
      </w:r>
      <w:r>
        <w:rPr>
          <w:spacing w:val="-4"/>
        </w:rPr>
        <w:t> </w:t>
      </w:r>
      <w:r>
        <w:rPr/>
        <w:t>typical</w:t>
      </w:r>
      <w:r>
        <w:rPr>
          <w:spacing w:val="-1"/>
        </w:rPr>
        <w:t> </w:t>
      </w:r>
      <w:r>
        <w:rPr/>
        <w:t>Site</w:t>
      </w:r>
      <w:r>
        <w:rPr>
          <w:spacing w:val="-2"/>
        </w:rPr>
        <w:t> </w:t>
      </w:r>
      <w:r>
        <w:rPr/>
        <w:t>for Illegal</w:t>
      </w:r>
      <w:r>
        <w:rPr>
          <w:spacing w:val="-2"/>
        </w:rPr>
        <w:t> </w:t>
      </w:r>
      <w:r>
        <w:rPr/>
        <w:t>Refineries</w:t>
      </w:r>
      <w:r>
        <w:rPr>
          <w:spacing w:val="-1"/>
        </w:rPr>
        <w:t> </w:t>
      </w:r>
      <w:r>
        <w:rPr/>
        <w:t>in</w:t>
      </w:r>
      <w:r>
        <w:rPr>
          <w:spacing w:val="-1"/>
        </w:rPr>
        <w:t> </w:t>
      </w:r>
      <w:r>
        <w:rPr/>
        <w:t>the</w:t>
      </w:r>
      <w:r>
        <w:rPr>
          <w:spacing w:val="-2"/>
        </w:rPr>
        <w:t> </w:t>
      </w:r>
      <w:r>
        <w:rPr/>
        <w:t>Niger</w:t>
      </w:r>
      <w:r>
        <w:rPr>
          <w:spacing w:val="-1"/>
        </w:rPr>
        <w:t> </w:t>
      </w:r>
      <w:r>
        <w:rPr>
          <w:spacing w:val="-2"/>
        </w:rPr>
        <w:t>Delta</w:t>
      </w:r>
      <w:r>
        <w:rPr/>
        <w:tab/>
      </w:r>
      <w:r>
        <w:rPr>
          <w:spacing w:val="-5"/>
        </w:rPr>
        <w:t>23</w:t>
      </w:r>
    </w:p>
    <w:p>
      <w:pPr>
        <w:pStyle w:val="BodyText"/>
        <w:tabs>
          <w:tab w:pos="2522" w:val="left" w:leader="none"/>
          <w:tab w:pos="9668" w:val="right" w:leader="none"/>
        </w:tabs>
        <w:spacing w:before="139"/>
      </w:pPr>
      <w:r>
        <w:rPr/>
        <w:t>Plate</w:t>
      </w:r>
      <w:r>
        <w:rPr>
          <w:spacing w:val="-1"/>
        </w:rPr>
        <w:t> </w:t>
      </w:r>
      <w:r>
        <w:rPr>
          <w:spacing w:val="-5"/>
        </w:rPr>
        <w:t>28</w:t>
      </w:r>
      <w:r>
        <w:rPr/>
        <w:tab/>
        <w:t>Illegal</w:t>
      </w:r>
      <w:r>
        <w:rPr>
          <w:spacing w:val="-4"/>
        </w:rPr>
        <w:t> </w:t>
      </w:r>
      <w:r>
        <w:rPr/>
        <w:t>Oil</w:t>
      </w:r>
      <w:r>
        <w:rPr>
          <w:spacing w:val="-1"/>
        </w:rPr>
        <w:t> </w:t>
      </w:r>
      <w:r>
        <w:rPr/>
        <w:t>Refinery</w:t>
      </w:r>
      <w:r>
        <w:rPr>
          <w:spacing w:val="-5"/>
        </w:rPr>
        <w:t> </w:t>
      </w:r>
      <w:r>
        <w:rPr/>
        <w:t>Site</w:t>
      </w:r>
      <w:r>
        <w:rPr>
          <w:spacing w:val="-2"/>
        </w:rPr>
        <w:t> </w:t>
      </w:r>
      <w:r>
        <w:rPr/>
        <w:t>Destroyed</w:t>
      </w:r>
      <w:r>
        <w:rPr>
          <w:spacing w:val="-2"/>
        </w:rPr>
        <w:t> </w:t>
      </w:r>
      <w:r>
        <w:rPr/>
        <w:t>by</w:t>
      </w:r>
      <w:r>
        <w:rPr>
          <w:spacing w:val="-3"/>
        </w:rPr>
        <w:t> </w:t>
      </w:r>
      <w:r>
        <w:rPr>
          <w:spacing w:val="-5"/>
        </w:rPr>
        <w:t>JTF</w:t>
      </w:r>
      <w:r>
        <w:rPr/>
        <w:tab/>
      </w:r>
      <w:r>
        <w:rPr>
          <w:spacing w:val="-5"/>
        </w:rPr>
        <w:t>23</w:t>
      </w:r>
    </w:p>
    <w:p>
      <w:pPr>
        <w:pStyle w:val="BodyText"/>
        <w:tabs>
          <w:tab w:pos="2459" w:val="left" w:leader="none"/>
          <w:tab w:pos="9653" w:val="right" w:leader="none"/>
        </w:tabs>
        <w:spacing w:before="137"/>
      </w:pPr>
      <w:r>
        <w:rPr/>
        <w:t>Plate</w:t>
      </w:r>
      <w:r>
        <w:rPr>
          <w:spacing w:val="-1"/>
        </w:rPr>
        <w:t> </w:t>
      </w:r>
      <w:r>
        <w:rPr>
          <w:spacing w:val="-5"/>
        </w:rPr>
        <w:t>29</w:t>
      </w:r>
      <w:r>
        <w:rPr/>
        <w:tab/>
        <w:t>Spills</w:t>
      </w:r>
      <w:r>
        <w:rPr>
          <w:spacing w:val="-4"/>
        </w:rPr>
        <w:t> </w:t>
      </w:r>
      <w:r>
        <w:rPr/>
        <w:t>from</w:t>
      </w:r>
      <w:r>
        <w:rPr>
          <w:spacing w:val="1"/>
        </w:rPr>
        <w:t> </w:t>
      </w:r>
      <w:r>
        <w:rPr/>
        <w:t>Illegal</w:t>
      </w:r>
      <w:r>
        <w:rPr>
          <w:spacing w:val="-2"/>
        </w:rPr>
        <w:t> </w:t>
      </w:r>
      <w:r>
        <w:rPr/>
        <w:t>Oil</w:t>
      </w:r>
      <w:r>
        <w:rPr>
          <w:spacing w:val="-1"/>
        </w:rPr>
        <w:t> </w:t>
      </w:r>
      <w:r>
        <w:rPr/>
        <w:t>Refinery</w:t>
      </w:r>
      <w:r>
        <w:rPr>
          <w:spacing w:val="-6"/>
        </w:rPr>
        <w:t> </w:t>
      </w:r>
      <w:r>
        <w:rPr/>
        <w:t>in</w:t>
      </w:r>
      <w:r>
        <w:rPr>
          <w:spacing w:val="-2"/>
        </w:rPr>
        <w:t> </w:t>
      </w:r>
      <w:r>
        <w:rPr/>
        <w:t>the Niger</w:t>
      </w:r>
      <w:r>
        <w:rPr>
          <w:spacing w:val="-1"/>
        </w:rPr>
        <w:t> </w:t>
      </w:r>
      <w:r>
        <w:rPr>
          <w:spacing w:val="-2"/>
        </w:rPr>
        <w:t>Delta</w:t>
      </w:r>
      <w:r>
        <w:rPr/>
        <w:tab/>
      </w:r>
      <w:r>
        <w:rPr>
          <w:spacing w:val="-5"/>
        </w:rPr>
        <w:t>24</w:t>
      </w:r>
    </w:p>
    <w:p>
      <w:pPr>
        <w:pStyle w:val="BodyText"/>
        <w:tabs>
          <w:tab w:pos="2522" w:val="left" w:leader="none"/>
        </w:tabs>
        <w:spacing w:before="139"/>
      </w:pPr>
      <w:r>
        <w:rPr/>
        <w:t>Plate</w:t>
      </w:r>
      <w:r>
        <w:rPr>
          <w:spacing w:val="-1"/>
        </w:rPr>
        <w:t> </w:t>
      </w:r>
      <w:r>
        <w:rPr>
          <w:spacing w:val="-5"/>
        </w:rPr>
        <w:t>30</w:t>
      </w:r>
      <w:r>
        <w:rPr/>
        <w:tab/>
        <w:t>Interview</w:t>
      </w:r>
      <w:r>
        <w:rPr>
          <w:spacing w:val="-4"/>
        </w:rPr>
        <w:t> </w:t>
      </w:r>
      <w:r>
        <w:rPr/>
        <w:t>with</w:t>
      </w:r>
      <w:r>
        <w:rPr>
          <w:spacing w:val="-2"/>
        </w:rPr>
        <w:t> </w:t>
      </w:r>
      <w:r>
        <w:rPr/>
        <w:t>Colonel</w:t>
      </w:r>
      <w:r>
        <w:rPr>
          <w:spacing w:val="-2"/>
        </w:rPr>
        <w:t> </w:t>
      </w:r>
      <w:r>
        <w:rPr/>
        <w:t>Mohammed,</w:t>
      </w:r>
      <w:r>
        <w:rPr>
          <w:spacing w:val="-2"/>
        </w:rPr>
        <w:t> Commander</w:t>
      </w:r>
    </w:p>
    <w:p>
      <w:pPr>
        <w:spacing w:after="0"/>
        <w:sectPr>
          <w:pgSz w:w="11910" w:h="16840"/>
          <w:pgMar w:header="0" w:footer="1492" w:top="1360" w:bottom="1680" w:left="720" w:right="180"/>
        </w:sectPr>
      </w:pPr>
    </w:p>
    <w:tbl>
      <w:tblPr>
        <w:tblW w:w="0" w:type="auto"/>
        <w:jc w:val="left"/>
        <w:tblInd w:w="1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0"/>
        <w:gridCol w:w="6678"/>
        <w:gridCol w:w="754"/>
      </w:tblGrid>
      <w:tr>
        <w:trPr>
          <w:trHeight w:val="389" w:hRule="atLeast"/>
        </w:trPr>
        <w:tc>
          <w:tcPr>
            <w:tcW w:w="950" w:type="dxa"/>
          </w:tcPr>
          <w:p>
            <w:pPr>
              <w:pStyle w:val="TableParagraph"/>
              <w:rPr>
                <w:sz w:val="24"/>
              </w:rPr>
            </w:pPr>
          </w:p>
        </w:tc>
        <w:tc>
          <w:tcPr>
            <w:tcW w:w="6678" w:type="dxa"/>
          </w:tcPr>
          <w:p>
            <w:pPr>
              <w:pStyle w:val="TableParagraph"/>
              <w:spacing w:before="40"/>
              <w:ind w:left="540"/>
              <w:rPr>
                <w:sz w:val="24"/>
              </w:rPr>
            </w:pPr>
            <w:r>
              <w:rPr>
                <w:sz w:val="24"/>
              </w:rPr>
              <w:t>Army</w:t>
            </w:r>
            <w:r>
              <w:rPr>
                <w:spacing w:val="-5"/>
                <w:sz w:val="24"/>
              </w:rPr>
              <w:t> </w:t>
            </w:r>
            <w:r>
              <w:rPr>
                <w:sz w:val="24"/>
              </w:rPr>
              <w:t>Task </w:t>
            </w:r>
            <w:r>
              <w:rPr>
                <w:spacing w:val="-4"/>
                <w:sz w:val="24"/>
              </w:rPr>
              <w:t>Group</w:t>
            </w:r>
          </w:p>
        </w:tc>
        <w:tc>
          <w:tcPr>
            <w:tcW w:w="754" w:type="dxa"/>
          </w:tcPr>
          <w:p>
            <w:pPr>
              <w:pStyle w:val="TableParagraph"/>
              <w:spacing w:before="40"/>
              <w:ind w:left="343"/>
              <w:rPr>
                <w:sz w:val="24"/>
              </w:rPr>
            </w:pPr>
            <w:r>
              <w:rPr>
                <w:spacing w:val="-5"/>
                <w:sz w:val="24"/>
              </w:rPr>
              <w:t>57</w:t>
            </w:r>
          </w:p>
        </w:tc>
      </w:tr>
      <w:tr>
        <w:trPr>
          <w:trHeight w:val="414" w:hRule="atLeast"/>
        </w:trPr>
        <w:tc>
          <w:tcPr>
            <w:tcW w:w="950" w:type="dxa"/>
          </w:tcPr>
          <w:p>
            <w:pPr>
              <w:pStyle w:val="TableParagraph"/>
              <w:spacing w:before="63"/>
              <w:ind w:right="68"/>
              <w:jc w:val="center"/>
              <w:rPr>
                <w:sz w:val="24"/>
              </w:rPr>
            </w:pPr>
            <w:r>
              <w:rPr>
                <w:sz w:val="24"/>
              </w:rPr>
              <w:t>Plate</w:t>
            </w:r>
            <w:r>
              <w:rPr>
                <w:spacing w:val="-1"/>
                <w:sz w:val="24"/>
              </w:rPr>
              <w:t> </w:t>
            </w:r>
            <w:r>
              <w:rPr>
                <w:spacing w:val="-5"/>
                <w:sz w:val="24"/>
              </w:rPr>
              <w:t>31</w:t>
            </w:r>
          </w:p>
        </w:tc>
        <w:tc>
          <w:tcPr>
            <w:tcW w:w="6678" w:type="dxa"/>
          </w:tcPr>
          <w:p>
            <w:pPr>
              <w:pStyle w:val="TableParagraph"/>
              <w:spacing w:before="63"/>
              <w:ind w:right="305"/>
              <w:jc w:val="right"/>
              <w:rPr>
                <w:sz w:val="24"/>
              </w:rPr>
            </w:pPr>
            <w:r>
              <w:rPr>
                <w:sz w:val="24"/>
              </w:rPr>
              <w:t>Interview</w:t>
            </w:r>
            <w:r>
              <w:rPr>
                <w:spacing w:val="-2"/>
                <w:sz w:val="24"/>
              </w:rPr>
              <w:t> </w:t>
            </w:r>
            <w:r>
              <w:rPr>
                <w:sz w:val="24"/>
              </w:rPr>
              <w:t>with Navy</w:t>
            </w:r>
            <w:r>
              <w:rPr>
                <w:spacing w:val="-5"/>
                <w:sz w:val="24"/>
              </w:rPr>
              <w:t> </w:t>
            </w:r>
            <w:r>
              <w:rPr>
                <w:sz w:val="24"/>
              </w:rPr>
              <w:t>Captain Bola Omilade</w:t>
            </w:r>
            <w:r>
              <w:rPr>
                <w:spacing w:val="-2"/>
                <w:sz w:val="24"/>
              </w:rPr>
              <w:t> </w:t>
            </w:r>
            <w:r>
              <w:rPr>
                <w:sz w:val="24"/>
              </w:rPr>
              <w:t>JTF</w:t>
            </w:r>
            <w:r>
              <w:rPr>
                <w:spacing w:val="-2"/>
                <w:sz w:val="24"/>
              </w:rPr>
              <w:t> </w:t>
            </w:r>
            <w:r>
              <w:rPr>
                <w:sz w:val="24"/>
              </w:rPr>
              <w:t>COS, </w:t>
            </w:r>
            <w:r>
              <w:rPr>
                <w:spacing w:val="-2"/>
                <w:sz w:val="24"/>
              </w:rPr>
              <w:t>Warri</w:t>
            </w:r>
          </w:p>
        </w:tc>
        <w:tc>
          <w:tcPr>
            <w:tcW w:w="754" w:type="dxa"/>
          </w:tcPr>
          <w:p>
            <w:pPr>
              <w:pStyle w:val="TableParagraph"/>
              <w:spacing w:before="63"/>
              <w:ind w:left="343"/>
              <w:rPr>
                <w:sz w:val="24"/>
              </w:rPr>
            </w:pPr>
            <w:r>
              <w:rPr>
                <w:spacing w:val="-5"/>
                <w:sz w:val="24"/>
              </w:rPr>
              <w:t>58</w:t>
            </w:r>
          </w:p>
        </w:tc>
      </w:tr>
      <w:tr>
        <w:trPr>
          <w:trHeight w:val="414" w:hRule="atLeast"/>
        </w:trPr>
        <w:tc>
          <w:tcPr>
            <w:tcW w:w="950" w:type="dxa"/>
          </w:tcPr>
          <w:p>
            <w:pPr>
              <w:pStyle w:val="TableParagraph"/>
              <w:spacing w:before="64"/>
              <w:ind w:right="68"/>
              <w:jc w:val="center"/>
              <w:rPr>
                <w:sz w:val="24"/>
              </w:rPr>
            </w:pPr>
            <w:r>
              <w:rPr>
                <w:sz w:val="24"/>
              </w:rPr>
              <w:t>Plate</w:t>
            </w:r>
            <w:r>
              <w:rPr>
                <w:spacing w:val="-1"/>
                <w:sz w:val="24"/>
              </w:rPr>
              <w:t> </w:t>
            </w:r>
            <w:r>
              <w:rPr>
                <w:spacing w:val="-5"/>
                <w:sz w:val="24"/>
              </w:rPr>
              <w:t>32</w:t>
            </w:r>
          </w:p>
        </w:tc>
        <w:tc>
          <w:tcPr>
            <w:tcW w:w="6678" w:type="dxa"/>
          </w:tcPr>
          <w:p>
            <w:pPr>
              <w:pStyle w:val="TableParagraph"/>
              <w:spacing w:before="64"/>
              <w:ind w:right="391"/>
              <w:jc w:val="right"/>
              <w:rPr>
                <w:sz w:val="24"/>
              </w:rPr>
            </w:pPr>
            <w:r>
              <w:rPr>
                <w:sz w:val="24"/>
              </w:rPr>
              <w:t>Interview</w:t>
            </w:r>
            <w:r>
              <w:rPr>
                <w:spacing w:val="-3"/>
                <w:sz w:val="24"/>
              </w:rPr>
              <w:t> </w:t>
            </w:r>
            <w:r>
              <w:rPr>
                <w:sz w:val="24"/>
              </w:rPr>
              <w:t>with</w:t>
            </w:r>
            <w:r>
              <w:rPr>
                <w:spacing w:val="-1"/>
                <w:sz w:val="24"/>
              </w:rPr>
              <w:t> </w:t>
            </w:r>
            <w:r>
              <w:rPr>
                <w:sz w:val="24"/>
              </w:rPr>
              <w:t>CSP</w:t>
            </w:r>
            <w:r>
              <w:rPr>
                <w:spacing w:val="-1"/>
                <w:sz w:val="24"/>
              </w:rPr>
              <w:t> </w:t>
            </w:r>
            <w:r>
              <w:rPr>
                <w:sz w:val="24"/>
              </w:rPr>
              <w:t>Tokunbo</w:t>
            </w:r>
            <w:r>
              <w:rPr>
                <w:spacing w:val="-1"/>
                <w:sz w:val="24"/>
              </w:rPr>
              <w:t> </w:t>
            </w:r>
            <w:r>
              <w:rPr>
                <w:sz w:val="24"/>
              </w:rPr>
              <w:t>Afolabi JTF</w:t>
            </w:r>
            <w:r>
              <w:rPr>
                <w:spacing w:val="-3"/>
                <w:sz w:val="24"/>
              </w:rPr>
              <w:t> </w:t>
            </w:r>
            <w:r>
              <w:rPr>
                <w:sz w:val="24"/>
              </w:rPr>
              <w:t>NPF</w:t>
            </w:r>
            <w:r>
              <w:rPr>
                <w:spacing w:val="-2"/>
                <w:sz w:val="24"/>
              </w:rPr>
              <w:t> </w:t>
            </w:r>
            <w:r>
              <w:rPr>
                <w:sz w:val="24"/>
              </w:rPr>
              <w:t>Task </w:t>
            </w:r>
            <w:r>
              <w:rPr>
                <w:spacing w:val="-2"/>
                <w:sz w:val="24"/>
              </w:rPr>
              <w:t>Group</w:t>
            </w:r>
          </w:p>
        </w:tc>
        <w:tc>
          <w:tcPr>
            <w:tcW w:w="754" w:type="dxa"/>
          </w:tcPr>
          <w:p>
            <w:pPr>
              <w:pStyle w:val="TableParagraph"/>
              <w:spacing w:before="64"/>
              <w:ind w:left="343"/>
              <w:rPr>
                <w:sz w:val="24"/>
              </w:rPr>
            </w:pPr>
            <w:r>
              <w:rPr>
                <w:spacing w:val="-5"/>
                <w:sz w:val="24"/>
              </w:rPr>
              <w:t>58</w:t>
            </w:r>
          </w:p>
        </w:tc>
      </w:tr>
      <w:tr>
        <w:trPr>
          <w:trHeight w:val="413" w:hRule="atLeast"/>
        </w:trPr>
        <w:tc>
          <w:tcPr>
            <w:tcW w:w="950" w:type="dxa"/>
          </w:tcPr>
          <w:p>
            <w:pPr>
              <w:pStyle w:val="TableParagraph"/>
              <w:spacing w:before="63"/>
              <w:ind w:right="68"/>
              <w:jc w:val="center"/>
              <w:rPr>
                <w:sz w:val="24"/>
              </w:rPr>
            </w:pPr>
            <w:r>
              <w:rPr>
                <w:sz w:val="24"/>
              </w:rPr>
              <w:t>Plate</w:t>
            </w:r>
            <w:r>
              <w:rPr>
                <w:spacing w:val="-1"/>
                <w:sz w:val="24"/>
              </w:rPr>
              <w:t> </w:t>
            </w:r>
            <w:r>
              <w:rPr>
                <w:spacing w:val="-5"/>
                <w:sz w:val="24"/>
              </w:rPr>
              <w:t>33</w:t>
            </w:r>
          </w:p>
        </w:tc>
        <w:tc>
          <w:tcPr>
            <w:tcW w:w="6678" w:type="dxa"/>
          </w:tcPr>
          <w:p>
            <w:pPr>
              <w:pStyle w:val="TableParagraph"/>
              <w:spacing w:before="63"/>
              <w:ind w:left="540"/>
              <w:rPr>
                <w:sz w:val="24"/>
              </w:rPr>
            </w:pPr>
            <w:r>
              <w:rPr>
                <w:sz w:val="24"/>
              </w:rPr>
              <w:t>Interview</w:t>
            </w:r>
            <w:r>
              <w:rPr>
                <w:spacing w:val="-2"/>
                <w:sz w:val="24"/>
              </w:rPr>
              <w:t> </w:t>
            </w:r>
            <w:r>
              <w:rPr>
                <w:sz w:val="24"/>
              </w:rPr>
              <w:t>with</w:t>
            </w:r>
            <w:r>
              <w:rPr>
                <w:spacing w:val="1"/>
                <w:sz w:val="24"/>
              </w:rPr>
              <w:t> </w:t>
            </w:r>
            <w:r>
              <w:rPr>
                <w:sz w:val="24"/>
              </w:rPr>
              <w:t>Lieutenant</w:t>
            </w:r>
            <w:r>
              <w:rPr>
                <w:spacing w:val="-2"/>
                <w:sz w:val="24"/>
              </w:rPr>
              <w:t> </w:t>
            </w:r>
            <w:r>
              <w:rPr>
                <w:sz w:val="24"/>
              </w:rPr>
              <w:t>Colonel</w:t>
            </w:r>
            <w:r>
              <w:rPr>
                <w:spacing w:val="-1"/>
                <w:sz w:val="24"/>
              </w:rPr>
              <w:t> </w:t>
            </w:r>
            <w:r>
              <w:rPr>
                <w:sz w:val="24"/>
              </w:rPr>
              <w:t>NU</w:t>
            </w:r>
            <w:r>
              <w:rPr>
                <w:spacing w:val="-2"/>
                <w:sz w:val="24"/>
              </w:rPr>
              <w:t> </w:t>
            </w:r>
            <w:r>
              <w:rPr>
                <w:sz w:val="24"/>
              </w:rPr>
              <w:t>Efik,</w:t>
            </w:r>
            <w:r>
              <w:rPr>
                <w:spacing w:val="-1"/>
                <w:sz w:val="24"/>
              </w:rPr>
              <w:t> </w:t>
            </w:r>
            <w:r>
              <w:rPr>
                <w:spacing w:val="-2"/>
                <w:sz w:val="24"/>
              </w:rPr>
              <w:t>Commanding</w:t>
            </w:r>
          </w:p>
        </w:tc>
        <w:tc>
          <w:tcPr>
            <w:tcW w:w="754" w:type="dxa"/>
          </w:tcPr>
          <w:p>
            <w:pPr>
              <w:pStyle w:val="TableParagraph"/>
              <w:rPr>
                <w:sz w:val="24"/>
              </w:rPr>
            </w:pPr>
          </w:p>
        </w:tc>
      </w:tr>
      <w:tr>
        <w:trPr>
          <w:trHeight w:val="414" w:hRule="atLeast"/>
        </w:trPr>
        <w:tc>
          <w:tcPr>
            <w:tcW w:w="950" w:type="dxa"/>
          </w:tcPr>
          <w:p>
            <w:pPr>
              <w:pStyle w:val="TableParagraph"/>
              <w:rPr>
                <w:sz w:val="24"/>
              </w:rPr>
            </w:pPr>
          </w:p>
        </w:tc>
        <w:tc>
          <w:tcPr>
            <w:tcW w:w="6678" w:type="dxa"/>
          </w:tcPr>
          <w:p>
            <w:pPr>
              <w:pStyle w:val="TableParagraph"/>
              <w:spacing w:before="64"/>
              <w:ind w:left="540"/>
              <w:rPr>
                <w:sz w:val="24"/>
              </w:rPr>
            </w:pPr>
            <w:r>
              <w:rPr>
                <w:sz w:val="24"/>
              </w:rPr>
              <w:t>Officer</w:t>
            </w:r>
            <w:r>
              <w:rPr>
                <w:spacing w:val="-2"/>
                <w:sz w:val="24"/>
              </w:rPr>
              <w:t> </w:t>
            </w:r>
            <w:r>
              <w:rPr>
                <w:sz w:val="24"/>
              </w:rPr>
              <w:t>JTF,</w:t>
            </w:r>
            <w:r>
              <w:rPr>
                <w:spacing w:val="-1"/>
                <w:sz w:val="24"/>
              </w:rPr>
              <w:t> </w:t>
            </w:r>
            <w:r>
              <w:rPr>
                <w:spacing w:val="-2"/>
                <w:sz w:val="24"/>
              </w:rPr>
              <w:t>Yenagoa</w:t>
            </w:r>
          </w:p>
        </w:tc>
        <w:tc>
          <w:tcPr>
            <w:tcW w:w="754" w:type="dxa"/>
          </w:tcPr>
          <w:p>
            <w:pPr>
              <w:pStyle w:val="TableParagraph"/>
              <w:spacing w:before="64"/>
              <w:ind w:left="343"/>
              <w:rPr>
                <w:sz w:val="24"/>
              </w:rPr>
            </w:pPr>
            <w:r>
              <w:rPr>
                <w:spacing w:val="-5"/>
                <w:sz w:val="24"/>
              </w:rPr>
              <w:t>59</w:t>
            </w:r>
          </w:p>
        </w:tc>
      </w:tr>
      <w:tr>
        <w:trPr>
          <w:trHeight w:val="414" w:hRule="atLeast"/>
        </w:trPr>
        <w:tc>
          <w:tcPr>
            <w:tcW w:w="950" w:type="dxa"/>
          </w:tcPr>
          <w:p>
            <w:pPr>
              <w:pStyle w:val="TableParagraph"/>
              <w:spacing w:before="63"/>
              <w:ind w:right="68"/>
              <w:jc w:val="center"/>
              <w:rPr>
                <w:sz w:val="24"/>
              </w:rPr>
            </w:pPr>
            <w:r>
              <w:rPr>
                <w:sz w:val="24"/>
              </w:rPr>
              <w:t>Plate</w:t>
            </w:r>
            <w:r>
              <w:rPr>
                <w:spacing w:val="-1"/>
                <w:sz w:val="24"/>
              </w:rPr>
              <w:t> </w:t>
            </w:r>
            <w:r>
              <w:rPr>
                <w:spacing w:val="-5"/>
                <w:sz w:val="24"/>
              </w:rPr>
              <w:t>34</w:t>
            </w:r>
          </w:p>
        </w:tc>
        <w:tc>
          <w:tcPr>
            <w:tcW w:w="6678" w:type="dxa"/>
          </w:tcPr>
          <w:p>
            <w:pPr>
              <w:pStyle w:val="TableParagraph"/>
              <w:spacing w:before="63"/>
              <w:ind w:right="360"/>
              <w:jc w:val="right"/>
              <w:rPr>
                <w:sz w:val="24"/>
              </w:rPr>
            </w:pPr>
            <w:r>
              <w:rPr>
                <w:sz w:val="24"/>
              </w:rPr>
              <w:t>Interview</w:t>
            </w:r>
            <w:r>
              <w:rPr>
                <w:spacing w:val="-3"/>
                <w:sz w:val="24"/>
              </w:rPr>
              <w:t> </w:t>
            </w:r>
            <w:r>
              <w:rPr>
                <w:sz w:val="24"/>
              </w:rPr>
              <w:t>with Lieutenant</w:t>
            </w:r>
            <w:r>
              <w:rPr>
                <w:spacing w:val="-3"/>
                <w:sz w:val="24"/>
              </w:rPr>
              <w:t> </w:t>
            </w:r>
            <w:r>
              <w:rPr>
                <w:sz w:val="24"/>
              </w:rPr>
              <w:t>Colonel</w:t>
            </w:r>
            <w:r>
              <w:rPr>
                <w:spacing w:val="-2"/>
                <w:sz w:val="24"/>
              </w:rPr>
              <w:t> </w:t>
            </w:r>
            <w:r>
              <w:rPr>
                <w:sz w:val="24"/>
              </w:rPr>
              <w:t>AT</w:t>
            </w:r>
            <w:r>
              <w:rPr>
                <w:spacing w:val="-1"/>
                <w:sz w:val="24"/>
              </w:rPr>
              <w:t> </w:t>
            </w:r>
            <w:r>
              <w:rPr>
                <w:sz w:val="24"/>
              </w:rPr>
              <w:t>Lawal,</w:t>
            </w:r>
            <w:r>
              <w:rPr>
                <w:spacing w:val="-2"/>
                <w:sz w:val="24"/>
              </w:rPr>
              <w:t> Commanding</w:t>
            </w:r>
          </w:p>
        </w:tc>
        <w:tc>
          <w:tcPr>
            <w:tcW w:w="754" w:type="dxa"/>
          </w:tcPr>
          <w:p>
            <w:pPr>
              <w:pStyle w:val="TableParagraph"/>
              <w:rPr>
                <w:sz w:val="24"/>
              </w:rPr>
            </w:pPr>
          </w:p>
        </w:tc>
      </w:tr>
      <w:tr>
        <w:trPr>
          <w:trHeight w:val="413" w:hRule="atLeast"/>
        </w:trPr>
        <w:tc>
          <w:tcPr>
            <w:tcW w:w="950" w:type="dxa"/>
          </w:tcPr>
          <w:p>
            <w:pPr>
              <w:pStyle w:val="TableParagraph"/>
              <w:rPr>
                <w:sz w:val="24"/>
              </w:rPr>
            </w:pPr>
          </w:p>
        </w:tc>
        <w:tc>
          <w:tcPr>
            <w:tcW w:w="6678" w:type="dxa"/>
          </w:tcPr>
          <w:p>
            <w:pPr>
              <w:pStyle w:val="TableParagraph"/>
              <w:spacing w:before="64"/>
              <w:ind w:left="540"/>
              <w:rPr>
                <w:sz w:val="24"/>
              </w:rPr>
            </w:pPr>
            <w:r>
              <w:rPr>
                <w:sz w:val="24"/>
              </w:rPr>
              <w:t>Officer</w:t>
            </w:r>
            <w:r>
              <w:rPr>
                <w:spacing w:val="-5"/>
                <w:sz w:val="24"/>
              </w:rPr>
              <w:t> JTF</w:t>
            </w:r>
          </w:p>
        </w:tc>
        <w:tc>
          <w:tcPr>
            <w:tcW w:w="754" w:type="dxa"/>
          </w:tcPr>
          <w:p>
            <w:pPr>
              <w:pStyle w:val="TableParagraph"/>
              <w:spacing w:before="64"/>
              <w:ind w:left="343"/>
              <w:rPr>
                <w:sz w:val="24"/>
              </w:rPr>
            </w:pPr>
            <w:r>
              <w:rPr>
                <w:spacing w:val="-5"/>
                <w:sz w:val="24"/>
              </w:rPr>
              <w:t>60</w:t>
            </w:r>
          </w:p>
        </w:tc>
      </w:tr>
      <w:tr>
        <w:trPr>
          <w:trHeight w:val="414" w:hRule="atLeast"/>
        </w:trPr>
        <w:tc>
          <w:tcPr>
            <w:tcW w:w="950" w:type="dxa"/>
          </w:tcPr>
          <w:p>
            <w:pPr>
              <w:pStyle w:val="TableParagraph"/>
              <w:spacing w:before="63"/>
              <w:ind w:right="68"/>
              <w:jc w:val="center"/>
              <w:rPr>
                <w:sz w:val="24"/>
              </w:rPr>
            </w:pPr>
            <w:r>
              <w:rPr>
                <w:sz w:val="24"/>
              </w:rPr>
              <w:t>Plate</w:t>
            </w:r>
            <w:r>
              <w:rPr>
                <w:spacing w:val="-1"/>
                <w:sz w:val="24"/>
              </w:rPr>
              <w:t> </w:t>
            </w:r>
            <w:r>
              <w:rPr>
                <w:spacing w:val="-5"/>
                <w:sz w:val="24"/>
              </w:rPr>
              <w:t>35</w:t>
            </w:r>
          </w:p>
        </w:tc>
        <w:tc>
          <w:tcPr>
            <w:tcW w:w="6678" w:type="dxa"/>
          </w:tcPr>
          <w:p>
            <w:pPr>
              <w:pStyle w:val="TableParagraph"/>
              <w:spacing w:before="63"/>
              <w:ind w:left="359"/>
              <w:rPr>
                <w:sz w:val="24"/>
              </w:rPr>
            </w:pPr>
            <w:r>
              <w:rPr>
                <w:sz w:val="24"/>
              </w:rPr>
              <w:t>Niger</w:t>
            </w:r>
            <w:r>
              <w:rPr>
                <w:spacing w:val="-2"/>
                <w:sz w:val="24"/>
              </w:rPr>
              <w:t> </w:t>
            </w:r>
            <w:r>
              <w:rPr>
                <w:sz w:val="24"/>
              </w:rPr>
              <w:t>Delta Community</w:t>
            </w:r>
            <w:r>
              <w:rPr>
                <w:spacing w:val="-10"/>
                <w:sz w:val="24"/>
              </w:rPr>
              <w:t> </w:t>
            </w:r>
            <w:r>
              <w:rPr>
                <w:sz w:val="24"/>
              </w:rPr>
              <w:t>Protesting</w:t>
            </w:r>
            <w:r>
              <w:rPr>
                <w:spacing w:val="-2"/>
                <w:sz w:val="24"/>
              </w:rPr>
              <w:t> </w:t>
            </w:r>
            <w:r>
              <w:rPr>
                <w:sz w:val="24"/>
              </w:rPr>
              <w:t>Against</w:t>
            </w:r>
            <w:r>
              <w:rPr>
                <w:spacing w:val="-1"/>
                <w:sz w:val="24"/>
              </w:rPr>
              <w:t> </w:t>
            </w:r>
            <w:r>
              <w:rPr>
                <w:spacing w:val="-2"/>
                <w:sz w:val="24"/>
              </w:rPr>
              <w:t>Environmental</w:t>
            </w:r>
          </w:p>
        </w:tc>
        <w:tc>
          <w:tcPr>
            <w:tcW w:w="754" w:type="dxa"/>
          </w:tcPr>
          <w:p>
            <w:pPr>
              <w:pStyle w:val="TableParagraph"/>
              <w:rPr>
                <w:sz w:val="24"/>
              </w:rPr>
            </w:pPr>
          </w:p>
        </w:tc>
      </w:tr>
      <w:tr>
        <w:trPr>
          <w:trHeight w:val="414" w:hRule="atLeast"/>
        </w:trPr>
        <w:tc>
          <w:tcPr>
            <w:tcW w:w="950" w:type="dxa"/>
          </w:tcPr>
          <w:p>
            <w:pPr>
              <w:pStyle w:val="TableParagraph"/>
              <w:rPr>
                <w:sz w:val="24"/>
              </w:rPr>
            </w:pPr>
          </w:p>
        </w:tc>
        <w:tc>
          <w:tcPr>
            <w:tcW w:w="6678" w:type="dxa"/>
          </w:tcPr>
          <w:p>
            <w:pPr>
              <w:pStyle w:val="TableParagraph"/>
              <w:spacing w:before="64"/>
              <w:ind w:left="360"/>
              <w:rPr>
                <w:sz w:val="24"/>
              </w:rPr>
            </w:pPr>
            <w:r>
              <w:rPr>
                <w:spacing w:val="-2"/>
                <w:sz w:val="24"/>
              </w:rPr>
              <w:t>Degradation</w:t>
            </w:r>
          </w:p>
        </w:tc>
        <w:tc>
          <w:tcPr>
            <w:tcW w:w="754" w:type="dxa"/>
          </w:tcPr>
          <w:p>
            <w:pPr>
              <w:pStyle w:val="TableParagraph"/>
              <w:spacing w:before="64"/>
              <w:ind w:left="326"/>
              <w:rPr>
                <w:sz w:val="24"/>
              </w:rPr>
            </w:pPr>
            <w:r>
              <w:rPr>
                <w:spacing w:val="-5"/>
                <w:sz w:val="24"/>
              </w:rPr>
              <w:t>65</w:t>
            </w:r>
          </w:p>
        </w:tc>
      </w:tr>
      <w:tr>
        <w:trPr>
          <w:trHeight w:val="414" w:hRule="atLeast"/>
        </w:trPr>
        <w:tc>
          <w:tcPr>
            <w:tcW w:w="950" w:type="dxa"/>
          </w:tcPr>
          <w:p>
            <w:pPr>
              <w:pStyle w:val="TableParagraph"/>
              <w:spacing w:before="63"/>
              <w:ind w:right="68"/>
              <w:jc w:val="center"/>
              <w:rPr>
                <w:sz w:val="24"/>
              </w:rPr>
            </w:pPr>
            <w:r>
              <w:rPr>
                <w:sz w:val="24"/>
              </w:rPr>
              <w:t>Plate</w:t>
            </w:r>
            <w:r>
              <w:rPr>
                <w:spacing w:val="-1"/>
                <w:sz w:val="24"/>
              </w:rPr>
              <w:t> </w:t>
            </w:r>
            <w:r>
              <w:rPr>
                <w:spacing w:val="-5"/>
                <w:sz w:val="24"/>
              </w:rPr>
              <w:t>36</w:t>
            </w:r>
          </w:p>
        </w:tc>
        <w:tc>
          <w:tcPr>
            <w:tcW w:w="6678" w:type="dxa"/>
          </w:tcPr>
          <w:p>
            <w:pPr>
              <w:pStyle w:val="TableParagraph"/>
              <w:spacing w:before="63"/>
              <w:ind w:left="359"/>
              <w:rPr>
                <w:sz w:val="24"/>
              </w:rPr>
            </w:pPr>
            <w:r>
              <w:rPr>
                <w:sz w:val="24"/>
              </w:rPr>
              <w:t>Recovered</w:t>
            </w:r>
            <w:r>
              <w:rPr>
                <w:spacing w:val="1"/>
                <w:sz w:val="24"/>
              </w:rPr>
              <w:t> </w:t>
            </w:r>
            <w:r>
              <w:rPr>
                <w:sz w:val="24"/>
              </w:rPr>
              <w:t>Arms</w:t>
            </w:r>
            <w:r>
              <w:rPr>
                <w:spacing w:val="-1"/>
                <w:sz w:val="24"/>
              </w:rPr>
              <w:t> </w:t>
            </w:r>
            <w:r>
              <w:rPr>
                <w:sz w:val="24"/>
              </w:rPr>
              <w:t>from</w:t>
            </w:r>
            <w:r>
              <w:rPr>
                <w:spacing w:val="-1"/>
                <w:sz w:val="24"/>
              </w:rPr>
              <w:t> </w:t>
            </w:r>
            <w:r>
              <w:rPr>
                <w:sz w:val="24"/>
              </w:rPr>
              <w:t>Militants</w:t>
            </w:r>
            <w:r>
              <w:rPr>
                <w:spacing w:val="-1"/>
                <w:sz w:val="24"/>
              </w:rPr>
              <w:t> </w:t>
            </w:r>
            <w:r>
              <w:rPr>
                <w:sz w:val="24"/>
              </w:rPr>
              <w:t>during</w:t>
            </w:r>
            <w:r>
              <w:rPr>
                <w:spacing w:val="-4"/>
                <w:sz w:val="24"/>
              </w:rPr>
              <w:t> </w:t>
            </w:r>
            <w:r>
              <w:rPr>
                <w:sz w:val="24"/>
              </w:rPr>
              <w:t>JTF</w:t>
            </w:r>
            <w:r>
              <w:rPr>
                <w:spacing w:val="-2"/>
                <w:sz w:val="24"/>
              </w:rPr>
              <w:t> Raids</w:t>
            </w:r>
          </w:p>
        </w:tc>
        <w:tc>
          <w:tcPr>
            <w:tcW w:w="754" w:type="dxa"/>
          </w:tcPr>
          <w:p>
            <w:pPr>
              <w:pStyle w:val="TableParagraph"/>
              <w:spacing w:before="63"/>
              <w:ind w:left="338"/>
              <w:rPr>
                <w:sz w:val="24"/>
              </w:rPr>
            </w:pPr>
            <w:r>
              <w:rPr>
                <w:spacing w:val="-5"/>
                <w:sz w:val="24"/>
              </w:rPr>
              <w:t>69</w:t>
            </w:r>
          </w:p>
        </w:tc>
      </w:tr>
      <w:tr>
        <w:trPr>
          <w:trHeight w:val="414" w:hRule="atLeast"/>
        </w:trPr>
        <w:tc>
          <w:tcPr>
            <w:tcW w:w="950" w:type="dxa"/>
          </w:tcPr>
          <w:p>
            <w:pPr>
              <w:pStyle w:val="TableParagraph"/>
              <w:spacing w:before="65"/>
              <w:ind w:right="68"/>
              <w:jc w:val="center"/>
              <w:rPr>
                <w:sz w:val="24"/>
              </w:rPr>
            </w:pPr>
            <w:r>
              <w:rPr>
                <w:sz w:val="24"/>
              </w:rPr>
              <w:t>Plate</w:t>
            </w:r>
            <w:r>
              <w:rPr>
                <w:spacing w:val="-1"/>
                <w:sz w:val="24"/>
              </w:rPr>
              <w:t> </w:t>
            </w:r>
            <w:r>
              <w:rPr>
                <w:spacing w:val="-5"/>
                <w:sz w:val="24"/>
              </w:rPr>
              <w:t>37</w:t>
            </w:r>
          </w:p>
        </w:tc>
        <w:tc>
          <w:tcPr>
            <w:tcW w:w="6678" w:type="dxa"/>
          </w:tcPr>
          <w:p>
            <w:pPr>
              <w:pStyle w:val="TableParagraph"/>
              <w:spacing w:before="65"/>
              <w:ind w:left="359"/>
              <w:rPr>
                <w:sz w:val="24"/>
              </w:rPr>
            </w:pPr>
            <w:r>
              <w:rPr>
                <w:sz w:val="24"/>
              </w:rPr>
              <w:t>Captured</w:t>
            </w:r>
            <w:r>
              <w:rPr>
                <w:spacing w:val="-2"/>
                <w:sz w:val="24"/>
              </w:rPr>
              <w:t> </w:t>
            </w:r>
            <w:r>
              <w:rPr>
                <w:sz w:val="24"/>
              </w:rPr>
              <w:t>Militants</w:t>
            </w:r>
            <w:r>
              <w:rPr>
                <w:spacing w:val="1"/>
                <w:sz w:val="24"/>
              </w:rPr>
              <w:t> </w:t>
            </w:r>
            <w:r>
              <w:rPr>
                <w:spacing w:val="-2"/>
                <w:sz w:val="24"/>
              </w:rPr>
              <w:t>Weapons</w:t>
            </w:r>
          </w:p>
        </w:tc>
        <w:tc>
          <w:tcPr>
            <w:tcW w:w="754" w:type="dxa"/>
          </w:tcPr>
          <w:p>
            <w:pPr>
              <w:pStyle w:val="TableParagraph"/>
              <w:spacing w:before="65"/>
              <w:ind w:left="339"/>
              <w:rPr>
                <w:sz w:val="24"/>
              </w:rPr>
            </w:pPr>
            <w:r>
              <w:rPr>
                <w:spacing w:val="-5"/>
                <w:sz w:val="24"/>
              </w:rPr>
              <w:t>70</w:t>
            </w:r>
          </w:p>
        </w:tc>
      </w:tr>
      <w:tr>
        <w:trPr>
          <w:trHeight w:val="414" w:hRule="atLeast"/>
        </w:trPr>
        <w:tc>
          <w:tcPr>
            <w:tcW w:w="950" w:type="dxa"/>
          </w:tcPr>
          <w:p>
            <w:pPr>
              <w:pStyle w:val="TableParagraph"/>
              <w:spacing w:before="63"/>
              <w:ind w:right="68"/>
              <w:jc w:val="center"/>
              <w:rPr>
                <w:sz w:val="24"/>
              </w:rPr>
            </w:pPr>
            <w:r>
              <w:rPr>
                <w:sz w:val="24"/>
              </w:rPr>
              <w:t>Plate</w:t>
            </w:r>
            <w:r>
              <w:rPr>
                <w:spacing w:val="-1"/>
                <w:sz w:val="24"/>
              </w:rPr>
              <w:t> </w:t>
            </w:r>
            <w:r>
              <w:rPr>
                <w:spacing w:val="-5"/>
                <w:sz w:val="24"/>
              </w:rPr>
              <w:t>38</w:t>
            </w:r>
          </w:p>
        </w:tc>
        <w:tc>
          <w:tcPr>
            <w:tcW w:w="6678" w:type="dxa"/>
          </w:tcPr>
          <w:p>
            <w:pPr>
              <w:pStyle w:val="TableParagraph"/>
              <w:spacing w:before="63"/>
              <w:ind w:left="359"/>
              <w:rPr>
                <w:sz w:val="24"/>
              </w:rPr>
            </w:pPr>
            <w:r>
              <w:rPr>
                <w:sz w:val="24"/>
              </w:rPr>
              <w:t>Confiscated</w:t>
            </w:r>
            <w:r>
              <w:rPr>
                <w:spacing w:val="-1"/>
                <w:sz w:val="24"/>
              </w:rPr>
              <w:t> </w:t>
            </w:r>
            <w:r>
              <w:rPr>
                <w:sz w:val="24"/>
              </w:rPr>
              <w:t>Outboard</w:t>
            </w:r>
            <w:r>
              <w:rPr>
                <w:spacing w:val="-1"/>
                <w:sz w:val="24"/>
              </w:rPr>
              <w:t> </w:t>
            </w:r>
            <w:r>
              <w:rPr>
                <w:sz w:val="24"/>
              </w:rPr>
              <w:t>Boat</w:t>
            </w:r>
            <w:r>
              <w:rPr>
                <w:spacing w:val="-1"/>
                <w:sz w:val="24"/>
              </w:rPr>
              <w:t> </w:t>
            </w:r>
            <w:r>
              <w:rPr>
                <w:sz w:val="24"/>
              </w:rPr>
              <w:t>Engines of</w:t>
            </w:r>
            <w:r>
              <w:rPr>
                <w:spacing w:val="-2"/>
                <w:sz w:val="24"/>
              </w:rPr>
              <w:t> Bunkerers</w:t>
            </w:r>
          </w:p>
        </w:tc>
        <w:tc>
          <w:tcPr>
            <w:tcW w:w="754" w:type="dxa"/>
          </w:tcPr>
          <w:p>
            <w:pPr>
              <w:pStyle w:val="TableParagraph"/>
              <w:spacing w:before="63"/>
              <w:ind w:left="305"/>
              <w:rPr>
                <w:sz w:val="24"/>
              </w:rPr>
            </w:pPr>
            <w:r>
              <w:rPr>
                <w:spacing w:val="-5"/>
                <w:sz w:val="24"/>
              </w:rPr>
              <w:t>70</w:t>
            </w:r>
          </w:p>
        </w:tc>
      </w:tr>
      <w:tr>
        <w:trPr>
          <w:trHeight w:val="414" w:hRule="atLeast"/>
        </w:trPr>
        <w:tc>
          <w:tcPr>
            <w:tcW w:w="950" w:type="dxa"/>
          </w:tcPr>
          <w:p>
            <w:pPr>
              <w:pStyle w:val="TableParagraph"/>
              <w:spacing w:before="64"/>
              <w:ind w:right="68"/>
              <w:jc w:val="center"/>
              <w:rPr>
                <w:sz w:val="24"/>
              </w:rPr>
            </w:pPr>
            <w:r>
              <w:rPr>
                <w:sz w:val="24"/>
              </w:rPr>
              <w:t>Plate</w:t>
            </w:r>
            <w:r>
              <w:rPr>
                <w:spacing w:val="-1"/>
                <w:sz w:val="24"/>
              </w:rPr>
              <w:t> </w:t>
            </w:r>
            <w:r>
              <w:rPr>
                <w:spacing w:val="-5"/>
                <w:sz w:val="24"/>
              </w:rPr>
              <w:t>39</w:t>
            </w:r>
          </w:p>
        </w:tc>
        <w:tc>
          <w:tcPr>
            <w:tcW w:w="6678" w:type="dxa"/>
          </w:tcPr>
          <w:p>
            <w:pPr>
              <w:pStyle w:val="TableParagraph"/>
              <w:spacing w:before="64"/>
              <w:ind w:left="361"/>
              <w:rPr>
                <w:sz w:val="24"/>
              </w:rPr>
            </w:pPr>
            <w:r>
              <w:rPr>
                <w:sz w:val="24"/>
              </w:rPr>
              <w:t>Interview</w:t>
            </w:r>
            <w:r>
              <w:rPr>
                <w:spacing w:val="-4"/>
                <w:sz w:val="24"/>
              </w:rPr>
              <w:t> </w:t>
            </w:r>
            <w:r>
              <w:rPr>
                <w:sz w:val="24"/>
              </w:rPr>
              <w:t>with</w:t>
            </w:r>
            <w:r>
              <w:rPr>
                <w:spacing w:val="-1"/>
                <w:sz w:val="24"/>
              </w:rPr>
              <w:t> </w:t>
            </w:r>
            <w:r>
              <w:rPr>
                <w:sz w:val="24"/>
              </w:rPr>
              <w:t>CSP</w:t>
            </w:r>
            <w:r>
              <w:rPr>
                <w:spacing w:val="-2"/>
                <w:sz w:val="24"/>
              </w:rPr>
              <w:t> </w:t>
            </w:r>
            <w:r>
              <w:rPr>
                <w:sz w:val="24"/>
              </w:rPr>
              <w:t>Ahmed</w:t>
            </w:r>
            <w:r>
              <w:rPr>
                <w:spacing w:val="-1"/>
                <w:sz w:val="24"/>
              </w:rPr>
              <w:t> </w:t>
            </w:r>
            <w:r>
              <w:rPr>
                <w:sz w:val="24"/>
              </w:rPr>
              <w:t>Magaji,</w:t>
            </w:r>
            <w:r>
              <w:rPr>
                <w:spacing w:val="-1"/>
                <w:sz w:val="24"/>
              </w:rPr>
              <w:t> </w:t>
            </w:r>
            <w:r>
              <w:rPr>
                <w:sz w:val="24"/>
              </w:rPr>
              <w:t>JTF</w:t>
            </w:r>
            <w:r>
              <w:rPr>
                <w:spacing w:val="-4"/>
                <w:sz w:val="24"/>
              </w:rPr>
              <w:t> </w:t>
            </w:r>
            <w:r>
              <w:rPr>
                <w:sz w:val="24"/>
              </w:rPr>
              <w:t>NPF</w:t>
            </w:r>
            <w:r>
              <w:rPr>
                <w:spacing w:val="-2"/>
                <w:sz w:val="24"/>
              </w:rPr>
              <w:t> </w:t>
            </w:r>
            <w:r>
              <w:rPr>
                <w:sz w:val="24"/>
              </w:rPr>
              <w:t>Task</w:t>
            </w:r>
            <w:r>
              <w:rPr>
                <w:spacing w:val="-1"/>
                <w:sz w:val="24"/>
              </w:rPr>
              <w:t> </w:t>
            </w:r>
            <w:r>
              <w:rPr>
                <w:spacing w:val="-2"/>
                <w:sz w:val="24"/>
              </w:rPr>
              <w:t>Group</w:t>
            </w:r>
          </w:p>
        </w:tc>
        <w:tc>
          <w:tcPr>
            <w:tcW w:w="754" w:type="dxa"/>
          </w:tcPr>
          <w:p>
            <w:pPr>
              <w:pStyle w:val="TableParagraph"/>
              <w:rPr>
                <w:sz w:val="24"/>
              </w:rPr>
            </w:pPr>
          </w:p>
        </w:tc>
      </w:tr>
      <w:tr>
        <w:trPr>
          <w:trHeight w:val="413" w:hRule="atLeast"/>
        </w:trPr>
        <w:tc>
          <w:tcPr>
            <w:tcW w:w="950" w:type="dxa"/>
          </w:tcPr>
          <w:p>
            <w:pPr>
              <w:pStyle w:val="TableParagraph"/>
              <w:rPr>
                <w:sz w:val="24"/>
              </w:rPr>
            </w:pPr>
          </w:p>
        </w:tc>
        <w:tc>
          <w:tcPr>
            <w:tcW w:w="6678" w:type="dxa"/>
          </w:tcPr>
          <w:p>
            <w:pPr>
              <w:pStyle w:val="TableParagraph"/>
              <w:spacing w:before="63"/>
              <w:ind w:left="540"/>
              <w:rPr>
                <w:sz w:val="24"/>
              </w:rPr>
            </w:pPr>
            <w:r>
              <w:rPr>
                <w:spacing w:val="-2"/>
                <w:sz w:val="24"/>
              </w:rPr>
              <w:t>Commander</w:t>
            </w:r>
          </w:p>
        </w:tc>
        <w:tc>
          <w:tcPr>
            <w:tcW w:w="754" w:type="dxa"/>
          </w:tcPr>
          <w:p>
            <w:pPr>
              <w:pStyle w:val="TableParagraph"/>
              <w:spacing w:before="63"/>
              <w:ind w:left="343"/>
              <w:rPr>
                <w:sz w:val="24"/>
              </w:rPr>
            </w:pPr>
            <w:r>
              <w:rPr>
                <w:spacing w:val="-5"/>
                <w:sz w:val="24"/>
              </w:rPr>
              <w:t>70</w:t>
            </w:r>
          </w:p>
        </w:tc>
      </w:tr>
      <w:tr>
        <w:trPr>
          <w:trHeight w:val="413" w:hRule="atLeast"/>
        </w:trPr>
        <w:tc>
          <w:tcPr>
            <w:tcW w:w="950" w:type="dxa"/>
          </w:tcPr>
          <w:p>
            <w:pPr>
              <w:pStyle w:val="TableParagraph"/>
              <w:spacing w:before="64"/>
              <w:ind w:right="68"/>
              <w:jc w:val="center"/>
              <w:rPr>
                <w:sz w:val="24"/>
              </w:rPr>
            </w:pPr>
            <w:r>
              <w:rPr>
                <w:sz w:val="24"/>
              </w:rPr>
              <w:t>Plate</w:t>
            </w:r>
            <w:r>
              <w:rPr>
                <w:spacing w:val="-1"/>
                <w:sz w:val="24"/>
              </w:rPr>
              <w:t> </w:t>
            </w:r>
            <w:r>
              <w:rPr>
                <w:spacing w:val="-5"/>
                <w:sz w:val="24"/>
              </w:rPr>
              <w:t>40</w:t>
            </w:r>
          </w:p>
        </w:tc>
        <w:tc>
          <w:tcPr>
            <w:tcW w:w="6678" w:type="dxa"/>
          </w:tcPr>
          <w:p>
            <w:pPr>
              <w:pStyle w:val="TableParagraph"/>
              <w:spacing w:before="64"/>
              <w:ind w:left="181"/>
              <w:rPr>
                <w:sz w:val="24"/>
              </w:rPr>
            </w:pPr>
            <w:r>
              <w:rPr>
                <w:sz w:val="24"/>
              </w:rPr>
              <w:t>Illegal</w:t>
            </w:r>
            <w:r>
              <w:rPr>
                <w:spacing w:val="-3"/>
                <w:sz w:val="24"/>
              </w:rPr>
              <w:t> </w:t>
            </w:r>
            <w:r>
              <w:rPr>
                <w:sz w:val="24"/>
              </w:rPr>
              <w:t>Oil</w:t>
            </w:r>
            <w:r>
              <w:rPr>
                <w:spacing w:val="-2"/>
                <w:sz w:val="24"/>
              </w:rPr>
              <w:t> </w:t>
            </w:r>
            <w:r>
              <w:rPr>
                <w:sz w:val="24"/>
              </w:rPr>
              <w:t>Bunkerer</w:t>
            </w:r>
            <w:r>
              <w:rPr>
                <w:spacing w:val="-2"/>
                <w:sz w:val="24"/>
              </w:rPr>
              <w:t> </w:t>
            </w:r>
            <w:r>
              <w:rPr>
                <w:sz w:val="24"/>
              </w:rPr>
              <w:t>Seized</w:t>
            </w:r>
            <w:r>
              <w:rPr>
                <w:spacing w:val="-1"/>
                <w:sz w:val="24"/>
              </w:rPr>
              <w:t> </w:t>
            </w:r>
            <w:r>
              <w:rPr>
                <w:sz w:val="24"/>
              </w:rPr>
              <w:t>Boats Loaded</w:t>
            </w:r>
            <w:r>
              <w:rPr>
                <w:spacing w:val="-2"/>
                <w:sz w:val="24"/>
              </w:rPr>
              <w:t> </w:t>
            </w:r>
            <w:r>
              <w:rPr>
                <w:sz w:val="24"/>
              </w:rPr>
              <w:t>with</w:t>
            </w:r>
            <w:r>
              <w:rPr>
                <w:spacing w:val="-2"/>
                <w:sz w:val="24"/>
              </w:rPr>
              <w:t> Crude</w:t>
            </w:r>
          </w:p>
        </w:tc>
        <w:tc>
          <w:tcPr>
            <w:tcW w:w="754" w:type="dxa"/>
          </w:tcPr>
          <w:p>
            <w:pPr>
              <w:pStyle w:val="TableParagraph"/>
              <w:spacing w:before="64"/>
              <w:ind w:left="336"/>
              <w:rPr>
                <w:sz w:val="24"/>
              </w:rPr>
            </w:pPr>
            <w:r>
              <w:rPr>
                <w:spacing w:val="-5"/>
                <w:sz w:val="24"/>
              </w:rPr>
              <w:t>78</w:t>
            </w:r>
          </w:p>
        </w:tc>
      </w:tr>
      <w:tr>
        <w:trPr>
          <w:trHeight w:val="414" w:hRule="atLeast"/>
        </w:trPr>
        <w:tc>
          <w:tcPr>
            <w:tcW w:w="950" w:type="dxa"/>
          </w:tcPr>
          <w:p>
            <w:pPr>
              <w:pStyle w:val="TableParagraph"/>
              <w:spacing w:before="63"/>
              <w:ind w:right="68"/>
              <w:jc w:val="center"/>
              <w:rPr>
                <w:sz w:val="24"/>
              </w:rPr>
            </w:pPr>
            <w:r>
              <w:rPr>
                <w:sz w:val="24"/>
              </w:rPr>
              <w:t>Plate</w:t>
            </w:r>
            <w:r>
              <w:rPr>
                <w:spacing w:val="-1"/>
                <w:sz w:val="24"/>
              </w:rPr>
              <w:t> </w:t>
            </w:r>
            <w:r>
              <w:rPr>
                <w:spacing w:val="-5"/>
                <w:sz w:val="24"/>
              </w:rPr>
              <w:t>41</w:t>
            </w:r>
          </w:p>
        </w:tc>
        <w:tc>
          <w:tcPr>
            <w:tcW w:w="6678" w:type="dxa"/>
          </w:tcPr>
          <w:p>
            <w:pPr>
              <w:pStyle w:val="TableParagraph"/>
              <w:spacing w:before="63"/>
              <w:ind w:left="179"/>
              <w:rPr>
                <w:sz w:val="24"/>
              </w:rPr>
            </w:pPr>
            <w:r>
              <w:rPr>
                <w:sz w:val="24"/>
              </w:rPr>
              <w:t>Members of</w:t>
            </w:r>
            <w:r>
              <w:rPr>
                <w:spacing w:val="-2"/>
                <w:sz w:val="24"/>
              </w:rPr>
              <w:t> </w:t>
            </w:r>
            <w:r>
              <w:rPr>
                <w:sz w:val="24"/>
              </w:rPr>
              <w:t>the JTF</w:t>
            </w:r>
            <w:r>
              <w:rPr>
                <w:spacing w:val="-2"/>
                <w:sz w:val="24"/>
              </w:rPr>
              <w:t> </w:t>
            </w:r>
            <w:r>
              <w:rPr>
                <w:sz w:val="24"/>
              </w:rPr>
              <w:t>on</w:t>
            </w:r>
            <w:r>
              <w:rPr>
                <w:spacing w:val="1"/>
                <w:sz w:val="24"/>
              </w:rPr>
              <w:t> </w:t>
            </w:r>
            <w:r>
              <w:rPr>
                <w:spacing w:val="-2"/>
                <w:sz w:val="24"/>
              </w:rPr>
              <w:t>Patrol</w:t>
            </w:r>
          </w:p>
        </w:tc>
        <w:tc>
          <w:tcPr>
            <w:tcW w:w="754" w:type="dxa"/>
          </w:tcPr>
          <w:p>
            <w:pPr>
              <w:pStyle w:val="TableParagraph"/>
              <w:spacing w:before="63"/>
              <w:ind w:left="347"/>
              <w:rPr>
                <w:sz w:val="24"/>
              </w:rPr>
            </w:pPr>
            <w:r>
              <w:rPr>
                <w:spacing w:val="-5"/>
                <w:sz w:val="24"/>
              </w:rPr>
              <w:t>86</w:t>
            </w:r>
          </w:p>
        </w:tc>
      </w:tr>
      <w:tr>
        <w:trPr>
          <w:trHeight w:val="413" w:hRule="atLeast"/>
        </w:trPr>
        <w:tc>
          <w:tcPr>
            <w:tcW w:w="950" w:type="dxa"/>
          </w:tcPr>
          <w:p>
            <w:pPr>
              <w:pStyle w:val="TableParagraph"/>
              <w:spacing w:before="64"/>
              <w:ind w:right="68"/>
              <w:jc w:val="center"/>
              <w:rPr>
                <w:sz w:val="24"/>
              </w:rPr>
            </w:pPr>
            <w:r>
              <w:rPr>
                <w:sz w:val="24"/>
              </w:rPr>
              <w:t>Plate</w:t>
            </w:r>
            <w:r>
              <w:rPr>
                <w:spacing w:val="-1"/>
                <w:sz w:val="24"/>
              </w:rPr>
              <w:t> </w:t>
            </w:r>
            <w:r>
              <w:rPr>
                <w:spacing w:val="-5"/>
                <w:sz w:val="24"/>
              </w:rPr>
              <w:t>42</w:t>
            </w:r>
          </w:p>
        </w:tc>
        <w:tc>
          <w:tcPr>
            <w:tcW w:w="6678" w:type="dxa"/>
          </w:tcPr>
          <w:p>
            <w:pPr>
              <w:pStyle w:val="TableParagraph"/>
              <w:spacing w:before="64"/>
              <w:ind w:left="179"/>
              <w:rPr>
                <w:sz w:val="24"/>
              </w:rPr>
            </w:pPr>
            <w:r>
              <w:rPr>
                <w:sz w:val="24"/>
              </w:rPr>
              <w:t>Operations</w:t>
            </w:r>
            <w:r>
              <w:rPr>
                <w:spacing w:val="-2"/>
                <w:sz w:val="24"/>
              </w:rPr>
              <w:t> </w:t>
            </w:r>
            <w:r>
              <w:rPr>
                <w:sz w:val="24"/>
              </w:rPr>
              <w:t>of</w:t>
            </w:r>
            <w:r>
              <w:rPr>
                <w:spacing w:val="61"/>
                <w:sz w:val="24"/>
              </w:rPr>
              <w:t> </w:t>
            </w:r>
            <w:r>
              <w:rPr>
                <w:sz w:val="24"/>
              </w:rPr>
              <w:t>Illegal</w:t>
            </w:r>
            <w:r>
              <w:rPr>
                <w:spacing w:val="-2"/>
                <w:sz w:val="24"/>
              </w:rPr>
              <w:t> </w:t>
            </w:r>
            <w:r>
              <w:rPr>
                <w:sz w:val="24"/>
              </w:rPr>
              <w:t>Refinery</w:t>
            </w:r>
            <w:r>
              <w:rPr>
                <w:spacing w:val="-6"/>
                <w:sz w:val="24"/>
              </w:rPr>
              <w:t> </w:t>
            </w:r>
            <w:r>
              <w:rPr>
                <w:sz w:val="24"/>
              </w:rPr>
              <w:t>in</w:t>
            </w:r>
            <w:r>
              <w:rPr>
                <w:spacing w:val="-1"/>
                <w:sz w:val="24"/>
              </w:rPr>
              <w:t> </w:t>
            </w:r>
            <w:r>
              <w:rPr>
                <w:sz w:val="24"/>
              </w:rPr>
              <w:t>Niger </w:t>
            </w:r>
            <w:r>
              <w:rPr>
                <w:spacing w:val="-2"/>
                <w:sz w:val="24"/>
              </w:rPr>
              <w:t>Delta</w:t>
            </w:r>
          </w:p>
        </w:tc>
        <w:tc>
          <w:tcPr>
            <w:tcW w:w="754" w:type="dxa"/>
          </w:tcPr>
          <w:p>
            <w:pPr>
              <w:pStyle w:val="TableParagraph"/>
              <w:spacing w:before="64"/>
              <w:ind w:left="343"/>
              <w:rPr>
                <w:sz w:val="24"/>
              </w:rPr>
            </w:pPr>
            <w:r>
              <w:rPr>
                <w:spacing w:val="-5"/>
                <w:sz w:val="24"/>
              </w:rPr>
              <w:t>89</w:t>
            </w:r>
          </w:p>
        </w:tc>
      </w:tr>
      <w:tr>
        <w:trPr>
          <w:trHeight w:val="413" w:hRule="atLeast"/>
        </w:trPr>
        <w:tc>
          <w:tcPr>
            <w:tcW w:w="950" w:type="dxa"/>
          </w:tcPr>
          <w:p>
            <w:pPr>
              <w:pStyle w:val="TableParagraph"/>
              <w:spacing w:before="63"/>
              <w:ind w:right="68"/>
              <w:jc w:val="center"/>
              <w:rPr>
                <w:sz w:val="24"/>
              </w:rPr>
            </w:pPr>
            <w:r>
              <w:rPr>
                <w:sz w:val="24"/>
              </w:rPr>
              <w:t>Plate</w:t>
            </w:r>
            <w:r>
              <w:rPr>
                <w:spacing w:val="-1"/>
                <w:sz w:val="24"/>
              </w:rPr>
              <w:t> </w:t>
            </w:r>
            <w:r>
              <w:rPr>
                <w:spacing w:val="-5"/>
                <w:sz w:val="24"/>
              </w:rPr>
              <w:t>43</w:t>
            </w:r>
          </w:p>
        </w:tc>
        <w:tc>
          <w:tcPr>
            <w:tcW w:w="6678" w:type="dxa"/>
          </w:tcPr>
          <w:p>
            <w:pPr>
              <w:pStyle w:val="TableParagraph"/>
              <w:spacing w:before="63"/>
              <w:ind w:left="179"/>
              <w:rPr>
                <w:sz w:val="24"/>
              </w:rPr>
            </w:pPr>
            <w:r>
              <w:rPr>
                <w:sz w:val="24"/>
              </w:rPr>
              <w:t>Operations</w:t>
            </w:r>
            <w:r>
              <w:rPr>
                <w:spacing w:val="-3"/>
                <w:sz w:val="24"/>
              </w:rPr>
              <w:t> </w:t>
            </w:r>
            <w:r>
              <w:rPr>
                <w:sz w:val="24"/>
              </w:rPr>
              <w:t>of</w:t>
            </w:r>
            <w:r>
              <w:rPr>
                <w:spacing w:val="-1"/>
                <w:sz w:val="24"/>
              </w:rPr>
              <w:t> </w:t>
            </w:r>
            <w:r>
              <w:rPr>
                <w:sz w:val="24"/>
              </w:rPr>
              <w:t>Illegal</w:t>
            </w:r>
            <w:r>
              <w:rPr>
                <w:spacing w:val="-1"/>
                <w:sz w:val="24"/>
              </w:rPr>
              <w:t> </w:t>
            </w:r>
            <w:r>
              <w:rPr>
                <w:sz w:val="24"/>
              </w:rPr>
              <w:t>Refinery</w:t>
            </w:r>
            <w:r>
              <w:rPr>
                <w:spacing w:val="56"/>
                <w:sz w:val="24"/>
              </w:rPr>
              <w:t> </w:t>
            </w:r>
            <w:r>
              <w:rPr>
                <w:sz w:val="24"/>
              </w:rPr>
              <w:t>in</w:t>
            </w:r>
            <w:r>
              <w:rPr>
                <w:spacing w:val="-1"/>
                <w:sz w:val="24"/>
              </w:rPr>
              <w:t> </w:t>
            </w:r>
            <w:r>
              <w:rPr>
                <w:sz w:val="24"/>
              </w:rPr>
              <w:t>Niger </w:t>
            </w:r>
            <w:r>
              <w:rPr>
                <w:spacing w:val="-2"/>
                <w:sz w:val="24"/>
              </w:rPr>
              <w:t>Delta</w:t>
            </w:r>
          </w:p>
        </w:tc>
        <w:tc>
          <w:tcPr>
            <w:tcW w:w="754" w:type="dxa"/>
          </w:tcPr>
          <w:p>
            <w:pPr>
              <w:pStyle w:val="TableParagraph"/>
              <w:spacing w:before="63"/>
              <w:ind w:left="343"/>
              <w:rPr>
                <w:sz w:val="24"/>
              </w:rPr>
            </w:pPr>
            <w:r>
              <w:rPr>
                <w:spacing w:val="-5"/>
                <w:sz w:val="24"/>
              </w:rPr>
              <w:t>89</w:t>
            </w:r>
          </w:p>
        </w:tc>
      </w:tr>
      <w:tr>
        <w:trPr>
          <w:trHeight w:val="414" w:hRule="atLeast"/>
        </w:trPr>
        <w:tc>
          <w:tcPr>
            <w:tcW w:w="950" w:type="dxa"/>
          </w:tcPr>
          <w:p>
            <w:pPr>
              <w:pStyle w:val="TableParagraph"/>
              <w:spacing w:before="64"/>
              <w:ind w:right="68"/>
              <w:jc w:val="center"/>
              <w:rPr>
                <w:sz w:val="24"/>
              </w:rPr>
            </w:pPr>
            <w:r>
              <w:rPr>
                <w:sz w:val="24"/>
              </w:rPr>
              <w:t>Plate</w:t>
            </w:r>
            <w:r>
              <w:rPr>
                <w:spacing w:val="-1"/>
                <w:sz w:val="24"/>
              </w:rPr>
              <w:t> </w:t>
            </w:r>
            <w:r>
              <w:rPr>
                <w:spacing w:val="-5"/>
                <w:sz w:val="24"/>
              </w:rPr>
              <w:t>44</w:t>
            </w:r>
          </w:p>
        </w:tc>
        <w:tc>
          <w:tcPr>
            <w:tcW w:w="6678" w:type="dxa"/>
          </w:tcPr>
          <w:p>
            <w:pPr>
              <w:pStyle w:val="TableParagraph"/>
              <w:spacing w:before="64"/>
              <w:ind w:left="179"/>
              <w:rPr>
                <w:sz w:val="24"/>
              </w:rPr>
            </w:pPr>
            <w:r>
              <w:rPr>
                <w:sz w:val="24"/>
              </w:rPr>
              <w:t>Oil Bunkerers</w:t>
            </w:r>
            <w:r>
              <w:rPr>
                <w:spacing w:val="1"/>
                <w:sz w:val="24"/>
              </w:rPr>
              <w:t> </w:t>
            </w:r>
            <w:r>
              <w:rPr>
                <w:sz w:val="24"/>
              </w:rPr>
              <w:t>Arrested by</w:t>
            </w:r>
            <w:r>
              <w:rPr>
                <w:spacing w:val="-5"/>
                <w:sz w:val="24"/>
              </w:rPr>
              <w:t> </w:t>
            </w:r>
            <w:r>
              <w:rPr>
                <w:sz w:val="24"/>
              </w:rPr>
              <w:t>the</w:t>
            </w:r>
            <w:r>
              <w:rPr>
                <w:spacing w:val="-1"/>
                <w:sz w:val="24"/>
              </w:rPr>
              <w:t> </w:t>
            </w:r>
            <w:r>
              <w:rPr>
                <w:sz w:val="24"/>
              </w:rPr>
              <w:t>JTF</w:t>
            </w:r>
            <w:r>
              <w:rPr>
                <w:spacing w:val="-1"/>
                <w:sz w:val="24"/>
              </w:rPr>
              <w:t> </w:t>
            </w:r>
            <w:r>
              <w:rPr>
                <w:spacing w:val="-2"/>
                <w:sz w:val="24"/>
              </w:rPr>
              <w:t>Troops</w:t>
            </w:r>
          </w:p>
        </w:tc>
        <w:tc>
          <w:tcPr>
            <w:tcW w:w="754" w:type="dxa"/>
          </w:tcPr>
          <w:p>
            <w:pPr>
              <w:pStyle w:val="TableParagraph"/>
              <w:spacing w:before="64"/>
              <w:ind w:left="343"/>
              <w:rPr>
                <w:sz w:val="24"/>
              </w:rPr>
            </w:pPr>
            <w:r>
              <w:rPr>
                <w:spacing w:val="-5"/>
                <w:sz w:val="24"/>
              </w:rPr>
              <w:t>90</w:t>
            </w:r>
          </w:p>
        </w:tc>
      </w:tr>
      <w:tr>
        <w:trPr>
          <w:trHeight w:val="414" w:hRule="atLeast"/>
        </w:trPr>
        <w:tc>
          <w:tcPr>
            <w:tcW w:w="950" w:type="dxa"/>
          </w:tcPr>
          <w:p>
            <w:pPr>
              <w:pStyle w:val="TableParagraph"/>
              <w:spacing w:before="63"/>
              <w:ind w:right="68"/>
              <w:jc w:val="center"/>
              <w:rPr>
                <w:sz w:val="24"/>
              </w:rPr>
            </w:pPr>
            <w:r>
              <w:rPr>
                <w:sz w:val="24"/>
              </w:rPr>
              <w:t>Plate</w:t>
            </w:r>
            <w:r>
              <w:rPr>
                <w:spacing w:val="-1"/>
                <w:sz w:val="24"/>
              </w:rPr>
              <w:t> </w:t>
            </w:r>
            <w:r>
              <w:rPr>
                <w:spacing w:val="-5"/>
                <w:sz w:val="24"/>
              </w:rPr>
              <w:t>45</w:t>
            </w:r>
          </w:p>
        </w:tc>
        <w:tc>
          <w:tcPr>
            <w:tcW w:w="6678" w:type="dxa"/>
          </w:tcPr>
          <w:p>
            <w:pPr>
              <w:pStyle w:val="TableParagraph"/>
              <w:spacing w:before="63"/>
              <w:ind w:left="179"/>
              <w:rPr>
                <w:sz w:val="24"/>
              </w:rPr>
            </w:pPr>
            <w:r>
              <w:rPr>
                <w:sz w:val="24"/>
              </w:rPr>
              <w:t>Oil Bunkerers</w:t>
            </w:r>
            <w:r>
              <w:rPr>
                <w:spacing w:val="1"/>
                <w:sz w:val="24"/>
              </w:rPr>
              <w:t> </w:t>
            </w:r>
            <w:r>
              <w:rPr>
                <w:sz w:val="24"/>
              </w:rPr>
              <w:t>Arrested by</w:t>
            </w:r>
            <w:r>
              <w:rPr>
                <w:spacing w:val="-5"/>
                <w:sz w:val="24"/>
              </w:rPr>
              <w:t> </w:t>
            </w:r>
            <w:r>
              <w:rPr>
                <w:sz w:val="24"/>
              </w:rPr>
              <w:t>the</w:t>
            </w:r>
            <w:r>
              <w:rPr>
                <w:spacing w:val="-1"/>
                <w:sz w:val="24"/>
              </w:rPr>
              <w:t> </w:t>
            </w:r>
            <w:r>
              <w:rPr>
                <w:sz w:val="24"/>
              </w:rPr>
              <w:t>JTF</w:t>
            </w:r>
            <w:r>
              <w:rPr>
                <w:spacing w:val="-1"/>
                <w:sz w:val="24"/>
              </w:rPr>
              <w:t> </w:t>
            </w:r>
            <w:r>
              <w:rPr>
                <w:spacing w:val="-2"/>
                <w:sz w:val="24"/>
              </w:rPr>
              <w:t>Troops</w:t>
            </w:r>
          </w:p>
        </w:tc>
        <w:tc>
          <w:tcPr>
            <w:tcW w:w="754" w:type="dxa"/>
          </w:tcPr>
          <w:p>
            <w:pPr>
              <w:pStyle w:val="TableParagraph"/>
              <w:spacing w:before="63"/>
              <w:ind w:left="343"/>
              <w:rPr>
                <w:sz w:val="24"/>
              </w:rPr>
            </w:pPr>
            <w:r>
              <w:rPr>
                <w:spacing w:val="-5"/>
                <w:sz w:val="24"/>
              </w:rPr>
              <w:t>91</w:t>
            </w:r>
          </w:p>
        </w:tc>
      </w:tr>
      <w:tr>
        <w:trPr>
          <w:trHeight w:val="413" w:hRule="atLeast"/>
        </w:trPr>
        <w:tc>
          <w:tcPr>
            <w:tcW w:w="950" w:type="dxa"/>
          </w:tcPr>
          <w:p>
            <w:pPr>
              <w:pStyle w:val="TableParagraph"/>
              <w:spacing w:before="64"/>
              <w:ind w:right="68"/>
              <w:jc w:val="center"/>
              <w:rPr>
                <w:sz w:val="24"/>
              </w:rPr>
            </w:pPr>
            <w:r>
              <w:rPr>
                <w:sz w:val="24"/>
              </w:rPr>
              <w:t>Plate</w:t>
            </w:r>
            <w:r>
              <w:rPr>
                <w:spacing w:val="-1"/>
                <w:sz w:val="24"/>
              </w:rPr>
              <w:t> </w:t>
            </w:r>
            <w:r>
              <w:rPr>
                <w:spacing w:val="-5"/>
                <w:sz w:val="24"/>
              </w:rPr>
              <w:t>46</w:t>
            </w:r>
          </w:p>
        </w:tc>
        <w:tc>
          <w:tcPr>
            <w:tcW w:w="6678" w:type="dxa"/>
          </w:tcPr>
          <w:p>
            <w:pPr>
              <w:pStyle w:val="TableParagraph"/>
              <w:spacing w:before="64"/>
              <w:ind w:left="240"/>
              <w:rPr>
                <w:sz w:val="24"/>
              </w:rPr>
            </w:pPr>
            <w:r>
              <w:rPr>
                <w:sz w:val="24"/>
              </w:rPr>
              <w:t>Confiscated</w:t>
            </w:r>
            <w:r>
              <w:rPr>
                <w:spacing w:val="-1"/>
                <w:sz w:val="24"/>
              </w:rPr>
              <w:t> </w:t>
            </w:r>
            <w:r>
              <w:rPr>
                <w:sz w:val="24"/>
              </w:rPr>
              <w:t>Cotonou</w:t>
            </w:r>
            <w:r>
              <w:rPr>
                <w:spacing w:val="-2"/>
                <w:sz w:val="24"/>
              </w:rPr>
              <w:t> </w:t>
            </w:r>
            <w:r>
              <w:rPr>
                <w:sz w:val="24"/>
              </w:rPr>
              <w:t>Boats</w:t>
            </w:r>
            <w:r>
              <w:rPr>
                <w:spacing w:val="-1"/>
                <w:sz w:val="24"/>
              </w:rPr>
              <w:t> </w:t>
            </w:r>
            <w:r>
              <w:rPr>
                <w:sz w:val="24"/>
              </w:rPr>
              <w:t>Used</w:t>
            </w:r>
            <w:r>
              <w:rPr>
                <w:spacing w:val="-2"/>
                <w:sz w:val="24"/>
              </w:rPr>
              <w:t> </w:t>
            </w:r>
            <w:r>
              <w:rPr>
                <w:sz w:val="24"/>
              </w:rPr>
              <w:t>for Bunkering</w:t>
            </w:r>
            <w:r>
              <w:rPr>
                <w:spacing w:val="-4"/>
                <w:sz w:val="24"/>
              </w:rPr>
              <w:t> </w:t>
            </w:r>
            <w:r>
              <w:rPr>
                <w:spacing w:val="-2"/>
                <w:sz w:val="24"/>
              </w:rPr>
              <w:t>Activities</w:t>
            </w:r>
          </w:p>
        </w:tc>
        <w:tc>
          <w:tcPr>
            <w:tcW w:w="754" w:type="dxa"/>
          </w:tcPr>
          <w:p>
            <w:pPr>
              <w:pStyle w:val="TableParagraph"/>
              <w:spacing w:before="64"/>
              <w:ind w:left="343"/>
              <w:rPr>
                <w:sz w:val="24"/>
              </w:rPr>
            </w:pPr>
            <w:r>
              <w:rPr>
                <w:spacing w:val="-5"/>
                <w:sz w:val="24"/>
              </w:rPr>
              <w:t>92</w:t>
            </w:r>
          </w:p>
        </w:tc>
      </w:tr>
      <w:tr>
        <w:trPr>
          <w:trHeight w:val="413" w:hRule="atLeast"/>
        </w:trPr>
        <w:tc>
          <w:tcPr>
            <w:tcW w:w="950" w:type="dxa"/>
          </w:tcPr>
          <w:p>
            <w:pPr>
              <w:pStyle w:val="TableParagraph"/>
              <w:spacing w:before="63"/>
              <w:ind w:right="68"/>
              <w:jc w:val="center"/>
              <w:rPr>
                <w:sz w:val="24"/>
              </w:rPr>
            </w:pPr>
            <w:r>
              <w:rPr>
                <w:sz w:val="24"/>
              </w:rPr>
              <w:t>Plate</w:t>
            </w:r>
            <w:r>
              <w:rPr>
                <w:spacing w:val="-1"/>
                <w:sz w:val="24"/>
              </w:rPr>
              <w:t> </w:t>
            </w:r>
            <w:r>
              <w:rPr>
                <w:spacing w:val="-5"/>
                <w:sz w:val="24"/>
              </w:rPr>
              <w:t>47</w:t>
            </w:r>
          </w:p>
        </w:tc>
        <w:tc>
          <w:tcPr>
            <w:tcW w:w="6678" w:type="dxa"/>
          </w:tcPr>
          <w:p>
            <w:pPr>
              <w:pStyle w:val="TableParagraph"/>
              <w:spacing w:before="63"/>
              <w:ind w:left="179"/>
              <w:rPr>
                <w:sz w:val="24"/>
              </w:rPr>
            </w:pPr>
            <w:r>
              <w:rPr>
                <w:sz w:val="24"/>
              </w:rPr>
              <w:t>JTF</w:t>
            </w:r>
            <w:r>
              <w:rPr>
                <w:spacing w:val="-4"/>
                <w:sz w:val="24"/>
              </w:rPr>
              <w:t> </w:t>
            </w:r>
            <w:r>
              <w:rPr>
                <w:sz w:val="24"/>
              </w:rPr>
              <w:t>Troops</w:t>
            </w:r>
            <w:r>
              <w:rPr>
                <w:spacing w:val="-1"/>
                <w:sz w:val="24"/>
              </w:rPr>
              <w:t> </w:t>
            </w:r>
            <w:r>
              <w:rPr>
                <w:sz w:val="24"/>
              </w:rPr>
              <w:t>Checking</w:t>
            </w:r>
            <w:r>
              <w:rPr>
                <w:spacing w:val="-3"/>
                <w:sz w:val="24"/>
              </w:rPr>
              <w:t> </w:t>
            </w:r>
            <w:r>
              <w:rPr>
                <w:sz w:val="24"/>
              </w:rPr>
              <w:t>Illegal</w:t>
            </w:r>
            <w:r>
              <w:rPr>
                <w:spacing w:val="-1"/>
                <w:sz w:val="24"/>
              </w:rPr>
              <w:t> </w:t>
            </w:r>
            <w:r>
              <w:rPr>
                <w:sz w:val="24"/>
              </w:rPr>
              <w:t>Refineries</w:t>
            </w:r>
            <w:r>
              <w:rPr>
                <w:spacing w:val="-1"/>
                <w:sz w:val="24"/>
              </w:rPr>
              <w:t> </w:t>
            </w:r>
            <w:r>
              <w:rPr>
                <w:spacing w:val="-2"/>
                <w:sz w:val="24"/>
              </w:rPr>
              <w:t>Activities</w:t>
            </w:r>
          </w:p>
        </w:tc>
        <w:tc>
          <w:tcPr>
            <w:tcW w:w="754" w:type="dxa"/>
          </w:tcPr>
          <w:p>
            <w:pPr>
              <w:pStyle w:val="TableParagraph"/>
              <w:spacing w:before="63"/>
              <w:ind w:left="343"/>
              <w:rPr>
                <w:sz w:val="24"/>
              </w:rPr>
            </w:pPr>
            <w:r>
              <w:rPr>
                <w:spacing w:val="-5"/>
                <w:sz w:val="24"/>
              </w:rPr>
              <w:t>93</w:t>
            </w:r>
          </w:p>
        </w:tc>
      </w:tr>
      <w:tr>
        <w:trPr>
          <w:trHeight w:val="413" w:hRule="atLeast"/>
        </w:trPr>
        <w:tc>
          <w:tcPr>
            <w:tcW w:w="950" w:type="dxa"/>
          </w:tcPr>
          <w:p>
            <w:pPr>
              <w:pStyle w:val="TableParagraph"/>
              <w:spacing w:before="64"/>
              <w:ind w:right="68"/>
              <w:jc w:val="center"/>
              <w:rPr>
                <w:sz w:val="24"/>
              </w:rPr>
            </w:pPr>
            <w:r>
              <w:rPr>
                <w:sz w:val="24"/>
              </w:rPr>
              <w:t>Plate</w:t>
            </w:r>
            <w:r>
              <w:rPr>
                <w:spacing w:val="-1"/>
                <w:sz w:val="24"/>
              </w:rPr>
              <w:t> </w:t>
            </w:r>
            <w:r>
              <w:rPr>
                <w:spacing w:val="-5"/>
                <w:sz w:val="24"/>
              </w:rPr>
              <w:t>48</w:t>
            </w:r>
          </w:p>
        </w:tc>
        <w:tc>
          <w:tcPr>
            <w:tcW w:w="6678" w:type="dxa"/>
          </w:tcPr>
          <w:p>
            <w:pPr>
              <w:pStyle w:val="TableParagraph"/>
              <w:spacing w:before="64"/>
              <w:ind w:left="179"/>
              <w:rPr>
                <w:sz w:val="24"/>
              </w:rPr>
            </w:pPr>
            <w:r>
              <w:rPr>
                <w:sz w:val="24"/>
              </w:rPr>
              <w:t>JTF</w:t>
            </w:r>
            <w:r>
              <w:rPr>
                <w:spacing w:val="-3"/>
                <w:sz w:val="24"/>
              </w:rPr>
              <w:t> </w:t>
            </w:r>
            <w:r>
              <w:rPr>
                <w:sz w:val="24"/>
              </w:rPr>
              <w:t>Troops</w:t>
            </w:r>
            <w:r>
              <w:rPr>
                <w:spacing w:val="-1"/>
                <w:sz w:val="24"/>
              </w:rPr>
              <w:t> </w:t>
            </w:r>
            <w:r>
              <w:rPr>
                <w:sz w:val="24"/>
              </w:rPr>
              <w:t>on</w:t>
            </w:r>
            <w:r>
              <w:rPr>
                <w:spacing w:val="-1"/>
                <w:sz w:val="24"/>
              </w:rPr>
              <w:t> </w:t>
            </w:r>
            <w:r>
              <w:rPr>
                <w:sz w:val="24"/>
              </w:rPr>
              <w:t>Patrol</w:t>
            </w:r>
            <w:r>
              <w:rPr>
                <w:spacing w:val="-1"/>
                <w:sz w:val="24"/>
              </w:rPr>
              <w:t> </w:t>
            </w:r>
            <w:r>
              <w:rPr>
                <w:sz w:val="24"/>
              </w:rPr>
              <w:t>with</w:t>
            </w:r>
            <w:r>
              <w:rPr>
                <w:spacing w:val="1"/>
                <w:sz w:val="24"/>
              </w:rPr>
              <w:t> </w:t>
            </w:r>
            <w:r>
              <w:rPr>
                <w:sz w:val="24"/>
              </w:rPr>
              <w:t>Local</w:t>
            </w:r>
            <w:r>
              <w:rPr>
                <w:spacing w:val="-1"/>
                <w:sz w:val="24"/>
              </w:rPr>
              <w:t> </w:t>
            </w:r>
            <w:r>
              <w:rPr>
                <w:spacing w:val="-4"/>
                <w:sz w:val="24"/>
              </w:rPr>
              <w:t>Boat</w:t>
            </w:r>
          </w:p>
        </w:tc>
        <w:tc>
          <w:tcPr>
            <w:tcW w:w="754" w:type="dxa"/>
          </w:tcPr>
          <w:p>
            <w:pPr>
              <w:pStyle w:val="TableParagraph"/>
              <w:spacing w:before="64"/>
              <w:ind w:left="343"/>
              <w:rPr>
                <w:sz w:val="24"/>
              </w:rPr>
            </w:pPr>
            <w:r>
              <w:rPr>
                <w:spacing w:val="-5"/>
                <w:sz w:val="24"/>
              </w:rPr>
              <w:t>95</w:t>
            </w:r>
          </w:p>
        </w:tc>
      </w:tr>
      <w:tr>
        <w:trPr>
          <w:trHeight w:val="414" w:hRule="atLeast"/>
        </w:trPr>
        <w:tc>
          <w:tcPr>
            <w:tcW w:w="950" w:type="dxa"/>
          </w:tcPr>
          <w:p>
            <w:pPr>
              <w:pStyle w:val="TableParagraph"/>
              <w:spacing w:before="63"/>
              <w:ind w:right="68"/>
              <w:jc w:val="center"/>
              <w:rPr>
                <w:sz w:val="24"/>
              </w:rPr>
            </w:pPr>
            <w:r>
              <w:rPr>
                <w:sz w:val="24"/>
              </w:rPr>
              <w:t>Plate</w:t>
            </w:r>
            <w:r>
              <w:rPr>
                <w:spacing w:val="-1"/>
                <w:sz w:val="24"/>
              </w:rPr>
              <w:t> </w:t>
            </w:r>
            <w:r>
              <w:rPr>
                <w:spacing w:val="-5"/>
                <w:sz w:val="24"/>
              </w:rPr>
              <w:t>49</w:t>
            </w:r>
          </w:p>
        </w:tc>
        <w:tc>
          <w:tcPr>
            <w:tcW w:w="6678" w:type="dxa"/>
          </w:tcPr>
          <w:p>
            <w:pPr>
              <w:pStyle w:val="TableParagraph"/>
              <w:spacing w:before="63"/>
              <w:ind w:left="121"/>
              <w:rPr>
                <w:sz w:val="24"/>
              </w:rPr>
            </w:pPr>
            <w:r>
              <w:rPr>
                <w:sz w:val="24"/>
              </w:rPr>
              <w:t>Interview</w:t>
            </w:r>
            <w:r>
              <w:rPr>
                <w:spacing w:val="-5"/>
                <w:sz w:val="24"/>
              </w:rPr>
              <w:t> </w:t>
            </w:r>
            <w:r>
              <w:rPr>
                <w:sz w:val="24"/>
              </w:rPr>
              <w:t>with Brig</w:t>
            </w:r>
            <w:r>
              <w:rPr>
                <w:spacing w:val="-6"/>
                <w:sz w:val="24"/>
              </w:rPr>
              <w:t> </w:t>
            </w:r>
            <w:r>
              <w:rPr>
                <w:sz w:val="24"/>
              </w:rPr>
              <w:t>Gen NW</w:t>
            </w:r>
            <w:r>
              <w:rPr>
                <w:spacing w:val="-2"/>
                <w:sz w:val="24"/>
              </w:rPr>
              <w:t> </w:t>
            </w:r>
            <w:r>
              <w:rPr>
                <w:sz w:val="24"/>
              </w:rPr>
              <w:t>Rimtip,</w:t>
            </w:r>
            <w:r>
              <w:rPr>
                <w:spacing w:val="-3"/>
                <w:sz w:val="24"/>
              </w:rPr>
              <w:t> </w:t>
            </w:r>
            <w:r>
              <w:rPr>
                <w:sz w:val="24"/>
              </w:rPr>
              <w:t>former</w:t>
            </w:r>
            <w:r>
              <w:rPr>
                <w:spacing w:val="-2"/>
                <w:sz w:val="24"/>
              </w:rPr>
              <w:t> </w:t>
            </w:r>
            <w:r>
              <w:rPr>
                <w:sz w:val="24"/>
              </w:rPr>
              <w:t>Commander</w:t>
            </w:r>
            <w:r>
              <w:rPr>
                <w:spacing w:val="-2"/>
                <w:sz w:val="24"/>
              </w:rPr>
              <w:t> </w:t>
            </w:r>
            <w:r>
              <w:rPr>
                <w:spacing w:val="-5"/>
                <w:sz w:val="24"/>
              </w:rPr>
              <w:t>JTF</w:t>
            </w:r>
          </w:p>
        </w:tc>
        <w:tc>
          <w:tcPr>
            <w:tcW w:w="754" w:type="dxa"/>
          </w:tcPr>
          <w:p>
            <w:pPr>
              <w:pStyle w:val="TableParagraph"/>
              <w:rPr>
                <w:sz w:val="24"/>
              </w:rPr>
            </w:pPr>
          </w:p>
        </w:tc>
      </w:tr>
      <w:tr>
        <w:trPr>
          <w:trHeight w:val="413" w:hRule="atLeast"/>
        </w:trPr>
        <w:tc>
          <w:tcPr>
            <w:tcW w:w="950" w:type="dxa"/>
          </w:tcPr>
          <w:p>
            <w:pPr>
              <w:pStyle w:val="TableParagraph"/>
              <w:rPr>
                <w:sz w:val="24"/>
              </w:rPr>
            </w:pPr>
          </w:p>
        </w:tc>
        <w:tc>
          <w:tcPr>
            <w:tcW w:w="6678" w:type="dxa"/>
          </w:tcPr>
          <w:p>
            <w:pPr>
              <w:pStyle w:val="TableParagraph"/>
              <w:spacing w:before="64"/>
              <w:ind w:left="540"/>
              <w:rPr>
                <w:sz w:val="24"/>
              </w:rPr>
            </w:pPr>
            <w:r>
              <w:rPr>
                <w:sz w:val="24"/>
              </w:rPr>
              <w:t>Operation</w:t>
            </w:r>
            <w:r>
              <w:rPr>
                <w:spacing w:val="-4"/>
                <w:sz w:val="24"/>
              </w:rPr>
              <w:t> </w:t>
            </w:r>
            <w:r>
              <w:rPr>
                <w:sz w:val="24"/>
              </w:rPr>
              <w:t>RESTORE</w:t>
            </w:r>
            <w:r>
              <w:rPr>
                <w:spacing w:val="-1"/>
                <w:sz w:val="24"/>
              </w:rPr>
              <w:t> </w:t>
            </w:r>
            <w:r>
              <w:rPr>
                <w:spacing w:val="-4"/>
                <w:sz w:val="24"/>
              </w:rPr>
              <w:t>HOPE</w:t>
            </w:r>
          </w:p>
        </w:tc>
        <w:tc>
          <w:tcPr>
            <w:tcW w:w="754" w:type="dxa"/>
          </w:tcPr>
          <w:p>
            <w:pPr>
              <w:pStyle w:val="TableParagraph"/>
              <w:spacing w:before="64"/>
              <w:ind w:left="343"/>
              <w:rPr>
                <w:sz w:val="24"/>
              </w:rPr>
            </w:pPr>
            <w:r>
              <w:rPr>
                <w:spacing w:val="-5"/>
                <w:sz w:val="24"/>
              </w:rPr>
              <w:t>95</w:t>
            </w:r>
          </w:p>
        </w:tc>
      </w:tr>
      <w:tr>
        <w:trPr>
          <w:trHeight w:val="413" w:hRule="atLeast"/>
        </w:trPr>
        <w:tc>
          <w:tcPr>
            <w:tcW w:w="950" w:type="dxa"/>
          </w:tcPr>
          <w:p>
            <w:pPr>
              <w:pStyle w:val="TableParagraph"/>
              <w:spacing w:before="63"/>
              <w:ind w:right="68"/>
              <w:jc w:val="center"/>
              <w:rPr>
                <w:sz w:val="24"/>
              </w:rPr>
            </w:pPr>
            <w:r>
              <w:rPr>
                <w:sz w:val="24"/>
              </w:rPr>
              <w:t>Plate</w:t>
            </w:r>
            <w:r>
              <w:rPr>
                <w:spacing w:val="-1"/>
                <w:sz w:val="24"/>
              </w:rPr>
              <w:t> </w:t>
            </w:r>
            <w:r>
              <w:rPr>
                <w:spacing w:val="-5"/>
                <w:sz w:val="24"/>
              </w:rPr>
              <w:t>50</w:t>
            </w:r>
          </w:p>
        </w:tc>
        <w:tc>
          <w:tcPr>
            <w:tcW w:w="6678" w:type="dxa"/>
          </w:tcPr>
          <w:p>
            <w:pPr>
              <w:pStyle w:val="TableParagraph"/>
              <w:spacing w:before="63"/>
              <w:ind w:left="119"/>
              <w:rPr>
                <w:sz w:val="24"/>
              </w:rPr>
            </w:pPr>
            <w:r>
              <w:rPr>
                <w:sz w:val="24"/>
              </w:rPr>
              <w:t>Surrendered Militant</w:t>
            </w:r>
            <w:r>
              <w:rPr>
                <w:spacing w:val="-1"/>
                <w:sz w:val="24"/>
              </w:rPr>
              <w:t> </w:t>
            </w:r>
            <w:r>
              <w:rPr>
                <w:sz w:val="24"/>
              </w:rPr>
              <w:t>Weapons</w:t>
            </w:r>
            <w:r>
              <w:rPr>
                <w:spacing w:val="-2"/>
                <w:sz w:val="24"/>
              </w:rPr>
              <w:t> </w:t>
            </w:r>
            <w:r>
              <w:rPr>
                <w:sz w:val="24"/>
              </w:rPr>
              <w:t>Following</w:t>
            </w:r>
            <w:r>
              <w:rPr>
                <w:spacing w:val="-4"/>
                <w:sz w:val="24"/>
              </w:rPr>
              <w:t> </w:t>
            </w:r>
            <w:r>
              <w:rPr>
                <w:sz w:val="24"/>
              </w:rPr>
              <w:t>the</w:t>
            </w:r>
            <w:r>
              <w:rPr>
                <w:spacing w:val="-1"/>
                <w:sz w:val="24"/>
              </w:rPr>
              <w:t> </w:t>
            </w:r>
            <w:r>
              <w:rPr>
                <w:spacing w:val="-2"/>
                <w:sz w:val="24"/>
              </w:rPr>
              <w:t>Amnesty</w:t>
            </w:r>
          </w:p>
        </w:tc>
        <w:tc>
          <w:tcPr>
            <w:tcW w:w="754" w:type="dxa"/>
          </w:tcPr>
          <w:p>
            <w:pPr>
              <w:pStyle w:val="TableParagraph"/>
              <w:rPr>
                <w:sz w:val="24"/>
              </w:rPr>
            </w:pPr>
          </w:p>
        </w:tc>
      </w:tr>
      <w:tr>
        <w:trPr>
          <w:trHeight w:val="414" w:hRule="atLeast"/>
        </w:trPr>
        <w:tc>
          <w:tcPr>
            <w:tcW w:w="950" w:type="dxa"/>
          </w:tcPr>
          <w:p>
            <w:pPr>
              <w:pStyle w:val="TableParagraph"/>
              <w:rPr>
                <w:sz w:val="24"/>
              </w:rPr>
            </w:pPr>
          </w:p>
        </w:tc>
        <w:tc>
          <w:tcPr>
            <w:tcW w:w="6678" w:type="dxa"/>
          </w:tcPr>
          <w:p>
            <w:pPr>
              <w:pStyle w:val="TableParagraph"/>
              <w:spacing w:before="64"/>
              <w:ind w:left="540"/>
              <w:rPr>
                <w:sz w:val="24"/>
              </w:rPr>
            </w:pPr>
            <w:r>
              <w:rPr>
                <w:spacing w:val="-2"/>
                <w:sz w:val="24"/>
              </w:rPr>
              <w:t>Programme</w:t>
            </w:r>
          </w:p>
        </w:tc>
        <w:tc>
          <w:tcPr>
            <w:tcW w:w="754" w:type="dxa"/>
          </w:tcPr>
          <w:p>
            <w:pPr>
              <w:pStyle w:val="TableParagraph"/>
              <w:spacing w:before="64"/>
              <w:ind w:left="343"/>
              <w:rPr>
                <w:sz w:val="24"/>
              </w:rPr>
            </w:pPr>
            <w:r>
              <w:rPr>
                <w:spacing w:val="-5"/>
                <w:sz w:val="24"/>
              </w:rPr>
              <w:t>106</w:t>
            </w:r>
          </w:p>
        </w:tc>
      </w:tr>
      <w:tr>
        <w:trPr>
          <w:trHeight w:val="414" w:hRule="atLeast"/>
        </w:trPr>
        <w:tc>
          <w:tcPr>
            <w:tcW w:w="950" w:type="dxa"/>
          </w:tcPr>
          <w:p>
            <w:pPr>
              <w:pStyle w:val="TableParagraph"/>
              <w:spacing w:before="63"/>
              <w:ind w:right="68"/>
              <w:jc w:val="center"/>
              <w:rPr>
                <w:sz w:val="24"/>
              </w:rPr>
            </w:pPr>
            <w:r>
              <w:rPr>
                <w:sz w:val="24"/>
              </w:rPr>
              <w:t>Plate</w:t>
            </w:r>
            <w:r>
              <w:rPr>
                <w:spacing w:val="-1"/>
                <w:sz w:val="24"/>
              </w:rPr>
              <w:t> </w:t>
            </w:r>
            <w:r>
              <w:rPr>
                <w:spacing w:val="-5"/>
                <w:sz w:val="24"/>
              </w:rPr>
              <w:t>51</w:t>
            </w:r>
          </w:p>
        </w:tc>
        <w:tc>
          <w:tcPr>
            <w:tcW w:w="6678" w:type="dxa"/>
          </w:tcPr>
          <w:p>
            <w:pPr>
              <w:pStyle w:val="TableParagraph"/>
              <w:spacing w:before="63"/>
              <w:ind w:left="179"/>
              <w:rPr>
                <w:sz w:val="24"/>
              </w:rPr>
            </w:pPr>
            <w:r>
              <w:rPr>
                <w:sz w:val="24"/>
              </w:rPr>
              <w:t>Surrendered Militant</w:t>
            </w:r>
            <w:r>
              <w:rPr>
                <w:spacing w:val="-1"/>
                <w:sz w:val="24"/>
              </w:rPr>
              <w:t> </w:t>
            </w:r>
            <w:r>
              <w:rPr>
                <w:sz w:val="24"/>
              </w:rPr>
              <w:t>Weapons</w:t>
            </w:r>
            <w:r>
              <w:rPr>
                <w:spacing w:val="-2"/>
                <w:sz w:val="24"/>
              </w:rPr>
              <w:t> </w:t>
            </w:r>
            <w:r>
              <w:rPr>
                <w:sz w:val="24"/>
              </w:rPr>
              <w:t>Following</w:t>
            </w:r>
            <w:r>
              <w:rPr>
                <w:spacing w:val="-4"/>
                <w:sz w:val="24"/>
              </w:rPr>
              <w:t> </w:t>
            </w:r>
            <w:r>
              <w:rPr>
                <w:sz w:val="24"/>
              </w:rPr>
              <w:t>the</w:t>
            </w:r>
            <w:r>
              <w:rPr>
                <w:spacing w:val="-1"/>
                <w:sz w:val="24"/>
              </w:rPr>
              <w:t> </w:t>
            </w:r>
            <w:r>
              <w:rPr>
                <w:spacing w:val="-2"/>
                <w:sz w:val="24"/>
              </w:rPr>
              <w:t>Amnesty</w:t>
            </w:r>
          </w:p>
        </w:tc>
        <w:tc>
          <w:tcPr>
            <w:tcW w:w="754" w:type="dxa"/>
          </w:tcPr>
          <w:p>
            <w:pPr>
              <w:pStyle w:val="TableParagraph"/>
              <w:rPr>
                <w:sz w:val="24"/>
              </w:rPr>
            </w:pPr>
          </w:p>
        </w:tc>
      </w:tr>
      <w:tr>
        <w:trPr>
          <w:trHeight w:val="390" w:hRule="atLeast"/>
        </w:trPr>
        <w:tc>
          <w:tcPr>
            <w:tcW w:w="950" w:type="dxa"/>
          </w:tcPr>
          <w:p>
            <w:pPr>
              <w:pStyle w:val="TableParagraph"/>
              <w:rPr>
                <w:sz w:val="24"/>
              </w:rPr>
            </w:pPr>
          </w:p>
        </w:tc>
        <w:tc>
          <w:tcPr>
            <w:tcW w:w="6678" w:type="dxa"/>
          </w:tcPr>
          <w:p>
            <w:pPr>
              <w:pStyle w:val="TableParagraph"/>
              <w:spacing w:before="64"/>
              <w:ind w:left="540"/>
              <w:rPr>
                <w:sz w:val="24"/>
              </w:rPr>
            </w:pPr>
            <w:r>
              <w:rPr>
                <w:spacing w:val="-2"/>
                <w:sz w:val="24"/>
              </w:rPr>
              <w:t>Programme</w:t>
            </w:r>
          </w:p>
        </w:tc>
        <w:tc>
          <w:tcPr>
            <w:tcW w:w="754" w:type="dxa"/>
          </w:tcPr>
          <w:p>
            <w:pPr>
              <w:pStyle w:val="TableParagraph"/>
              <w:spacing w:before="64"/>
              <w:ind w:left="343"/>
              <w:rPr>
                <w:sz w:val="24"/>
              </w:rPr>
            </w:pPr>
            <w:r>
              <w:rPr>
                <w:spacing w:val="-5"/>
                <w:sz w:val="24"/>
              </w:rPr>
              <w:t>106</w:t>
            </w:r>
          </w:p>
        </w:tc>
      </w:tr>
    </w:tbl>
    <w:p>
      <w:pPr>
        <w:rPr>
          <w:sz w:val="2"/>
          <w:szCs w:val="2"/>
        </w:rPr>
      </w:pPr>
      <w:r>
        <w:rPr/>
        <mc:AlternateContent>
          <mc:Choice Requires="wps">
            <w:drawing>
              <wp:anchor distT="0" distB="0" distL="0" distR="0" allowOverlap="1" layoutInCell="1" locked="0" behindDoc="1" simplePos="0" relativeHeight="480565248">
                <wp:simplePos x="0" y="0"/>
                <wp:positionH relativeFrom="page">
                  <wp:posOffset>-1537026</wp:posOffset>
                </wp:positionH>
                <wp:positionV relativeFrom="page">
                  <wp:posOffset>4900424</wp:posOffset>
                </wp:positionV>
                <wp:extent cx="10669905" cy="914400"/>
                <wp:effectExtent l="0" t="0" r="0" b="0"/>
                <wp:wrapNone/>
                <wp:docPr id="16" name="Textbox 16"/>
                <wp:cNvGraphicFramePr>
                  <a:graphicFrameLocks/>
                </wp:cNvGraphicFramePr>
                <a:graphic>
                  <a:graphicData uri="http://schemas.microsoft.com/office/word/2010/wordprocessingShape">
                    <wps:wsp>
                      <wps:cNvPr id="16" name="Textbox 16"/>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51232;rotation:306" type="#_x0000_t136" fillcolor="#ff5400" stroked="f">
                <o:extrusion v:ext="view" autorotationcenter="t"/>
                <v:textpath style="font-family:&quot;Arial MT&quot;;font-size:72pt;v-text-kern:t;mso-text-shadow:auto" string="UNIVERSITY OF IBADAN"/>
                <w10:wrap type="none"/>
              </v:shape>
            </w:pict>
          </mc:Fallback>
        </mc:AlternateContent>
      </w:r>
    </w:p>
    <w:p>
      <w:pPr>
        <w:spacing w:after="0"/>
        <w:rPr>
          <w:sz w:val="2"/>
          <w:szCs w:val="2"/>
        </w:rPr>
        <w:sectPr>
          <w:pgSz w:w="11910" w:h="16840"/>
          <w:pgMar w:header="0" w:footer="1492" w:top="1360" w:bottom="1680" w:left="720" w:right="180"/>
        </w:sectPr>
      </w:pPr>
    </w:p>
    <w:p>
      <w:pPr>
        <w:pStyle w:val="Heading1"/>
        <w:spacing w:before="65"/>
        <w:ind w:left="1480" w:right="1300"/>
        <w:jc w:val="center"/>
      </w:pPr>
      <w:r>
        <w:rPr/>
        <mc:AlternateContent>
          <mc:Choice Requires="wps">
            <w:drawing>
              <wp:anchor distT="0" distB="0" distL="0" distR="0" allowOverlap="1" layoutInCell="1" locked="0" behindDoc="1" simplePos="0" relativeHeight="480565760">
                <wp:simplePos x="0" y="0"/>
                <wp:positionH relativeFrom="page">
                  <wp:posOffset>-1537026</wp:posOffset>
                </wp:positionH>
                <wp:positionV relativeFrom="page">
                  <wp:posOffset>4900424</wp:posOffset>
                </wp:positionV>
                <wp:extent cx="10669905" cy="914400"/>
                <wp:effectExtent l="0" t="0" r="0" b="0"/>
                <wp:wrapNone/>
                <wp:docPr id="17" name="Textbox 17"/>
                <wp:cNvGraphicFramePr>
                  <a:graphicFrameLocks/>
                </wp:cNvGraphicFramePr>
                <a:graphic>
                  <a:graphicData uri="http://schemas.microsoft.com/office/word/2010/wordprocessingShape">
                    <wps:wsp>
                      <wps:cNvPr id="17" name="Textbox 17"/>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50720;rotation:306" type="#_x0000_t136" fillcolor="#ff5400" stroked="f">
                <o:extrusion v:ext="view" autorotationcenter="t"/>
                <v:textpath style="font-family:&quot;Arial MT&quot;;font-size:72pt;v-text-kern:t;mso-text-shadow:auto" string="UNIVERSITY OF IBADAN"/>
                <w10:wrap type="none"/>
              </v:shape>
            </w:pict>
          </mc:Fallback>
        </mc:AlternateContent>
      </w:r>
      <w:bookmarkStart w:name="_TOC_250033" w:id="9"/>
      <w:r>
        <w:rPr/>
        <w:t>LIST OF</w:t>
      </w:r>
      <w:r>
        <w:rPr>
          <w:spacing w:val="-3"/>
        </w:rPr>
        <w:t> </w:t>
      </w:r>
      <w:bookmarkEnd w:id="9"/>
      <w:r>
        <w:rPr>
          <w:spacing w:val="-2"/>
        </w:rPr>
        <w:t>ABBREVIATIONS</w:t>
      </w:r>
    </w:p>
    <w:p>
      <w:pPr>
        <w:pStyle w:val="BodyText"/>
        <w:spacing w:before="272"/>
        <w:ind w:left="0"/>
        <w:rPr>
          <w:b/>
        </w:rPr>
      </w:pPr>
    </w:p>
    <w:p>
      <w:pPr>
        <w:pStyle w:val="BodyText"/>
        <w:tabs>
          <w:tab w:pos="2880" w:val="left" w:leader="none"/>
          <w:tab w:pos="3600" w:val="left" w:leader="none"/>
        </w:tabs>
      </w:pPr>
      <w:r>
        <w:rPr>
          <w:spacing w:val="-5"/>
        </w:rPr>
        <w:t>AHQ</w:t>
      </w:r>
      <w:r>
        <w:rPr/>
        <w:tab/>
      </w:r>
      <w:r>
        <w:rPr>
          <w:spacing w:val="-10"/>
        </w:rPr>
        <w:t>-</w:t>
      </w:r>
      <w:r>
        <w:rPr/>
        <w:tab/>
        <w:t>Army</w:t>
      </w:r>
      <w:r>
        <w:rPr>
          <w:spacing w:val="-3"/>
        </w:rPr>
        <w:t> </w:t>
      </w:r>
      <w:r>
        <w:rPr>
          <w:spacing w:val="-2"/>
        </w:rPr>
        <w:t>Headquarters</w:t>
      </w:r>
    </w:p>
    <w:p>
      <w:pPr>
        <w:pStyle w:val="BodyText"/>
        <w:tabs>
          <w:tab w:pos="2880" w:val="left" w:leader="none"/>
          <w:tab w:pos="3600" w:val="left" w:leader="none"/>
        </w:tabs>
        <w:spacing w:before="137"/>
      </w:pPr>
      <w:r>
        <w:rPr>
          <w:spacing w:val="-5"/>
        </w:rPr>
        <w:t>ATG</w:t>
      </w:r>
      <w:r>
        <w:rPr/>
        <w:tab/>
      </w:r>
      <w:r>
        <w:rPr>
          <w:spacing w:val="-10"/>
        </w:rPr>
        <w:t>-</w:t>
      </w:r>
      <w:r>
        <w:rPr/>
        <w:tab/>
        <w:t>Army</w:t>
      </w:r>
      <w:r>
        <w:rPr>
          <w:spacing w:val="-5"/>
        </w:rPr>
        <w:t> </w:t>
      </w:r>
      <w:r>
        <w:rPr/>
        <w:t>Task </w:t>
      </w:r>
      <w:r>
        <w:rPr>
          <w:spacing w:val="-2"/>
        </w:rPr>
        <w:t>Group</w:t>
      </w:r>
    </w:p>
    <w:p>
      <w:pPr>
        <w:pStyle w:val="BodyText"/>
        <w:tabs>
          <w:tab w:pos="2880" w:val="left" w:leader="none"/>
          <w:tab w:pos="3600" w:val="left" w:leader="none"/>
        </w:tabs>
        <w:spacing w:line="360" w:lineRule="auto" w:before="139"/>
        <w:ind w:right="4714"/>
      </w:pPr>
      <w:r>
        <w:rPr>
          <w:spacing w:val="-2"/>
        </w:rPr>
        <w:t>CIMIC</w:t>
      </w:r>
      <w:r>
        <w:rPr/>
        <w:tab/>
      </w:r>
      <w:r>
        <w:rPr>
          <w:spacing w:val="-10"/>
        </w:rPr>
        <w:t>-</w:t>
      </w:r>
      <w:r>
        <w:rPr/>
        <w:tab/>
        <w:t>Civil</w:t>
      </w:r>
      <w:r>
        <w:rPr>
          <w:spacing w:val="-15"/>
        </w:rPr>
        <w:t> </w:t>
      </w:r>
      <w:r>
        <w:rPr/>
        <w:t>–Military</w:t>
      </w:r>
      <w:r>
        <w:rPr>
          <w:spacing w:val="-15"/>
        </w:rPr>
        <w:t> </w:t>
      </w:r>
      <w:r>
        <w:rPr/>
        <w:t>Cooperation </w:t>
      </w:r>
      <w:r>
        <w:rPr>
          <w:spacing w:val="-4"/>
        </w:rPr>
        <w:t>CNL</w:t>
      </w:r>
      <w:r>
        <w:rPr/>
        <w:tab/>
      </w:r>
      <w:r>
        <w:rPr>
          <w:spacing w:val="-10"/>
        </w:rPr>
        <w:t>-</w:t>
      </w:r>
      <w:r>
        <w:rPr/>
        <w:tab/>
        <w:t>Chevron Nigeria Limited</w:t>
      </w:r>
    </w:p>
    <w:p>
      <w:pPr>
        <w:pStyle w:val="BodyText"/>
        <w:tabs>
          <w:tab w:pos="2880" w:val="left" w:leader="none"/>
          <w:tab w:pos="3600" w:val="left" w:leader="none"/>
        </w:tabs>
      </w:pPr>
      <w:r>
        <w:rPr>
          <w:spacing w:val="-5"/>
        </w:rPr>
        <w:t>DHQ</w:t>
      </w:r>
      <w:r>
        <w:rPr/>
        <w:tab/>
      </w:r>
      <w:r>
        <w:rPr>
          <w:spacing w:val="-10"/>
        </w:rPr>
        <w:t>-</w:t>
      </w:r>
      <w:r>
        <w:rPr/>
        <w:tab/>
        <w:t>Defence</w:t>
      </w:r>
      <w:r>
        <w:rPr>
          <w:spacing w:val="-4"/>
        </w:rPr>
        <w:t> </w:t>
      </w:r>
      <w:r>
        <w:rPr>
          <w:spacing w:val="-2"/>
        </w:rPr>
        <w:t>Headquarters</w:t>
      </w:r>
    </w:p>
    <w:p>
      <w:pPr>
        <w:pStyle w:val="BodyText"/>
        <w:tabs>
          <w:tab w:pos="2880" w:val="left" w:leader="none"/>
          <w:tab w:pos="3600" w:val="left" w:leader="none"/>
        </w:tabs>
        <w:spacing w:before="137"/>
      </w:pPr>
      <w:r>
        <w:rPr>
          <w:spacing w:val="-5"/>
        </w:rPr>
        <w:t>DSS</w:t>
      </w:r>
      <w:r>
        <w:rPr/>
        <w:tab/>
      </w:r>
      <w:r>
        <w:rPr>
          <w:spacing w:val="-10"/>
        </w:rPr>
        <w:t>-</w:t>
      </w:r>
      <w:r>
        <w:rPr/>
        <w:tab/>
        <w:t>Department</w:t>
      </w:r>
      <w:r>
        <w:rPr>
          <w:spacing w:val="-2"/>
        </w:rPr>
        <w:t> </w:t>
      </w:r>
      <w:r>
        <w:rPr/>
        <w:t>of</w:t>
      </w:r>
      <w:r>
        <w:rPr>
          <w:spacing w:val="-1"/>
        </w:rPr>
        <w:t> </w:t>
      </w:r>
      <w:r>
        <w:rPr/>
        <w:t>State</w:t>
      </w:r>
      <w:r>
        <w:rPr>
          <w:spacing w:val="-2"/>
        </w:rPr>
        <w:t> services</w:t>
      </w:r>
    </w:p>
    <w:p>
      <w:pPr>
        <w:pStyle w:val="BodyText"/>
        <w:tabs>
          <w:tab w:pos="2880" w:val="left" w:leader="none"/>
          <w:tab w:pos="3600" w:val="left" w:leader="none"/>
        </w:tabs>
        <w:spacing w:before="139"/>
      </w:pPr>
      <w:r>
        <w:rPr>
          <w:spacing w:val="-5"/>
        </w:rPr>
        <w:t>FAC</w:t>
      </w:r>
      <w:r>
        <w:rPr/>
        <w:tab/>
      </w:r>
      <w:r>
        <w:rPr>
          <w:spacing w:val="-10"/>
        </w:rPr>
        <w:t>-</w:t>
      </w:r>
      <w:r>
        <w:rPr/>
        <w:tab/>
        <w:t>Fast</w:t>
      </w:r>
      <w:r>
        <w:rPr>
          <w:spacing w:val="-2"/>
        </w:rPr>
        <w:t> </w:t>
      </w:r>
      <w:r>
        <w:rPr/>
        <w:t>Assault</w:t>
      </w:r>
      <w:r>
        <w:rPr>
          <w:spacing w:val="-2"/>
        </w:rPr>
        <w:t> </w:t>
      </w:r>
      <w:r>
        <w:rPr>
          <w:spacing w:val="-4"/>
        </w:rPr>
        <w:t>Craft</w:t>
      </w:r>
    </w:p>
    <w:p>
      <w:pPr>
        <w:pStyle w:val="BodyText"/>
        <w:tabs>
          <w:tab w:pos="2880" w:val="left" w:leader="none"/>
          <w:tab w:pos="3600" w:val="left" w:leader="none"/>
        </w:tabs>
        <w:spacing w:before="137"/>
      </w:pPr>
      <w:r>
        <w:rPr>
          <w:spacing w:val="-5"/>
        </w:rPr>
        <w:t>GDP</w:t>
      </w:r>
      <w:r>
        <w:rPr/>
        <w:tab/>
      </w:r>
      <w:r>
        <w:rPr>
          <w:spacing w:val="-10"/>
        </w:rPr>
        <w:t>-</w:t>
      </w:r>
      <w:r>
        <w:rPr/>
        <w:tab/>
        <w:t>Gross</w:t>
      </w:r>
      <w:r>
        <w:rPr>
          <w:spacing w:val="-1"/>
        </w:rPr>
        <w:t> </w:t>
      </w:r>
      <w:r>
        <w:rPr/>
        <w:t>Domestic</w:t>
      </w:r>
      <w:r>
        <w:rPr>
          <w:spacing w:val="-2"/>
        </w:rPr>
        <w:t> Product</w:t>
      </w:r>
    </w:p>
    <w:p>
      <w:pPr>
        <w:pStyle w:val="BodyText"/>
        <w:tabs>
          <w:tab w:pos="2880" w:val="left" w:leader="none"/>
          <w:tab w:pos="3600" w:val="left" w:leader="none"/>
        </w:tabs>
        <w:spacing w:before="140"/>
      </w:pPr>
      <w:r>
        <w:rPr>
          <w:spacing w:val="-5"/>
        </w:rPr>
        <w:t>IS</w:t>
      </w:r>
      <w:r>
        <w:rPr/>
        <w:tab/>
      </w:r>
      <w:r>
        <w:rPr>
          <w:spacing w:val="-10"/>
        </w:rPr>
        <w:t>-</w:t>
      </w:r>
      <w:r>
        <w:rPr/>
        <w:tab/>
        <w:t>Internal</w:t>
      </w:r>
      <w:r>
        <w:rPr>
          <w:spacing w:val="-5"/>
        </w:rPr>
        <w:t> </w:t>
      </w:r>
      <w:r>
        <w:rPr>
          <w:spacing w:val="-2"/>
        </w:rPr>
        <w:t>Security</w:t>
      </w:r>
    </w:p>
    <w:p>
      <w:pPr>
        <w:pStyle w:val="BodyText"/>
        <w:tabs>
          <w:tab w:pos="2880" w:val="left" w:leader="none"/>
          <w:tab w:pos="3600" w:val="left" w:leader="none"/>
        </w:tabs>
        <w:spacing w:before="137"/>
      </w:pPr>
      <w:r>
        <w:rPr>
          <w:spacing w:val="-5"/>
        </w:rPr>
        <w:t>JTF</w:t>
      </w:r>
      <w:r>
        <w:rPr/>
        <w:tab/>
      </w:r>
      <w:r>
        <w:rPr>
          <w:spacing w:val="-10"/>
        </w:rPr>
        <w:t>-</w:t>
      </w:r>
      <w:r>
        <w:rPr/>
        <w:tab/>
        <w:t>Joint Task </w:t>
      </w:r>
      <w:r>
        <w:rPr>
          <w:spacing w:val="-4"/>
        </w:rPr>
        <w:t>Force</w:t>
      </w:r>
    </w:p>
    <w:p>
      <w:pPr>
        <w:pStyle w:val="BodyText"/>
        <w:tabs>
          <w:tab w:pos="2865" w:val="left" w:leader="none"/>
          <w:tab w:pos="3600" w:val="left" w:leader="none"/>
        </w:tabs>
        <w:spacing w:line="360" w:lineRule="auto" w:before="139"/>
        <w:ind w:right="2827"/>
      </w:pPr>
      <w:r>
        <w:rPr>
          <w:spacing w:val="-4"/>
        </w:rPr>
        <w:t>MEND</w:t>
      </w:r>
      <w:r>
        <w:rPr/>
        <w:tab/>
      </w:r>
      <w:r>
        <w:rPr>
          <w:spacing w:val="-10"/>
        </w:rPr>
        <w:t>-</w:t>
      </w:r>
      <w:r>
        <w:rPr/>
        <w:tab/>
      </w:r>
      <w:r>
        <w:rPr>
          <w:spacing w:val="-56"/>
        </w:rPr>
        <w:t> </w:t>
      </w:r>
      <w:r>
        <w:rPr/>
        <w:t>Movement</w:t>
      </w:r>
      <w:r>
        <w:rPr>
          <w:spacing w:val="-5"/>
        </w:rPr>
        <w:t> </w:t>
      </w:r>
      <w:r>
        <w:rPr/>
        <w:t>for</w:t>
      </w:r>
      <w:r>
        <w:rPr>
          <w:spacing w:val="-7"/>
        </w:rPr>
        <w:t> </w:t>
      </w:r>
      <w:r>
        <w:rPr/>
        <w:t>the</w:t>
      </w:r>
      <w:r>
        <w:rPr>
          <w:spacing w:val="-6"/>
        </w:rPr>
        <w:t> </w:t>
      </w:r>
      <w:r>
        <w:rPr/>
        <w:t>Emancipation</w:t>
      </w:r>
      <w:r>
        <w:rPr>
          <w:spacing w:val="-6"/>
        </w:rPr>
        <w:t> </w:t>
      </w:r>
      <w:r>
        <w:rPr/>
        <w:t>of</w:t>
      </w:r>
      <w:r>
        <w:rPr>
          <w:spacing w:val="-7"/>
        </w:rPr>
        <w:t> </w:t>
      </w:r>
      <w:r>
        <w:rPr/>
        <w:t>Niger</w:t>
      </w:r>
      <w:r>
        <w:rPr>
          <w:spacing w:val="-6"/>
        </w:rPr>
        <w:t> </w:t>
      </w:r>
      <w:r>
        <w:rPr/>
        <w:t>Delta </w:t>
      </w:r>
      <w:r>
        <w:rPr>
          <w:spacing w:val="-2"/>
        </w:rPr>
        <w:t>MOSOP</w:t>
      </w:r>
      <w:r>
        <w:rPr/>
        <w:tab/>
      </w:r>
      <w:r>
        <w:rPr>
          <w:spacing w:val="-45"/>
        </w:rPr>
        <w:t> </w:t>
      </w:r>
      <w:r>
        <w:rPr/>
        <w:t>-</w:t>
        <w:tab/>
        <w:t>Movement for Survival of Ogoni People</w:t>
      </w:r>
    </w:p>
    <w:p>
      <w:pPr>
        <w:pStyle w:val="BodyText"/>
        <w:tabs>
          <w:tab w:pos="2880" w:val="left" w:leader="none"/>
          <w:tab w:pos="3600" w:val="left" w:leader="none"/>
        </w:tabs>
      </w:pPr>
      <w:r>
        <w:rPr>
          <w:spacing w:val="-5"/>
        </w:rPr>
        <w:t>NA</w:t>
      </w:r>
      <w:r>
        <w:rPr/>
        <w:tab/>
      </w:r>
      <w:r>
        <w:rPr>
          <w:spacing w:val="-10"/>
        </w:rPr>
        <w:t>-</w:t>
      </w:r>
      <w:r>
        <w:rPr/>
        <w:tab/>
        <w:t>Nigerian</w:t>
      </w:r>
      <w:r>
        <w:rPr>
          <w:spacing w:val="-4"/>
        </w:rPr>
        <w:t> Army</w:t>
      </w:r>
    </w:p>
    <w:p>
      <w:pPr>
        <w:pStyle w:val="BodyText"/>
        <w:tabs>
          <w:tab w:pos="2880" w:val="left" w:leader="none"/>
          <w:tab w:pos="3600" w:val="left" w:leader="none"/>
        </w:tabs>
        <w:spacing w:before="137"/>
      </w:pPr>
      <w:r>
        <w:rPr>
          <w:spacing w:val="-5"/>
        </w:rPr>
        <w:t>NAF</w:t>
      </w:r>
      <w:r>
        <w:rPr/>
        <w:tab/>
      </w:r>
      <w:r>
        <w:rPr>
          <w:spacing w:val="-10"/>
        </w:rPr>
        <w:t>-</w:t>
      </w:r>
      <w:r>
        <w:rPr/>
        <w:tab/>
        <w:t>Nigerian</w:t>
      </w:r>
      <w:r>
        <w:rPr>
          <w:spacing w:val="-2"/>
        </w:rPr>
        <w:t> </w:t>
      </w:r>
      <w:r>
        <w:rPr/>
        <w:t>Air</w:t>
      </w:r>
      <w:r>
        <w:rPr>
          <w:spacing w:val="-1"/>
        </w:rPr>
        <w:t> </w:t>
      </w:r>
      <w:r>
        <w:rPr>
          <w:spacing w:val="-4"/>
        </w:rPr>
        <w:t>Force</w:t>
      </w:r>
    </w:p>
    <w:p>
      <w:pPr>
        <w:pStyle w:val="BodyText"/>
        <w:tabs>
          <w:tab w:pos="2880" w:val="left" w:leader="none"/>
          <w:tab w:pos="3600" w:val="left" w:leader="none"/>
        </w:tabs>
        <w:spacing w:line="360" w:lineRule="auto" w:before="139"/>
        <w:ind w:right="3654"/>
      </w:pPr>
      <w:r>
        <w:rPr>
          <w:spacing w:val="-2"/>
        </w:rPr>
        <w:t>NAFTG</w:t>
      </w:r>
      <w:r>
        <w:rPr/>
        <w:tab/>
      </w:r>
      <w:r>
        <w:rPr>
          <w:spacing w:val="-10"/>
        </w:rPr>
        <w:t>-</w:t>
      </w:r>
      <w:r>
        <w:rPr/>
        <w:tab/>
        <w:t>Nigerian Air Force Task Group</w:t>
      </w:r>
      <w:r>
        <w:rPr>
          <w:spacing w:val="80"/>
        </w:rPr>
        <w:t> </w:t>
      </w:r>
      <w:r>
        <w:rPr>
          <w:spacing w:val="-4"/>
        </w:rPr>
        <w:t>NDDC</w:t>
      </w:r>
      <w:r>
        <w:rPr/>
        <w:tab/>
      </w:r>
      <w:r>
        <w:rPr>
          <w:spacing w:val="-10"/>
        </w:rPr>
        <w:t>-</w:t>
      </w:r>
      <w:r>
        <w:rPr/>
        <w:tab/>
        <w:t>Niger</w:t>
      </w:r>
      <w:r>
        <w:rPr>
          <w:spacing w:val="-13"/>
        </w:rPr>
        <w:t> </w:t>
      </w:r>
      <w:r>
        <w:rPr/>
        <w:t>Delta</w:t>
      </w:r>
      <w:r>
        <w:rPr>
          <w:spacing w:val="-13"/>
        </w:rPr>
        <w:t> </w:t>
      </w:r>
      <w:r>
        <w:rPr/>
        <w:t>Development</w:t>
      </w:r>
      <w:r>
        <w:rPr>
          <w:spacing w:val="-13"/>
        </w:rPr>
        <w:t> </w:t>
      </w:r>
      <w:r>
        <w:rPr/>
        <w:t>Commission </w:t>
      </w:r>
      <w:r>
        <w:rPr>
          <w:spacing w:val="-6"/>
        </w:rPr>
        <w:t>NN</w:t>
      </w:r>
      <w:r>
        <w:rPr/>
        <w:tab/>
      </w:r>
      <w:r>
        <w:rPr>
          <w:spacing w:val="-10"/>
        </w:rPr>
        <w:t>-</w:t>
      </w:r>
      <w:r>
        <w:rPr/>
        <w:tab/>
        <w:t>Nigerian Navy</w:t>
      </w:r>
    </w:p>
    <w:p>
      <w:pPr>
        <w:pStyle w:val="BodyText"/>
        <w:tabs>
          <w:tab w:pos="2880" w:val="left" w:leader="none"/>
          <w:tab w:pos="3600" w:val="left" w:leader="none"/>
        </w:tabs>
        <w:spacing w:line="360" w:lineRule="auto"/>
        <w:ind w:right="4788"/>
      </w:pPr>
      <w:r>
        <w:rPr>
          <w:spacing w:val="-4"/>
        </w:rPr>
        <w:t>NNTG</w:t>
      </w:r>
      <w:r>
        <w:rPr/>
        <w:tab/>
      </w:r>
      <w:r>
        <w:rPr>
          <w:spacing w:val="-10"/>
        </w:rPr>
        <w:t>-</w:t>
      </w:r>
      <w:r>
        <w:rPr/>
        <w:tab/>
        <w:t>Nigerian</w:t>
      </w:r>
      <w:r>
        <w:rPr>
          <w:spacing w:val="-12"/>
        </w:rPr>
        <w:t> </w:t>
      </w:r>
      <w:r>
        <w:rPr/>
        <w:t>Navy</w:t>
      </w:r>
      <w:r>
        <w:rPr>
          <w:spacing w:val="-15"/>
        </w:rPr>
        <w:t> </w:t>
      </w:r>
      <w:r>
        <w:rPr/>
        <w:t>Task</w:t>
      </w:r>
      <w:r>
        <w:rPr>
          <w:spacing w:val="-12"/>
        </w:rPr>
        <w:t> </w:t>
      </w:r>
      <w:r>
        <w:rPr/>
        <w:t>Group </w:t>
      </w:r>
      <w:r>
        <w:rPr>
          <w:spacing w:val="-4"/>
        </w:rPr>
        <w:t>NPF</w:t>
      </w:r>
      <w:r>
        <w:rPr/>
        <w:tab/>
      </w:r>
      <w:r>
        <w:rPr>
          <w:spacing w:val="-10"/>
        </w:rPr>
        <w:t>-</w:t>
      </w:r>
      <w:r>
        <w:rPr/>
        <w:tab/>
        <w:t>Nigeria Police Force</w:t>
      </w:r>
      <w:r>
        <w:rPr>
          <w:spacing w:val="40"/>
        </w:rPr>
        <w:t> </w:t>
      </w:r>
      <w:r>
        <w:rPr>
          <w:spacing w:val="-4"/>
        </w:rPr>
        <w:t>NPTG</w:t>
      </w:r>
      <w:r>
        <w:rPr/>
        <w:tab/>
      </w:r>
      <w:r>
        <w:rPr>
          <w:spacing w:val="-10"/>
        </w:rPr>
        <w:t>-</w:t>
      </w:r>
      <w:r>
        <w:rPr/>
        <w:tab/>
        <w:t>Nigeria</w:t>
      </w:r>
      <w:r>
        <w:rPr>
          <w:spacing w:val="-1"/>
        </w:rPr>
        <w:t> </w:t>
      </w:r>
      <w:r>
        <w:rPr/>
        <w:t>Police Task Group</w:t>
      </w:r>
    </w:p>
    <w:p>
      <w:pPr>
        <w:pStyle w:val="BodyText"/>
        <w:tabs>
          <w:tab w:pos="2880" w:val="left" w:leader="none"/>
          <w:tab w:pos="3600" w:val="left" w:leader="none"/>
        </w:tabs>
        <w:spacing w:line="360" w:lineRule="auto"/>
        <w:ind w:right="3112"/>
      </w:pPr>
      <w:r>
        <w:rPr>
          <w:spacing w:val="-4"/>
        </w:rPr>
        <w:t>SPDC</w:t>
      </w:r>
      <w:r>
        <w:rPr/>
        <w:tab/>
      </w:r>
      <w:r>
        <w:rPr>
          <w:spacing w:val="-10"/>
        </w:rPr>
        <w:t>-</w:t>
      </w:r>
      <w:r>
        <w:rPr/>
        <w:tab/>
        <w:t>Shell</w:t>
      </w:r>
      <w:r>
        <w:rPr>
          <w:spacing w:val="-9"/>
        </w:rPr>
        <w:t> </w:t>
      </w:r>
      <w:r>
        <w:rPr/>
        <w:t>Petroleum</w:t>
      </w:r>
      <w:r>
        <w:rPr>
          <w:spacing w:val="-9"/>
        </w:rPr>
        <w:t> </w:t>
      </w:r>
      <w:r>
        <w:rPr/>
        <w:t>and</w:t>
      </w:r>
      <w:r>
        <w:rPr>
          <w:spacing w:val="-9"/>
        </w:rPr>
        <w:t> </w:t>
      </w:r>
      <w:r>
        <w:rPr/>
        <w:t>Development</w:t>
      </w:r>
      <w:r>
        <w:rPr>
          <w:spacing w:val="-9"/>
        </w:rPr>
        <w:t> </w:t>
      </w:r>
      <w:r>
        <w:rPr/>
        <w:t>Company </w:t>
      </w:r>
      <w:r>
        <w:rPr>
          <w:spacing w:val="-4"/>
        </w:rPr>
        <w:t>SSS</w:t>
      </w:r>
      <w:r>
        <w:rPr/>
        <w:tab/>
      </w:r>
      <w:r>
        <w:rPr>
          <w:spacing w:val="-10"/>
        </w:rPr>
        <w:t>-</w:t>
      </w:r>
      <w:r>
        <w:rPr/>
        <w:tab/>
        <w:t>State Security Services</w:t>
      </w:r>
    </w:p>
    <w:p>
      <w:pPr>
        <w:pStyle w:val="BodyText"/>
        <w:tabs>
          <w:tab w:pos="2880" w:val="left" w:leader="none"/>
          <w:tab w:pos="3600" w:val="left" w:leader="none"/>
        </w:tabs>
        <w:spacing w:line="360" w:lineRule="auto" w:before="1"/>
        <w:ind w:right="3970"/>
      </w:pPr>
      <w:r>
        <w:rPr>
          <w:spacing w:val="-2"/>
        </w:rPr>
        <w:t>SSSTG</w:t>
      </w:r>
      <w:r>
        <w:rPr/>
        <w:tab/>
      </w:r>
      <w:r>
        <w:rPr>
          <w:spacing w:val="-10"/>
        </w:rPr>
        <w:t>-</w:t>
      </w:r>
      <w:r>
        <w:rPr/>
        <w:tab/>
        <w:t>State Security Service Task Group </w:t>
      </w:r>
      <w:r>
        <w:rPr>
          <w:spacing w:val="-2"/>
        </w:rPr>
        <w:t>MOOTW</w:t>
      </w:r>
      <w:r>
        <w:rPr/>
        <w:tab/>
      </w:r>
      <w:r>
        <w:rPr>
          <w:spacing w:val="-10"/>
        </w:rPr>
        <w:t>-</w:t>
      </w:r>
      <w:r>
        <w:rPr/>
        <w:tab/>
        <w:t>Military</w:t>
      </w:r>
      <w:r>
        <w:rPr>
          <w:spacing w:val="-14"/>
        </w:rPr>
        <w:t> </w:t>
      </w:r>
      <w:r>
        <w:rPr/>
        <w:t>Operation</w:t>
      </w:r>
      <w:r>
        <w:rPr>
          <w:spacing w:val="-9"/>
        </w:rPr>
        <w:t> </w:t>
      </w:r>
      <w:r>
        <w:rPr/>
        <w:t>Other</w:t>
      </w:r>
      <w:r>
        <w:rPr>
          <w:spacing w:val="-9"/>
        </w:rPr>
        <w:t> </w:t>
      </w:r>
      <w:r>
        <w:rPr/>
        <w:t>Than</w:t>
      </w:r>
      <w:r>
        <w:rPr>
          <w:spacing w:val="-9"/>
        </w:rPr>
        <w:t> </w:t>
      </w:r>
      <w:r>
        <w:rPr/>
        <w:t>War </w:t>
      </w:r>
      <w:r>
        <w:rPr>
          <w:spacing w:val="-4"/>
        </w:rPr>
        <w:t>MOUs</w:t>
      </w:r>
      <w:r>
        <w:rPr/>
        <w:tab/>
      </w:r>
      <w:r>
        <w:rPr>
          <w:spacing w:val="-10"/>
        </w:rPr>
        <w:t>-</w:t>
      </w:r>
      <w:r>
        <w:rPr/>
        <w:tab/>
        <w:t>Memorandum of Understandings</w:t>
      </w:r>
    </w:p>
    <w:p>
      <w:pPr>
        <w:pStyle w:val="BodyText"/>
        <w:tabs>
          <w:tab w:pos="2880" w:val="left" w:leader="none"/>
          <w:tab w:pos="3600" w:val="left" w:leader="none"/>
        </w:tabs>
        <w:spacing w:line="360" w:lineRule="auto"/>
        <w:ind w:right="2080"/>
      </w:pPr>
      <w:r>
        <w:rPr>
          <w:spacing w:val="-2"/>
        </w:rPr>
        <w:t>OMPADEC</w:t>
      </w:r>
      <w:r>
        <w:rPr/>
        <w:tab/>
      </w:r>
      <w:r>
        <w:rPr>
          <w:spacing w:val="-10"/>
        </w:rPr>
        <w:t>-</w:t>
      </w:r>
      <w:r>
        <w:rPr/>
        <w:tab/>
        <w:t>Oil</w:t>
      </w:r>
      <w:r>
        <w:rPr>
          <w:spacing w:val="-8"/>
        </w:rPr>
        <w:t> </w:t>
      </w:r>
      <w:r>
        <w:rPr/>
        <w:t>Mineral</w:t>
      </w:r>
      <w:r>
        <w:rPr>
          <w:spacing w:val="-8"/>
        </w:rPr>
        <w:t> </w:t>
      </w:r>
      <w:r>
        <w:rPr/>
        <w:t>Producing</w:t>
      </w:r>
      <w:r>
        <w:rPr>
          <w:spacing w:val="-8"/>
        </w:rPr>
        <w:t> </w:t>
      </w:r>
      <w:r>
        <w:rPr/>
        <w:t>Area</w:t>
      </w:r>
      <w:r>
        <w:rPr>
          <w:spacing w:val="-8"/>
        </w:rPr>
        <w:t> </w:t>
      </w:r>
      <w:r>
        <w:rPr/>
        <w:t>Development</w:t>
      </w:r>
      <w:r>
        <w:rPr>
          <w:spacing w:val="-8"/>
        </w:rPr>
        <w:t> </w:t>
      </w:r>
      <w:r>
        <w:rPr/>
        <w:t>Commission </w:t>
      </w:r>
      <w:r>
        <w:rPr>
          <w:spacing w:val="-4"/>
        </w:rPr>
        <w:t>ROE</w:t>
      </w:r>
      <w:r>
        <w:rPr/>
        <w:tab/>
      </w:r>
      <w:r>
        <w:rPr>
          <w:spacing w:val="-10"/>
        </w:rPr>
        <w:t>-</w:t>
      </w:r>
      <w:r>
        <w:rPr/>
        <w:tab/>
        <w:t>Rules of Engagement</w:t>
      </w:r>
    </w:p>
    <w:p>
      <w:pPr>
        <w:pStyle w:val="BodyText"/>
        <w:tabs>
          <w:tab w:pos="2880" w:val="left" w:leader="none"/>
          <w:tab w:pos="3600" w:val="left" w:leader="none"/>
        </w:tabs>
        <w:spacing w:line="360" w:lineRule="auto"/>
        <w:ind w:right="4912"/>
      </w:pPr>
      <w:r>
        <w:rPr>
          <w:spacing w:val="-4"/>
        </w:rPr>
        <w:t>POL</w:t>
      </w:r>
      <w:r>
        <w:rPr/>
        <w:tab/>
      </w:r>
      <w:r>
        <w:rPr>
          <w:spacing w:val="-10"/>
        </w:rPr>
        <w:t>-</w:t>
      </w:r>
      <w:r>
        <w:rPr/>
        <w:tab/>
        <w:t>Petroleum Oil Lubricant </w:t>
      </w:r>
      <w:r>
        <w:rPr>
          <w:spacing w:val="-4"/>
        </w:rPr>
        <w:t>PSOs</w:t>
      </w:r>
      <w:r>
        <w:rPr/>
        <w:tab/>
      </w:r>
      <w:r>
        <w:rPr>
          <w:spacing w:val="-10"/>
        </w:rPr>
        <w:t>-</w:t>
      </w:r>
      <w:r>
        <w:rPr/>
        <w:tab/>
        <w:t>Peace</w:t>
      </w:r>
      <w:r>
        <w:rPr>
          <w:spacing w:val="-15"/>
        </w:rPr>
        <w:t> </w:t>
      </w:r>
      <w:r>
        <w:rPr/>
        <w:t>Support</w:t>
      </w:r>
      <w:r>
        <w:rPr>
          <w:spacing w:val="-15"/>
        </w:rPr>
        <w:t> </w:t>
      </w:r>
      <w:r>
        <w:rPr/>
        <w:t>Operations</w:t>
      </w:r>
    </w:p>
    <w:p>
      <w:pPr>
        <w:pStyle w:val="BodyText"/>
        <w:tabs>
          <w:tab w:pos="2880" w:val="left" w:leader="none"/>
          <w:tab w:pos="3600" w:val="left" w:leader="none"/>
        </w:tabs>
      </w:pPr>
      <w:r>
        <w:rPr>
          <w:spacing w:val="-4"/>
        </w:rPr>
        <w:t>SALW</w:t>
      </w:r>
      <w:r>
        <w:rPr/>
        <w:tab/>
      </w:r>
      <w:r>
        <w:rPr>
          <w:spacing w:val="-10"/>
        </w:rPr>
        <w:t>-</w:t>
      </w:r>
      <w:r>
        <w:rPr/>
        <w:tab/>
        <w:t>Small</w:t>
      </w:r>
      <w:r>
        <w:rPr>
          <w:spacing w:val="-2"/>
        </w:rPr>
        <w:t> </w:t>
      </w:r>
      <w:r>
        <w:rPr/>
        <w:t>Arms</w:t>
      </w:r>
      <w:r>
        <w:rPr>
          <w:spacing w:val="-2"/>
        </w:rPr>
        <w:t> </w:t>
      </w:r>
      <w:r>
        <w:rPr/>
        <w:t>and</w:t>
      </w:r>
      <w:r>
        <w:rPr>
          <w:spacing w:val="-1"/>
        </w:rPr>
        <w:t> </w:t>
      </w:r>
      <w:r>
        <w:rPr/>
        <w:t>Light</w:t>
      </w:r>
      <w:r>
        <w:rPr>
          <w:spacing w:val="-2"/>
        </w:rPr>
        <w:t> Weapon</w:t>
      </w:r>
    </w:p>
    <w:p>
      <w:pPr>
        <w:pStyle w:val="BodyText"/>
        <w:tabs>
          <w:tab w:pos="2880" w:val="left" w:leader="none"/>
          <w:tab w:pos="3600" w:val="left" w:leader="none"/>
        </w:tabs>
        <w:spacing w:before="138"/>
      </w:pPr>
      <w:r>
        <w:rPr>
          <w:spacing w:val="-5"/>
        </w:rPr>
        <w:t>TOE</w:t>
      </w:r>
      <w:r>
        <w:rPr/>
        <w:tab/>
      </w:r>
      <w:r>
        <w:rPr>
          <w:spacing w:val="-10"/>
        </w:rPr>
        <w:t>-</w:t>
      </w:r>
      <w:r>
        <w:rPr/>
        <w:tab/>
        <w:t>Table</w:t>
      </w:r>
      <w:r>
        <w:rPr>
          <w:spacing w:val="-3"/>
        </w:rPr>
        <w:t> </w:t>
      </w:r>
      <w:r>
        <w:rPr/>
        <w:t>of</w:t>
      </w:r>
      <w:r>
        <w:rPr>
          <w:spacing w:val="-2"/>
        </w:rPr>
        <w:t> </w:t>
      </w:r>
      <w:r>
        <w:rPr/>
        <w:t>Organisation</w:t>
      </w:r>
      <w:r>
        <w:rPr>
          <w:spacing w:val="-1"/>
        </w:rPr>
        <w:t> </w:t>
      </w:r>
      <w:r>
        <w:rPr/>
        <w:t>and </w:t>
      </w:r>
      <w:r>
        <w:rPr>
          <w:spacing w:val="-2"/>
        </w:rPr>
        <w:t>Equipment</w:t>
      </w:r>
    </w:p>
    <w:p>
      <w:pPr>
        <w:spacing w:after="0"/>
        <w:sectPr>
          <w:pgSz w:w="11910" w:h="16840"/>
          <w:pgMar w:header="0" w:footer="1492" w:top="1360" w:bottom="1680" w:left="720" w:right="180"/>
        </w:sectPr>
      </w:pPr>
    </w:p>
    <w:p>
      <w:pPr>
        <w:pStyle w:val="BodyText"/>
        <w:tabs>
          <w:tab w:pos="2880" w:val="left" w:leader="none"/>
          <w:tab w:pos="3600" w:val="left" w:leader="none"/>
        </w:tabs>
        <w:spacing w:before="60"/>
      </w:pPr>
      <w:r>
        <w:rPr/>
        <mc:AlternateContent>
          <mc:Choice Requires="wps">
            <w:drawing>
              <wp:anchor distT="0" distB="0" distL="0" distR="0" allowOverlap="1" layoutInCell="1" locked="0" behindDoc="1" simplePos="0" relativeHeight="480566272">
                <wp:simplePos x="0" y="0"/>
                <wp:positionH relativeFrom="page">
                  <wp:posOffset>-1537026</wp:posOffset>
                </wp:positionH>
                <wp:positionV relativeFrom="page">
                  <wp:posOffset>4900424</wp:posOffset>
                </wp:positionV>
                <wp:extent cx="10669905" cy="914400"/>
                <wp:effectExtent l="0" t="0" r="0" b="0"/>
                <wp:wrapNone/>
                <wp:docPr id="18" name="Textbox 18"/>
                <wp:cNvGraphicFramePr>
                  <a:graphicFrameLocks/>
                </wp:cNvGraphicFramePr>
                <a:graphic>
                  <a:graphicData uri="http://schemas.microsoft.com/office/word/2010/wordprocessingShape">
                    <wps:wsp>
                      <wps:cNvPr id="18" name="Textbox 18"/>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50208;rotation:306" type="#_x0000_t136" fillcolor="#ff5400" stroked="f">
                <o:extrusion v:ext="view" autorotationcenter="t"/>
                <v:textpath style="font-family:&quot;Arial MT&quot;;font-size:72pt;v-text-kern:t;mso-text-shadow:auto" string="UNIVERSITY OF IBADAN"/>
                <w10:wrap type="none"/>
              </v:shape>
            </w:pict>
          </mc:Fallback>
        </mc:AlternateContent>
      </w:r>
      <w:r>
        <w:rPr>
          <w:spacing w:val="-5"/>
        </w:rPr>
        <w:t>VPs</w:t>
      </w:r>
      <w:r>
        <w:rPr/>
        <w:tab/>
      </w:r>
      <w:r>
        <w:rPr>
          <w:spacing w:val="-10"/>
        </w:rPr>
        <w:t>-</w:t>
      </w:r>
      <w:r>
        <w:rPr/>
        <w:tab/>
        <w:t>Vulnerable</w:t>
      </w:r>
      <w:r>
        <w:rPr>
          <w:spacing w:val="-3"/>
        </w:rPr>
        <w:t> </w:t>
      </w:r>
      <w:r>
        <w:rPr>
          <w:spacing w:val="-2"/>
        </w:rPr>
        <w:t>Points</w:t>
      </w:r>
    </w:p>
    <w:p>
      <w:pPr>
        <w:pStyle w:val="BodyText"/>
        <w:tabs>
          <w:tab w:pos="2880" w:val="left" w:leader="none"/>
          <w:tab w:pos="3600" w:val="left" w:leader="none"/>
        </w:tabs>
        <w:spacing w:before="138"/>
      </w:pPr>
      <w:r>
        <w:rPr>
          <w:spacing w:val="-5"/>
        </w:rPr>
        <w:t>KPs</w:t>
      </w:r>
      <w:r>
        <w:rPr/>
        <w:tab/>
      </w:r>
      <w:r>
        <w:rPr>
          <w:spacing w:val="-10"/>
        </w:rPr>
        <w:t>-</w:t>
      </w:r>
      <w:r>
        <w:rPr/>
        <w:tab/>
        <w:t>Key</w:t>
      </w:r>
      <w:r>
        <w:rPr>
          <w:spacing w:val="-2"/>
        </w:rPr>
        <w:t> points</w:t>
      </w:r>
    </w:p>
    <w:p>
      <w:pPr>
        <w:pStyle w:val="BodyText"/>
        <w:tabs>
          <w:tab w:pos="2880" w:val="left" w:leader="none"/>
          <w:tab w:pos="3600" w:val="left" w:leader="none"/>
        </w:tabs>
        <w:spacing w:line="360" w:lineRule="auto" w:before="139"/>
        <w:ind w:right="4027"/>
      </w:pPr>
      <w:r>
        <w:rPr>
          <w:spacing w:val="-4"/>
        </w:rPr>
        <w:t>NGOs</w:t>
      </w:r>
      <w:r>
        <w:rPr/>
        <w:tab/>
      </w:r>
      <w:r>
        <w:rPr>
          <w:spacing w:val="-10"/>
        </w:rPr>
        <w:t>-</w:t>
      </w:r>
      <w:r>
        <w:rPr/>
        <w:tab/>
        <w:t>Non</w:t>
      </w:r>
      <w:r>
        <w:rPr>
          <w:spacing w:val="-13"/>
        </w:rPr>
        <w:t> </w:t>
      </w:r>
      <w:r>
        <w:rPr/>
        <w:t>-</w:t>
      </w:r>
      <w:r>
        <w:rPr>
          <w:spacing w:val="-13"/>
        </w:rPr>
        <w:t> </w:t>
      </w:r>
      <w:r>
        <w:rPr/>
        <w:t>Governmental</w:t>
      </w:r>
      <w:r>
        <w:rPr>
          <w:spacing w:val="-12"/>
        </w:rPr>
        <w:t> </w:t>
      </w:r>
      <w:r>
        <w:rPr/>
        <w:t>Organisations </w:t>
      </w:r>
      <w:r>
        <w:rPr>
          <w:spacing w:val="-4"/>
        </w:rPr>
        <w:t>IYC</w:t>
      </w:r>
      <w:r>
        <w:rPr/>
        <w:tab/>
      </w:r>
      <w:r>
        <w:rPr>
          <w:spacing w:val="-10"/>
        </w:rPr>
        <w:t>-</w:t>
      </w:r>
      <w:r>
        <w:rPr/>
        <w:tab/>
        <w:t>Ijaw Youths Council</w:t>
      </w:r>
    </w:p>
    <w:p>
      <w:pPr>
        <w:pStyle w:val="BodyText"/>
        <w:tabs>
          <w:tab w:pos="2880" w:val="left" w:leader="none"/>
          <w:tab w:pos="3600" w:val="left" w:leader="none"/>
        </w:tabs>
      </w:pPr>
      <w:r>
        <w:rPr>
          <w:spacing w:val="-5"/>
        </w:rPr>
        <w:t>GSM</w:t>
      </w:r>
      <w:r>
        <w:rPr/>
        <w:tab/>
      </w:r>
      <w:r>
        <w:rPr>
          <w:spacing w:val="-10"/>
        </w:rPr>
        <w:t>-</w:t>
      </w:r>
      <w:r>
        <w:rPr/>
        <w:tab/>
        <w:t>Global</w:t>
      </w:r>
      <w:r>
        <w:rPr>
          <w:spacing w:val="-3"/>
        </w:rPr>
        <w:t> </w:t>
      </w:r>
      <w:r>
        <w:rPr/>
        <w:t>Satellite Mobile</w:t>
      </w:r>
      <w:r>
        <w:rPr>
          <w:spacing w:val="-1"/>
        </w:rPr>
        <w:t> </w:t>
      </w:r>
      <w:r>
        <w:rPr>
          <w:spacing w:val="-4"/>
        </w:rPr>
        <w:t>Phone</w:t>
      </w:r>
    </w:p>
    <w:p>
      <w:pPr>
        <w:pStyle w:val="BodyText"/>
        <w:tabs>
          <w:tab w:pos="2880" w:val="left" w:leader="none"/>
          <w:tab w:pos="3600" w:val="left" w:leader="none"/>
        </w:tabs>
        <w:spacing w:line="360" w:lineRule="auto" w:before="137"/>
        <w:ind w:right="3451"/>
      </w:pPr>
      <w:r>
        <w:rPr>
          <w:spacing w:val="-4"/>
        </w:rPr>
        <w:t>EFCC</w:t>
      </w:r>
      <w:r>
        <w:rPr/>
        <w:tab/>
      </w:r>
      <w:r>
        <w:rPr>
          <w:spacing w:val="-10"/>
        </w:rPr>
        <w:t>-</w:t>
      </w:r>
      <w:r>
        <w:rPr/>
        <w:tab/>
        <w:t>Economic</w:t>
      </w:r>
      <w:r>
        <w:rPr>
          <w:spacing w:val="-12"/>
        </w:rPr>
        <w:t> </w:t>
      </w:r>
      <w:r>
        <w:rPr/>
        <w:t>Financial</w:t>
      </w:r>
      <w:r>
        <w:rPr>
          <w:spacing w:val="-12"/>
        </w:rPr>
        <w:t> </w:t>
      </w:r>
      <w:r>
        <w:rPr/>
        <w:t>Crimes</w:t>
      </w:r>
      <w:r>
        <w:rPr>
          <w:spacing w:val="-12"/>
        </w:rPr>
        <w:t> </w:t>
      </w:r>
      <w:r>
        <w:rPr/>
        <w:t>Commission </w:t>
      </w:r>
      <w:r>
        <w:rPr>
          <w:spacing w:val="-4"/>
        </w:rPr>
        <w:t>EEZ</w:t>
      </w:r>
      <w:r>
        <w:rPr/>
        <w:tab/>
      </w:r>
      <w:r>
        <w:rPr>
          <w:spacing w:val="-10"/>
        </w:rPr>
        <w:t>-</w:t>
      </w:r>
      <w:r>
        <w:rPr/>
        <w:tab/>
        <w:t>Exclusive Economic Zone</w:t>
      </w:r>
    </w:p>
    <w:p>
      <w:pPr>
        <w:pStyle w:val="BodyText"/>
        <w:tabs>
          <w:tab w:pos="2880" w:val="left" w:leader="none"/>
          <w:tab w:pos="3600" w:val="left" w:leader="none"/>
        </w:tabs>
        <w:spacing w:line="360" w:lineRule="auto"/>
        <w:ind w:right="2709"/>
      </w:pPr>
      <w:r>
        <w:rPr>
          <w:spacing w:val="-4"/>
        </w:rPr>
        <w:t>DDR</w:t>
      </w:r>
      <w:r>
        <w:rPr/>
        <w:tab/>
      </w:r>
      <w:r>
        <w:rPr>
          <w:spacing w:val="-10"/>
        </w:rPr>
        <w:t>-</w:t>
      </w:r>
      <w:r>
        <w:rPr/>
        <w:tab/>
        <w:t>Disarmament</w:t>
      </w:r>
      <w:r>
        <w:rPr>
          <w:spacing w:val="-13"/>
        </w:rPr>
        <w:t> </w:t>
      </w:r>
      <w:r>
        <w:rPr/>
        <w:t>Demobilisation</w:t>
      </w:r>
      <w:r>
        <w:rPr>
          <w:spacing w:val="-13"/>
        </w:rPr>
        <w:t> </w:t>
      </w:r>
      <w:r>
        <w:rPr/>
        <w:t>and</w:t>
      </w:r>
      <w:r>
        <w:rPr>
          <w:spacing w:val="-13"/>
        </w:rPr>
        <w:t> </w:t>
      </w:r>
      <w:r>
        <w:rPr/>
        <w:t>Re-Integration </w:t>
      </w:r>
      <w:r>
        <w:rPr>
          <w:spacing w:val="-4"/>
        </w:rPr>
        <w:t>CSOs</w:t>
      </w:r>
      <w:r>
        <w:rPr/>
        <w:tab/>
      </w:r>
      <w:r>
        <w:rPr>
          <w:spacing w:val="-10"/>
        </w:rPr>
        <w:t>-</w:t>
      </w:r>
      <w:r>
        <w:rPr/>
        <w:tab/>
        <w:t>Civil Society Organisations</w:t>
      </w:r>
    </w:p>
    <w:p>
      <w:pPr>
        <w:pStyle w:val="BodyText"/>
        <w:tabs>
          <w:tab w:pos="2880" w:val="left" w:leader="none"/>
          <w:tab w:pos="3600" w:val="left" w:leader="none"/>
        </w:tabs>
      </w:pPr>
      <w:r>
        <w:rPr>
          <w:spacing w:val="-5"/>
        </w:rPr>
        <w:t>AOR</w:t>
      </w:r>
      <w:r>
        <w:rPr/>
        <w:tab/>
      </w:r>
      <w:r>
        <w:rPr>
          <w:spacing w:val="-10"/>
        </w:rPr>
        <w:t>-</w:t>
      </w:r>
      <w:r>
        <w:rPr/>
        <w:tab/>
        <w:t>Area</w:t>
      </w:r>
      <w:r>
        <w:rPr>
          <w:spacing w:val="-2"/>
        </w:rPr>
        <w:t> </w:t>
      </w:r>
      <w:r>
        <w:rPr/>
        <w:t>of </w:t>
      </w:r>
      <w:r>
        <w:rPr>
          <w:spacing w:val="-2"/>
        </w:rPr>
        <w:t>Responsibility</w:t>
      </w:r>
    </w:p>
    <w:p>
      <w:pPr>
        <w:spacing w:after="0"/>
        <w:sectPr>
          <w:pgSz w:w="11910" w:h="16840"/>
          <w:pgMar w:header="0" w:footer="1492" w:top="1360" w:bottom="1680" w:left="720" w:right="180"/>
        </w:sectPr>
      </w:pPr>
    </w:p>
    <w:p>
      <w:pPr>
        <w:pStyle w:val="Heading1"/>
        <w:spacing w:before="65"/>
        <w:ind w:left="1480" w:right="1301"/>
        <w:jc w:val="center"/>
      </w:pPr>
      <w:r>
        <w:rPr/>
        <mc:AlternateContent>
          <mc:Choice Requires="wps">
            <w:drawing>
              <wp:anchor distT="0" distB="0" distL="0" distR="0" allowOverlap="1" layoutInCell="1" locked="0" behindDoc="1" simplePos="0" relativeHeight="480566784">
                <wp:simplePos x="0" y="0"/>
                <wp:positionH relativeFrom="page">
                  <wp:posOffset>-1537026</wp:posOffset>
                </wp:positionH>
                <wp:positionV relativeFrom="page">
                  <wp:posOffset>4900424</wp:posOffset>
                </wp:positionV>
                <wp:extent cx="10669905" cy="914400"/>
                <wp:effectExtent l="0" t="0" r="0" b="0"/>
                <wp:wrapNone/>
                <wp:docPr id="19" name="Textbox 19"/>
                <wp:cNvGraphicFramePr>
                  <a:graphicFrameLocks/>
                </wp:cNvGraphicFramePr>
                <a:graphic>
                  <a:graphicData uri="http://schemas.microsoft.com/office/word/2010/wordprocessingShape">
                    <wps:wsp>
                      <wps:cNvPr id="19" name="Textbox 19"/>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49696;rotation:306" type="#_x0000_t136" fillcolor="#ff5400" stroked="f">
                <o:extrusion v:ext="view" autorotationcenter="t"/>
                <v:textpath style="font-family:&quot;Arial MT&quot;;font-size:72pt;v-text-kern:t;mso-text-shadow:auto" string="UNIVERSITY OF IBADAN"/>
                <w10:wrap type="none"/>
              </v:shape>
            </w:pict>
          </mc:Fallback>
        </mc:AlternateContent>
      </w:r>
      <w:bookmarkStart w:name="_TOC_250032" w:id="10"/>
      <w:bookmarkEnd w:id="10"/>
      <w:r>
        <w:rPr>
          <w:spacing w:val="-2"/>
        </w:rPr>
        <w:t>ABSTRACT</w:t>
      </w:r>
    </w:p>
    <w:p>
      <w:pPr>
        <w:pStyle w:val="BodyText"/>
        <w:spacing w:line="276" w:lineRule="auto" w:before="238"/>
        <w:ind w:right="1258" w:firstLine="720"/>
        <w:jc w:val="both"/>
      </w:pPr>
      <w:r>
        <w:rPr/>
        <w:t>Existing studies on the Niger Delta crisis focus largely on causes of the problem, the insurgency tactics of the militants, and some non-violent response mechanisms of the Nigerian state. These studies have neglected the use of military force to terminate the conflict. This study tries to bridge this gap by examining an aspect of counter-insurgency in the region by the Federal Government. The study is particularly focused on the preparedness, deployment, capabilities and impact of the operations of the Joint Military Task Force (JTF) in the region since 2003.</w:t>
      </w:r>
    </w:p>
    <w:p>
      <w:pPr>
        <w:pStyle w:val="BodyText"/>
        <w:spacing w:line="276" w:lineRule="auto" w:before="200"/>
        <w:ind w:right="1259" w:firstLine="720"/>
        <w:jc w:val="both"/>
      </w:pPr>
      <w:r>
        <w:rPr/>
        <w:t>Data</w:t>
      </w:r>
      <w:r>
        <w:rPr>
          <w:spacing w:val="-1"/>
        </w:rPr>
        <w:t> </w:t>
      </w:r>
      <w:r>
        <w:rPr/>
        <w:t>were collected</w:t>
      </w:r>
      <w:r>
        <w:rPr>
          <w:spacing w:val="-1"/>
        </w:rPr>
        <w:t> </w:t>
      </w:r>
      <w:r>
        <w:rPr/>
        <w:t>from primary</w:t>
      </w:r>
      <w:r>
        <w:rPr>
          <w:spacing w:val="-5"/>
        </w:rPr>
        <w:t> </w:t>
      </w:r>
      <w:r>
        <w:rPr/>
        <w:t>and secondary</w:t>
      </w:r>
      <w:r>
        <w:rPr>
          <w:spacing w:val="-5"/>
        </w:rPr>
        <w:t> </w:t>
      </w:r>
      <w:r>
        <w:rPr/>
        <w:t>sources. The</w:t>
      </w:r>
      <w:r>
        <w:rPr>
          <w:spacing w:val="-1"/>
        </w:rPr>
        <w:t> </w:t>
      </w:r>
      <w:r>
        <w:rPr/>
        <w:t>primary</w:t>
      </w:r>
      <w:r>
        <w:rPr>
          <w:spacing w:val="-5"/>
        </w:rPr>
        <w:t> </w:t>
      </w:r>
      <w:r>
        <w:rPr/>
        <w:t>sources involved in-depth interviews with seven military</w:t>
      </w:r>
      <w:r>
        <w:rPr>
          <w:spacing w:val="-1"/>
        </w:rPr>
        <w:t> </w:t>
      </w:r>
      <w:r>
        <w:rPr/>
        <w:t>Generals and thirteen Colonels all of which were directly involved in the Niger Delta operation. In-depth interviews were also held with ten security agencies (the police and SSS most especially) as well as eight security officials of oil companies; fifteen community and youth leaders, and four civil society organizations (CSOs). The secondary sources were magazine and newspaper reports, journals, books and internet reports and publications of oil companies. The analytical method used was content analysis.</w:t>
      </w:r>
    </w:p>
    <w:p>
      <w:pPr>
        <w:pStyle w:val="BodyText"/>
        <w:spacing w:line="276" w:lineRule="auto" w:before="200"/>
        <w:ind w:right="1258" w:firstLine="720"/>
        <w:jc w:val="both"/>
      </w:pPr>
      <w:r>
        <w:rPr/>
        <w:t>The mandate of JTF was found to be in tandem with the expectations of a Military</w:t>
      </w:r>
      <w:r>
        <w:rPr>
          <w:spacing w:val="-7"/>
        </w:rPr>
        <w:t> </w:t>
      </w:r>
      <w:r>
        <w:rPr/>
        <w:t>Operations</w:t>
      </w:r>
      <w:r>
        <w:rPr>
          <w:spacing w:val="-3"/>
        </w:rPr>
        <w:t> </w:t>
      </w:r>
      <w:r>
        <w:rPr/>
        <w:t>Other</w:t>
      </w:r>
      <w:r>
        <w:rPr>
          <w:spacing w:val="-3"/>
        </w:rPr>
        <w:t> </w:t>
      </w:r>
      <w:r>
        <w:rPr/>
        <w:t>Than</w:t>
      </w:r>
      <w:r>
        <w:rPr>
          <w:spacing w:val="-3"/>
        </w:rPr>
        <w:t> </w:t>
      </w:r>
      <w:r>
        <w:rPr/>
        <w:t>War</w:t>
      </w:r>
      <w:r>
        <w:rPr>
          <w:spacing w:val="-2"/>
        </w:rPr>
        <w:t> </w:t>
      </w:r>
      <w:r>
        <w:rPr/>
        <w:t>(MOOTW).</w:t>
      </w:r>
      <w:r>
        <w:rPr>
          <w:spacing w:val="-2"/>
        </w:rPr>
        <w:t> </w:t>
      </w:r>
      <w:r>
        <w:rPr/>
        <w:t>It</w:t>
      </w:r>
      <w:r>
        <w:rPr>
          <w:spacing w:val="-3"/>
        </w:rPr>
        <w:t> </w:t>
      </w:r>
      <w:r>
        <w:rPr/>
        <w:t>was</w:t>
      </w:r>
      <w:r>
        <w:rPr>
          <w:spacing w:val="-3"/>
        </w:rPr>
        <w:t> </w:t>
      </w:r>
      <w:r>
        <w:rPr/>
        <w:t>expected</w:t>
      </w:r>
      <w:r>
        <w:rPr>
          <w:spacing w:val="-3"/>
        </w:rPr>
        <w:t> </w:t>
      </w:r>
      <w:r>
        <w:rPr/>
        <w:t>to</w:t>
      </w:r>
      <w:r>
        <w:rPr>
          <w:spacing w:val="-3"/>
        </w:rPr>
        <w:t> </w:t>
      </w:r>
      <w:r>
        <w:rPr/>
        <w:t>use</w:t>
      </w:r>
      <w:r>
        <w:rPr>
          <w:spacing w:val="-4"/>
        </w:rPr>
        <w:t> </w:t>
      </w:r>
      <w:r>
        <w:rPr/>
        <w:t>force</w:t>
      </w:r>
      <w:r>
        <w:rPr>
          <w:spacing w:val="-4"/>
        </w:rPr>
        <w:t> </w:t>
      </w:r>
      <w:r>
        <w:rPr/>
        <w:t>to</w:t>
      </w:r>
      <w:r>
        <w:rPr>
          <w:spacing w:val="-3"/>
        </w:rPr>
        <w:t> </w:t>
      </w:r>
      <w:r>
        <w:rPr/>
        <w:t>make the Niger Delta region safe for oil exploitation. The operation was a strategy through which the government tried to evade responding proactively to the demands of the Niger Delta people. The mission has two flanks: Operation RESTORE HOPE which started in 2003 and Operation FLUSHOUT III which commenced in 2004 in Warri and Port Harcourt respectively. The two operations were merged into one in 2009.</w:t>
      </w:r>
      <w:r>
        <w:rPr>
          <w:spacing w:val="40"/>
        </w:rPr>
        <w:t> </w:t>
      </w:r>
      <w:r>
        <w:rPr/>
        <w:t>JTF was not specially trained for the riverine operations it carried out and was not adequately equipped and maintained to engage in asymmetrical warfare, curb militancy and Small Arms and Light Weapons (SALW) proliferation. The study further reveals lack of interagency collaboration amongst the security agencies, CSOs and community</w:t>
      </w:r>
      <w:r>
        <w:rPr>
          <w:spacing w:val="-4"/>
        </w:rPr>
        <w:t> </w:t>
      </w:r>
      <w:r>
        <w:rPr/>
        <w:t>leaders. Hence, it was difficult for JTF to achieve its goals. Instead, it caused collateral damages to communities and is perceived to have created “new” Niger Delta problem. Collusion of the community members and the militant youths led to the death of several JTF operatives.</w:t>
      </w:r>
    </w:p>
    <w:p>
      <w:pPr>
        <w:pStyle w:val="BodyText"/>
        <w:spacing w:line="276" w:lineRule="auto" w:before="201"/>
        <w:ind w:right="1258" w:firstLine="720"/>
        <w:jc w:val="both"/>
      </w:pPr>
      <w:r>
        <w:rPr/>
        <w:t>The JTF has failed to arrest the insecurity problems in the region. The study recommends that the government should review the rules of engagement of the JTF with a view to making it to truly support a genuine disarmament, demobilization and reintegration</w:t>
      </w:r>
      <w:r>
        <w:rPr>
          <w:spacing w:val="-3"/>
        </w:rPr>
        <w:t> </w:t>
      </w:r>
      <w:r>
        <w:rPr/>
        <w:t>(DDR)</w:t>
      </w:r>
      <w:r>
        <w:rPr>
          <w:spacing w:val="-3"/>
        </w:rPr>
        <w:t> </w:t>
      </w:r>
      <w:r>
        <w:rPr/>
        <w:t>of</w:t>
      </w:r>
      <w:r>
        <w:rPr>
          <w:spacing w:val="-1"/>
        </w:rPr>
        <w:t> </w:t>
      </w:r>
      <w:r>
        <w:rPr/>
        <w:t>militants.</w:t>
      </w:r>
      <w:r>
        <w:rPr>
          <w:spacing w:val="-3"/>
        </w:rPr>
        <w:t> </w:t>
      </w:r>
      <w:r>
        <w:rPr/>
        <w:t>Community</w:t>
      </w:r>
      <w:r>
        <w:rPr>
          <w:spacing w:val="-11"/>
        </w:rPr>
        <w:t> </w:t>
      </w:r>
      <w:r>
        <w:rPr/>
        <w:t>members</w:t>
      </w:r>
      <w:r>
        <w:rPr>
          <w:spacing w:val="-3"/>
        </w:rPr>
        <w:t> </w:t>
      </w:r>
      <w:r>
        <w:rPr/>
        <w:t>and</w:t>
      </w:r>
      <w:r>
        <w:rPr>
          <w:spacing w:val="-2"/>
        </w:rPr>
        <w:t> </w:t>
      </w:r>
      <w:r>
        <w:rPr/>
        <w:t>civil</w:t>
      </w:r>
      <w:r>
        <w:rPr>
          <w:spacing w:val="-3"/>
        </w:rPr>
        <w:t> </w:t>
      </w:r>
      <w:r>
        <w:rPr/>
        <w:t>society</w:t>
      </w:r>
      <w:r>
        <w:rPr>
          <w:spacing w:val="-6"/>
        </w:rPr>
        <w:t> </w:t>
      </w:r>
      <w:r>
        <w:rPr/>
        <w:t>organizations should be involved in these reconstruction efforts of the Nigerian state as they are closer to the militant youths than the government.</w:t>
      </w:r>
    </w:p>
    <w:p>
      <w:pPr>
        <w:pStyle w:val="BodyText"/>
        <w:spacing w:line="237" w:lineRule="auto" w:before="201"/>
        <w:ind w:left="2640" w:right="1260" w:hanging="1109"/>
      </w:pPr>
      <w:r>
        <w:rPr>
          <w:b/>
        </w:rPr>
        <w:t>Key</w:t>
      </w:r>
      <w:r>
        <w:rPr>
          <w:b/>
          <w:spacing w:val="-5"/>
        </w:rPr>
        <w:t> </w:t>
      </w:r>
      <w:r>
        <w:rPr>
          <w:b/>
        </w:rPr>
        <w:t>words</w:t>
      </w:r>
      <w:r>
        <w:rPr/>
        <w:t>:</w:t>
      </w:r>
      <w:r>
        <w:rPr>
          <w:spacing w:val="-5"/>
        </w:rPr>
        <w:t> </w:t>
      </w:r>
      <w:r>
        <w:rPr/>
        <w:t>Military</w:t>
      </w:r>
      <w:r>
        <w:rPr>
          <w:spacing w:val="-9"/>
        </w:rPr>
        <w:t> </w:t>
      </w:r>
      <w:r>
        <w:rPr/>
        <w:t>Task</w:t>
      </w:r>
      <w:r>
        <w:rPr>
          <w:spacing w:val="-5"/>
        </w:rPr>
        <w:t> </w:t>
      </w:r>
      <w:r>
        <w:rPr/>
        <w:t>Force,</w:t>
      </w:r>
      <w:r>
        <w:rPr>
          <w:spacing w:val="-5"/>
        </w:rPr>
        <w:t> </w:t>
      </w:r>
      <w:r>
        <w:rPr/>
        <w:t>Niger</w:t>
      </w:r>
      <w:r>
        <w:rPr>
          <w:spacing w:val="-4"/>
        </w:rPr>
        <w:t> </w:t>
      </w:r>
      <w:r>
        <w:rPr/>
        <w:t>Delta,</w:t>
      </w:r>
      <w:r>
        <w:rPr>
          <w:spacing w:val="-5"/>
        </w:rPr>
        <w:t> </w:t>
      </w:r>
      <w:r>
        <w:rPr/>
        <w:t>Operation</w:t>
      </w:r>
      <w:r>
        <w:rPr>
          <w:spacing w:val="-5"/>
        </w:rPr>
        <w:t> </w:t>
      </w:r>
      <w:r>
        <w:rPr/>
        <w:t>RESTORE</w:t>
      </w:r>
      <w:r>
        <w:rPr>
          <w:spacing w:val="-5"/>
        </w:rPr>
        <w:t> </w:t>
      </w:r>
      <w:r>
        <w:rPr/>
        <w:t>HOPE, Operation FLUSHOUT III, Militants.</w:t>
      </w:r>
    </w:p>
    <w:p>
      <w:pPr>
        <w:spacing w:before="1"/>
        <w:ind w:left="1440" w:right="0" w:firstLine="0"/>
        <w:jc w:val="left"/>
        <w:rPr>
          <w:sz w:val="24"/>
        </w:rPr>
      </w:pPr>
      <w:r>
        <w:rPr>
          <w:b/>
          <w:sz w:val="24"/>
        </w:rPr>
        <w:t>Word</w:t>
      </w:r>
      <w:r>
        <w:rPr>
          <w:b/>
          <w:spacing w:val="-1"/>
          <w:sz w:val="24"/>
        </w:rPr>
        <w:t> </w:t>
      </w:r>
      <w:r>
        <w:rPr>
          <w:b/>
          <w:sz w:val="24"/>
        </w:rPr>
        <w:t>count:</w:t>
      </w:r>
      <w:r>
        <w:rPr>
          <w:b/>
          <w:spacing w:val="-2"/>
          <w:sz w:val="24"/>
        </w:rPr>
        <w:t> </w:t>
      </w:r>
      <w:r>
        <w:rPr>
          <w:spacing w:val="-5"/>
          <w:sz w:val="24"/>
        </w:rPr>
        <w:t>442</w:t>
      </w:r>
    </w:p>
    <w:p>
      <w:pPr>
        <w:spacing w:after="0"/>
        <w:jc w:val="left"/>
        <w:rPr>
          <w:sz w:val="24"/>
        </w:rPr>
        <w:sectPr>
          <w:pgSz w:w="11910" w:h="16840"/>
          <w:pgMar w:header="0" w:footer="1492" w:top="1360" w:bottom="1680" w:left="720" w:right="180"/>
        </w:sectPr>
      </w:pPr>
    </w:p>
    <w:p>
      <w:pPr>
        <w:pStyle w:val="Heading1"/>
        <w:spacing w:line="360" w:lineRule="auto" w:before="65"/>
        <w:ind w:left="4635" w:right="3112" w:firstLine="81"/>
      </w:pPr>
      <w:r>
        <w:rPr/>
        <mc:AlternateContent>
          <mc:Choice Requires="wps">
            <w:drawing>
              <wp:anchor distT="0" distB="0" distL="0" distR="0" allowOverlap="1" layoutInCell="1" locked="0" behindDoc="1" simplePos="0" relativeHeight="480568832">
                <wp:simplePos x="0" y="0"/>
                <wp:positionH relativeFrom="page">
                  <wp:posOffset>-468867</wp:posOffset>
                </wp:positionH>
                <wp:positionV relativeFrom="page">
                  <wp:posOffset>6996504</wp:posOffset>
                </wp:positionV>
                <wp:extent cx="5487670" cy="914400"/>
                <wp:effectExtent l="0" t="0" r="0" b="0"/>
                <wp:wrapNone/>
                <wp:docPr id="21" name="Textbox 21"/>
                <wp:cNvGraphicFramePr>
                  <a:graphicFrameLocks/>
                </wp:cNvGraphicFramePr>
                <a:graphic>
                  <a:graphicData uri="http://schemas.microsoft.com/office/word/2010/wordprocessingShape">
                    <wps:wsp>
                      <wps:cNvPr id="21" name="Textbox 21"/>
                      <wps:cNvSpPr txBox="1"/>
                      <wps:spPr>
                        <a:xfrm rot="18360000">
                          <a:off x="0" y="0"/>
                          <a:ext cx="5487670"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UNIVERSITY</w:t>
                            </w:r>
                          </w:p>
                        </w:txbxContent>
                      </wps:txbx>
                      <wps:bodyPr wrap="square" lIns="0" tIns="0" rIns="0" bIns="0" rtlCol="0">
                        <a:noAutofit/>
                      </wps:bodyPr>
                    </wps:wsp>
                  </a:graphicData>
                </a:graphic>
              </wp:anchor>
            </w:drawing>
          </mc:Choice>
          <mc:Fallback>
            <w:pict>
              <v:shape style="position:absolute;margin-left:-36.918713pt;margin-top:550.905835pt;width:432.1pt;height:72pt;mso-position-horizontal-relative:page;mso-position-vertical-relative:page;z-index:-22747648;rotation:306" type="#_x0000_t136" fillcolor="#ff5400" stroked="f">
                <o:extrusion v:ext="view" autorotationcenter="t"/>
                <v:textpath style="font-family:&quot;Arial MT&quot;;font-size:72pt;v-text-kern:t;mso-text-shadow:auto" string="UNIVERSITY"/>
                <w10:wrap type="none"/>
              </v:shape>
            </w:pict>
          </mc:Fallback>
        </mc:AlternateContent>
      </w:r>
      <w:r>
        <w:rPr/>
        <mc:AlternateContent>
          <mc:Choice Requires="wps">
            <w:drawing>
              <wp:anchor distT="0" distB="0" distL="0" distR="0" allowOverlap="1" layoutInCell="1" locked="0" behindDoc="1" simplePos="0" relativeHeight="480569344">
                <wp:simplePos x="0" y="0"/>
                <wp:positionH relativeFrom="page">
                  <wp:posOffset>4231499</wp:posOffset>
                </wp:positionH>
                <wp:positionV relativeFrom="page">
                  <wp:posOffset>1961090</wp:posOffset>
                </wp:positionV>
                <wp:extent cx="3403600" cy="914400"/>
                <wp:effectExtent l="0" t="0" r="0" b="0"/>
                <wp:wrapNone/>
                <wp:docPr id="22" name="Textbox 22"/>
                <wp:cNvGraphicFramePr>
                  <a:graphicFrameLocks/>
                </wp:cNvGraphicFramePr>
                <a:graphic>
                  <a:graphicData uri="http://schemas.microsoft.com/office/word/2010/wordprocessingShape">
                    <wps:wsp>
                      <wps:cNvPr id="22" name="Textbox 22"/>
                      <wps:cNvSpPr txBox="1"/>
                      <wps:spPr>
                        <a:xfrm rot="18360000">
                          <a:off x="0" y="0"/>
                          <a:ext cx="3403600"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333.188934pt;margin-top:154.416569pt;width:268pt;height:72pt;mso-position-horizontal-relative:page;mso-position-vertical-relative:page;z-index:-22747136;rotation:306" type="#_x0000_t136" fillcolor="#ff5400" stroked="f">
                <o:extrusion v:ext="view" autorotationcenter="t"/>
                <v:textpath style="font-family:&quot;Arial MT&quot;;font-size:72pt;v-text-kern:t;mso-text-shadow:auto" string="IBADAN"/>
                <w10:wrap type="none"/>
              </v:shape>
            </w:pict>
          </mc:Fallback>
        </mc:AlternateContent>
      </w:r>
      <w:bookmarkStart w:name="_TOC_250031" w:id="11"/>
      <w:r>
        <w:rPr/>
        <w:t>CHAPTER ONE </w:t>
      </w:r>
      <w:bookmarkEnd w:id="11"/>
      <w:r>
        <w:rPr>
          <w:spacing w:val="-2"/>
        </w:rPr>
        <w:t>INTRODUCTION</w:t>
      </w:r>
    </w:p>
    <w:p>
      <w:pPr>
        <w:pStyle w:val="Heading1"/>
        <w:numPr>
          <w:ilvl w:val="1"/>
          <w:numId w:val="6"/>
        </w:numPr>
        <w:tabs>
          <w:tab w:pos="1860" w:val="left" w:leader="none"/>
        </w:tabs>
        <w:spacing w:line="240" w:lineRule="auto" w:before="1" w:after="0"/>
        <w:ind w:left="1860" w:right="0" w:hanging="420"/>
        <w:jc w:val="left"/>
      </w:pPr>
      <w:bookmarkStart w:name="_TOC_250030" w:id="12"/>
      <w:r>
        <w:rPr/>
        <w:t>HISTORICAL</w:t>
      </w:r>
      <w:r>
        <w:rPr>
          <w:spacing w:val="-4"/>
        </w:rPr>
        <w:t> </w:t>
      </w:r>
      <w:r>
        <w:rPr/>
        <w:t>BACKGROUND</w:t>
      </w:r>
      <w:r>
        <w:rPr>
          <w:spacing w:val="-1"/>
        </w:rPr>
        <w:t> </w:t>
      </w:r>
      <w:r>
        <w:rPr/>
        <w:t>OF</w:t>
      </w:r>
      <w:r>
        <w:rPr>
          <w:spacing w:val="-5"/>
        </w:rPr>
        <w:t> </w:t>
      </w:r>
      <w:r>
        <w:rPr/>
        <w:t>THE</w:t>
      </w:r>
      <w:r>
        <w:rPr>
          <w:spacing w:val="2"/>
        </w:rPr>
        <w:t> </w:t>
      </w:r>
      <w:r>
        <w:rPr/>
        <w:t>NIGER</w:t>
      </w:r>
      <w:r>
        <w:rPr>
          <w:spacing w:val="-2"/>
        </w:rPr>
        <w:t> </w:t>
      </w:r>
      <w:r>
        <w:rPr/>
        <w:t>DELTA</w:t>
      </w:r>
      <w:r>
        <w:rPr>
          <w:spacing w:val="-1"/>
        </w:rPr>
        <w:t> </w:t>
      </w:r>
      <w:bookmarkEnd w:id="12"/>
      <w:r>
        <w:rPr>
          <w:spacing w:val="-2"/>
        </w:rPr>
        <w:t>CONFLICT</w:t>
      </w:r>
    </w:p>
    <w:p>
      <w:pPr>
        <w:pStyle w:val="BodyText"/>
        <w:spacing w:line="360" w:lineRule="auto" w:before="132"/>
        <w:ind w:right="1258" w:firstLine="631"/>
        <w:jc w:val="both"/>
      </w:pPr>
      <w:r>
        <w:rPr/>
        <mc:AlternateContent>
          <mc:Choice Requires="wps">
            <w:drawing>
              <wp:anchor distT="0" distB="0" distL="0" distR="0" allowOverlap="1" layoutInCell="1" locked="0" behindDoc="1" simplePos="0" relativeHeight="487597056">
                <wp:simplePos x="0" y="0"/>
                <wp:positionH relativeFrom="page">
                  <wp:posOffset>1103627</wp:posOffset>
                </wp:positionH>
                <wp:positionV relativeFrom="paragraph">
                  <wp:posOffset>1146596</wp:posOffset>
                </wp:positionV>
                <wp:extent cx="5184140" cy="4243070"/>
                <wp:effectExtent l="0" t="0" r="0" b="0"/>
                <wp:wrapTopAndBottom/>
                <wp:docPr id="23" name="Group 23"/>
                <wp:cNvGraphicFramePr>
                  <a:graphicFrameLocks/>
                </wp:cNvGraphicFramePr>
                <a:graphic>
                  <a:graphicData uri="http://schemas.microsoft.com/office/word/2010/wordprocessingGroup">
                    <wpg:wgp>
                      <wpg:cNvPr id="23" name="Group 23"/>
                      <wpg:cNvGrpSpPr/>
                      <wpg:grpSpPr>
                        <a:xfrm>
                          <a:off x="0" y="0"/>
                          <a:ext cx="5184140" cy="4243070"/>
                          <a:chExt cx="5184140" cy="4243070"/>
                        </a:xfrm>
                      </wpg:grpSpPr>
                      <pic:pic>
                        <pic:nvPicPr>
                          <pic:cNvPr id="24" name="Image 24"/>
                          <pic:cNvPicPr/>
                        </pic:nvPicPr>
                        <pic:blipFill>
                          <a:blip r:embed="rId7" cstate="print"/>
                          <a:stretch>
                            <a:fillRect/>
                          </a:stretch>
                        </pic:blipFill>
                        <pic:spPr>
                          <a:xfrm>
                            <a:off x="0" y="11921"/>
                            <a:ext cx="5183603" cy="4219251"/>
                          </a:xfrm>
                          <a:prstGeom prst="rect">
                            <a:avLst/>
                          </a:prstGeom>
                        </pic:spPr>
                      </pic:pic>
                      <pic:pic>
                        <pic:nvPicPr>
                          <pic:cNvPr id="25" name="Image 25"/>
                          <pic:cNvPicPr/>
                        </pic:nvPicPr>
                        <pic:blipFill>
                          <a:blip r:embed="rId8" cstate="print"/>
                          <a:stretch>
                            <a:fillRect/>
                          </a:stretch>
                        </pic:blipFill>
                        <pic:spPr>
                          <a:xfrm>
                            <a:off x="781867" y="2524756"/>
                            <a:ext cx="933332" cy="327355"/>
                          </a:xfrm>
                          <a:prstGeom prst="rect">
                            <a:avLst/>
                          </a:prstGeom>
                        </pic:spPr>
                      </pic:pic>
                      <pic:pic>
                        <pic:nvPicPr>
                          <pic:cNvPr id="26" name="Image 26"/>
                          <pic:cNvPicPr/>
                        </pic:nvPicPr>
                        <pic:blipFill>
                          <a:blip r:embed="rId9" cstate="print"/>
                          <a:stretch>
                            <a:fillRect/>
                          </a:stretch>
                        </pic:blipFill>
                        <pic:spPr>
                          <a:xfrm>
                            <a:off x="1538626" y="2968948"/>
                            <a:ext cx="920764" cy="397326"/>
                          </a:xfrm>
                          <a:prstGeom prst="rect">
                            <a:avLst/>
                          </a:prstGeom>
                        </pic:spPr>
                      </pic:pic>
                      <pic:pic>
                        <pic:nvPicPr>
                          <pic:cNvPr id="27" name="Image 27"/>
                          <pic:cNvPicPr/>
                        </pic:nvPicPr>
                        <pic:blipFill>
                          <a:blip r:embed="rId10" cstate="print"/>
                          <a:stretch>
                            <a:fillRect/>
                          </a:stretch>
                        </pic:blipFill>
                        <pic:spPr>
                          <a:xfrm>
                            <a:off x="3241273" y="4009053"/>
                            <a:ext cx="1564017" cy="222119"/>
                          </a:xfrm>
                          <a:prstGeom prst="rect">
                            <a:avLst/>
                          </a:prstGeom>
                        </pic:spPr>
                      </pic:pic>
                      <pic:pic>
                        <pic:nvPicPr>
                          <pic:cNvPr id="28" name="Image 28"/>
                          <pic:cNvPicPr/>
                        </pic:nvPicPr>
                        <pic:blipFill>
                          <a:blip r:embed="rId11" cstate="print"/>
                          <a:stretch>
                            <a:fillRect/>
                          </a:stretch>
                        </pic:blipFill>
                        <pic:spPr>
                          <a:xfrm>
                            <a:off x="4187175" y="1379361"/>
                            <a:ext cx="958783" cy="1273865"/>
                          </a:xfrm>
                          <a:prstGeom prst="rect">
                            <a:avLst/>
                          </a:prstGeom>
                        </pic:spPr>
                      </pic:pic>
                      <pic:pic>
                        <pic:nvPicPr>
                          <pic:cNvPr id="29" name="Image 29"/>
                          <pic:cNvPicPr/>
                        </pic:nvPicPr>
                        <pic:blipFill>
                          <a:blip r:embed="rId12" cstate="print"/>
                          <a:stretch>
                            <a:fillRect/>
                          </a:stretch>
                        </pic:blipFill>
                        <pic:spPr>
                          <a:xfrm>
                            <a:off x="1740601" y="2980618"/>
                            <a:ext cx="100876" cy="408984"/>
                          </a:xfrm>
                          <a:prstGeom prst="rect">
                            <a:avLst/>
                          </a:prstGeom>
                        </pic:spPr>
                      </pic:pic>
                      <pic:pic>
                        <pic:nvPicPr>
                          <pic:cNvPr id="30" name="Image 30"/>
                          <pic:cNvPicPr/>
                        </pic:nvPicPr>
                        <pic:blipFill>
                          <a:blip r:embed="rId13" cstate="print"/>
                          <a:stretch>
                            <a:fillRect/>
                          </a:stretch>
                        </pic:blipFill>
                        <pic:spPr>
                          <a:xfrm>
                            <a:off x="756730" y="2618287"/>
                            <a:ext cx="2207270" cy="1589563"/>
                          </a:xfrm>
                          <a:prstGeom prst="rect">
                            <a:avLst/>
                          </a:prstGeom>
                        </pic:spPr>
                      </pic:pic>
                      <pic:pic>
                        <pic:nvPicPr>
                          <pic:cNvPr id="31" name="Image 31"/>
                          <pic:cNvPicPr/>
                        </pic:nvPicPr>
                        <pic:blipFill>
                          <a:blip r:embed="rId14" cstate="print"/>
                          <a:stretch>
                            <a:fillRect/>
                          </a:stretch>
                        </pic:blipFill>
                        <pic:spPr>
                          <a:xfrm>
                            <a:off x="1009067" y="3179421"/>
                            <a:ext cx="1135106" cy="1005107"/>
                          </a:xfrm>
                          <a:prstGeom prst="rect">
                            <a:avLst/>
                          </a:prstGeom>
                        </pic:spPr>
                      </pic:pic>
                      <pic:pic>
                        <pic:nvPicPr>
                          <pic:cNvPr id="32" name="Image 32"/>
                          <pic:cNvPicPr/>
                        </pic:nvPicPr>
                        <pic:blipFill>
                          <a:blip r:embed="rId15" cstate="print"/>
                          <a:stretch>
                            <a:fillRect/>
                          </a:stretch>
                        </pic:blipFill>
                        <pic:spPr>
                          <a:xfrm>
                            <a:off x="2333329" y="70521"/>
                            <a:ext cx="138629" cy="116929"/>
                          </a:xfrm>
                          <a:prstGeom prst="rect">
                            <a:avLst/>
                          </a:prstGeom>
                        </pic:spPr>
                      </pic:pic>
                      <wps:wsp>
                        <wps:cNvPr id="33" name="Graphic 33"/>
                        <wps:cNvSpPr/>
                        <wps:spPr>
                          <a:xfrm>
                            <a:off x="2497347" y="70556"/>
                            <a:ext cx="50800" cy="117475"/>
                          </a:xfrm>
                          <a:custGeom>
                            <a:avLst/>
                            <a:gdLst/>
                            <a:ahLst/>
                            <a:cxnLst/>
                            <a:rect l="l" t="t" r="r" b="b"/>
                            <a:pathLst>
                              <a:path w="50800" h="117475">
                                <a:moveTo>
                                  <a:pt x="50285" y="0"/>
                                </a:moveTo>
                                <a:lnTo>
                                  <a:pt x="0" y="0"/>
                                </a:lnTo>
                                <a:lnTo>
                                  <a:pt x="0" y="116894"/>
                                </a:lnTo>
                                <a:lnTo>
                                  <a:pt x="50285" y="116894"/>
                                </a:lnTo>
                                <a:lnTo>
                                  <a:pt x="50285" y="0"/>
                                </a:lnTo>
                                <a:close/>
                              </a:path>
                            </a:pathLst>
                          </a:custGeom>
                          <a:solidFill>
                            <a:srgbClr val="50585E"/>
                          </a:solidFill>
                        </wps:spPr>
                        <wps:bodyPr wrap="square" lIns="0" tIns="0" rIns="0" bIns="0" rtlCol="0">
                          <a:prstTxWarp prst="textNoShape">
                            <a:avLst/>
                          </a:prstTxWarp>
                          <a:noAutofit/>
                        </wps:bodyPr>
                      </wps:wsp>
                      <pic:pic>
                        <pic:nvPicPr>
                          <pic:cNvPr id="34" name="Image 34"/>
                          <pic:cNvPicPr/>
                        </pic:nvPicPr>
                        <pic:blipFill>
                          <a:blip r:embed="rId16" cstate="print"/>
                          <a:stretch>
                            <a:fillRect/>
                          </a:stretch>
                        </pic:blipFill>
                        <pic:spPr>
                          <a:xfrm>
                            <a:off x="2572758" y="70521"/>
                            <a:ext cx="138881" cy="116929"/>
                          </a:xfrm>
                          <a:prstGeom prst="rect">
                            <a:avLst/>
                          </a:prstGeom>
                        </pic:spPr>
                      </pic:pic>
                      <wps:wsp>
                        <wps:cNvPr id="35" name="Graphic 35"/>
                        <wps:cNvSpPr/>
                        <wps:spPr>
                          <a:xfrm>
                            <a:off x="2736890" y="70897"/>
                            <a:ext cx="126364" cy="116205"/>
                          </a:xfrm>
                          <a:custGeom>
                            <a:avLst/>
                            <a:gdLst/>
                            <a:ahLst/>
                            <a:cxnLst/>
                            <a:rect l="l" t="t" r="r" b="b"/>
                            <a:pathLst>
                              <a:path w="126364" h="116205">
                                <a:moveTo>
                                  <a:pt x="125945" y="0"/>
                                </a:moveTo>
                                <a:lnTo>
                                  <a:pt x="0" y="0"/>
                                </a:lnTo>
                                <a:lnTo>
                                  <a:pt x="0" y="23228"/>
                                </a:lnTo>
                                <a:lnTo>
                                  <a:pt x="0" y="46443"/>
                                </a:lnTo>
                                <a:lnTo>
                                  <a:pt x="0" y="69672"/>
                                </a:lnTo>
                                <a:lnTo>
                                  <a:pt x="0" y="92887"/>
                                </a:lnTo>
                                <a:lnTo>
                                  <a:pt x="0" y="116116"/>
                                </a:lnTo>
                                <a:lnTo>
                                  <a:pt x="125945" y="116116"/>
                                </a:lnTo>
                                <a:lnTo>
                                  <a:pt x="125945" y="92887"/>
                                </a:lnTo>
                                <a:lnTo>
                                  <a:pt x="50533" y="92887"/>
                                </a:lnTo>
                                <a:lnTo>
                                  <a:pt x="50533" y="69672"/>
                                </a:lnTo>
                                <a:lnTo>
                                  <a:pt x="113372" y="69672"/>
                                </a:lnTo>
                                <a:lnTo>
                                  <a:pt x="113372" y="46443"/>
                                </a:lnTo>
                                <a:lnTo>
                                  <a:pt x="50533" y="46443"/>
                                </a:lnTo>
                                <a:lnTo>
                                  <a:pt x="50533" y="23228"/>
                                </a:lnTo>
                                <a:lnTo>
                                  <a:pt x="125945" y="23228"/>
                                </a:lnTo>
                                <a:lnTo>
                                  <a:pt x="125945" y="0"/>
                                </a:lnTo>
                                <a:close/>
                              </a:path>
                            </a:pathLst>
                          </a:custGeom>
                          <a:solidFill>
                            <a:srgbClr val="50585E"/>
                          </a:solidFill>
                        </wps:spPr>
                        <wps:bodyPr wrap="square" lIns="0" tIns="0" rIns="0" bIns="0" rtlCol="0">
                          <a:prstTxWarp prst="textNoShape">
                            <a:avLst/>
                          </a:prstTxWarp>
                          <a:noAutofit/>
                        </wps:bodyPr>
                      </wps:wsp>
                      <pic:pic>
                        <pic:nvPicPr>
                          <pic:cNvPr id="36" name="Image 36"/>
                          <pic:cNvPicPr/>
                        </pic:nvPicPr>
                        <pic:blipFill>
                          <a:blip r:embed="rId17" cstate="print"/>
                          <a:stretch>
                            <a:fillRect/>
                          </a:stretch>
                        </pic:blipFill>
                        <pic:spPr>
                          <a:xfrm>
                            <a:off x="2888351" y="70521"/>
                            <a:ext cx="138504" cy="116929"/>
                          </a:xfrm>
                          <a:prstGeom prst="rect">
                            <a:avLst/>
                          </a:prstGeom>
                        </pic:spPr>
                      </pic:pic>
                      <wps:wsp>
                        <wps:cNvPr id="37" name="Graphic 37"/>
                        <wps:cNvSpPr/>
                        <wps:spPr>
                          <a:xfrm>
                            <a:off x="12562" y="6"/>
                            <a:ext cx="5171440" cy="4243070"/>
                          </a:xfrm>
                          <a:custGeom>
                            <a:avLst/>
                            <a:gdLst/>
                            <a:ahLst/>
                            <a:cxnLst/>
                            <a:rect l="l" t="t" r="r" b="b"/>
                            <a:pathLst>
                              <a:path w="5171440" h="4243070">
                                <a:moveTo>
                                  <a:pt x="5171033" y="228"/>
                                </a:moveTo>
                                <a:lnTo>
                                  <a:pt x="5158460" y="228"/>
                                </a:lnTo>
                                <a:lnTo>
                                  <a:pt x="5158460" y="0"/>
                                </a:lnTo>
                                <a:lnTo>
                                  <a:pt x="5145900" y="0"/>
                                </a:lnTo>
                                <a:lnTo>
                                  <a:pt x="5145900" y="23228"/>
                                </a:lnTo>
                                <a:lnTo>
                                  <a:pt x="5145900" y="4219283"/>
                                </a:lnTo>
                                <a:lnTo>
                                  <a:pt x="25450" y="4219283"/>
                                </a:lnTo>
                                <a:lnTo>
                                  <a:pt x="25450" y="23228"/>
                                </a:lnTo>
                                <a:lnTo>
                                  <a:pt x="5145900" y="23228"/>
                                </a:lnTo>
                                <a:lnTo>
                                  <a:pt x="5145900" y="0"/>
                                </a:lnTo>
                                <a:lnTo>
                                  <a:pt x="6286" y="0"/>
                                </a:lnTo>
                                <a:lnTo>
                                  <a:pt x="6286" y="228"/>
                                </a:lnTo>
                                <a:lnTo>
                                  <a:pt x="0" y="228"/>
                                </a:lnTo>
                                <a:lnTo>
                                  <a:pt x="0" y="12001"/>
                                </a:lnTo>
                                <a:lnTo>
                                  <a:pt x="6286" y="6121"/>
                                </a:lnTo>
                                <a:lnTo>
                                  <a:pt x="6286" y="12217"/>
                                </a:lnTo>
                                <a:lnTo>
                                  <a:pt x="6286" y="4231500"/>
                                </a:lnTo>
                                <a:lnTo>
                                  <a:pt x="6286" y="4236999"/>
                                </a:lnTo>
                                <a:lnTo>
                                  <a:pt x="355" y="4231500"/>
                                </a:lnTo>
                                <a:lnTo>
                                  <a:pt x="6286" y="4231500"/>
                                </a:lnTo>
                                <a:lnTo>
                                  <a:pt x="6286" y="12217"/>
                                </a:lnTo>
                                <a:lnTo>
                                  <a:pt x="0" y="12217"/>
                                </a:lnTo>
                                <a:lnTo>
                                  <a:pt x="0" y="4231170"/>
                                </a:lnTo>
                                <a:lnTo>
                                  <a:pt x="0" y="4231500"/>
                                </a:lnTo>
                                <a:lnTo>
                                  <a:pt x="0" y="4242828"/>
                                </a:lnTo>
                                <a:lnTo>
                                  <a:pt x="12573" y="4242828"/>
                                </a:lnTo>
                                <a:lnTo>
                                  <a:pt x="12204" y="4242498"/>
                                </a:lnTo>
                                <a:lnTo>
                                  <a:pt x="12573" y="4242498"/>
                                </a:lnTo>
                                <a:lnTo>
                                  <a:pt x="19011" y="4242498"/>
                                </a:lnTo>
                                <a:lnTo>
                                  <a:pt x="5158816" y="4242498"/>
                                </a:lnTo>
                                <a:lnTo>
                                  <a:pt x="5158460" y="4242828"/>
                                </a:lnTo>
                                <a:lnTo>
                                  <a:pt x="5171033" y="4242828"/>
                                </a:lnTo>
                                <a:lnTo>
                                  <a:pt x="5171033" y="4231170"/>
                                </a:lnTo>
                                <a:lnTo>
                                  <a:pt x="5164747" y="4236999"/>
                                </a:lnTo>
                                <a:lnTo>
                                  <a:pt x="5164747" y="4231500"/>
                                </a:lnTo>
                                <a:lnTo>
                                  <a:pt x="5164798" y="4231170"/>
                                </a:lnTo>
                                <a:lnTo>
                                  <a:pt x="5171033" y="4231170"/>
                                </a:lnTo>
                                <a:lnTo>
                                  <a:pt x="5171033" y="12001"/>
                                </a:lnTo>
                                <a:lnTo>
                                  <a:pt x="5171033" y="228"/>
                                </a:lnTo>
                                <a:close/>
                              </a:path>
                            </a:pathLst>
                          </a:custGeom>
                          <a:solidFill>
                            <a:srgbClr val="343739"/>
                          </a:solidFill>
                        </wps:spPr>
                        <wps:bodyPr wrap="square" lIns="0" tIns="0" rIns="0" bIns="0" rtlCol="0">
                          <a:prstTxWarp prst="textNoShape">
                            <a:avLst/>
                          </a:prstTxWarp>
                          <a:noAutofit/>
                        </wps:bodyPr>
                      </wps:wsp>
                      <pic:pic>
                        <pic:nvPicPr>
                          <pic:cNvPr id="38" name="Image 38"/>
                          <pic:cNvPicPr/>
                        </pic:nvPicPr>
                        <pic:blipFill>
                          <a:blip r:embed="rId18" cstate="print"/>
                          <a:stretch>
                            <a:fillRect/>
                          </a:stretch>
                        </pic:blipFill>
                        <pic:spPr>
                          <a:xfrm>
                            <a:off x="1816137" y="1893617"/>
                            <a:ext cx="2573137" cy="829907"/>
                          </a:xfrm>
                          <a:prstGeom prst="rect">
                            <a:avLst/>
                          </a:prstGeom>
                        </pic:spPr>
                      </pic:pic>
                      <pic:pic>
                        <pic:nvPicPr>
                          <pic:cNvPr id="39" name="Image 39"/>
                          <pic:cNvPicPr/>
                        </pic:nvPicPr>
                        <pic:blipFill>
                          <a:blip r:embed="rId19" cstate="print"/>
                          <a:stretch>
                            <a:fillRect/>
                          </a:stretch>
                        </pic:blipFill>
                        <pic:spPr>
                          <a:xfrm>
                            <a:off x="2598272" y="3202749"/>
                            <a:ext cx="1311642" cy="841285"/>
                          </a:xfrm>
                          <a:prstGeom prst="rect">
                            <a:avLst/>
                          </a:prstGeom>
                        </pic:spPr>
                      </pic:pic>
                      <pic:pic>
                        <pic:nvPicPr>
                          <pic:cNvPr id="40" name="Image 40"/>
                          <pic:cNvPicPr/>
                        </pic:nvPicPr>
                        <pic:blipFill>
                          <a:blip r:embed="rId20" cstate="print"/>
                          <a:stretch>
                            <a:fillRect/>
                          </a:stretch>
                        </pic:blipFill>
                        <pic:spPr>
                          <a:xfrm>
                            <a:off x="2015492" y="2738266"/>
                            <a:ext cx="456564" cy="985520"/>
                          </a:xfrm>
                          <a:prstGeom prst="rect">
                            <a:avLst/>
                          </a:prstGeom>
                        </pic:spPr>
                      </pic:pic>
                      <wps:wsp>
                        <wps:cNvPr id="41" name="Textbox 41"/>
                        <wps:cNvSpPr txBox="1"/>
                        <wps:spPr>
                          <a:xfrm>
                            <a:off x="1021636" y="2827670"/>
                            <a:ext cx="245110" cy="114300"/>
                          </a:xfrm>
                          <a:prstGeom prst="rect">
                            <a:avLst/>
                          </a:prstGeom>
                        </wps:spPr>
                        <wps:txbx>
                          <w:txbxContent>
                            <w:p>
                              <w:pPr>
                                <w:spacing w:before="7"/>
                                <w:ind w:left="0" w:right="0" w:firstLine="0"/>
                                <w:jc w:val="left"/>
                                <w:rPr>
                                  <w:rFonts w:ascii="Impact"/>
                                  <w:sz w:val="14"/>
                                </w:rPr>
                              </w:pPr>
                              <w:r>
                                <w:rPr>
                                  <w:rFonts w:ascii="Impact"/>
                                  <w:color w:val="22282B"/>
                                  <w:spacing w:val="-4"/>
                                  <w:w w:val="115"/>
                                  <w:sz w:val="14"/>
                                </w:rPr>
                                <w:t>ONDO</w:t>
                              </w:r>
                            </w:p>
                          </w:txbxContent>
                        </wps:txbx>
                        <wps:bodyPr wrap="square" lIns="0" tIns="0" rIns="0" bIns="0" rtlCol="0">
                          <a:noAutofit/>
                        </wps:bodyPr>
                      </wps:wsp>
                      <wps:wsp>
                        <wps:cNvPr id="42" name="Textbox 42"/>
                        <wps:cNvSpPr txBox="1"/>
                        <wps:spPr>
                          <a:xfrm>
                            <a:off x="1374859" y="3049765"/>
                            <a:ext cx="168910" cy="114300"/>
                          </a:xfrm>
                          <a:prstGeom prst="rect">
                            <a:avLst/>
                          </a:prstGeom>
                        </wps:spPr>
                        <wps:txbx>
                          <w:txbxContent>
                            <w:p>
                              <w:pPr>
                                <w:spacing w:before="7"/>
                                <w:ind w:left="0" w:right="0" w:firstLine="0"/>
                                <w:jc w:val="left"/>
                                <w:rPr>
                                  <w:rFonts w:ascii="Impact"/>
                                  <w:sz w:val="14"/>
                                </w:rPr>
                              </w:pPr>
                              <w:r>
                                <w:rPr>
                                  <w:rFonts w:ascii="Impact"/>
                                  <w:color w:val="22282B"/>
                                  <w:spacing w:val="-5"/>
                                  <w:w w:val="115"/>
                                  <w:sz w:val="14"/>
                                </w:rPr>
                                <w:t>EDO</w:t>
                              </w:r>
                            </w:p>
                          </w:txbxContent>
                        </wps:txbx>
                        <wps:bodyPr wrap="square" lIns="0" tIns="0" rIns="0" bIns="0" rtlCol="0">
                          <a:noAutofit/>
                        </wps:bodyPr>
                      </wps:wsp>
                      <wps:wsp>
                        <wps:cNvPr id="43" name="Textbox 43"/>
                        <wps:cNvSpPr txBox="1"/>
                        <wps:spPr>
                          <a:xfrm>
                            <a:off x="1311640" y="3575818"/>
                            <a:ext cx="272415" cy="128905"/>
                          </a:xfrm>
                          <a:prstGeom prst="rect">
                            <a:avLst/>
                          </a:prstGeom>
                        </wps:spPr>
                        <wps:txbx>
                          <w:txbxContent>
                            <w:p>
                              <w:pPr>
                                <w:spacing w:before="5"/>
                                <w:ind w:left="0" w:right="0" w:firstLine="0"/>
                                <w:jc w:val="left"/>
                                <w:rPr>
                                  <w:rFonts w:ascii="Impact"/>
                                  <w:sz w:val="16"/>
                                </w:rPr>
                              </w:pPr>
                              <w:r>
                                <w:rPr>
                                  <w:rFonts w:ascii="Impact"/>
                                  <w:color w:val="22282B"/>
                                  <w:spacing w:val="-2"/>
                                  <w:w w:val="110"/>
                                  <w:sz w:val="16"/>
                                </w:rPr>
                                <w:t>DELTA</w:t>
                              </w:r>
                            </w:p>
                          </w:txbxContent>
                        </wps:txbx>
                        <wps:bodyPr wrap="square" lIns="0" tIns="0" rIns="0" bIns="0" rtlCol="0">
                          <a:noAutofit/>
                        </wps:bodyPr>
                      </wps:wsp>
                      <wps:wsp>
                        <wps:cNvPr id="44" name="Textbox 44"/>
                        <wps:cNvSpPr txBox="1"/>
                        <wps:spPr>
                          <a:xfrm>
                            <a:off x="1753169" y="3493909"/>
                            <a:ext cx="200660" cy="128905"/>
                          </a:xfrm>
                          <a:prstGeom prst="rect">
                            <a:avLst/>
                          </a:prstGeom>
                        </wps:spPr>
                        <wps:txbx>
                          <w:txbxContent>
                            <w:p>
                              <w:pPr>
                                <w:spacing w:before="5"/>
                                <w:ind w:left="0" w:right="0" w:firstLine="0"/>
                                <w:jc w:val="left"/>
                                <w:rPr>
                                  <w:rFonts w:ascii="Impact"/>
                                  <w:sz w:val="16"/>
                                </w:rPr>
                              </w:pPr>
                              <w:r>
                                <w:rPr>
                                  <w:rFonts w:ascii="Impact"/>
                                  <w:color w:val="22282B"/>
                                  <w:spacing w:val="-5"/>
                                  <w:w w:val="110"/>
                                  <w:sz w:val="16"/>
                                </w:rPr>
                                <w:t>IMO</w:t>
                              </w:r>
                            </w:p>
                          </w:txbxContent>
                        </wps:txbx>
                        <wps:bodyPr wrap="square" lIns="0" tIns="0" rIns="0" bIns="0" rtlCol="0">
                          <a:noAutofit/>
                        </wps:bodyPr>
                      </wps:wsp>
                      <wps:wsp>
                        <wps:cNvPr id="45" name="Textbox 45"/>
                        <wps:cNvSpPr txBox="1"/>
                        <wps:spPr>
                          <a:xfrm>
                            <a:off x="1273935" y="3926316"/>
                            <a:ext cx="695960" cy="172720"/>
                          </a:xfrm>
                          <a:prstGeom prst="rect">
                            <a:avLst/>
                          </a:prstGeom>
                        </wps:spPr>
                        <wps:txbx>
                          <w:txbxContent>
                            <w:p>
                              <w:pPr>
                                <w:spacing w:before="7"/>
                                <w:ind w:left="0" w:right="0" w:firstLine="0"/>
                                <w:jc w:val="left"/>
                                <w:rPr>
                                  <w:rFonts w:ascii="Impact"/>
                                  <w:sz w:val="14"/>
                                </w:rPr>
                              </w:pPr>
                              <w:r>
                                <w:rPr>
                                  <w:rFonts w:ascii="Impact"/>
                                  <w:color w:val="22282B"/>
                                  <w:w w:val="115"/>
                                  <w:sz w:val="14"/>
                                </w:rPr>
                                <w:t>BAYELSA</w:t>
                              </w:r>
                              <w:r>
                                <w:rPr>
                                  <w:rFonts w:ascii="Impact"/>
                                  <w:color w:val="22282B"/>
                                  <w:spacing w:val="72"/>
                                  <w:w w:val="150"/>
                                  <w:sz w:val="14"/>
                                </w:rPr>
                                <w:t> </w:t>
                              </w:r>
                              <w:r>
                                <w:rPr>
                                  <w:rFonts w:ascii="Impact"/>
                                  <w:color w:val="22282B"/>
                                  <w:spacing w:val="-4"/>
                                  <w:w w:val="115"/>
                                  <w:position w:val="-8"/>
                                  <w:sz w:val="14"/>
                                </w:rPr>
                                <w:t>RIVERS</w:t>
                              </w:r>
                            </w:p>
                          </w:txbxContent>
                        </wps:txbx>
                        <wps:bodyPr wrap="square" lIns="0" tIns="0" rIns="0" bIns="0" rtlCol="0">
                          <a:noAutofit/>
                        </wps:bodyPr>
                      </wps:wsp>
                      <wps:wsp>
                        <wps:cNvPr id="46" name="Textbox 46"/>
                        <wps:cNvSpPr txBox="1"/>
                        <wps:spPr>
                          <a:xfrm>
                            <a:off x="2144174" y="3540659"/>
                            <a:ext cx="519430" cy="500380"/>
                          </a:xfrm>
                          <a:prstGeom prst="rect">
                            <a:avLst/>
                          </a:prstGeom>
                        </wps:spPr>
                        <wps:txbx>
                          <w:txbxContent>
                            <w:p>
                              <w:pPr>
                                <w:spacing w:line="259" w:lineRule="auto" w:before="7"/>
                                <w:ind w:left="396" w:right="0" w:hanging="40"/>
                                <w:jc w:val="left"/>
                                <w:rPr>
                                  <w:rFonts w:ascii="Impact"/>
                                  <w:sz w:val="14"/>
                                </w:rPr>
                              </w:pPr>
                              <w:r>
                                <w:rPr>
                                  <w:rFonts w:ascii="Impact"/>
                                  <w:color w:val="22282B"/>
                                  <w:spacing w:val="-2"/>
                                  <w:w w:val="110"/>
                                  <w:sz w:val="14"/>
                                </w:rPr>
                                <w:t>CROSS</w:t>
                              </w:r>
                              <w:r>
                                <w:rPr>
                                  <w:rFonts w:ascii="Impact"/>
                                  <w:color w:val="22282B"/>
                                  <w:spacing w:val="40"/>
                                  <w:w w:val="115"/>
                                  <w:sz w:val="14"/>
                                </w:rPr>
                                <w:t> </w:t>
                              </w:r>
                              <w:r>
                                <w:rPr>
                                  <w:rFonts w:ascii="Impact"/>
                                  <w:color w:val="22282B"/>
                                  <w:spacing w:val="-2"/>
                                  <w:w w:val="115"/>
                                  <w:sz w:val="14"/>
                                </w:rPr>
                                <w:t>RIVER</w:t>
                              </w:r>
                            </w:p>
                            <w:p>
                              <w:pPr>
                                <w:spacing w:line="259" w:lineRule="auto" w:before="42"/>
                                <w:ind w:left="19" w:right="167" w:hanging="20"/>
                                <w:jc w:val="left"/>
                                <w:rPr>
                                  <w:rFonts w:ascii="Impact"/>
                                  <w:sz w:val="14"/>
                                </w:rPr>
                              </w:pPr>
                              <w:r>
                                <w:rPr>
                                  <w:rFonts w:ascii="Impact"/>
                                  <w:color w:val="22282B"/>
                                  <w:spacing w:val="-4"/>
                                  <w:w w:val="110"/>
                                  <w:sz w:val="14"/>
                                </w:rPr>
                                <w:t>AKWA</w:t>
                              </w:r>
                              <w:r>
                                <w:rPr>
                                  <w:rFonts w:ascii="Impact"/>
                                  <w:color w:val="22282B"/>
                                  <w:spacing w:val="40"/>
                                  <w:w w:val="115"/>
                                  <w:sz w:val="14"/>
                                </w:rPr>
                                <w:t> </w:t>
                              </w:r>
                              <w:r>
                                <w:rPr>
                                  <w:rFonts w:ascii="Impact"/>
                                  <w:color w:val="22282B"/>
                                  <w:spacing w:val="-4"/>
                                  <w:w w:val="115"/>
                                  <w:sz w:val="14"/>
                                </w:rPr>
                                <w:t>IBOM</w:t>
                              </w:r>
                            </w:p>
                          </w:txbxContent>
                        </wps:txbx>
                        <wps:bodyPr wrap="square" lIns="0" tIns="0" rIns="0" bIns="0" rtlCol="0">
                          <a:noAutofit/>
                        </wps:bodyPr>
                      </wps:wsp>
                    </wpg:wgp>
                  </a:graphicData>
                </a:graphic>
              </wp:anchor>
            </w:drawing>
          </mc:Choice>
          <mc:Fallback>
            <w:pict>
              <v:group style="position:absolute;margin-left:86.899841pt;margin-top:90.28318pt;width:408.2pt;height:334.1pt;mso-position-horizontal-relative:page;mso-position-vertical-relative:paragraph;z-index:-15719424;mso-wrap-distance-left:0;mso-wrap-distance-right:0" id="docshapegroup5" coordorigin="1738,1806" coordsize="8164,6682">
                <v:shape style="position:absolute;left:1738;top:1824;width:8164;height:6645" type="#_x0000_t75" id="docshape6" stroked="false">
                  <v:imagedata r:id="rId7" o:title=""/>
                </v:shape>
                <v:shape style="position:absolute;left:2969;top:5781;width:1470;height:516" type="#_x0000_t75" id="docshape7" stroked="false">
                  <v:imagedata r:id="rId8" o:title=""/>
                </v:shape>
                <v:shape style="position:absolute;left:4161;top:6481;width:1451;height:626" type="#_x0000_t75" id="docshape8" stroked="false">
                  <v:imagedata r:id="rId9" o:title=""/>
                </v:shape>
                <v:shape style="position:absolute;left:6842;top:8119;width:2464;height:350" type="#_x0000_t75" id="docshape9" stroked="false">
                  <v:imagedata r:id="rId10" o:title=""/>
                </v:shape>
                <v:shape style="position:absolute;left:8331;top:3977;width:1510;height:2007" type="#_x0000_t75" id="docshape10" stroked="false">
                  <v:imagedata r:id="rId11" o:title=""/>
                </v:shape>
                <v:shape style="position:absolute;left:4479;top:6499;width:159;height:645" type="#_x0000_t75" id="docshape11" stroked="false">
                  <v:imagedata r:id="rId12" o:title=""/>
                </v:shape>
                <v:shape style="position:absolute;left:2929;top:5928;width:3477;height:2504" type="#_x0000_t75" id="docshape12" stroked="false">
                  <v:imagedata r:id="rId13" o:title=""/>
                </v:shape>
                <v:shape style="position:absolute;left:3327;top:6812;width:1788;height:1583" type="#_x0000_t75" id="docshape13" stroked="false">
                  <v:imagedata r:id="rId14" o:title=""/>
                </v:shape>
                <v:shape style="position:absolute;left:5412;top:1916;width:219;height:185" type="#_x0000_t75" id="docshape14" stroked="false">
                  <v:imagedata r:id="rId15" o:title=""/>
                </v:shape>
                <v:rect style="position:absolute;left:5670;top:1916;width:80;height:185" id="docshape15" filled="true" fillcolor="#50585e" stroked="false">
                  <v:fill type="solid"/>
                </v:rect>
                <v:shape style="position:absolute;left:5789;top:1916;width:219;height:185" type="#_x0000_t75" id="docshape16" stroked="false">
                  <v:imagedata r:id="rId16" o:title=""/>
                </v:shape>
                <v:shape style="position:absolute;left:6048;top:1917;width:199;height:183" id="docshape17" coordorigin="6048,1917" coordsize="199,183" path="m6246,1917l6048,1917,6048,1954,6048,1990,6048,2027,6048,2064,6048,2100,6246,2100,6246,2064,6128,2064,6128,2027,6227,2027,6227,1990,6128,1990,6128,1954,6246,1954,6246,1917xe" filled="true" fillcolor="#50585e" stroked="false">
                  <v:path arrowok="t"/>
                  <v:fill type="solid"/>
                </v:shape>
                <v:shape style="position:absolute;left:6286;top:1916;width:219;height:185" type="#_x0000_t75" id="docshape18" stroked="false">
                  <v:imagedata r:id="rId17" o:title=""/>
                </v:shape>
                <v:shape style="position:absolute;left:1757;top:1805;width:8144;height:6682" id="docshape19" coordorigin="1758,1806" coordsize="8144,6682" path="m9901,1806l9881,1806,9881,1806,9862,1806,9862,1842,9862,8450,1798,8450,1798,1842,9862,1842,9862,1806,1768,1806,1768,1806,1758,1806,1758,1825,1768,1815,1768,1825,1768,8469,1768,8478,1758,8469,1768,8469,1768,1825,1758,1825,1758,8469,1758,8469,1758,8487,1778,8487,1777,8487,1778,8487,1788,8487,9882,8487,9881,8487,9901,8487,9901,8469,9891,8478,9891,8469,9891,8469,9901,8469,9901,1825,9901,1806xe" filled="true" fillcolor="#343739" stroked="false">
                  <v:path arrowok="t"/>
                  <v:fill type="solid"/>
                </v:shape>
                <v:shape style="position:absolute;left:4598;top:4787;width:4053;height:1307" type="#_x0000_t75" id="docshape20" stroked="false">
                  <v:imagedata r:id="rId18" o:title=""/>
                </v:shape>
                <v:shape style="position:absolute;left:5829;top:6849;width:2066;height:1325" type="#_x0000_t75" id="docshape21" stroked="false">
                  <v:imagedata r:id="rId19" o:title=""/>
                </v:shape>
                <v:shape style="position:absolute;left:4912;top:6117;width:719;height:1552" type="#_x0000_t75" id="docshape22" stroked="false">
                  <v:imagedata r:id="rId20" o:title=""/>
                </v:shape>
                <v:shape style="position:absolute;left:3346;top:6258;width:386;height:180" type="#_x0000_t202" id="docshape23" filled="false" stroked="false">
                  <v:textbox inset="0,0,0,0">
                    <w:txbxContent>
                      <w:p>
                        <w:pPr>
                          <w:spacing w:before="7"/>
                          <w:ind w:left="0" w:right="0" w:firstLine="0"/>
                          <w:jc w:val="left"/>
                          <w:rPr>
                            <w:rFonts w:ascii="Impact"/>
                            <w:sz w:val="14"/>
                          </w:rPr>
                        </w:pPr>
                        <w:r>
                          <w:rPr>
                            <w:rFonts w:ascii="Impact"/>
                            <w:color w:val="22282B"/>
                            <w:spacing w:val="-4"/>
                            <w:w w:val="115"/>
                            <w:sz w:val="14"/>
                          </w:rPr>
                          <w:t>ONDO</w:t>
                        </w:r>
                      </w:p>
                    </w:txbxContent>
                  </v:textbox>
                  <w10:wrap type="none"/>
                </v:shape>
                <v:shape style="position:absolute;left:3903;top:6608;width:266;height:180" type="#_x0000_t202" id="docshape24" filled="false" stroked="false">
                  <v:textbox inset="0,0,0,0">
                    <w:txbxContent>
                      <w:p>
                        <w:pPr>
                          <w:spacing w:before="7"/>
                          <w:ind w:left="0" w:right="0" w:firstLine="0"/>
                          <w:jc w:val="left"/>
                          <w:rPr>
                            <w:rFonts w:ascii="Impact"/>
                            <w:sz w:val="14"/>
                          </w:rPr>
                        </w:pPr>
                        <w:r>
                          <w:rPr>
                            <w:rFonts w:ascii="Impact"/>
                            <w:color w:val="22282B"/>
                            <w:spacing w:val="-5"/>
                            <w:w w:val="115"/>
                            <w:sz w:val="14"/>
                          </w:rPr>
                          <w:t>EDO</w:t>
                        </w:r>
                      </w:p>
                    </w:txbxContent>
                  </v:textbox>
                  <w10:wrap type="none"/>
                </v:shape>
                <v:shape style="position:absolute;left:3803;top:7436;width:429;height:203" type="#_x0000_t202" id="docshape25" filled="false" stroked="false">
                  <v:textbox inset="0,0,0,0">
                    <w:txbxContent>
                      <w:p>
                        <w:pPr>
                          <w:spacing w:before="5"/>
                          <w:ind w:left="0" w:right="0" w:firstLine="0"/>
                          <w:jc w:val="left"/>
                          <w:rPr>
                            <w:rFonts w:ascii="Impact"/>
                            <w:sz w:val="16"/>
                          </w:rPr>
                        </w:pPr>
                        <w:r>
                          <w:rPr>
                            <w:rFonts w:ascii="Impact"/>
                            <w:color w:val="22282B"/>
                            <w:spacing w:val="-2"/>
                            <w:w w:val="110"/>
                            <w:sz w:val="16"/>
                          </w:rPr>
                          <w:t>DELTA</w:t>
                        </w:r>
                      </w:p>
                    </w:txbxContent>
                  </v:textbox>
                  <w10:wrap type="none"/>
                </v:shape>
                <v:shape style="position:absolute;left:4498;top:7307;width:316;height:203" type="#_x0000_t202" id="docshape26" filled="false" stroked="false">
                  <v:textbox inset="0,0,0,0">
                    <w:txbxContent>
                      <w:p>
                        <w:pPr>
                          <w:spacing w:before="5"/>
                          <w:ind w:left="0" w:right="0" w:firstLine="0"/>
                          <w:jc w:val="left"/>
                          <w:rPr>
                            <w:rFonts w:ascii="Impact"/>
                            <w:sz w:val="16"/>
                          </w:rPr>
                        </w:pPr>
                        <w:r>
                          <w:rPr>
                            <w:rFonts w:ascii="Impact"/>
                            <w:color w:val="22282B"/>
                            <w:spacing w:val="-5"/>
                            <w:w w:val="110"/>
                            <w:sz w:val="16"/>
                          </w:rPr>
                          <w:t>IMO</w:t>
                        </w:r>
                      </w:p>
                    </w:txbxContent>
                  </v:textbox>
                  <w10:wrap type="none"/>
                </v:shape>
                <v:shape style="position:absolute;left:3744;top:7988;width:1096;height:272" type="#_x0000_t202" id="docshape27" filled="false" stroked="false">
                  <v:textbox inset="0,0,0,0">
                    <w:txbxContent>
                      <w:p>
                        <w:pPr>
                          <w:spacing w:before="7"/>
                          <w:ind w:left="0" w:right="0" w:firstLine="0"/>
                          <w:jc w:val="left"/>
                          <w:rPr>
                            <w:rFonts w:ascii="Impact"/>
                            <w:sz w:val="14"/>
                          </w:rPr>
                        </w:pPr>
                        <w:r>
                          <w:rPr>
                            <w:rFonts w:ascii="Impact"/>
                            <w:color w:val="22282B"/>
                            <w:w w:val="115"/>
                            <w:sz w:val="14"/>
                          </w:rPr>
                          <w:t>BAYELSA</w:t>
                        </w:r>
                        <w:r>
                          <w:rPr>
                            <w:rFonts w:ascii="Impact"/>
                            <w:color w:val="22282B"/>
                            <w:spacing w:val="72"/>
                            <w:w w:val="150"/>
                            <w:sz w:val="14"/>
                          </w:rPr>
                          <w:t> </w:t>
                        </w:r>
                        <w:r>
                          <w:rPr>
                            <w:rFonts w:ascii="Impact"/>
                            <w:color w:val="22282B"/>
                            <w:spacing w:val="-4"/>
                            <w:w w:val="115"/>
                            <w:position w:val="-8"/>
                            <w:sz w:val="14"/>
                          </w:rPr>
                          <w:t>RIVERS</w:t>
                        </w:r>
                      </w:p>
                    </w:txbxContent>
                  </v:textbox>
                  <w10:wrap type="none"/>
                </v:shape>
                <v:shape style="position:absolute;left:5114;top:7381;width:818;height:788" type="#_x0000_t202" id="docshape28" filled="false" stroked="false">
                  <v:textbox inset="0,0,0,0">
                    <w:txbxContent>
                      <w:p>
                        <w:pPr>
                          <w:spacing w:line="259" w:lineRule="auto" w:before="7"/>
                          <w:ind w:left="396" w:right="0" w:hanging="40"/>
                          <w:jc w:val="left"/>
                          <w:rPr>
                            <w:rFonts w:ascii="Impact"/>
                            <w:sz w:val="14"/>
                          </w:rPr>
                        </w:pPr>
                        <w:r>
                          <w:rPr>
                            <w:rFonts w:ascii="Impact"/>
                            <w:color w:val="22282B"/>
                            <w:spacing w:val="-2"/>
                            <w:w w:val="110"/>
                            <w:sz w:val="14"/>
                          </w:rPr>
                          <w:t>CROSS</w:t>
                        </w:r>
                        <w:r>
                          <w:rPr>
                            <w:rFonts w:ascii="Impact"/>
                            <w:color w:val="22282B"/>
                            <w:spacing w:val="40"/>
                            <w:w w:val="115"/>
                            <w:sz w:val="14"/>
                          </w:rPr>
                          <w:t> </w:t>
                        </w:r>
                        <w:r>
                          <w:rPr>
                            <w:rFonts w:ascii="Impact"/>
                            <w:color w:val="22282B"/>
                            <w:spacing w:val="-2"/>
                            <w:w w:val="115"/>
                            <w:sz w:val="14"/>
                          </w:rPr>
                          <w:t>RIVER</w:t>
                        </w:r>
                      </w:p>
                      <w:p>
                        <w:pPr>
                          <w:spacing w:line="259" w:lineRule="auto" w:before="42"/>
                          <w:ind w:left="19" w:right="167" w:hanging="20"/>
                          <w:jc w:val="left"/>
                          <w:rPr>
                            <w:rFonts w:ascii="Impact"/>
                            <w:sz w:val="14"/>
                          </w:rPr>
                        </w:pPr>
                        <w:r>
                          <w:rPr>
                            <w:rFonts w:ascii="Impact"/>
                            <w:color w:val="22282B"/>
                            <w:spacing w:val="-4"/>
                            <w:w w:val="110"/>
                            <w:sz w:val="14"/>
                          </w:rPr>
                          <w:t>AKWA</w:t>
                        </w:r>
                        <w:r>
                          <w:rPr>
                            <w:rFonts w:ascii="Impact"/>
                            <w:color w:val="22282B"/>
                            <w:spacing w:val="40"/>
                            <w:w w:val="115"/>
                            <w:sz w:val="14"/>
                          </w:rPr>
                          <w:t> </w:t>
                        </w:r>
                        <w:r>
                          <w:rPr>
                            <w:rFonts w:ascii="Impact"/>
                            <w:color w:val="22282B"/>
                            <w:spacing w:val="-4"/>
                            <w:w w:val="115"/>
                            <w:sz w:val="14"/>
                          </w:rPr>
                          <w:t>IBOM</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0567808">
                <wp:simplePos x="0" y="0"/>
                <wp:positionH relativeFrom="page">
                  <wp:posOffset>3775025</wp:posOffset>
                </wp:positionH>
                <wp:positionV relativeFrom="paragraph">
                  <wp:posOffset>2442379</wp:posOffset>
                </wp:positionV>
                <wp:extent cx="1270635" cy="914400"/>
                <wp:effectExtent l="0" t="0" r="0" b="0"/>
                <wp:wrapNone/>
                <wp:docPr id="47" name="Textbox 47"/>
                <wp:cNvGraphicFramePr>
                  <a:graphicFrameLocks/>
                </wp:cNvGraphicFramePr>
                <a:graphic>
                  <a:graphicData uri="http://schemas.microsoft.com/office/word/2010/wordprocessingShape">
                    <wps:wsp>
                      <wps:cNvPr id="47" name="Textbox 47"/>
                      <wps:cNvSpPr txBox="1"/>
                      <wps:spPr>
                        <a:xfrm rot="18360000">
                          <a:off x="0" y="0"/>
                          <a:ext cx="1270635"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5"/>
                                <w:sz w:val="144"/>
                              </w:rPr>
                              <w:t>OF</w:t>
                            </w:r>
                          </w:p>
                        </w:txbxContent>
                      </wps:txbx>
                      <wps:bodyPr wrap="square" lIns="0" tIns="0" rIns="0" bIns="0" rtlCol="0">
                        <a:noAutofit/>
                      </wps:bodyPr>
                    </wps:wsp>
                  </a:graphicData>
                </a:graphic>
              </wp:anchor>
            </w:drawing>
          </mc:Choice>
          <mc:Fallback>
            <w:pict>
              <v:shape style="position:absolute;margin-left:297.246118pt;margin-top:192.313345pt;width:100.05pt;height:72pt;mso-position-horizontal-relative:page;mso-position-vertical-relative:paragraph;z-index:-22748672;rotation:306" type="#_x0000_t136" fillcolor="#ff5400" stroked="f">
                <o:extrusion v:ext="view" autorotationcenter="t"/>
                <v:textpath style="font-family:&quot;Arial MT&quot;;font-size:72pt;v-text-kern:t;mso-text-shadow:auto" string="OF"/>
                <w10:wrap type="none"/>
              </v:shape>
            </w:pict>
          </mc:Fallback>
        </mc:AlternateContent>
      </w:r>
      <w:r>
        <w:rPr/>
        <w:t>The Niger Delta, an area of dense mangrove rainforest in the southern tip of Nigeria, comprises nine of Nigeria‟s thirty six states of the Federation.</w:t>
      </w:r>
      <w:r>
        <w:rPr>
          <w:spacing w:val="40"/>
        </w:rPr>
        <w:t> </w:t>
      </w:r>
      <w:r>
        <w:rPr/>
        <w:t>The states include Abia, Akwa Ibom, Bayelsa, Cross River, Delta, Edo, Imo, Ondo and Rivers states (Figure 1).</w:t>
      </w:r>
    </w:p>
    <w:p>
      <w:pPr>
        <w:pStyle w:val="BodyText"/>
        <w:spacing w:before="69"/>
        <w:ind w:left="0"/>
      </w:pPr>
    </w:p>
    <w:p>
      <w:pPr>
        <w:pStyle w:val="Heading2"/>
        <w:jc w:val="both"/>
      </w:pPr>
      <w:r>
        <w:rPr/>
        <mc:AlternateContent>
          <mc:Choice Requires="wps">
            <w:drawing>
              <wp:anchor distT="0" distB="0" distL="0" distR="0" allowOverlap="1" layoutInCell="1" locked="0" behindDoc="1" simplePos="0" relativeHeight="480568320">
                <wp:simplePos x="0" y="0"/>
                <wp:positionH relativeFrom="page">
                  <wp:posOffset>3159446</wp:posOffset>
                </wp:positionH>
                <wp:positionV relativeFrom="paragraph">
                  <wp:posOffset>-1002863</wp:posOffset>
                </wp:positionV>
                <wp:extent cx="189865" cy="114300"/>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189865" cy="114300"/>
                        </a:xfrm>
                        <a:prstGeom prst="rect">
                          <a:avLst/>
                        </a:prstGeom>
                      </wps:spPr>
                      <wps:txbx>
                        <w:txbxContent>
                          <w:p>
                            <w:pPr>
                              <w:spacing w:before="7"/>
                              <w:ind w:left="0" w:right="0" w:firstLine="0"/>
                              <w:jc w:val="left"/>
                              <w:rPr>
                                <w:rFonts w:ascii="Impact"/>
                                <w:sz w:val="14"/>
                              </w:rPr>
                            </w:pPr>
                            <w:r>
                              <w:rPr>
                                <w:rFonts w:ascii="Impact"/>
                                <w:color w:val="22282B"/>
                                <w:spacing w:val="-4"/>
                                <w:w w:val="110"/>
                                <w:sz w:val="14"/>
                              </w:rPr>
                              <w:t>ABIA</w:t>
                            </w:r>
                          </w:p>
                        </w:txbxContent>
                      </wps:txbx>
                      <wps:bodyPr wrap="square" lIns="0" tIns="0" rIns="0" bIns="0" rtlCol="0">
                        <a:noAutofit/>
                      </wps:bodyPr>
                    </wps:wsp>
                  </a:graphicData>
                </a:graphic>
              </wp:anchor>
            </w:drawing>
          </mc:Choice>
          <mc:Fallback>
            <w:pict>
              <v:shape style="position:absolute;margin-left:248.775284pt;margin-top:-78.96563pt;width:14.95pt;height:9pt;mso-position-horizontal-relative:page;mso-position-vertical-relative:paragraph;z-index:-22748160" type="#_x0000_t202" id="docshape29" filled="false" stroked="false">
                <v:textbox inset="0,0,0,0">
                  <w:txbxContent>
                    <w:p>
                      <w:pPr>
                        <w:spacing w:before="7"/>
                        <w:ind w:left="0" w:right="0" w:firstLine="0"/>
                        <w:jc w:val="left"/>
                        <w:rPr>
                          <w:rFonts w:ascii="Impact"/>
                          <w:sz w:val="14"/>
                        </w:rPr>
                      </w:pPr>
                      <w:r>
                        <w:rPr>
                          <w:rFonts w:ascii="Impact"/>
                          <w:color w:val="22282B"/>
                          <w:spacing w:val="-4"/>
                          <w:w w:val="110"/>
                          <w:sz w:val="14"/>
                        </w:rPr>
                        <w:t>ABIA</w:t>
                      </w:r>
                    </w:p>
                  </w:txbxContent>
                </v:textbox>
                <w10:wrap type="none"/>
              </v:shape>
            </w:pict>
          </mc:Fallback>
        </mc:AlternateContent>
      </w:r>
      <w:r>
        <w:rPr/>
        <w:t>Figure</w:t>
      </w:r>
      <w:r>
        <w:rPr>
          <w:spacing w:val="-2"/>
        </w:rPr>
        <w:t> </w:t>
      </w:r>
      <w:r>
        <w:rPr/>
        <w:t>1:</w:t>
      </w:r>
      <w:r>
        <w:rPr>
          <w:spacing w:val="30"/>
        </w:rPr>
        <w:t>  </w:t>
      </w:r>
      <w:r>
        <w:rPr/>
        <w:t>MAP</w:t>
      </w:r>
      <w:r>
        <w:rPr>
          <w:spacing w:val="-4"/>
        </w:rPr>
        <w:t> </w:t>
      </w:r>
      <w:r>
        <w:rPr/>
        <w:t>OF</w:t>
      </w:r>
      <w:r>
        <w:rPr>
          <w:spacing w:val="-3"/>
        </w:rPr>
        <w:t> </w:t>
      </w:r>
      <w:r>
        <w:rPr/>
        <w:t>NIGERIA</w:t>
      </w:r>
      <w:r>
        <w:rPr>
          <w:spacing w:val="-1"/>
        </w:rPr>
        <w:t> </w:t>
      </w:r>
      <w:r>
        <w:rPr/>
        <w:t>SHOWING</w:t>
      </w:r>
      <w:r>
        <w:rPr>
          <w:spacing w:val="-3"/>
        </w:rPr>
        <w:t> </w:t>
      </w:r>
      <w:r>
        <w:rPr/>
        <w:t>NIGER </w:t>
      </w:r>
      <w:r>
        <w:rPr>
          <w:spacing w:val="-2"/>
        </w:rPr>
        <w:t>DELTA</w:t>
      </w:r>
    </w:p>
    <w:p>
      <w:pPr>
        <w:spacing w:before="137"/>
        <w:ind w:left="1440" w:right="0" w:firstLine="0"/>
        <w:jc w:val="both"/>
        <w:rPr>
          <w:b/>
          <w:sz w:val="24"/>
        </w:rPr>
      </w:pPr>
      <w:r>
        <w:rPr>
          <w:b/>
          <w:sz w:val="24"/>
        </w:rPr>
        <w:t>Source:</w:t>
      </w:r>
      <w:r>
        <w:rPr>
          <w:b/>
          <w:spacing w:val="-2"/>
          <w:sz w:val="24"/>
        </w:rPr>
        <w:t> </w:t>
      </w:r>
      <w:r>
        <w:rPr>
          <w:b/>
          <w:sz w:val="24"/>
        </w:rPr>
        <w:t>UNDP</w:t>
      </w:r>
      <w:r>
        <w:rPr>
          <w:b/>
          <w:spacing w:val="-3"/>
          <w:sz w:val="24"/>
        </w:rPr>
        <w:t> </w:t>
      </w:r>
      <w:r>
        <w:rPr>
          <w:b/>
          <w:sz w:val="24"/>
        </w:rPr>
        <w:t>Niger</w:t>
      </w:r>
      <w:r>
        <w:rPr>
          <w:b/>
          <w:spacing w:val="-3"/>
          <w:sz w:val="24"/>
        </w:rPr>
        <w:t> </w:t>
      </w:r>
      <w:r>
        <w:rPr>
          <w:b/>
          <w:sz w:val="24"/>
        </w:rPr>
        <w:t>Delta</w:t>
      </w:r>
      <w:r>
        <w:rPr>
          <w:b/>
          <w:spacing w:val="-2"/>
          <w:sz w:val="24"/>
        </w:rPr>
        <w:t> </w:t>
      </w:r>
      <w:r>
        <w:rPr>
          <w:b/>
          <w:sz w:val="24"/>
        </w:rPr>
        <w:t>Human</w:t>
      </w:r>
      <w:r>
        <w:rPr>
          <w:b/>
          <w:spacing w:val="-2"/>
          <w:sz w:val="24"/>
        </w:rPr>
        <w:t> </w:t>
      </w:r>
      <w:r>
        <w:rPr>
          <w:b/>
          <w:sz w:val="24"/>
        </w:rPr>
        <w:t>Development</w:t>
      </w:r>
      <w:r>
        <w:rPr>
          <w:b/>
          <w:spacing w:val="-2"/>
          <w:sz w:val="24"/>
        </w:rPr>
        <w:t> </w:t>
      </w:r>
      <w:r>
        <w:rPr>
          <w:b/>
          <w:sz w:val="24"/>
        </w:rPr>
        <w:t>Report</w:t>
      </w:r>
      <w:r>
        <w:rPr>
          <w:b/>
          <w:spacing w:val="-2"/>
          <w:sz w:val="24"/>
        </w:rPr>
        <w:t> </w:t>
      </w:r>
      <w:r>
        <w:rPr>
          <w:b/>
          <w:spacing w:val="-4"/>
          <w:sz w:val="24"/>
        </w:rPr>
        <w:t>2006</w:t>
      </w:r>
    </w:p>
    <w:p>
      <w:pPr>
        <w:pStyle w:val="BodyText"/>
        <w:spacing w:line="360" w:lineRule="auto" w:before="109"/>
        <w:ind w:right="1256" w:firstLine="751"/>
        <w:jc w:val="both"/>
      </w:pPr>
      <w:r>
        <w:rPr/>
        <w:t>This area has remained the treasure base of the Nigerian nation state in the</w:t>
      </w:r>
      <w:r>
        <w:rPr>
          <w:spacing w:val="40"/>
        </w:rPr>
        <w:t> </w:t>
      </w:r>
      <w:r>
        <w:rPr/>
        <w:t>past five decades.</w:t>
      </w:r>
      <w:r>
        <w:rPr>
          <w:spacing w:val="40"/>
        </w:rPr>
        <w:t> </w:t>
      </w:r>
      <w:r>
        <w:rPr/>
        <w:t>The area is endowed with over 95 percent of Nigeria‟s oil and gas reserves.</w:t>
      </w:r>
      <w:r>
        <w:rPr>
          <w:spacing w:val="40"/>
        </w:rPr>
        <w:t> </w:t>
      </w:r>
      <w:r>
        <w:rPr/>
        <w:t>The Niger Delta is strategic to the growth and development of the Nigerian economy, which is heavily dependent on earnings from crude oil and natural gas export.</w:t>
      </w:r>
      <w:r>
        <w:rPr>
          <w:spacing w:val="40"/>
        </w:rPr>
        <w:t> </w:t>
      </w:r>
      <w:r>
        <w:rPr/>
        <w:t>These resources account for approximately 90 per cent of the value of Nigeria‟s export, 88 per cent of its total revenue and 40 per cent of Gross Domestic Product</w:t>
      </w:r>
      <w:r>
        <w:rPr>
          <w:spacing w:val="4"/>
        </w:rPr>
        <w:t> </w:t>
      </w:r>
      <w:r>
        <w:rPr/>
        <w:t>(GDP),</w:t>
      </w:r>
      <w:r>
        <w:rPr>
          <w:spacing w:val="5"/>
        </w:rPr>
        <w:t> </w:t>
      </w:r>
      <w:r>
        <w:rPr/>
        <w:t>(Ross</w:t>
      </w:r>
      <w:r>
        <w:rPr>
          <w:spacing w:val="4"/>
        </w:rPr>
        <w:t> </w:t>
      </w:r>
      <w:r>
        <w:rPr/>
        <w:t>2003:10).</w:t>
      </w:r>
      <w:r>
        <w:rPr>
          <w:spacing w:val="7"/>
        </w:rPr>
        <w:t> </w:t>
      </w:r>
      <w:r>
        <w:rPr/>
        <w:t>Ironically,</w:t>
      </w:r>
      <w:r>
        <w:rPr>
          <w:spacing w:val="3"/>
        </w:rPr>
        <w:t> </w:t>
      </w:r>
      <w:r>
        <w:rPr/>
        <w:t>the</w:t>
      </w:r>
      <w:r>
        <w:rPr>
          <w:spacing w:val="2"/>
        </w:rPr>
        <w:t> </w:t>
      </w:r>
      <w:r>
        <w:rPr/>
        <w:t>Niger</w:t>
      </w:r>
      <w:r>
        <w:rPr>
          <w:spacing w:val="3"/>
        </w:rPr>
        <w:t> </w:t>
      </w:r>
      <w:r>
        <w:rPr/>
        <w:t>Delta</w:t>
      </w:r>
      <w:r>
        <w:rPr>
          <w:spacing w:val="2"/>
        </w:rPr>
        <w:t> </w:t>
      </w:r>
      <w:r>
        <w:rPr/>
        <w:t>has</w:t>
      </w:r>
      <w:r>
        <w:rPr>
          <w:spacing w:val="3"/>
        </w:rPr>
        <w:t> </w:t>
      </w:r>
      <w:r>
        <w:rPr/>
        <w:t>been</w:t>
      </w:r>
      <w:r>
        <w:rPr>
          <w:spacing w:val="3"/>
        </w:rPr>
        <w:t> </w:t>
      </w:r>
      <w:r>
        <w:rPr/>
        <w:t>perceived</w:t>
      </w:r>
      <w:r>
        <w:rPr>
          <w:spacing w:val="3"/>
        </w:rPr>
        <w:t> </w:t>
      </w:r>
      <w:r>
        <w:rPr/>
        <w:t>as</w:t>
      </w:r>
      <w:r>
        <w:rPr>
          <w:spacing w:val="4"/>
        </w:rPr>
        <w:t> </w:t>
      </w:r>
      <w:r>
        <w:rPr>
          <w:spacing w:val="-5"/>
        </w:rPr>
        <w:t>one</w:t>
      </w:r>
    </w:p>
    <w:p>
      <w:pPr>
        <w:spacing w:after="0" w:line="360" w:lineRule="auto"/>
        <w:jc w:val="both"/>
        <w:sectPr>
          <w:footerReference w:type="default" r:id="rId6"/>
          <w:pgSz w:w="11910" w:h="16840"/>
          <w:pgMar w:header="0" w:footer="1561" w:top="1360" w:bottom="1760" w:left="720" w:right="180"/>
          <w:pgNumType w:start="1"/>
        </w:sectPr>
      </w:pPr>
    </w:p>
    <w:p>
      <w:pPr>
        <w:pStyle w:val="BodyText"/>
        <w:spacing w:line="360" w:lineRule="auto" w:before="60" w:after="4"/>
        <w:ind w:right="1255"/>
        <w:jc w:val="both"/>
      </w:pPr>
      <w:r>
        <w:rPr/>
        <mc:AlternateContent>
          <mc:Choice Requires="wps">
            <w:drawing>
              <wp:anchor distT="0" distB="0" distL="0" distR="0" allowOverlap="1" layoutInCell="1" locked="0" behindDoc="1" simplePos="0" relativeHeight="480569856">
                <wp:simplePos x="0" y="0"/>
                <wp:positionH relativeFrom="page">
                  <wp:posOffset>4231499</wp:posOffset>
                </wp:positionH>
                <wp:positionV relativeFrom="page">
                  <wp:posOffset>1961090</wp:posOffset>
                </wp:positionV>
                <wp:extent cx="3403600" cy="914400"/>
                <wp:effectExtent l="0" t="0" r="0" b="0"/>
                <wp:wrapNone/>
                <wp:docPr id="49" name="Textbox 49"/>
                <wp:cNvGraphicFramePr>
                  <a:graphicFrameLocks/>
                </wp:cNvGraphicFramePr>
                <a:graphic>
                  <a:graphicData uri="http://schemas.microsoft.com/office/word/2010/wordprocessingShape">
                    <wps:wsp>
                      <wps:cNvPr id="49" name="Textbox 49"/>
                      <wps:cNvSpPr txBox="1"/>
                      <wps:spPr>
                        <a:xfrm rot="18360000">
                          <a:off x="0" y="0"/>
                          <a:ext cx="3403600"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333.188934pt;margin-top:154.416569pt;width:268pt;height:72pt;mso-position-horizontal-relative:page;mso-position-vertical-relative:page;z-index:-22746624;rotation:306" type="#_x0000_t136" fillcolor="#ff5400" stroked="f">
                <o:extrusion v:ext="view" autorotationcenter="t"/>
                <v:textpath style="font-family:&quot;Arial MT&quot;;font-size:72pt;v-text-kern:t;mso-text-shadow:auto" string="IBADAN"/>
                <w10:wrap type="none"/>
              </v:shape>
            </w:pict>
          </mc:Fallback>
        </mc:AlternateContent>
      </w:r>
      <w:r>
        <w:rPr/>
        <w:drawing>
          <wp:anchor distT="0" distB="0" distL="0" distR="0" allowOverlap="1" layoutInCell="1" locked="0" behindDoc="1" simplePos="0" relativeHeight="480570368">
            <wp:simplePos x="0" y="0"/>
            <wp:positionH relativeFrom="page">
              <wp:posOffset>973454</wp:posOffset>
            </wp:positionH>
            <wp:positionV relativeFrom="paragraph">
              <wp:posOffset>806576</wp:posOffset>
            </wp:positionV>
            <wp:extent cx="2562098" cy="3038475"/>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21" cstate="print"/>
                    <a:stretch>
                      <a:fillRect/>
                    </a:stretch>
                  </pic:blipFill>
                  <pic:spPr>
                    <a:xfrm>
                      <a:off x="0" y="0"/>
                      <a:ext cx="2562098" cy="3038475"/>
                    </a:xfrm>
                    <a:prstGeom prst="rect">
                      <a:avLst/>
                    </a:prstGeom>
                  </pic:spPr>
                </pic:pic>
              </a:graphicData>
            </a:graphic>
          </wp:anchor>
        </w:drawing>
      </w:r>
      <w:r>
        <w:rPr/>
        <mc:AlternateContent>
          <mc:Choice Requires="wps">
            <w:drawing>
              <wp:anchor distT="0" distB="0" distL="0" distR="0" allowOverlap="1" layoutInCell="1" locked="0" behindDoc="1" simplePos="0" relativeHeight="480570880">
                <wp:simplePos x="0" y="0"/>
                <wp:positionH relativeFrom="page">
                  <wp:posOffset>-783205</wp:posOffset>
                </wp:positionH>
                <wp:positionV relativeFrom="page">
                  <wp:posOffset>6380077</wp:posOffset>
                </wp:positionV>
                <wp:extent cx="7012305" cy="914400"/>
                <wp:effectExtent l="0" t="0" r="0" b="0"/>
                <wp:wrapNone/>
                <wp:docPr id="51" name="Textbox 51"/>
                <wp:cNvGraphicFramePr>
                  <a:graphicFrameLocks/>
                </wp:cNvGraphicFramePr>
                <a:graphic>
                  <a:graphicData uri="http://schemas.microsoft.com/office/word/2010/wordprocessingShape">
                    <wps:wsp>
                      <wps:cNvPr id="51" name="Textbox 51"/>
                      <wps:cNvSpPr txBox="1"/>
                      <wps:spPr>
                        <a:xfrm rot="18360000">
                          <a:off x="0" y="0"/>
                          <a:ext cx="70123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w:t>
                            </w:r>
                            <w:r>
                              <w:rPr>
                                <w:rFonts w:ascii="Arial MT"/>
                                <w:color w:val="FF5400"/>
                                <w:spacing w:val="-5"/>
                                <w:sz w:val="144"/>
                              </w:rPr>
                              <w:t>OF</w:t>
                            </w:r>
                          </w:p>
                        </w:txbxContent>
                      </wps:txbx>
                      <wps:bodyPr wrap="square" lIns="0" tIns="0" rIns="0" bIns="0" rtlCol="0">
                        <a:noAutofit/>
                      </wps:bodyPr>
                    </wps:wsp>
                  </a:graphicData>
                </a:graphic>
              </wp:anchor>
            </w:drawing>
          </mc:Choice>
          <mc:Fallback>
            <w:pict>
              <v:shape style="position:absolute;margin-left:-61.669711pt;margin-top:502.368304pt;width:552.15pt;height:72pt;mso-position-horizontal-relative:page;mso-position-vertical-relative:page;z-index:-22745600;rotation:306" type="#_x0000_t136" fillcolor="#ff5400" stroked="f">
                <o:extrusion v:ext="view" autorotationcenter="t"/>
                <v:textpath style="font-family:&quot;Arial MT&quot;;font-size:72pt;v-text-kern:t;mso-text-shadow:auto" string="UNIVERSITY OF"/>
                <w10:wrap type="none"/>
              </v:shape>
            </w:pict>
          </mc:Fallback>
        </mc:AlternateContent>
      </w:r>
      <w:r>
        <w:rPr/>
        <w:t>of Nigeria‟s least developed regions.</w:t>
      </w:r>
      <w:r>
        <w:rPr>
          <w:spacing w:val="40"/>
        </w:rPr>
        <w:t> </w:t>
      </w:r>
      <w:r>
        <w:rPr/>
        <w:t>The Niger Delta region is, therefore, a place of intense exploration and exploitation of oil and gas with its attendant massive environmental degradation and pollution.</w:t>
      </w:r>
    </w:p>
    <w:p>
      <w:pPr>
        <w:pStyle w:val="BodyText"/>
        <w:ind w:left="5306"/>
        <w:rPr>
          <w:sz w:val="20"/>
        </w:rPr>
      </w:pPr>
      <w:r>
        <w:rPr>
          <w:sz w:val="20"/>
        </w:rPr>
        <w:drawing>
          <wp:inline distT="0" distB="0" distL="0" distR="0">
            <wp:extent cx="3520951" cy="3118104"/>
            <wp:effectExtent l="0" t="0" r="0" b="0"/>
            <wp:docPr id="52" name="Image 52"/>
            <wp:cNvGraphicFramePr>
              <a:graphicFrameLocks/>
            </wp:cNvGraphicFramePr>
            <a:graphic>
              <a:graphicData uri="http://schemas.openxmlformats.org/drawingml/2006/picture">
                <pic:pic>
                  <pic:nvPicPr>
                    <pic:cNvPr id="52" name="Image 52"/>
                    <pic:cNvPicPr/>
                  </pic:nvPicPr>
                  <pic:blipFill>
                    <a:blip r:embed="rId22" cstate="print"/>
                    <a:stretch>
                      <a:fillRect/>
                    </a:stretch>
                  </pic:blipFill>
                  <pic:spPr>
                    <a:xfrm>
                      <a:off x="0" y="0"/>
                      <a:ext cx="3520951" cy="3118104"/>
                    </a:xfrm>
                    <a:prstGeom prst="rect">
                      <a:avLst/>
                    </a:prstGeom>
                  </pic:spPr>
                </pic:pic>
              </a:graphicData>
            </a:graphic>
          </wp:inline>
        </w:drawing>
      </w:r>
      <w:r>
        <w:rPr>
          <w:sz w:val="20"/>
        </w:rPr>
      </w:r>
    </w:p>
    <w:p>
      <w:pPr>
        <w:tabs>
          <w:tab w:pos="5576" w:val="left" w:leader="none"/>
          <w:tab w:pos="5780" w:val="left" w:leader="none"/>
        </w:tabs>
        <w:spacing w:line="360" w:lineRule="auto" w:before="58"/>
        <w:ind w:left="1440" w:right="1744" w:firstLine="0"/>
        <w:jc w:val="left"/>
        <w:rPr>
          <w:b/>
          <w:sz w:val="24"/>
        </w:rPr>
      </w:pPr>
      <w:r>
        <w:rPr>
          <w:b/>
          <w:sz w:val="24"/>
        </w:rPr>
        <w:t>Plate 1: Shell Operations in</w:t>
        <w:tab/>
        <w:t>Plate</w:t>
      </w:r>
      <w:r>
        <w:rPr>
          <w:b/>
          <w:spacing w:val="-8"/>
          <w:sz w:val="24"/>
        </w:rPr>
        <w:t> </w:t>
      </w:r>
      <w:r>
        <w:rPr>
          <w:b/>
          <w:sz w:val="24"/>
        </w:rPr>
        <w:t>2:</w:t>
      </w:r>
      <w:r>
        <w:rPr>
          <w:b/>
          <w:spacing w:val="-8"/>
          <w:sz w:val="24"/>
        </w:rPr>
        <w:t> </w:t>
      </w:r>
      <w:r>
        <w:rPr>
          <w:b/>
          <w:sz w:val="24"/>
        </w:rPr>
        <w:t>Shell</w:t>
      </w:r>
      <w:r>
        <w:rPr>
          <w:b/>
          <w:spacing w:val="-8"/>
          <w:sz w:val="24"/>
        </w:rPr>
        <w:t> </w:t>
      </w:r>
      <w:r>
        <w:rPr>
          <w:b/>
          <w:sz w:val="24"/>
        </w:rPr>
        <w:t>Operations</w:t>
      </w:r>
      <w:r>
        <w:rPr>
          <w:b/>
          <w:spacing w:val="-8"/>
          <w:sz w:val="24"/>
        </w:rPr>
        <w:t> </w:t>
      </w:r>
      <w:r>
        <w:rPr>
          <w:b/>
          <w:sz w:val="24"/>
        </w:rPr>
        <w:t>in</w:t>
      </w:r>
      <w:r>
        <w:rPr>
          <w:b/>
          <w:spacing w:val="-8"/>
          <w:sz w:val="24"/>
        </w:rPr>
        <w:t> </w:t>
      </w:r>
      <w:r>
        <w:rPr>
          <w:b/>
          <w:sz w:val="24"/>
        </w:rPr>
        <w:t>Oloibiri Oloibiri, Bayelsa State</w:t>
        <w:tab/>
        <w:tab/>
        <w:t>Showing Polluted Areas</w:t>
      </w:r>
    </w:p>
    <w:p>
      <w:pPr>
        <w:tabs>
          <w:tab w:pos="5778" w:val="left" w:leader="none"/>
        </w:tabs>
        <w:spacing w:line="360" w:lineRule="auto" w:before="0"/>
        <w:ind w:left="1440" w:right="1927" w:firstLine="0"/>
        <w:jc w:val="left"/>
        <w:rPr>
          <w:b/>
          <w:sz w:val="24"/>
        </w:rPr>
      </w:pPr>
      <w:r>
        <w:rPr/>
        <w:drawing>
          <wp:anchor distT="0" distB="0" distL="0" distR="0" allowOverlap="1" layoutInCell="1" locked="0" behindDoc="0" simplePos="0" relativeHeight="15741952">
            <wp:simplePos x="0" y="0"/>
            <wp:positionH relativeFrom="page">
              <wp:posOffset>1390650</wp:posOffset>
            </wp:positionH>
            <wp:positionV relativeFrom="paragraph">
              <wp:posOffset>526205</wp:posOffset>
            </wp:positionV>
            <wp:extent cx="4303395" cy="2882264"/>
            <wp:effectExtent l="0" t="0" r="0" b="0"/>
            <wp:wrapNone/>
            <wp:docPr id="53" name="Image 53" descr="DSC00509"/>
            <wp:cNvGraphicFramePr>
              <a:graphicFrameLocks/>
            </wp:cNvGraphicFramePr>
            <a:graphic>
              <a:graphicData uri="http://schemas.openxmlformats.org/drawingml/2006/picture">
                <pic:pic>
                  <pic:nvPicPr>
                    <pic:cNvPr id="53" name="Image 53" descr="DSC00509"/>
                    <pic:cNvPicPr/>
                  </pic:nvPicPr>
                  <pic:blipFill>
                    <a:blip r:embed="rId23" cstate="print"/>
                    <a:stretch>
                      <a:fillRect/>
                    </a:stretch>
                  </pic:blipFill>
                  <pic:spPr>
                    <a:xfrm>
                      <a:off x="0" y="0"/>
                      <a:ext cx="4303395" cy="2882264"/>
                    </a:xfrm>
                    <a:prstGeom prst="rect">
                      <a:avLst/>
                    </a:prstGeom>
                  </pic:spPr>
                </pic:pic>
              </a:graphicData>
            </a:graphic>
          </wp:anchor>
        </w:drawing>
      </w:r>
      <w:r>
        <w:rPr>
          <w:b/>
          <w:sz w:val="24"/>
        </w:rPr>
        <w:t>Source : Googlesearch.com</w:t>
        <w:tab/>
        <w:t>Accessed</w:t>
      </w:r>
      <w:r>
        <w:rPr>
          <w:b/>
          <w:spacing w:val="-10"/>
          <w:sz w:val="24"/>
        </w:rPr>
        <w:t> </w:t>
      </w:r>
      <w:r>
        <w:rPr>
          <w:b/>
          <w:sz w:val="24"/>
        </w:rPr>
        <w:t>on</w:t>
      </w:r>
      <w:r>
        <w:rPr>
          <w:b/>
          <w:spacing w:val="-9"/>
          <w:sz w:val="24"/>
        </w:rPr>
        <w:t> </w:t>
      </w:r>
      <w:r>
        <w:rPr>
          <w:b/>
          <w:sz w:val="24"/>
        </w:rPr>
        <w:t>15</w:t>
      </w:r>
      <w:r>
        <w:rPr>
          <w:b/>
          <w:spacing w:val="-10"/>
          <w:sz w:val="24"/>
        </w:rPr>
        <w:t> </w:t>
      </w:r>
      <w:r>
        <w:rPr>
          <w:b/>
          <w:sz w:val="24"/>
        </w:rPr>
        <w:t>September,</w:t>
      </w:r>
      <w:r>
        <w:rPr>
          <w:b/>
          <w:spacing w:val="-8"/>
          <w:sz w:val="24"/>
        </w:rPr>
        <w:t> </w:t>
      </w:r>
      <w:r>
        <w:rPr>
          <w:b/>
          <w:sz w:val="24"/>
        </w:rPr>
        <w:t>2009 Accessed on 15 September, 2009</w:t>
      </w: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spacing w:before="263"/>
        <w:ind w:left="0"/>
        <w:rPr>
          <w:b/>
        </w:rPr>
      </w:pPr>
    </w:p>
    <w:p>
      <w:pPr>
        <w:spacing w:line="360" w:lineRule="auto" w:before="0"/>
        <w:ind w:left="1980" w:right="2080" w:hanging="60"/>
        <w:jc w:val="left"/>
        <w:rPr>
          <w:b/>
          <w:sz w:val="24"/>
        </w:rPr>
      </w:pPr>
      <w:r>
        <w:rPr>
          <w:b/>
          <w:sz w:val="24"/>
        </w:rPr>
        <w:t>Plate</w:t>
      </w:r>
      <w:r>
        <w:rPr>
          <w:b/>
          <w:spacing w:val="-6"/>
          <w:sz w:val="24"/>
        </w:rPr>
        <w:t> </w:t>
      </w:r>
      <w:r>
        <w:rPr>
          <w:b/>
          <w:sz w:val="24"/>
        </w:rPr>
        <w:t>3</w:t>
      </w:r>
      <w:r>
        <w:rPr>
          <w:b/>
          <w:spacing w:val="-5"/>
          <w:sz w:val="24"/>
        </w:rPr>
        <w:t> </w:t>
      </w:r>
      <w:r>
        <w:rPr>
          <w:b/>
          <w:sz w:val="24"/>
        </w:rPr>
        <w:t>:</w:t>
      </w:r>
      <w:r>
        <w:rPr>
          <w:b/>
          <w:spacing w:val="-5"/>
          <w:sz w:val="24"/>
        </w:rPr>
        <w:t> </w:t>
      </w:r>
      <w:r>
        <w:rPr>
          <w:b/>
          <w:sz w:val="24"/>
        </w:rPr>
        <w:t>Activities</w:t>
      </w:r>
      <w:r>
        <w:rPr>
          <w:b/>
          <w:spacing w:val="-3"/>
          <w:sz w:val="24"/>
        </w:rPr>
        <w:t> </w:t>
      </w:r>
      <w:r>
        <w:rPr>
          <w:b/>
          <w:sz w:val="24"/>
        </w:rPr>
        <w:t>of</w:t>
      </w:r>
      <w:r>
        <w:rPr>
          <w:b/>
          <w:spacing w:val="-4"/>
          <w:sz w:val="24"/>
        </w:rPr>
        <w:t> </w:t>
      </w:r>
      <w:r>
        <w:rPr>
          <w:b/>
          <w:sz w:val="24"/>
        </w:rPr>
        <w:t>Illegal</w:t>
      </w:r>
      <w:r>
        <w:rPr>
          <w:b/>
          <w:spacing w:val="-5"/>
          <w:sz w:val="24"/>
        </w:rPr>
        <w:t> </w:t>
      </w:r>
      <w:r>
        <w:rPr>
          <w:b/>
          <w:sz w:val="24"/>
        </w:rPr>
        <w:t>Refineries</w:t>
      </w:r>
      <w:r>
        <w:rPr>
          <w:b/>
          <w:spacing w:val="-5"/>
          <w:sz w:val="24"/>
        </w:rPr>
        <w:t> </w:t>
      </w:r>
      <w:r>
        <w:rPr>
          <w:b/>
          <w:sz w:val="24"/>
        </w:rPr>
        <w:t>Showing</w:t>
      </w:r>
      <w:r>
        <w:rPr>
          <w:b/>
          <w:spacing w:val="-5"/>
          <w:sz w:val="24"/>
        </w:rPr>
        <w:t> </w:t>
      </w:r>
      <w:r>
        <w:rPr>
          <w:b/>
          <w:sz w:val="24"/>
        </w:rPr>
        <w:t>Polluted</w:t>
      </w:r>
      <w:r>
        <w:rPr>
          <w:b/>
          <w:spacing w:val="-5"/>
          <w:sz w:val="24"/>
        </w:rPr>
        <w:t> </w:t>
      </w:r>
      <w:r>
        <w:rPr>
          <w:b/>
          <w:sz w:val="24"/>
        </w:rPr>
        <w:t>Areas Source : Researcher’s Fieldwork, 20 September,2010</w:t>
      </w:r>
    </w:p>
    <w:p>
      <w:pPr>
        <w:spacing w:after="0" w:line="360" w:lineRule="auto"/>
        <w:jc w:val="left"/>
        <w:rPr>
          <w:sz w:val="24"/>
        </w:rPr>
        <w:sectPr>
          <w:pgSz w:w="11910" w:h="16840"/>
          <w:pgMar w:header="0" w:footer="1561" w:top="1360" w:bottom="1760" w:left="720" w:right="180"/>
        </w:sectPr>
      </w:pPr>
    </w:p>
    <w:p>
      <w:pPr>
        <w:pStyle w:val="BodyText"/>
        <w:spacing w:before="53"/>
        <w:ind w:left="0"/>
        <w:rPr>
          <w:b/>
        </w:rPr>
      </w:pPr>
    </w:p>
    <w:p>
      <w:pPr>
        <w:pStyle w:val="BodyText"/>
        <w:spacing w:line="360" w:lineRule="auto"/>
        <w:ind w:right="1259" w:firstLine="60"/>
        <w:jc w:val="both"/>
      </w:pPr>
      <w:r>
        <w:rPr/>
        <w:t>According to Ogbogbo (2005: 169), “the minority status of the autochthonous</w:t>
      </w:r>
      <w:r>
        <w:rPr>
          <w:spacing w:val="40"/>
        </w:rPr>
        <w:t> </w:t>
      </w:r>
      <w:r>
        <w:rPr/>
        <w:t>peoples of the area has led to their political and economic marginalization in the</w:t>
      </w:r>
      <w:r>
        <w:rPr>
          <w:spacing w:val="40"/>
        </w:rPr>
        <w:t> </w:t>
      </w:r>
      <w:r>
        <w:rPr/>
        <w:t>larger Nigerian federation”.</w:t>
      </w:r>
      <w:r>
        <w:rPr>
          <w:spacing w:val="40"/>
        </w:rPr>
        <w:t> </w:t>
      </w:r>
      <w:r>
        <w:rPr/>
        <w:t>He</w:t>
      </w:r>
      <w:r>
        <w:rPr>
          <w:spacing w:val="-2"/>
        </w:rPr>
        <w:t> </w:t>
      </w:r>
      <w:r>
        <w:rPr/>
        <w:t>opined that this has imbued in them, a feeling</w:t>
      </w:r>
      <w:r>
        <w:rPr>
          <w:spacing w:val="-2"/>
        </w:rPr>
        <w:t> </w:t>
      </w:r>
      <w:r>
        <w:rPr/>
        <w:t>of</w:t>
      </w:r>
      <w:r>
        <w:rPr>
          <w:spacing w:val="-1"/>
        </w:rPr>
        <w:t> </w:t>
      </w:r>
      <w:r>
        <w:rPr/>
        <w:t>utter neglect, relegation and discrimination.</w:t>
      </w:r>
      <w:r>
        <w:rPr>
          <w:spacing w:val="40"/>
        </w:rPr>
        <w:t> </w:t>
      </w:r>
      <w:r>
        <w:rPr/>
        <w:t>Other problems of the area include; poverty, high level of unemployment, lack of poor socio-economic infrastructure where available, communal conflict, piracy, armed robbery, kidnapping and general state of insecurity.(</w:t>
      </w:r>
      <w:r>
        <w:rPr>
          <w:i/>
        </w:rPr>
        <w:t>Newswatch Magazine</w:t>
      </w:r>
      <w:r>
        <w:rPr/>
        <w:t>,(Lagos), June 8, 2009)</w:t>
      </w:r>
    </w:p>
    <w:p>
      <w:pPr>
        <w:pStyle w:val="BodyText"/>
        <w:spacing w:line="360" w:lineRule="auto"/>
        <w:ind w:right="1257" w:firstLine="720"/>
        <w:jc w:val="both"/>
      </w:pPr>
      <w:r>
        <w:rPr/>
        <mc:AlternateContent>
          <mc:Choice Requires="wps">
            <w:drawing>
              <wp:anchor distT="0" distB="0" distL="0" distR="0" allowOverlap="1" layoutInCell="1" locked="0" behindDoc="1" simplePos="0" relativeHeight="480572416">
                <wp:simplePos x="0" y="0"/>
                <wp:positionH relativeFrom="page">
                  <wp:posOffset>4006151</wp:posOffset>
                </wp:positionH>
                <wp:positionV relativeFrom="paragraph">
                  <wp:posOffset>1795379</wp:posOffset>
                </wp:positionV>
                <wp:extent cx="2875280" cy="1891664"/>
                <wp:effectExtent l="0" t="0" r="0" b="0"/>
                <wp:wrapNone/>
                <wp:docPr id="54" name="Group 54"/>
                <wp:cNvGraphicFramePr>
                  <a:graphicFrameLocks/>
                </wp:cNvGraphicFramePr>
                <a:graphic>
                  <a:graphicData uri="http://schemas.microsoft.com/office/word/2010/wordprocessingGroup">
                    <wpg:wgp>
                      <wpg:cNvPr id="54" name="Group 54"/>
                      <wpg:cNvGrpSpPr/>
                      <wpg:grpSpPr>
                        <a:xfrm>
                          <a:off x="0" y="0"/>
                          <a:ext cx="2875280" cy="1891664"/>
                          <a:chExt cx="2875280" cy="1891664"/>
                        </a:xfrm>
                      </wpg:grpSpPr>
                      <pic:pic>
                        <pic:nvPicPr>
                          <pic:cNvPr id="55" name="Image 55"/>
                          <pic:cNvPicPr/>
                        </pic:nvPicPr>
                        <pic:blipFill>
                          <a:blip r:embed="rId24" cstate="print"/>
                          <a:stretch>
                            <a:fillRect/>
                          </a:stretch>
                        </pic:blipFill>
                        <pic:spPr>
                          <a:xfrm>
                            <a:off x="28638" y="28511"/>
                            <a:ext cx="2818129" cy="1834514"/>
                          </a:xfrm>
                          <a:prstGeom prst="rect">
                            <a:avLst/>
                          </a:prstGeom>
                        </pic:spPr>
                      </pic:pic>
                      <wps:wsp>
                        <wps:cNvPr id="56" name="Graphic 56"/>
                        <wps:cNvSpPr/>
                        <wps:spPr>
                          <a:xfrm>
                            <a:off x="14287" y="14287"/>
                            <a:ext cx="2846705" cy="1863089"/>
                          </a:xfrm>
                          <a:custGeom>
                            <a:avLst/>
                            <a:gdLst/>
                            <a:ahLst/>
                            <a:cxnLst/>
                            <a:rect l="l" t="t" r="r" b="b"/>
                            <a:pathLst>
                              <a:path w="2846705" h="1863089">
                                <a:moveTo>
                                  <a:pt x="0" y="1863089"/>
                                </a:moveTo>
                                <a:lnTo>
                                  <a:pt x="2846705" y="1863089"/>
                                </a:lnTo>
                                <a:lnTo>
                                  <a:pt x="2846705" y="0"/>
                                </a:lnTo>
                                <a:lnTo>
                                  <a:pt x="0" y="0"/>
                                </a:lnTo>
                                <a:lnTo>
                                  <a:pt x="0" y="1863089"/>
                                </a:lnTo>
                                <a:close/>
                              </a:path>
                            </a:pathLst>
                          </a:custGeom>
                          <a:ln w="2857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5.445007pt;margin-top:141.368469pt;width:226.4pt;height:148.950pt;mso-position-horizontal-relative:page;mso-position-vertical-relative:paragraph;z-index:-22744064" id="docshapegroup30" coordorigin="6309,2827" coordsize="4528,2979">
                <v:shape style="position:absolute;left:6354;top:2872;width:4438;height:2889" type="#_x0000_t75" id="docshape31" stroked="false">
                  <v:imagedata r:id="rId24" o:title=""/>
                </v:shape>
                <v:rect style="position:absolute;left:6331;top:2849;width:4483;height:2934" id="docshape32" filled="false" stroked="true" strokeweight="2.25pt" strokecolor="#000000">
                  <v:stroke dashstyle="solid"/>
                </v:rect>
                <w10:wrap type="none"/>
              </v:group>
            </w:pict>
          </mc:Fallback>
        </mc:AlternateContent>
      </w:r>
      <w:r>
        <w:rPr/>
        <w:t>Allegation of neglect by the Federal Government had led to conflict between the people and the Federal Government in the region for many years. This began to surge</w:t>
      </w:r>
      <w:r>
        <w:rPr>
          <w:spacing w:val="-7"/>
        </w:rPr>
        <w:t> </w:t>
      </w:r>
      <w:r>
        <w:rPr/>
        <w:t>appreciably</w:t>
      </w:r>
      <w:r>
        <w:rPr>
          <w:spacing w:val="-10"/>
        </w:rPr>
        <w:t> </w:t>
      </w:r>
      <w:r>
        <w:rPr/>
        <w:t>in</w:t>
      </w:r>
      <w:r>
        <w:rPr>
          <w:spacing w:val="-5"/>
        </w:rPr>
        <w:t> </w:t>
      </w:r>
      <w:r>
        <w:rPr/>
        <w:t>the</w:t>
      </w:r>
      <w:r>
        <w:rPr>
          <w:spacing w:val="-6"/>
        </w:rPr>
        <w:t> </w:t>
      </w:r>
      <w:r>
        <w:rPr/>
        <w:t>late</w:t>
      </w:r>
      <w:r>
        <w:rPr>
          <w:spacing w:val="-4"/>
        </w:rPr>
        <w:t> </w:t>
      </w:r>
      <w:r>
        <w:rPr/>
        <w:t>1990s</w:t>
      </w:r>
      <w:r>
        <w:rPr>
          <w:spacing w:val="-6"/>
        </w:rPr>
        <w:t> </w:t>
      </w:r>
      <w:r>
        <w:rPr/>
        <w:t>and</w:t>
      </w:r>
      <w:r>
        <w:rPr>
          <w:spacing w:val="-3"/>
        </w:rPr>
        <w:t> </w:t>
      </w:r>
      <w:r>
        <w:rPr/>
        <w:t>was</w:t>
      </w:r>
      <w:r>
        <w:rPr>
          <w:spacing w:val="-6"/>
        </w:rPr>
        <w:t> </w:t>
      </w:r>
      <w:r>
        <w:rPr/>
        <w:t>facilitated</w:t>
      </w:r>
      <w:r>
        <w:rPr>
          <w:spacing w:val="-5"/>
        </w:rPr>
        <w:t> </w:t>
      </w:r>
      <w:r>
        <w:rPr/>
        <w:t>by</w:t>
      </w:r>
      <w:r>
        <w:rPr>
          <w:spacing w:val="-10"/>
        </w:rPr>
        <w:t> </w:t>
      </w:r>
      <w:r>
        <w:rPr/>
        <w:t>poverty, youths‟</w:t>
      </w:r>
      <w:r>
        <w:rPr>
          <w:spacing w:val="-4"/>
        </w:rPr>
        <w:t> </w:t>
      </w:r>
      <w:r>
        <w:rPr/>
        <w:t>restiveness, political disenfranchisement, and proliferation of Small Arms and Light Weapons (SALW). These led to various armed factions and criminal gangs. The armed groups fought each other over the control of the illegally acquired oil (bunkering) and engaged in violent acts against oil and gas companies.</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53"/>
        <w:ind w:left="0"/>
        <w:rPr>
          <w:sz w:val="20"/>
        </w:rPr>
      </w:pPr>
    </w:p>
    <w:p>
      <w:pPr>
        <w:spacing w:after="0"/>
        <w:rPr>
          <w:sz w:val="20"/>
        </w:rPr>
        <w:sectPr>
          <w:pgSz w:w="11910" w:h="16840"/>
          <w:pgMar w:header="0" w:footer="1561" w:top="1920" w:bottom="1760" w:left="720" w:right="180"/>
        </w:sectPr>
      </w:pPr>
    </w:p>
    <w:p>
      <w:pPr>
        <w:pStyle w:val="BodyText"/>
        <w:ind w:left="0"/>
      </w:pPr>
    </w:p>
    <w:p>
      <w:pPr>
        <w:pStyle w:val="BodyText"/>
        <w:ind w:left="0"/>
      </w:pPr>
    </w:p>
    <w:p>
      <w:pPr>
        <w:pStyle w:val="BodyText"/>
        <w:ind w:left="0"/>
      </w:pPr>
    </w:p>
    <w:p>
      <w:pPr>
        <w:pStyle w:val="BodyText"/>
        <w:spacing w:before="227"/>
        <w:ind w:left="0"/>
      </w:pPr>
    </w:p>
    <w:p>
      <w:pPr>
        <w:spacing w:before="0"/>
        <w:ind w:left="1500" w:right="0" w:hanging="60"/>
        <w:jc w:val="left"/>
        <w:rPr>
          <w:b/>
          <w:sz w:val="24"/>
        </w:rPr>
      </w:pPr>
      <w:r>
        <w:rPr>
          <w:b/>
          <w:sz w:val="24"/>
        </w:rPr>
        <w:t>Plate</w:t>
      </w:r>
      <w:r>
        <w:rPr>
          <w:b/>
          <w:spacing w:val="-13"/>
          <w:sz w:val="24"/>
        </w:rPr>
        <w:t> </w:t>
      </w:r>
      <w:r>
        <w:rPr>
          <w:b/>
          <w:sz w:val="24"/>
        </w:rPr>
        <w:t>4:</w:t>
      </w:r>
      <w:r>
        <w:rPr>
          <w:b/>
          <w:spacing w:val="-13"/>
          <w:sz w:val="24"/>
        </w:rPr>
        <w:t> </w:t>
      </w:r>
      <w:r>
        <w:rPr>
          <w:b/>
          <w:sz w:val="24"/>
        </w:rPr>
        <w:t>Captured</w:t>
      </w:r>
      <w:r>
        <w:rPr>
          <w:b/>
          <w:spacing w:val="-13"/>
          <w:sz w:val="24"/>
        </w:rPr>
        <w:t> </w:t>
      </w:r>
      <w:r>
        <w:rPr>
          <w:b/>
          <w:sz w:val="24"/>
        </w:rPr>
        <w:t>Militant’s Weapons Magazine</w:t>
      </w:r>
    </w:p>
    <w:p>
      <w:pPr>
        <w:spacing w:before="1"/>
        <w:ind w:left="1440" w:right="0" w:firstLine="0"/>
        <w:jc w:val="left"/>
        <w:rPr>
          <w:b/>
          <w:sz w:val="24"/>
        </w:rPr>
      </w:pPr>
      <w:r>
        <w:rPr>
          <w:b/>
          <w:sz w:val="24"/>
        </w:rPr>
        <w:t>Source:</w:t>
      </w:r>
      <w:r>
        <w:rPr>
          <w:b/>
          <w:spacing w:val="-5"/>
          <w:sz w:val="24"/>
        </w:rPr>
        <w:t> </w:t>
      </w:r>
      <w:r>
        <w:rPr>
          <w:b/>
          <w:sz w:val="24"/>
        </w:rPr>
        <w:t>Researcher’s</w:t>
      </w:r>
      <w:r>
        <w:rPr>
          <w:b/>
          <w:spacing w:val="-2"/>
          <w:sz w:val="24"/>
        </w:rPr>
        <w:t> </w:t>
      </w:r>
      <w:r>
        <w:rPr>
          <w:b/>
          <w:spacing w:val="-2"/>
          <w:sz w:val="24"/>
        </w:rPr>
        <w:t>Fieldwork</w:t>
      </w:r>
    </w:p>
    <w:p>
      <w:pPr>
        <w:spacing w:line="360" w:lineRule="auto" w:before="90"/>
        <w:ind w:left="687" w:right="974" w:hanging="60"/>
        <w:jc w:val="left"/>
        <w:rPr>
          <w:b/>
          <w:sz w:val="24"/>
        </w:rPr>
      </w:pPr>
      <w:r>
        <w:rPr/>
        <w:br w:type="column"/>
      </w:r>
      <w:r>
        <w:rPr>
          <w:b/>
          <w:sz w:val="24"/>
        </w:rPr>
        <w:t>Plate</w:t>
      </w:r>
      <w:r>
        <w:rPr>
          <w:b/>
          <w:spacing w:val="-10"/>
          <w:sz w:val="24"/>
        </w:rPr>
        <w:t> </w:t>
      </w:r>
      <w:r>
        <w:rPr>
          <w:b/>
          <w:sz w:val="24"/>
        </w:rPr>
        <w:t>5:</w:t>
      </w:r>
      <w:r>
        <w:rPr>
          <w:b/>
          <w:spacing w:val="-9"/>
          <w:sz w:val="24"/>
        </w:rPr>
        <w:t> </w:t>
      </w:r>
      <w:r>
        <w:rPr>
          <w:b/>
          <w:sz w:val="24"/>
        </w:rPr>
        <w:t>Captured</w:t>
      </w:r>
      <w:r>
        <w:rPr>
          <w:b/>
          <w:spacing w:val="-9"/>
          <w:sz w:val="24"/>
        </w:rPr>
        <w:t> </w:t>
      </w:r>
      <w:r>
        <w:rPr>
          <w:b/>
          <w:sz w:val="24"/>
        </w:rPr>
        <w:t>Militant’s</w:t>
      </w:r>
      <w:r>
        <w:rPr>
          <w:b/>
          <w:spacing w:val="-10"/>
          <w:sz w:val="24"/>
        </w:rPr>
        <w:t> </w:t>
      </w:r>
      <w:r>
        <w:rPr>
          <w:b/>
          <w:sz w:val="24"/>
        </w:rPr>
        <w:t>Weapons Source: Researcher’s Fieldwork,</w:t>
      </w:r>
    </w:p>
    <w:p>
      <w:pPr>
        <w:spacing w:before="0"/>
        <w:ind w:left="747" w:right="0" w:firstLine="0"/>
        <w:jc w:val="left"/>
        <w:rPr>
          <w:b/>
          <w:sz w:val="24"/>
        </w:rPr>
      </w:pPr>
      <w:r>
        <w:rPr/>
        <mc:AlternateContent>
          <mc:Choice Requires="wps">
            <w:drawing>
              <wp:anchor distT="0" distB="0" distL="0" distR="0" allowOverlap="1" layoutInCell="1" locked="0" behindDoc="1" simplePos="0" relativeHeight="480571904">
                <wp:simplePos x="0" y="0"/>
                <wp:positionH relativeFrom="page">
                  <wp:posOffset>846455</wp:posOffset>
                </wp:positionH>
                <wp:positionV relativeFrom="paragraph">
                  <wp:posOffset>-2382697</wp:posOffset>
                </wp:positionV>
                <wp:extent cx="2679065" cy="2541905"/>
                <wp:effectExtent l="0" t="0" r="0" b="0"/>
                <wp:wrapNone/>
                <wp:docPr id="57" name="Group 57"/>
                <wp:cNvGraphicFramePr>
                  <a:graphicFrameLocks/>
                </wp:cNvGraphicFramePr>
                <a:graphic>
                  <a:graphicData uri="http://schemas.microsoft.com/office/word/2010/wordprocessingGroup">
                    <wpg:wgp>
                      <wpg:cNvPr id="57" name="Group 57"/>
                      <wpg:cNvGrpSpPr/>
                      <wpg:grpSpPr>
                        <a:xfrm>
                          <a:off x="0" y="0"/>
                          <a:ext cx="2679065" cy="2541905"/>
                          <a:chExt cx="2679065" cy="2541905"/>
                        </a:xfrm>
                      </wpg:grpSpPr>
                      <pic:pic>
                        <pic:nvPicPr>
                          <pic:cNvPr id="58" name="Image 58"/>
                          <pic:cNvPicPr/>
                        </pic:nvPicPr>
                        <pic:blipFill>
                          <a:blip r:embed="rId25" cstate="print"/>
                          <a:stretch>
                            <a:fillRect/>
                          </a:stretch>
                        </pic:blipFill>
                        <pic:spPr>
                          <a:xfrm>
                            <a:off x="28574" y="28511"/>
                            <a:ext cx="2621914" cy="2484754"/>
                          </a:xfrm>
                          <a:prstGeom prst="rect">
                            <a:avLst/>
                          </a:prstGeom>
                        </pic:spPr>
                      </pic:pic>
                      <wps:wsp>
                        <wps:cNvPr id="59" name="Graphic 59"/>
                        <wps:cNvSpPr/>
                        <wps:spPr>
                          <a:xfrm>
                            <a:off x="14287" y="14287"/>
                            <a:ext cx="2650490" cy="2513330"/>
                          </a:xfrm>
                          <a:custGeom>
                            <a:avLst/>
                            <a:gdLst/>
                            <a:ahLst/>
                            <a:cxnLst/>
                            <a:rect l="l" t="t" r="r" b="b"/>
                            <a:pathLst>
                              <a:path w="2650490" h="2513330">
                                <a:moveTo>
                                  <a:pt x="0" y="2513330"/>
                                </a:moveTo>
                                <a:lnTo>
                                  <a:pt x="2650490" y="2513330"/>
                                </a:lnTo>
                                <a:lnTo>
                                  <a:pt x="2650490" y="0"/>
                                </a:lnTo>
                                <a:lnTo>
                                  <a:pt x="0" y="0"/>
                                </a:lnTo>
                                <a:lnTo>
                                  <a:pt x="0" y="2513330"/>
                                </a:lnTo>
                                <a:close/>
                              </a:path>
                            </a:pathLst>
                          </a:custGeom>
                          <a:ln w="285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6.650002pt;margin-top:-187.613983pt;width:210.95pt;height:200.15pt;mso-position-horizontal-relative:page;mso-position-vertical-relative:paragraph;z-index:-22744576" id="docshapegroup33" coordorigin="1333,-3752" coordsize="4219,4003">
                <v:shape style="position:absolute;left:1378;top:-3708;width:4129;height:3913" type="#_x0000_t75" id="docshape34" stroked="false">
                  <v:imagedata r:id="rId25" o:title=""/>
                </v:shape>
                <v:rect style="position:absolute;left:1355;top:-3730;width:4174;height:3958" id="docshape35" filled="false" stroked="true" strokeweight="2.25pt" strokecolor="#000000">
                  <v:stroke dashstyle="solid"/>
                </v:rect>
                <w10:wrap type="none"/>
              </v:group>
            </w:pict>
          </mc:Fallback>
        </mc:AlternateContent>
      </w:r>
      <w:r>
        <w:rPr>
          <w:b/>
          <w:sz w:val="24"/>
        </w:rPr>
        <w:t>20</w:t>
      </w:r>
      <w:r>
        <w:rPr>
          <w:b/>
          <w:spacing w:val="-4"/>
          <w:sz w:val="24"/>
        </w:rPr>
        <w:t> </w:t>
      </w:r>
      <w:r>
        <w:rPr>
          <w:b/>
          <w:sz w:val="24"/>
        </w:rPr>
        <w:t>September,</w:t>
      </w:r>
      <w:r>
        <w:rPr>
          <w:b/>
          <w:spacing w:val="-3"/>
          <w:sz w:val="24"/>
        </w:rPr>
        <w:t> </w:t>
      </w:r>
      <w:r>
        <w:rPr>
          <w:b/>
          <w:spacing w:val="-4"/>
          <w:sz w:val="24"/>
        </w:rPr>
        <w:t>2010</w:t>
      </w:r>
    </w:p>
    <w:p>
      <w:pPr>
        <w:spacing w:after="0"/>
        <w:jc w:val="left"/>
        <w:rPr>
          <w:sz w:val="24"/>
        </w:rPr>
        <w:sectPr>
          <w:type w:val="continuous"/>
          <w:pgSz w:w="11910" w:h="16840"/>
          <w:pgMar w:header="0" w:footer="1561" w:top="1360" w:bottom="280" w:left="720" w:right="180"/>
          <w:cols w:num="2" w:equalWidth="0">
            <w:col w:w="4734" w:space="40"/>
            <w:col w:w="6236"/>
          </w:cols>
        </w:sectPr>
      </w:pPr>
    </w:p>
    <w:p>
      <w:pPr>
        <w:pStyle w:val="BodyText"/>
        <w:spacing w:before="134"/>
        <w:ind w:left="0"/>
        <w:rPr>
          <w:b/>
        </w:rPr>
      </w:pPr>
      <w:r>
        <w:rPr/>
        <mc:AlternateContent>
          <mc:Choice Requires="wps">
            <w:drawing>
              <wp:anchor distT="0" distB="0" distL="0" distR="0" allowOverlap="1" layoutInCell="1" locked="0" behindDoc="1" simplePos="0" relativeHeight="480572928">
                <wp:simplePos x="0" y="0"/>
                <wp:positionH relativeFrom="page">
                  <wp:posOffset>-1537026</wp:posOffset>
                </wp:positionH>
                <wp:positionV relativeFrom="page">
                  <wp:posOffset>4900424</wp:posOffset>
                </wp:positionV>
                <wp:extent cx="10669905" cy="914400"/>
                <wp:effectExtent l="0" t="0" r="0" b="0"/>
                <wp:wrapNone/>
                <wp:docPr id="60" name="Textbox 60"/>
                <wp:cNvGraphicFramePr>
                  <a:graphicFrameLocks/>
                </wp:cNvGraphicFramePr>
                <a:graphic>
                  <a:graphicData uri="http://schemas.microsoft.com/office/word/2010/wordprocessingShape">
                    <wps:wsp>
                      <wps:cNvPr id="60" name="Textbox 60"/>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43552;rotation:306" type="#_x0000_t136" fillcolor="#ff5400" stroked="f">
                <o:extrusion v:ext="view" autorotationcenter="t"/>
                <v:textpath style="font-family:&quot;Arial MT&quot;;font-size:72pt;v-text-kern:t;mso-text-shadow:auto" string="UNIVERSITY OF IBADAN"/>
                <w10:wrap type="none"/>
              </v:shape>
            </w:pict>
          </mc:Fallback>
        </mc:AlternateContent>
      </w:r>
    </w:p>
    <w:p>
      <w:pPr>
        <w:pStyle w:val="BodyText"/>
        <w:spacing w:line="360" w:lineRule="auto"/>
        <w:ind w:right="1260" w:firstLine="780"/>
      </w:pPr>
      <w:r>
        <w:rPr/>
        <w:t>The</w:t>
      </w:r>
      <w:r>
        <w:rPr>
          <w:spacing w:val="34"/>
        </w:rPr>
        <w:t> </w:t>
      </w:r>
      <w:r>
        <w:rPr/>
        <w:t>government</w:t>
      </w:r>
      <w:r>
        <w:rPr>
          <w:spacing w:val="34"/>
        </w:rPr>
        <w:t> </w:t>
      </w:r>
      <w:r>
        <w:rPr/>
        <w:t>responded</w:t>
      </w:r>
      <w:r>
        <w:rPr>
          <w:spacing w:val="33"/>
        </w:rPr>
        <w:t> </w:t>
      </w:r>
      <w:r>
        <w:rPr/>
        <w:t>to</w:t>
      </w:r>
      <w:r>
        <w:rPr>
          <w:spacing w:val="34"/>
        </w:rPr>
        <w:t> </w:t>
      </w:r>
      <w:r>
        <w:rPr/>
        <w:t>the</w:t>
      </w:r>
      <w:r>
        <w:rPr>
          <w:spacing w:val="32"/>
        </w:rPr>
        <w:t> </w:t>
      </w:r>
      <w:r>
        <w:rPr/>
        <w:t>conflict</w:t>
      </w:r>
      <w:r>
        <w:rPr>
          <w:spacing w:val="33"/>
        </w:rPr>
        <w:t> </w:t>
      </w:r>
      <w:r>
        <w:rPr/>
        <w:t>by</w:t>
      </w:r>
      <w:r>
        <w:rPr>
          <w:spacing w:val="28"/>
        </w:rPr>
        <w:t> </w:t>
      </w:r>
      <w:r>
        <w:rPr/>
        <w:t>the</w:t>
      </w:r>
      <w:r>
        <w:rPr>
          <w:spacing w:val="32"/>
        </w:rPr>
        <w:t> </w:t>
      </w:r>
      <w:r>
        <w:rPr/>
        <w:t>use</w:t>
      </w:r>
      <w:r>
        <w:rPr>
          <w:spacing w:val="35"/>
        </w:rPr>
        <w:t> </w:t>
      </w:r>
      <w:r>
        <w:rPr/>
        <w:t>of</w:t>
      </w:r>
      <w:r>
        <w:rPr>
          <w:spacing w:val="38"/>
        </w:rPr>
        <w:t> </w:t>
      </w:r>
      <w:r>
        <w:rPr/>
        <w:t>military</w:t>
      </w:r>
      <w:r>
        <w:rPr>
          <w:spacing w:val="31"/>
        </w:rPr>
        <w:t> </w:t>
      </w:r>
      <w:r>
        <w:rPr/>
        <w:t>force</w:t>
      </w:r>
      <w:r>
        <w:rPr>
          <w:spacing w:val="32"/>
        </w:rPr>
        <w:t> </w:t>
      </w:r>
      <w:r>
        <w:rPr/>
        <w:t>and economic programmes of intervention and succour.(</w:t>
      </w:r>
      <w:r>
        <w:rPr>
          <w:i/>
        </w:rPr>
        <w:t>ThisDay, </w:t>
      </w:r>
      <w:r>
        <w:rPr/>
        <w:t>March 8, 2006)</w:t>
      </w:r>
    </w:p>
    <w:p>
      <w:pPr>
        <w:pStyle w:val="BodyText"/>
        <w:spacing w:line="360" w:lineRule="auto"/>
        <w:ind w:right="1260" w:firstLine="720"/>
      </w:pPr>
      <w:r>
        <w:rPr/>
        <w:t>Previous</w:t>
      </w:r>
      <w:r>
        <w:rPr>
          <w:spacing w:val="40"/>
        </w:rPr>
        <w:t> </w:t>
      </w:r>
      <w:r>
        <w:rPr/>
        <w:t>governments</w:t>
      </w:r>
      <w:r>
        <w:rPr>
          <w:spacing w:val="40"/>
        </w:rPr>
        <w:t> </w:t>
      </w:r>
      <w:r>
        <w:rPr/>
        <w:t>largely</w:t>
      </w:r>
      <w:r>
        <w:rPr>
          <w:spacing w:val="40"/>
        </w:rPr>
        <w:t> </w:t>
      </w:r>
      <w:r>
        <w:rPr/>
        <w:t>ignored</w:t>
      </w:r>
      <w:r>
        <w:rPr>
          <w:spacing w:val="40"/>
        </w:rPr>
        <w:t> </w:t>
      </w:r>
      <w:r>
        <w:rPr/>
        <w:t>the</w:t>
      </w:r>
      <w:r>
        <w:rPr>
          <w:spacing w:val="40"/>
        </w:rPr>
        <w:t> </w:t>
      </w:r>
      <w:r>
        <w:rPr/>
        <w:t>Niger</w:t>
      </w:r>
      <w:r>
        <w:rPr>
          <w:spacing w:val="40"/>
        </w:rPr>
        <w:t> </w:t>
      </w:r>
      <w:r>
        <w:rPr/>
        <w:t>Delta,</w:t>
      </w:r>
      <w:r>
        <w:rPr>
          <w:spacing w:val="40"/>
        </w:rPr>
        <w:t> </w:t>
      </w:r>
      <w:r>
        <w:rPr/>
        <w:t>partly</w:t>
      </w:r>
      <w:r>
        <w:rPr>
          <w:spacing w:val="40"/>
        </w:rPr>
        <w:t> </w:t>
      </w:r>
      <w:r>
        <w:rPr/>
        <w:t>because</w:t>
      </w:r>
      <w:r>
        <w:rPr>
          <w:spacing w:val="40"/>
        </w:rPr>
        <w:t> </w:t>
      </w:r>
      <w:r>
        <w:rPr/>
        <w:t>its</w:t>
      </w:r>
      <w:r>
        <w:rPr>
          <w:spacing w:val="40"/>
        </w:rPr>
        <w:t> </w:t>
      </w:r>
      <w:r>
        <w:rPr/>
        <w:t>geographical terrain made it relatively inaccessible.</w:t>
      </w:r>
      <w:r>
        <w:rPr>
          <w:spacing w:val="40"/>
        </w:rPr>
        <w:t> </w:t>
      </w:r>
      <w:r>
        <w:rPr/>
        <w:t>In fact, the Niger Delta‟s</w:t>
      </w:r>
    </w:p>
    <w:p>
      <w:pPr>
        <w:spacing w:after="0" w:line="360" w:lineRule="auto"/>
        <w:sectPr>
          <w:type w:val="continuous"/>
          <w:pgSz w:w="11910" w:h="16840"/>
          <w:pgMar w:header="0" w:footer="1561" w:top="1360" w:bottom="280" w:left="720" w:right="180"/>
        </w:sectPr>
      </w:pPr>
    </w:p>
    <w:p>
      <w:pPr>
        <w:pStyle w:val="BodyText"/>
        <w:spacing w:line="360" w:lineRule="auto" w:before="60"/>
        <w:ind w:right="1265"/>
        <w:jc w:val="both"/>
      </w:pPr>
      <w:r>
        <w:rPr/>
        <mc:AlternateContent>
          <mc:Choice Requires="wps">
            <w:drawing>
              <wp:anchor distT="0" distB="0" distL="0" distR="0" allowOverlap="1" layoutInCell="1" locked="0" behindDoc="1" simplePos="0" relativeHeight="480574464">
                <wp:simplePos x="0" y="0"/>
                <wp:positionH relativeFrom="page">
                  <wp:posOffset>-468867</wp:posOffset>
                </wp:positionH>
                <wp:positionV relativeFrom="page">
                  <wp:posOffset>6996504</wp:posOffset>
                </wp:positionV>
                <wp:extent cx="5487670" cy="914400"/>
                <wp:effectExtent l="0" t="0" r="0" b="0"/>
                <wp:wrapNone/>
                <wp:docPr id="61" name="Textbox 61"/>
                <wp:cNvGraphicFramePr>
                  <a:graphicFrameLocks/>
                </wp:cNvGraphicFramePr>
                <a:graphic>
                  <a:graphicData uri="http://schemas.microsoft.com/office/word/2010/wordprocessingShape">
                    <wps:wsp>
                      <wps:cNvPr id="61" name="Textbox 61"/>
                      <wps:cNvSpPr txBox="1"/>
                      <wps:spPr>
                        <a:xfrm rot="18360000">
                          <a:off x="0" y="0"/>
                          <a:ext cx="5487670"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UNIVERSITY</w:t>
                            </w:r>
                          </w:p>
                        </w:txbxContent>
                      </wps:txbx>
                      <wps:bodyPr wrap="square" lIns="0" tIns="0" rIns="0" bIns="0" rtlCol="0">
                        <a:noAutofit/>
                      </wps:bodyPr>
                    </wps:wsp>
                  </a:graphicData>
                </a:graphic>
              </wp:anchor>
            </w:drawing>
          </mc:Choice>
          <mc:Fallback>
            <w:pict>
              <v:shape style="position:absolute;margin-left:-36.918713pt;margin-top:550.905835pt;width:432.1pt;height:72pt;mso-position-horizontal-relative:page;mso-position-vertical-relative:page;z-index:-22742016;rotation:306" type="#_x0000_t136" fillcolor="#ff5400" stroked="f">
                <o:extrusion v:ext="view" autorotationcenter="t"/>
                <v:textpath style="font-family:&quot;Arial MT&quot;;font-size:72pt;v-text-kern:t;mso-text-shadow:auto" string="UNIVERSITY"/>
                <w10:wrap type="none"/>
              </v:shape>
            </w:pict>
          </mc:Fallback>
        </mc:AlternateContent>
      </w:r>
      <w:r>
        <w:rPr/>
        <mc:AlternateContent>
          <mc:Choice Requires="wps">
            <w:drawing>
              <wp:anchor distT="0" distB="0" distL="0" distR="0" allowOverlap="1" layoutInCell="1" locked="0" behindDoc="1" simplePos="0" relativeHeight="480574976">
                <wp:simplePos x="0" y="0"/>
                <wp:positionH relativeFrom="page">
                  <wp:posOffset>4231499</wp:posOffset>
                </wp:positionH>
                <wp:positionV relativeFrom="page">
                  <wp:posOffset>1961090</wp:posOffset>
                </wp:positionV>
                <wp:extent cx="3403600" cy="914400"/>
                <wp:effectExtent l="0" t="0" r="0" b="0"/>
                <wp:wrapNone/>
                <wp:docPr id="62" name="Textbox 62"/>
                <wp:cNvGraphicFramePr>
                  <a:graphicFrameLocks/>
                </wp:cNvGraphicFramePr>
                <a:graphic>
                  <a:graphicData uri="http://schemas.microsoft.com/office/word/2010/wordprocessingShape">
                    <wps:wsp>
                      <wps:cNvPr id="62" name="Textbox 62"/>
                      <wps:cNvSpPr txBox="1"/>
                      <wps:spPr>
                        <a:xfrm rot="18360000">
                          <a:off x="0" y="0"/>
                          <a:ext cx="3403600"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333.188934pt;margin-top:154.416569pt;width:268pt;height:72pt;mso-position-horizontal-relative:page;mso-position-vertical-relative:page;z-index:-22741504;rotation:306" type="#_x0000_t136" fillcolor="#ff5400" stroked="f">
                <o:extrusion v:ext="view" autorotationcenter="t"/>
                <v:textpath style="font-family:&quot;Arial MT&quot;;font-size:72pt;v-text-kern:t;mso-text-shadow:auto" string="IBADAN"/>
                <w10:wrap type="none"/>
              </v:shape>
            </w:pict>
          </mc:Fallback>
        </mc:AlternateContent>
      </w:r>
      <w:r>
        <w:rPr/>
        <w:t>topography constitutes a risk factor. This type of terrain in the Niger Delta can</w:t>
      </w:r>
      <w:r>
        <w:rPr>
          <w:spacing w:val="40"/>
        </w:rPr>
        <w:t> </w:t>
      </w:r>
      <w:r>
        <w:rPr/>
        <w:t>provide a safe haven for guerrilla fighters that outnumber the legitimate government forces.</w:t>
      </w:r>
      <w:r>
        <w:rPr>
          <w:spacing w:val="40"/>
        </w:rPr>
        <w:t> </w:t>
      </w:r>
      <w:r>
        <w:rPr/>
        <w:t>It has also been observed that the long period of military rule in Nigeria has contributed to bad governance and corruption.</w:t>
      </w:r>
    </w:p>
    <w:p>
      <w:pPr>
        <w:pStyle w:val="BodyText"/>
        <w:spacing w:line="360" w:lineRule="auto" w:before="1"/>
        <w:ind w:right="1260" w:firstLine="720"/>
        <w:jc w:val="both"/>
      </w:pPr>
      <w:r>
        <w:rPr/>
        <mc:AlternateContent>
          <mc:Choice Requires="wps">
            <w:drawing>
              <wp:anchor distT="0" distB="0" distL="0" distR="0" allowOverlap="1" layoutInCell="1" locked="0" behindDoc="1" simplePos="0" relativeHeight="480573952">
                <wp:simplePos x="0" y="0"/>
                <wp:positionH relativeFrom="page">
                  <wp:posOffset>3775025</wp:posOffset>
                </wp:positionH>
                <wp:positionV relativeFrom="paragraph">
                  <wp:posOffset>2095699</wp:posOffset>
                </wp:positionV>
                <wp:extent cx="1270635" cy="914400"/>
                <wp:effectExtent l="0" t="0" r="0" b="0"/>
                <wp:wrapNone/>
                <wp:docPr id="63" name="Textbox 63"/>
                <wp:cNvGraphicFramePr>
                  <a:graphicFrameLocks/>
                </wp:cNvGraphicFramePr>
                <a:graphic>
                  <a:graphicData uri="http://schemas.microsoft.com/office/word/2010/wordprocessingShape">
                    <wps:wsp>
                      <wps:cNvPr id="63" name="Textbox 63"/>
                      <wps:cNvSpPr txBox="1"/>
                      <wps:spPr>
                        <a:xfrm rot="18360000">
                          <a:off x="0" y="0"/>
                          <a:ext cx="1270635"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5"/>
                                <w:sz w:val="144"/>
                              </w:rPr>
                              <w:t>OF</w:t>
                            </w:r>
                          </w:p>
                        </w:txbxContent>
                      </wps:txbx>
                      <wps:bodyPr wrap="square" lIns="0" tIns="0" rIns="0" bIns="0" rtlCol="0">
                        <a:noAutofit/>
                      </wps:bodyPr>
                    </wps:wsp>
                  </a:graphicData>
                </a:graphic>
              </wp:anchor>
            </w:drawing>
          </mc:Choice>
          <mc:Fallback>
            <w:pict>
              <v:shape style="position:absolute;margin-left:297.246118pt;margin-top:165.015692pt;width:100.05pt;height:72pt;mso-position-horizontal-relative:page;mso-position-vertical-relative:paragraph;z-index:-22742528;rotation:306" type="#_x0000_t136" fillcolor="#ff5400" stroked="f">
                <o:extrusion v:ext="view" autorotationcenter="t"/>
                <v:textpath style="font-family:&quot;Arial MT&quot;;font-size:72pt;v-text-kern:t;mso-text-shadow:auto" string="OF"/>
                <w10:wrap type="none"/>
              </v:shape>
            </w:pict>
          </mc:Fallback>
        </mc:AlternateContent>
      </w:r>
      <w:r>
        <w:rPr/>
        <w:t>The Niger Delta region, most especially Rivers, Delta and Bayelsa States has remained key flash points of political and criminal violence in Nigeria. Until recently when the Federal Government started its amnesty programme for Niger Delta militants, general insecurity occasioned by ethno-communal crises and widespread cult and criminal activities by restive youths abound in the region. Militant gangs proliferated at an uncontrollable rate in the region.</w:t>
      </w:r>
    </w:p>
    <w:p>
      <w:pPr>
        <w:pStyle w:val="BodyText"/>
        <w:spacing w:before="9"/>
        <w:ind w:left="0"/>
        <w:rPr>
          <w:sz w:val="18"/>
        </w:rPr>
      </w:pPr>
      <w:r>
        <w:rPr/>
        <mc:AlternateContent>
          <mc:Choice Requires="wps">
            <w:drawing>
              <wp:anchor distT="0" distB="0" distL="0" distR="0" allowOverlap="1" layoutInCell="1" locked="0" behindDoc="1" simplePos="0" relativeHeight="487603200">
                <wp:simplePos x="0" y="0"/>
                <wp:positionH relativeFrom="page">
                  <wp:posOffset>878839</wp:posOffset>
                </wp:positionH>
                <wp:positionV relativeFrom="paragraph">
                  <wp:posOffset>152623</wp:posOffset>
                </wp:positionV>
                <wp:extent cx="5877560" cy="3836035"/>
                <wp:effectExtent l="0" t="0" r="0" b="0"/>
                <wp:wrapTopAndBottom/>
                <wp:docPr id="64" name="Group 64"/>
                <wp:cNvGraphicFramePr>
                  <a:graphicFrameLocks/>
                </wp:cNvGraphicFramePr>
                <a:graphic>
                  <a:graphicData uri="http://schemas.microsoft.com/office/word/2010/wordprocessingGroup">
                    <wpg:wgp>
                      <wpg:cNvPr id="64" name="Group 64"/>
                      <wpg:cNvGrpSpPr/>
                      <wpg:grpSpPr>
                        <a:xfrm>
                          <a:off x="0" y="0"/>
                          <a:ext cx="5877560" cy="3836035"/>
                          <a:chExt cx="5877560" cy="3836035"/>
                        </a:xfrm>
                      </wpg:grpSpPr>
                      <pic:pic>
                        <pic:nvPicPr>
                          <pic:cNvPr id="65" name="Image 65"/>
                          <pic:cNvPicPr/>
                        </pic:nvPicPr>
                        <pic:blipFill>
                          <a:blip r:embed="rId26" cstate="print"/>
                          <a:stretch>
                            <a:fillRect/>
                          </a:stretch>
                        </pic:blipFill>
                        <pic:spPr>
                          <a:xfrm>
                            <a:off x="38099" y="38100"/>
                            <a:ext cx="5801360" cy="3759835"/>
                          </a:xfrm>
                          <a:prstGeom prst="rect">
                            <a:avLst/>
                          </a:prstGeom>
                        </pic:spPr>
                      </pic:pic>
                      <wps:wsp>
                        <wps:cNvPr id="66" name="Graphic 66"/>
                        <wps:cNvSpPr/>
                        <wps:spPr>
                          <a:xfrm>
                            <a:off x="19050" y="19050"/>
                            <a:ext cx="5839460" cy="3797935"/>
                          </a:xfrm>
                          <a:custGeom>
                            <a:avLst/>
                            <a:gdLst/>
                            <a:ahLst/>
                            <a:cxnLst/>
                            <a:rect l="l" t="t" r="r" b="b"/>
                            <a:pathLst>
                              <a:path w="5839460" h="3797935">
                                <a:moveTo>
                                  <a:pt x="0" y="3797935"/>
                                </a:moveTo>
                                <a:lnTo>
                                  <a:pt x="5839460" y="3797935"/>
                                </a:lnTo>
                                <a:lnTo>
                                  <a:pt x="5839460" y="0"/>
                                </a:lnTo>
                                <a:lnTo>
                                  <a:pt x="0" y="0"/>
                                </a:lnTo>
                                <a:lnTo>
                                  <a:pt x="0" y="3797935"/>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9.199997pt;margin-top:12.017578pt;width:462.8pt;height:302.05pt;mso-position-horizontal-relative:page;mso-position-vertical-relative:paragraph;z-index:-15713280;mso-wrap-distance-left:0;mso-wrap-distance-right:0" id="docshapegroup36" coordorigin="1384,240" coordsize="9256,6041">
                <v:shape style="position:absolute;left:1444;top:300;width:9136;height:5921" type="#_x0000_t75" id="docshape37" stroked="false">
                  <v:imagedata r:id="rId26" o:title=""/>
                </v:shape>
                <v:rect style="position:absolute;left:1414;top:270;width:9196;height:5981" id="docshape38" filled="false" stroked="true" strokeweight="3pt" strokecolor="#000000">
                  <v:stroke dashstyle="solid"/>
                </v:rect>
                <w10:wrap type="topAndBottom"/>
              </v:group>
            </w:pict>
          </mc:Fallback>
        </mc:AlternateContent>
      </w:r>
    </w:p>
    <w:p>
      <w:pPr>
        <w:spacing w:line="242" w:lineRule="auto" w:before="207"/>
        <w:ind w:left="1500" w:right="3654" w:hanging="60"/>
        <w:jc w:val="left"/>
        <w:rPr>
          <w:rFonts w:ascii="Calibri"/>
          <w:b/>
          <w:sz w:val="22"/>
        </w:rPr>
      </w:pPr>
      <w:r>
        <w:rPr>
          <w:b/>
          <w:sz w:val="24"/>
        </w:rPr>
        <w:t>Plate</w:t>
      </w:r>
      <w:r>
        <w:rPr>
          <w:b/>
          <w:spacing w:val="-5"/>
          <w:sz w:val="24"/>
        </w:rPr>
        <w:t> </w:t>
      </w:r>
      <w:r>
        <w:rPr>
          <w:b/>
          <w:sz w:val="24"/>
        </w:rPr>
        <w:t>6:</w:t>
      </w:r>
      <w:r>
        <w:rPr>
          <w:b/>
          <w:spacing w:val="80"/>
          <w:sz w:val="24"/>
        </w:rPr>
        <w:t> </w:t>
      </w:r>
      <w:r>
        <w:rPr>
          <w:b/>
          <w:sz w:val="24"/>
        </w:rPr>
        <w:t>Typical</w:t>
      </w:r>
      <w:r>
        <w:rPr>
          <w:b/>
          <w:spacing w:val="-4"/>
          <w:sz w:val="24"/>
        </w:rPr>
        <w:t> </w:t>
      </w:r>
      <w:r>
        <w:rPr>
          <w:b/>
          <w:sz w:val="24"/>
        </w:rPr>
        <w:t>Militant</w:t>
      </w:r>
      <w:r>
        <w:rPr>
          <w:b/>
          <w:spacing w:val="-4"/>
          <w:sz w:val="24"/>
        </w:rPr>
        <w:t> </w:t>
      </w:r>
      <w:r>
        <w:rPr>
          <w:b/>
          <w:sz w:val="24"/>
        </w:rPr>
        <w:t>Groups</w:t>
      </w:r>
      <w:r>
        <w:rPr>
          <w:b/>
          <w:spacing w:val="-4"/>
          <w:sz w:val="24"/>
        </w:rPr>
        <w:t> </w:t>
      </w:r>
      <w:r>
        <w:rPr>
          <w:b/>
          <w:sz w:val="24"/>
        </w:rPr>
        <w:t>in</w:t>
      </w:r>
      <w:r>
        <w:rPr>
          <w:b/>
          <w:spacing w:val="-3"/>
          <w:sz w:val="24"/>
        </w:rPr>
        <w:t> </w:t>
      </w:r>
      <w:r>
        <w:rPr>
          <w:b/>
          <w:sz w:val="24"/>
        </w:rPr>
        <w:t>the</w:t>
      </w:r>
      <w:r>
        <w:rPr>
          <w:b/>
          <w:spacing w:val="-5"/>
          <w:sz w:val="24"/>
        </w:rPr>
        <w:t> </w:t>
      </w:r>
      <w:r>
        <w:rPr>
          <w:b/>
          <w:sz w:val="24"/>
        </w:rPr>
        <w:t>Niger</w:t>
      </w:r>
      <w:r>
        <w:rPr>
          <w:b/>
          <w:spacing w:val="-3"/>
          <w:sz w:val="24"/>
        </w:rPr>
        <w:t> </w:t>
      </w:r>
      <w:r>
        <w:rPr>
          <w:b/>
          <w:sz w:val="24"/>
        </w:rPr>
        <w:t>Delta Source: </w:t>
      </w:r>
      <w:hyperlink r:id="rId27">
        <w:r>
          <w:rPr>
            <w:b/>
            <w:sz w:val="24"/>
            <w:u w:val="single"/>
          </w:rPr>
          <w:t>www.google.com</w:t>
        </w:r>
        <w:r>
          <w:rPr>
            <w:rFonts w:ascii="Calibri"/>
            <w:sz w:val="22"/>
          </w:rPr>
          <w:t>.</w:t>
        </w:r>
      </w:hyperlink>
      <w:r>
        <w:rPr>
          <w:rFonts w:ascii="Calibri"/>
          <w:sz w:val="22"/>
        </w:rPr>
        <w:t> </w:t>
      </w:r>
      <w:r>
        <w:rPr>
          <w:rFonts w:ascii="Calibri"/>
          <w:b/>
          <w:sz w:val="22"/>
        </w:rPr>
        <w:t>Accessed 15/09/2010</w:t>
      </w:r>
    </w:p>
    <w:p>
      <w:pPr>
        <w:pStyle w:val="BodyText"/>
        <w:spacing w:line="360" w:lineRule="auto" w:before="235"/>
        <w:ind w:right="1258" w:firstLine="960"/>
        <w:jc w:val="both"/>
      </w:pPr>
      <w:r>
        <w:rPr/>
        <w:t>The militants blew up oil installations, kidnapped oil workers (for ransom) and provided security</w:t>
      </w:r>
      <w:r>
        <w:rPr>
          <w:spacing w:val="-4"/>
        </w:rPr>
        <w:t> </w:t>
      </w:r>
      <w:r>
        <w:rPr/>
        <w:t>for illegal oil bunkering</w:t>
      </w:r>
      <w:r>
        <w:rPr>
          <w:spacing w:val="-2"/>
        </w:rPr>
        <w:t> </w:t>
      </w:r>
      <w:r>
        <w:rPr/>
        <w:t>activities. At this moment, the</w:t>
      </w:r>
      <w:r>
        <w:rPr>
          <w:spacing w:val="-1"/>
        </w:rPr>
        <w:t> </w:t>
      </w:r>
      <w:r>
        <w:rPr/>
        <w:t>conflicts were no longer restricted to the issues of ecology, marginalization and resource</w:t>
      </w:r>
      <w:r>
        <w:rPr>
          <w:spacing w:val="40"/>
        </w:rPr>
        <w:t> </w:t>
      </w:r>
      <w:r>
        <w:rPr/>
        <w:t>control but also self- enervating.</w:t>
      </w:r>
      <w:r>
        <w:rPr>
          <w:spacing w:val="40"/>
        </w:rPr>
        <w:t> </w:t>
      </w:r>
      <w:r>
        <w:rPr/>
        <w:t>Many of the militant youths saw armed conflict as a vocation</w:t>
      </w:r>
      <w:r>
        <w:rPr>
          <w:spacing w:val="-1"/>
        </w:rPr>
        <w:t> </w:t>
      </w:r>
      <w:r>
        <w:rPr/>
        <w:t>or</w:t>
      </w:r>
      <w:r>
        <w:rPr>
          <w:spacing w:val="-2"/>
        </w:rPr>
        <w:t> </w:t>
      </w:r>
      <w:r>
        <w:rPr/>
        <w:t>business</w:t>
      </w:r>
      <w:r>
        <w:rPr>
          <w:spacing w:val="-1"/>
        </w:rPr>
        <w:t> </w:t>
      </w:r>
      <w:r>
        <w:rPr/>
        <w:t>from</w:t>
      </w:r>
      <w:r>
        <w:rPr>
          <w:spacing w:val="-1"/>
        </w:rPr>
        <w:t> </w:t>
      </w:r>
      <w:r>
        <w:rPr/>
        <w:t>which</w:t>
      </w:r>
      <w:r>
        <w:rPr>
          <w:spacing w:val="-1"/>
        </w:rPr>
        <w:t> </w:t>
      </w:r>
      <w:r>
        <w:rPr/>
        <w:t>to earn a</w:t>
      </w:r>
      <w:r>
        <w:rPr>
          <w:spacing w:val="-2"/>
        </w:rPr>
        <w:t> </w:t>
      </w:r>
      <w:r>
        <w:rPr/>
        <w:t>living.</w:t>
      </w:r>
      <w:r>
        <w:rPr>
          <w:spacing w:val="2"/>
        </w:rPr>
        <w:t> </w:t>
      </w:r>
      <w:r>
        <w:rPr/>
        <w:t>All</w:t>
      </w:r>
      <w:r>
        <w:rPr>
          <w:spacing w:val="-1"/>
        </w:rPr>
        <w:t> </w:t>
      </w:r>
      <w:r>
        <w:rPr/>
        <w:t>of</w:t>
      </w:r>
      <w:r>
        <w:rPr>
          <w:spacing w:val="-1"/>
        </w:rPr>
        <w:t> </w:t>
      </w:r>
      <w:r>
        <w:rPr/>
        <w:t>these</w:t>
      </w:r>
      <w:r>
        <w:rPr>
          <w:spacing w:val="-1"/>
        </w:rPr>
        <w:t> </w:t>
      </w:r>
      <w:r>
        <w:rPr/>
        <w:t>posed</w:t>
      </w:r>
      <w:r>
        <w:rPr>
          <w:spacing w:val="1"/>
        </w:rPr>
        <w:t> </w:t>
      </w:r>
      <w:r>
        <w:rPr/>
        <w:t>threat</w:t>
      </w:r>
      <w:r>
        <w:rPr>
          <w:spacing w:val="1"/>
        </w:rPr>
        <w:t> </w:t>
      </w:r>
      <w:r>
        <w:rPr/>
        <w:t>to </w:t>
      </w:r>
      <w:r>
        <w:rPr>
          <w:spacing w:val="-4"/>
        </w:rPr>
        <w:t>Nigeria‟s</w:t>
      </w:r>
    </w:p>
    <w:p>
      <w:pPr>
        <w:spacing w:after="0" w:line="360" w:lineRule="auto"/>
        <w:jc w:val="both"/>
        <w:sectPr>
          <w:pgSz w:w="11910" w:h="16840"/>
          <w:pgMar w:header="0" w:footer="1561" w:top="1360" w:bottom="1760" w:left="720" w:right="180"/>
        </w:sectPr>
      </w:pPr>
    </w:p>
    <w:p>
      <w:pPr>
        <w:pStyle w:val="BodyText"/>
        <w:spacing w:line="360" w:lineRule="auto" w:before="60"/>
        <w:ind w:right="1258"/>
        <w:jc w:val="both"/>
      </w:pPr>
      <w:r>
        <w:rPr/>
        <mc:AlternateContent>
          <mc:Choice Requires="wps">
            <w:drawing>
              <wp:anchor distT="0" distB="0" distL="0" distR="0" allowOverlap="1" layoutInCell="1" locked="0" behindDoc="1" simplePos="0" relativeHeight="480575488">
                <wp:simplePos x="0" y="0"/>
                <wp:positionH relativeFrom="page">
                  <wp:posOffset>-1537026</wp:posOffset>
                </wp:positionH>
                <wp:positionV relativeFrom="page">
                  <wp:posOffset>4900424</wp:posOffset>
                </wp:positionV>
                <wp:extent cx="10669905" cy="914400"/>
                <wp:effectExtent l="0" t="0" r="0" b="0"/>
                <wp:wrapNone/>
                <wp:docPr id="67" name="Textbox 67"/>
                <wp:cNvGraphicFramePr>
                  <a:graphicFrameLocks/>
                </wp:cNvGraphicFramePr>
                <a:graphic>
                  <a:graphicData uri="http://schemas.microsoft.com/office/word/2010/wordprocessingShape">
                    <wps:wsp>
                      <wps:cNvPr id="67" name="Textbox 67"/>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40992;rotation:306" type="#_x0000_t136" fillcolor="#ff5400" stroked="f">
                <o:extrusion v:ext="view" autorotationcenter="t"/>
                <v:textpath style="font-family:&quot;Arial MT&quot;;font-size:72pt;v-text-kern:t;mso-text-shadow:auto" string="UNIVERSITY OF IBADAN"/>
                <w10:wrap type="none"/>
              </v:shape>
            </w:pict>
          </mc:Fallback>
        </mc:AlternateContent>
      </w:r>
      <w:r>
        <w:rPr/>
        <w:t>internal and external security in the sense that, Nigeria absolutely depends on the oil economy for its survival.</w:t>
      </w:r>
    </w:p>
    <w:p>
      <w:pPr>
        <w:pStyle w:val="BodyText"/>
        <w:spacing w:line="360" w:lineRule="auto" w:before="1"/>
        <w:ind w:right="1256" w:firstLine="720"/>
        <w:jc w:val="both"/>
      </w:pPr>
      <w:r>
        <w:rPr/>
        <w:t>There was an existing knowledge on the state of conflict and conflict management in the Niger Delta by Civil Society Organizations (CSOs).</w:t>
      </w:r>
      <w:r>
        <w:rPr>
          <w:spacing w:val="80"/>
        </w:rPr>
        <w:t> </w:t>
      </w:r>
      <w:r>
        <w:rPr/>
        <w:t>There was the Strategic Conflict Assessment (SCA) exercise, coordinated by the Institute for Peace and Conflict Resolution in collaboration with the United Kingdom (UK) Department for International Development (DFID), the World Bank, United Nations Development Programme (UNDP) and United States Agency for International Development (USAID) between 24</w:t>
      </w:r>
      <w:r>
        <w:rPr>
          <w:vertAlign w:val="superscript"/>
        </w:rPr>
        <w:t>th</w:t>
      </w:r>
      <w:r>
        <w:rPr>
          <w:vertAlign w:val="baseline"/>
        </w:rPr>
        <w:t> August and 9</w:t>
      </w:r>
      <w:r>
        <w:rPr>
          <w:vertAlign w:val="superscript"/>
        </w:rPr>
        <w:t>th</w:t>
      </w:r>
      <w:r>
        <w:rPr>
          <w:vertAlign w:val="baseline"/>
        </w:rPr>
        <w:t> September, 2002.</w:t>
      </w:r>
      <w:r>
        <w:rPr>
          <w:spacing w:val="40"/>
          <w:vertAlign w:val="baseline"/>
        </w:rPr>
        <w:t> </w:t>
      </w:r>
      <w:r>
        <w:rPr>
          <w:vertAlign w:val="baseline"/>
        </w:rPr>
        <w:t>The report emanating</w:t>
      </w:r>
      <w:r>
        <w:rPr>
          <w:spacing w:val="-2"/>
          <w:vertAlign w:val="baseline"/>
        </w:rPr>
        <w:t> </w:t>
      </w:r>
      <w:r>
        <w:rPr>
          <w:vertAlign w:val="baseline"/>
        </w:rPr>
        <w:t>from this project identified three “hot spots” in the Niger Delta region with Rivers State and Delta State constituting two-thirds of the problems. Specifically, communal violence in Rivers State and ethnic conflicts in Delta State has been </w:t>
      </w:r>
      <w:r>
        <w:rPr>
          <w:spacing w:val="-2"/>
          <w:vertAlign w:val="baseline"/>
        </w:rPr>
        <w:t>identified.</w:t>
      </w:r>
    </w:p>
    <w:p>
      <w:pPr>
        <w:pStyle w:val="BodyText"/>
        <w:spacing w:line="360" w:lineRule="auto"/>
        <w:ind w:right="1253" w:firstLine="480"/>
        <w:jc w:val="both"/>
      </w:pPr>
      <w:r>
        <w:rPr/>
        <w:t>Arguably,</w:t>
      </w:r>
      <w:r>
        <w:rPr>
          <w:spacing w:val="-3"/>
        </w:rPr>
        <w:t> </w:t>
      </w:r>
      <w:r>
        <w:rPr/>
        <w:t>the</w:t>
      </w:r>
      <w:r>
        <w:rPr>
          <w:spacing w:val="-2"/>
        </w:rPr>
        <w:t> </w:t>
      </w:r>
      <w:r>
        <w:rPr/>
        <w:t>conflicts</w:t>
      </w:r>
      <w:r>
        <w:rPr>
          <w:spacing w:val="-3"/>
        </w:rPr>
        <w:t> </w:t>
      </w:r>
      <w:r>
        <w:rPr/>
        <w:t>in</w:t>
      </w:r>
      <w:r>
        <w:rPr>
          <w:spacing w:val="-3"/>
        </w:rPr>
        <w:t> </w:t>
      </w:r>
      <w:r>
        <w:rPr/>
        <w:t>these</w:t>
      </w:r>
      <w:r>
        <w:rPr>
          <w:spacing w:val="-3"/>
        </w:rPr>
        <w:t> </w:t>
      </w:r>
      <w:r>
        <w:rPr/>
        <w:t>two</w:t>
      </w:r>
      <w:r>
        <w:rPr>
          <w:spacing w:val="-3"/>
        </w:rPr>
        <w:t> </w:t>
      </w:r>
      <w:r>
        <w:rPr/>
        <w:t>states</w:t>
      </w:r>
      <w:r>
        <w:rPr>
          <w:spacing w:val="-1"/>
        </w:rPr>
        <w:t> </w:t>
      </w:r>
      <w:r>
        <w:rPr/>
        <w:t>arise</w:t>
      </w:r>
      <w:r>
        <w:rPr>
          <w:spacing w:val="-4"/>
        </w:rPr>
        <w:t> </w:t>
      </w:r>
      <w:r>
        <w:rPr/>
        <w:t>from</w:t>
      </w:r>
      <w:r>
        <w:rPr>
          <w:spacing w:val="-2"/>
        </w:rPr>
        <w:t> </w:t>
      </w:r>
      <w:r>
        <w:rPr/>
        <w:t>dwindling</w:t>
      </w:r>
      <w:r>
        <w:rPr>
          <w:spacing w:val="-3"/>
        </w:rPr>
        <w:t> </w:t>
      </w:r>
      <w:r>
        <w:rPr/>
        <w:t>capital</w:t>
      </w:r>
      <w:r>
        <w:rPr>
          <w:spacing w:val="-3"/>
        </w:rPr>
        <w:t> </w:t>
      </w:r>
      <w:r>
        <w:rPr/>
        <w:t>resources, demographic explosion, social fragmentation and decadence between ethnic groups, economic and political marginalization, repression and articulation of class interests. The Eleme/Okrika conflict, for example, revolves around the ownership of oil–rich land and location of oil–related industries.</w:t>
      </w:r>
      <w:r>
        <w:rPr>
          <w:spacing w:val="40"/>
        </w:rPr>
        <w:t> </w:t>
      </w:r>
      <w:r>
        <w:rPr/>
        <w:t>Similarly, the specificities of the Ogoni struggle for self-determination have been variously treated.</w:t>
      </w:r>
      <w:r>
        <w:rPr>
          <w:spacing w:val="40"/>
        </w:rPr>
        <w:t> </w:t>
      </w:r>
      <w:r>
        <w:rPr/>
        <w:t>Apart from the writings, interviews and speeches of prominent leaders of Movement for Survival of Ogoni People (MOSOP) such as Late Ken Saro-Wiwa, other writers have treated it in terms of a local resistance and globalization (Obi, 2005), struggle against internal colonization</w:t>
      </w:r>
      <w:r>
        <w:rPr>
          <w:spacing w:val="-1"/>
        </w:rPr>
        <w:t> </w:t>
      </w:r>
      <w:r>
        <w:rPr/>
        <w:t>(Naanen, 1995:</w:t>
      </w:r>
      <w:r>
        <w:rPr>
          <w:spacing w:val="-1"/>
        </w:rPr>
        <w:t> </w:t>
      </w:r>
      <w:r>
        <w:rPr/>
        <w:t>197-199), ethnic</w:t>
      </w:r>
      <w:r>
        <w:rPr>
          <w:spacing w:val="-2"/>
        </w:rPr>
        <w:t> </w:t>
      </w:r>
      <w:r>
        <w:rPr/>
        <w:t>minority</w:t>
      </w:r>
      <w:r>
        <w:rPr>
          <w:spacing w:val="-4"/>
        </w:rPr>
        <w:t> </w:t>
      </w:r>
      <w:r>
        <w:rPr/>
        <w:t>elite</w:t>
      </w:r>
      <w:r>
        <w:rPr>
          <w:spacing w:val="-2"/>
        </w:rPr>
        <w:t> </w:t>
      </w:r>
      <w:r>
        <w:rPr/>
        <w:t>agitation (Osaghae,</w:t>
      </w:r>
      <w:r>
        <w:rPr>
          <w:spacing w:val="-1"/>
        </w:rPr>
        <w:t> </w:t>
      </w:r>
      <w:r>
        <w:rPr/>
        <w:t>1995) or the minority</w:t>
      </w:r>
      <w:r>
        <w:rPr>
          <w:spacing w:val="-1"/>
        </w:rPr>
        <w:t> </w:t>
      </w:r>
      <w:r>
        <w:rPr/>
        <w:t>nationality question in Nigerias Federalism (Nyemutu-Roberts, 1994). Likewise, a study carried out by Imobighe and some scholars in Delta State also identifies the problem in Delta State as that of ethnic conflict among the three ethnic groups of Itsekiri, Ijaw and Urhobo in Warri and environs (Imobighe et al, 2002:37- </w:t>
      </w:r>
      <w:r>
        <w:rPr>
          <w:spacing w:val="-4"/>
        </w:rPr>
        <w:t>62).</w:t>
      </w:r>
    </w:p>
    <w:p>
      <w:pPr>
        <w:spacing w:after="0" w:line="360" w:lineRule="auto"/>
        <w:jc w:val="both"/>
        <w:sectPr>
          <w:pgSz w:w="11910" w:h="16840"/>
          <w:pgMar w:header="0" w:footer="1561" w:top="1360" w:bottom="1760" w:left="720" w:right="180"/>
        </w:sectPr>
      </w:pPr>
    </w:p>
    <w:p>
      <w:pPr>
        <w:pStyle w:val="BodyText"/>
        <w:spacing w:before="1"/>
        <w:ind w:left="0"/>
        <w:rPr>
          <w:sz w:val="17"/>
        </w:rPr>
      </w:pPr>
      <w:r>
        <w:rPr/>
        <mc:AlternateContent>
          <mc:Choice Requires="wps">
            <w:drawing>
              <wp:anchor distT="0" distB="0" distL="0" distR="0" allowOverlap="1" layoutInCell="1" locked="0" behindDoc="1" simplePos="0" relativeHeight="480577024">
                <wp:simplePos x="0" y="0"/>
                <wp:positionH relativeFrom="page">
                  <wp:posOffset>-468867</wp:posOffset>
                </wp:positionH>
                <wp:positionV relativeFrom="page">
                  <wp:posOffset>6996504</wp:posOffset>
                </wp:positionV>
                <wp:extent cx="5487670" cy="914400"/>
                <wp:effectExtent l="0" t="0" r="0" b="0"/>
                <wp:wrapNone/>
                <wp:docPr id="68" name="Textbox 68"/>
                <wp:cNvGraphicFramePr>
                  <a:graphicFrameLocks/>
                </wp:cNvGraphicFramePr>
                <a:graphic>
                  <a:graphicData uri="http://schemas.microsoft.com/office/word/2010/wordprocessingShape">
                    <wps:wsp>
                      <wps:cNvPr id="68" name="Textbox 68"/>
                      <wps:cNvSpPr txBox="1"/>
                      <wps:spPr>
                        <a:xfrm rot="18360000">
                          <a:off x="0" y="0"/>
                          <a:ext cx="5487670"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UNIVERSITY</w:t>
                            </w:r>
                          </w:p>
                        </w:txbxContent>
                      </wps:txbx>
                      <wps:bodyPr wrap="square" lIns="0" tIns="0" rIns="0" bIns="0" rtlCol="0">
                        <a:noAutofit/>
                      </wps:bodyPr>
                    </wps:wsp>
                  </a:graphicData>
                </a:graphic>
              </wp:anchor>
            </w:drawing>
          </mc:Choice>
          <mc:Fallback>
            <w:pict>
              <v:shape style="position:absolute;margin-left:-36.918713pt;margin-top:550.905835pt;width:432.1pt;height:72pt;mso-position-horizontal-relative:page;mso-position-vertical-relative:page;z-index:-22739456;rotation:306" type="#_x0000_t136" fillcolor="#ff5400" stroked="f">
                <o:extrusion v:ext="view" autorotationcenter="t"/>
                <v:textpath style="font-family:&quot;Arial MT&quot;;font-size:72pt;v-text-kern:t;mso-text-shadow:auto" string="UNIVERSITY"/>
                <w10:wrap type="none"/>
              </v:shape>
            </w:pict>
          </mc:Fallback>
        </mc:AlternateContent>
      </w:r>
      <w:r>
        <w:rPr/>
        <mc:AlternateContent>
          <mc:Choice Requires="wps">
            <w:drawing>
              <wp:anchor distT="0" distB="0" distL="0" distR="0" allowOverlap="1" layoutInCell="1" locked="0" behindDoc="0" simplePos="0" relativeHeight="15748096">
                <wp:simplePos x="0" y="0"/>
                <wp:positionH relativeFrom="page">
                  <wp:posOffset>4231499</wp:posOffset>
                </wp:positionH>
                <wp:positionV relativeFrom="page">
                  <wp:posOffset>1961090</wp:posOffset>
                </wp:positionV>
                <wp:extent cx="3403600" cy="914400"/>
                <wp:effectExtent l="0" t="0" r="0" b="0"/>
                <wp:wrapNone/>
                <wp:docPr id="69" name="Textbox 69"/>
                <wp:cNvGraphicFramePr>
                  <a:graphicFrameLocks/>
                </wp:cNvGraphicFramePr>
                <a:graphic>
                  <a:graphicData uri="http://schemas.microsoft.com/office/word/2010/wordprocessingShape">
                    <wps:wsp>
                      <wps:cNvPr id="69" name="Textbox 69"/>
                      <wps:cNvSpPr txBox="1"/>
                      <wps:spPr>
                        <a:xfrm rot="18360000">
                          <a:off x="0" y="0"/>
                          <a:ext cx="3403600"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333.188934pt;margin-top:154.416569pt;width:268pt;height:72pt;mso-position-horizontal-relative:page;mso-position-vertical-relative:page;z-index:15748096;rotation:306" type="#_x0000_t136" fillcolor="#ff5400" stroked="f">
                <o:extrusion v:ext="view" autorotationcenter="t"/>
                <v:textpath style="font-family:&quot;Arial MT&quot;;font-size:72pt;v-text-kern:t;mso-text-shadow:auto" string="IBADAN"/>
                <w10:wrap type="none"/>
              </v:shape>
            </w:pict>
          </mc:Fallback>
        </mc:AlternateContent>
      </w:r>
    </w:p>
    <w:p>
      <w:pPr>
        <w:pStyle w:val="BodyText"/>
        <w:ind w:left="3433"/>
        <w:rPr>
          <w:sz w:val="20"/>
        </w:rPr>
      </w:pPr>
      <w:r>
        <w:rPr>
          <w:sz w:val="20"/>
        </w:rPr>
        <mc:AlternateContent>
          <mc:Choice Requires="wps">
            <w:drawing>
              <wp:inline distT="0" distB="0" distL="0" distR="0">
                <wp:extent cx="2636520" cy="3183255"/>
                <wp:effectExtent l="0" t="0" r="0" b="7619"/>
                <wp:docPr id="70" name="Group 70"/>
                <wp:cNvGraphicFramePr>
                  <a:graphicFrameLocks/>
                </wp:cNvGraphicFramePr>
                <a:graphic>
                  <a:graphicData uri="http://schemas.microsoft.com/office/word/2010/wordprocessingGroup">
                    <wpg:wgp>
                      <wpg:cNvPr id="70" name="Group 70"/>
                      <wpg:cNvGrpSpPr/>
                      <wpg:grpSpPr>
                        <a:xfrm>
                          <a:off x="0" y="0"/>
                          <a:ext cx="2636520" cy="3183255"/>
                          <a:chExt cx="2636520" cy="3183255"/>
                        </a:xfrm>
                      </wpg:grpSpPr>
                      <pic:pic>
                        <pic:nvPicPr>
                          <pic:cNvPr id="71" name="Image 71"/>
                          <pic:cNvPicPr/>
                        </pic:nvPicPr>
                        <pic:blipFill>
                          <a:blip r:embed="rId28" cstate="print"/>
                          <a:stretch>
                            <a:fillRect/>
                          </a:stretch>
                        </pic:blipFill>
                        <pic:spPr>
                          <a:xfrm>
                            <a:off x="28638" y="28638"/>
                            <a:ext cx="2579370" cy="3126104"/>
                          </a:xfrm>
                          <a:prstGeom prst="rect">
                            <a:avLst/>
                          </a:prstGeom>
                        </pic:spPr>
                      </pic:pic>
                      <wps:wsp>
                        <wps:cNvPr id="72" name="Graphic 72"/>
                        <wps:cNvSpPr/>
                        <wps:spPr>
                          <a:xfrm>
                            <a:off x="14287" y="14287"/>
                            <a:ext cx="2607945" cy="3154680"/>
                          </a:xfrm>
                          <a:custGeom>
                            <a:avLst/>
                            <a:gdLst/>
                            <a:ahLst/>
                            <a:cxnLst/>
                            <a:rect l="l" t="t" r="r" b="b"/>
                            <a:pathLst>
                              <a:path w="2607945" h="3154680">
                                <a:moveTo>
                                  <a:pt x="0" y="3154679"/>
                                </a:moveTo>
                                <a:lnTo>
                                  <a:pt x="2607944" y="3154679"/>
                                </a:lnTo>
                                <a:lnTo>
                                  <a:pt x="2607944" y="0"/>
                                </a:lnTo>
                                <a:lnTo>
                                  <a:pt x="0" y="0"/>
                                </a:lnTo>
                                <a:lnTo>
                                  <a:pt x="0" y="3154679"/>
                                </a:lnTo>
                                <a:close/>
                              </a:path>
                            </a:pathLst>
                          </a:custGeom>
                          <a:ln w="285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7.6pt;height:250.65pt;mso-position-horizontal-relative:char;mso-position-vertical-relative:line" id="docshapegroup39" coordorigin="0,0" coordsize="4152,5013">
                <v:shape style="position:absolute;left:45;top:45;width:4062;height:4923" type="#_x0000_t75" id="docshape40" stroked="false">
                  <v:imagedata r:id="rId28" o:title=""/>
                </v:shape>
                <v:rect style="position:absolute;left:22;top:22;width:4107;height:4968" id="docshape41" filled="false" stroked="true" strokeweight="2.25pt" strokecolor="#000000">
                  <v:stroke dashstyle="solid"/>
                </v:rect>
              </v:group>
            </w:pict>
          </mc:Fallback>
        </mc:AlternateContent>
      </w:r>
      <w:r>
        <w:rPr>
          <w:sz w:val="20"/>
        </w:rPr>
      </w:r>
    </w:p>
    <w:p>
      <w:pPr>
        <w:pStyle w:val="Heading2"/>
        <w:spacing w:line="276" w:lineRule="auto" w:before="267"/>
        <w:ind w:right="1285"/>
        <w:jc w:val="both"/>
        <w:rPr>
          <w:rFonts w:ascii="Calibri"/>
          <w:sz w:val="22"/>
        </w:rPr>
      </w:pPr>
      <w:r>
        <w:rPr/>
        <mc:AlternateContent>
          <mc:Choice Requires="wps">
            <w:drawing>
              <wp:anchor distT="0" distB="0" distL="0" distR="0" allowOverlap="1" layoutInCell="1" locked="0" behindDoc="1" simplePos="0" relativeHeight="480576512">
                <wp:simplePos x="0" y="0"/>
                <wp:positionH relativeFrom="page">
                  <wp:posOffset>3775025</wp:posOffset>
                </wp:positionH>
                <wp:positionV relativeFrom="paragraph">
                  <wp:posOffset>-498873</wp:posOffset>
                </wp:positionV>
                <wp:extent cx="1270635" cy="914400"/>
                <wp:effectExtent l="0" t="0" r="0" b="0"/>
                <wp:wrapNone/>
                <wp:docPr id="73" name="Textbox 73"/>
                <wp:cNvGraphicFramePr>
                  <a:graphicFrameLocks/>
                </wp:cNvGraphicFramePr>
                <a:graphic>
                  <a:graphicData uri="http://schemas.microsoft.com/office/word/2010/wordprocessingShape">
                    <wps:wsp>
                      <wps:cNvPr id="73" name="Textbox 73"/>
                      <wps:cNvSpPr txBox="1"/>
                      <wps:spPr>
                        <a:xfrm rot="18360000">
                          <a:off x="0" y="0"/>
                          <a:ext cx="1270635"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5"/>
                                <w:sz w:val="144"/>
                              </w:rPr>
                              <w:t>OF</w:t>
                            </w:r>
                          </w:p>
                        </w:txbxContent>
                      </wps:txbx>
                      <wps:bodyPr wrap="square" lIns="0" tIns="0" rIns="0" bIns="0" rtlCol="0">
                        <a:noAutofit/>
                      </wps:bodyPr>
                    </wps:wsp>
                  </a:graphicData>
                </a:graphic>
              </wp:anchor>
            </w:drawing>
          </mc:Choice>
          <mc:Fallback>
            <w:pict>
              <v:shape style="position:absolute;margin-left:297.246118pt;margin-top:-39.281339pt;width:100.05pt;height:72pt;mso-position-horizontal-relative:page;mso-position-vertical-relative:paragraph;z-index:-22739968;rotation:306" type="#_x0000_t136" fillcolor="#ff5400" stroked="f">
                <o:extrusion v:ext="view" autorotationcenter="t"/>
                <v:textpath style="font-family:&quot;Arial MT&quot;;font-size:72pt;v-text-kern:t;mso-text-shadow:auto" string="OF"/>
                <w10:wrap type="none"/>
              </v:shape>
            </w:pict>
          </mc:Fallback>
        </mc:AlternateContent>
      </w:r>
      <w:r>
        <w:rPr/>
        <w:t>Plate</w:t>
      </w:r>
      <w:r>
        <w:rPr>
          <w:spacing w:val="-4"/>
        </w:rPr>
        <w:t> </w:t>
      </w:r>
      <w:r>
        <w:rPr/>
        <w:t>7:</w:t>
      </w:r>
      <w:r>
        <w:rPr>
          <w:spacing w:val="40"/>
        </w:rPr>
        <w:t> </w:t>
      </w:r>
      <w:r>
        <w:rPr/>
        <w:t>Late</w:t>
      </w:r>
      <w:r>
        <w:rPr>
          <w:spacing w:val="-2"/>
        </w:rPr>
        <w:t> </w:t>
      </w:r>
      <w:r>
        <w:rPr/>
        <w:t>Ken</w:t>
      </w:r>
      <w:r>
        <w:rPr>
          <w:spacing w:val="-3"/>
        </w:rPr>
        <w:t> </w:t>
      </w:r>
      <w:r>
        <w:rPr/>
        <w:t>Saro</w:t>
      </w:r>
      <w:r>
        <w:rPr>
          <w:spacing w:val="-1"/>
        </w:rPr>
        <w:t> </w:t>
      </w:r>
      <w:r>
        <w:rPr/>
        <w:t>Wiwa,</w:t>
      </w:r>
      <w:r>
        <w:rPr>
          <w:spacing w:val="-3"/>
        </w:rPr>
        <w:t> </w:t>
      </w:r>
      <w:r>
        <w:rPr/>
        <w:t>Leader</w:t>
      </w:r>
      <w:r>
        <w:rPr>
          <w:spacing w:val="-4"/>
        </w:rPr>
        <w:t> </w:t>
      </w:r>
      <w:r>
        <w:rPr/>
        <w:t>of</w:t>
      </w:r>
      <w:r>
        <w:rPr>
          <w:spacing w:val="-2"/>
        </w:rPr>
        <w:t> </w:t>
      </w:r>
      <w:r>
        <w:rPr/>
        <w:t>Movement</w:t>
      </w:r>
      <w:r>
        <w:rPr>
          <w:spacing w:val="-3"/>
        </w:rPr>
        <w:t> </w:t>
      </w:r>
      <w:r>
        <w:rPr/>
        <w:t>for</w:t>
      </w:r>
      <w:r>
        <w:rPr>
          <w:spacing w:val="-4"/>
        </w:rPr>
        <w:t> </w:t>
      </w:r>
      <w:r>
        <w:rPr/>
        <w:t>the</w:t>
      </w:r>
      <w:r>
        <w:rPr>
          <w:spacing w:val="-4"/>
        </w:rPr>
        <w:t> </w:t>
      </w:r>
      <w:r>
        <w:rPr/>
        <w:t>survival</w:t>
      </w:r>
      <w:r>
        <w:rPr>
          <w:spacing w:val="-3"/>
        </w:rPr>
        <w:t> </w:t>
      </w:r>
      <w:r>
        <w:rPr/>
        <w:t>of</w:t>
      </w:r>
      <w:r>
        <w:rPr>
          <w:spacing w:val="-3"/>
        </w:rPr>
        <w:t> </w:t>
      </w:r>
      <w:r>
        <w:rPr/>
        <w:t>the</w:t>
      </w:r>
      <w:r>
        <w:rPr>
          <w:spacing w:val="-4"/>
        </w:rPr>
        <w:t> </w:t>
      </w:r>
      <w:r>
        <w:rPr/>
        <w:t>Ogoni people (MOSOP). Source: </w:t>
      </w:r>
      <w:hyperlink r:id="rId27">
        <w:r>
          <w:rPr>
            <w:u w:val="single"/>
          </w:rPr>
          <w:t>www.google.com</w:t>
        </w:r>
      </w:hyperlink>
      <w:r>
        <w:rPr>
          <w:spacing w:val="40"/>
        </w:rPr>
        <w:t> </w:t>
      </w:r>
      <w:r>
        <w:rPr>
          <w:rFonts w:ascii="Calibri"/>
          <w:sz w:val="22"/>
        </w:rPr>
        <w:t>Accessed 15/09/2010</w:t>
      </w:r>
    </w:p>
    <w:p>
      <w:pPr>
        <w:pStyle w:val="BodyText"/>
        <w:spacing w:line="360" w:lineRule="auto" w:before="196"/>
        <w:ind w:right="1254" w:firstLine="720"/>
        <w:jc w:val="both"/>
      </w:pPr>
      <w:r>
        <w:rPr/>
        <w:t>A</w:t>
      </w:r>
      <w:r>
        <w:rPr>
          <w:spacing w:val="-1"/>
        </w:rPr>
        <w:t> </w:t>
      </w:r>
      <w:r>
        <w:rPr/>
        <w:t>study</w:t>
      </w:r>
      <w:r>
        <w:rPr>
          <w:spacing w:val="-8"/>
        </w:rPr>
        <w:t> </w:t>
      </w:r>
      <w:r>
        <w:rPr/>
        <w:t>sponsored by</w:t>
      </w:r>
      <w:r>
        <w:rPr>
          <w:spacing w:val="-8"/>
        </w:rPr>
        <w:t> </w:t>
      </w:r>
      <w:r>
        <w:rPr/>
        <w:t>USAID</w:t>
      </w:r>
      <w:r>
        <w:rPr>
          <w:spacing w:val="-1"/>
        </w:rPr>
        <w:t> </w:t>
      </w:r>
      <w:r>
        <w:rPr/>
        <w:t>in 2004 has shown</w:t>
      </w:r>
      <w:r>
        <w:rPr>
          <w:spacing w:val="-1"/>
        </w:rPr>
        <w:t> </w:t>
      </w:r>
      <w:r>
        <w:rPr/>
        <w:t>that conflicts in</w:t>
      </w:r>
      <w:r>
        <w:rPr>
          <w:spacing w:val="-2"/>
        </w:rPr>
        <w:t> </w:t>
      </w:r>
      <w:r>
        <w:rPr/>
        <w:t>Rivers State, as identified by SCA team in 2002, have not only escalated, new ones have now been added to the existing long list.</w:t>
      </w:r>
      <w:r>
        <w:rPr>
          <w:spacing w:val="40"/>
        </w:rPr>
        <w:t> </w:t>
      </w:r>
      <w:r>
        <w:rPr/>
        <w:t>The problems in the state now include political assassination, hostage taking and kidnapping, as well as widespread of violent inter- cult rivalries.</w:t>
      </w:r>
      <w:r>
        <w:rPr>
          <w:spacing w:val="40"/>
        </w:rPr>
        <w:t> </w:t>
      </w:r>
      <w:r>
        <w:rPr/>
        <w:t>The politicians in the two states were reported to have armed militant youths against their opponents.</w:t>
      </w:r>
      <w:r>
        <w:rPr>
          <w:spacing w:val="80"/>
        </w:rPr>
        <w:t> </w:t>
      </w:r>
      <w:r>
        <w:rPr/>
        <w:t>These militant youths were also used to re-activate old communal and chieftaincy conflicts.</w:t>
      </w:r>
    </w:p>
    <w:p>
      <w:pPr>
        <w:pStyle w:val="BodyText"/>
        <w:spacing w:line="360" w:lineRule="auto"/>
        <w:ind w:right="1256" w:firstLine="720"/>
        <w:jc w:val="both"/>
      </w:pPr>
      <w:r>
        <w:rPr/>
        <w:t>The major causes of the conflict in the Niger Delta emanate from real and perceived neglect, resource</w:t>
      </w:r>
      <w:r>
        <w:rPr>
          <w:spacing w:val="-1"/>
        </w:rPr>
        <w:t> </w:t>
      </w:r>
      <w:r>
        <w:rPr/>
        <w:t>control and deprivation of</w:t>
      </w:r>
      <w:r>
        <w:rPr>
          <w:spacing w:val="-1"/>
        </w:rPr>
        <w:t> </w:t>
      </w:r>
      <w:r>
        <w:rPr/>
        <w:t>the Niger</w:t>
      </w:r>
      <w:r>
        <w:rPr>
          <w:spacing w:val="-1"/>
        </w:rPr>
        <w:t> </w:t>
      </w:r>
      <w:r>
        <w:rPr/>
        <w:t>Delta</w:t>
      </w:r>
      <w:r>
        <w:rPr>
          <w:spacing w:val="-1"/>
        </w:rPr>
        <w:t> </w:t>
      </w:r>
      <w:r>
        <w:rPr/>
        <w:t>communities in terms of development (Oshita, 2005).</w:t>
      </w:r>
      <w:r>
        <w:rPr>
          <w:spacing w:val="40"/>
        </w:rPr>
        <w:t> </w:t>
      </w:r>
      <w:r>
        <w:rPr/>
        <w:t>This is coupled with the environmental pollution caused by the activities of the transnational oil and gas companies (Fayemi, 2005:5).</w:t>
      </w:r>
      <w:r>
        <w:rPr>
          <w:spacing w:val="80"/>
        </w:rPr>
        <w:t> </w:t>
      </w:r>
      <w:r>
        <w:rPr/>
        <w:t>For instance, the Ogoni-Shell crisis as reported by Egunjobi (2005:273) is</w:t>
      </w:r>
      <w:r>
        <w:rPr>
          <w:spacing w:val="40"/>
        </w:rPr>
        <w:t> </w:t>
      </w:r>
      <w:r>
        <w:rPr/>
        <w:t>an</w:t>
      </w:r>
      <w:r>
        <w:rPr>
          <w:spacing w:val="-1"/>
        </w:rPr>
        <w:t> </w:t>
      </w:r>
      <w:r>
        <w:rPr/>
        <w:t>environment</w:t>
      </w:r>
      <w:r>
        <w:rPr>
          <w:spacing w:val="-1"/>
        </w:rPr>
        <w:t> </w:t>
      </w:r>
      <w:r>
        <w:rPr/>
        <w:t>driven</w:t>
      </w:r>
      <w:r>
        <w:rPr>
          <w:spacing w:val="-1"/>
        </w:rPr>
        <w:t> </w:t>
      </w:r>
      <w:r>
        <w:rPr/>
        <w:t>crisis.</w:t>
      </w:r>
      <w:r>
        <w:rPr>
          <w:spacing w:val="40"/>
        </w:rPr>
        <w:t> </w:t>
      </w:r>
      <w:r>
        <w:rPr/>
        <w:t>Egunjobi</w:t>
      </w:r>
      <w:r>
        <w:rPr>
          <w:spacing w:val="-1"/>
        </w:rPr>
        <w:t> </w:t>
      </w:r>
      <w:r>
        <w:rPr/>
        <w:t>enumerated</w:t>
      </w:r>
      <w:r>
        <w:rPr>
          <w:spacing w:val="-1"/>
        </w:rPr>
        <w:t> </w:t>
      </w:r>
      <w:r>
        <w:rPr/>
        <w:t>oil</w:t>
      </w:r>
      <w:r>
        <w:rPr>
          <w:spacing w:val="-1"/>
        </w:rPr>
        <w:t> </w:t>
      </w:r>
      <w:r>
        <w:rPr/>
        <w:t>exploration,</w:t>
      </w:r>
      <w:r>
        <w:rPr>
          <w:spacing w:val="-1"/>
        </w:rPr>
        <w:t> </w:t>
      </w:r>
      <w:r>
        <w:rPr/>
        <w:t>oil</w:t>
      </w:r>
      <w:r>
        <w:rPr>
          <w:spacing w:val="-1"/>
        </w:rPr>
        <w:t> </w:t>
      </w:r>
      <w:r>
        <w:rPr/>
        <w:t>spillage,</w:t>
      </w:r>
      <w:r>
        <w:rPr>
          <w:spacing w:val="-1"/>
        </w:rPr>
        <w:t> </w:t>
      </w:r>
      <w:r>
        <w:rPr/>
        <w:t>water pollution, and air pollution, decimation of fish stock and improvisation of vegetation life</w:t>
      </w:r>
      <w:r>
        <w:rPr>
          <w:spacing w:val="35"/>
        </w:rPr>
        <w:t> </w:t>
      </w:r>
      <w:r>
        <w:rPr/>
        <w:t>as</w:t>
      </w:r>
      <w:r>
        <w:rPr>
          <w:spacing w:val="39"/>
        </w:rPr>
        <w:t> </w:t>
      </w:r>
      <w:r>
        <w:rPr/>
        <w:t>being</w:t>
      </w:r>
      <w:r>
        <w:rPr>
          <w:spacing w:val="38"/>
        </w:rPr>
        <w:t> </w:t>
      </w:r>
      <w:r>
        <w:rPr/>
        <w:t>involved.</w:t>
      </w:r>
      <w:r>
        <w:rPr>
          <w:spacing w:val="39"/>
        </w:rPr>
        <w:t>  </w:t>
      </w:r>
      <w:r>
        <w:rPr/>
        <w:t>All</w:t>
      </w:r>
      <w:r>
        <w:rPr>
          <w:spacing w:val="42"/>
        </w:rPr>
        <w:t> </w:t>
      </w:r>
      <w:r>
        <w:rPr/>
        <w:t>these</w:t>
      </w:r>
      <w:r>
        <w:rPr>
          <w:spacing w:val="38"/>
        </w:rPr>
        <w:t> </w:t>
      </w:r>
      <w:r>
        <w:rPr/>
        <w:t>are</w:t>
      </w:r>
      <w:r>
        <w:rPr>
          <w:spacing w:val="37"/>
        </w:rPr>
        <w:t> </w:t>
      </w:r>
      <w:r>
        <w:rPr/>
        <w:t>inimical</w:t>
      </w:r>
      <w:r>
        <w:rPr>
          <w:spacing w:val="41"/>
        </w:rPr>
        <w:t> </w:t>
      </w:r>
      <w:r>
        <w:rPr/>
        <w:t>to</w:t>
      </w:r>
      <w:r>
        <w:rPr>
          <w:spacing w:val="39"/>
        </w:rPr>
        <w:t> </w:t>
      </w:r>
      <w:r>
        <w:rPr/>
        <w:t>human</w:t>
      </w:r>
      <w:r>
        <w:rPr>
          <w:spacing w:val="39"/>
        </w:rPr>
        <w:t> </w:t>
      </w:r>
      <w:r>
        <w:rPr/>
        <w:t>well-being</w:t>
      </w:r>
      <w:r>
        <w:rPr>
          <w:spacing w:val="38"/>
        </w:rPr>
        <w:t> </w:t>
      </w:r>
      <w:r>
        <w:rPr/>
        <w:t>and</w:t>
      </w:r>
      <w:r>
        <w:rPr>
          <w:spacing w:val="41"/>
        </w:rPr>
        <w:t> </w:t>
      </w:r>
      <w:r>
        <w:rPr/>
        <w:t>cannot</w:t>
      </w:r>
      <w:r>
        <w:rPr>
          <w:spacing w:val="41"/>
        </w:rPr>
        <w:t> </w:t>
      </w:r>
      <w:r>
        <w:rPr>
          <w:spacing w:val="-5"/>
        </w:rPr>
        <w:t>be</w:t>
      </w:r>
    </w:p>
    <w:p>
      <w:pPr>
        <w:spacing w:after="0" w:line="360" w:lineRule="auto"/>
        <w:jc w:val="both"/>
        <w:sectPr>
          <w:pgSz w:w="11910" w:h="16840"/>
          <w:pgMar w:header="0" w:footer="1561" w:top="1920" w:bottom="1760" w:left="720" w:right="180"/>
        </w:sectPr>
      </w:pPr>
    </w:p>
    <w:p>
      <w:pPr>
        <w:pStyle w:val="BodyText"/>
        <w:spacing w:line="360" w:lineRule="auto" w:before="60"/>
        <w:ind w:right="1260"/>
      </w:pPr>
      <w:r>
        <w:rPr/>
        <mc:AlternateContent>
          <mc:Choice Requires="wps">
            <w:drawing>
              <wp:anchor distT="0" distB="0" distL="0" distR="0" allowOverlap="1" layoutInCell="1" locked="0" behindDoc="1" simplePos="0" relativeHeight="480579072">
                <wp:simplePos x="0" y="0"/>
                <wp:positionH relativeFrom="page">
                  <wp:posOffset>-468867</wp:posOffset>
                </wp:positionH>
                <wp:positionV relativeFrom="page">
                  <wp:posOffset>6996504</wp:posOffset>
                </wp:positionV>
                <wp:extent cx="5487670" cy="914400"/>
                <wp:effectExtent l="0" t="0" r="0" b="0"/>
                <wp:wrapNone/>
                <wp:docPr id="74" name="Textbox 74"/>
                <wp:cNvGraphicFramePr>
                  <a:graphicFrameLocks/>
                </wp:cNvGraphicFramePr>
                <a:graphic>
                  <a:graphicData uri="http://schemas.microsoft.com/office/word/2010/wordprocessingShape">
                    <wps:wsp>
                      <wps:cNvPr id="74" name="Textbox 74"/>
                      <wps:cNvSpPr txBox="1"/>
                      <wps:spPr>
                        <a:xfrm rot="18360000">
                          <a:off x="0" y="0"/>
                          <a:ext cx="5487670"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UNIVERSITY</w:t>
                            </w:r>
                          </w:p>
                        </w:txbxContent>
                      </wps:txbx>
                      <wps:bodyPr wrap="square" lIns="0" tIns="0" rIns="0" bIns="0" rtlCol="0">
                        <a:noAutofit/>
                      </wps:bodyPr>
                    </wps:wsp>
                  </a:graphicData>
                </a:graphic>
              </wp:anchor>
            </w:drawing>
          </mc:Choice>
          <mc:Fallback>
            <w:pict>
              <v:shape style="position:absolute;margin-left:-36.918713pt;margin-top:550.905835pt;width:432.1pt;height:72pt;mso-position-horizontal-relative:page;mso-position-vertical-relative:page;z-index:-22737408;rotation:306" type="#_x0000_t136" fillcolor="#ff5400" stroked="f">
                <o:extrusion v:ext="view" autorotationcenter="t"/>
                <v:textpath style="font-family:&quot;Arial MT&quot;;font-size:72pt;v-text-kern:t;mso-text-shadow:auto" string="UNIVERSITY"/>
                <w10:wrap type="none"/>
              </v:shape>
            </w:pict>
          </mc:Fallback>
        </mc:AlternateContent>
      </w:r>
      <w:r>
        <w:rPr/>
        <mc:AlternateContent>
          <mc:Choice Requires="wps">
            <w:drawing>
              <wp:anchor distT="0" distB="0" distL="0" distR="0" allowOverlap="1" layoutInCell="1" locked="0" behindDoc="1" simplePos="0" relativeHeight="480579584">
                <wp:simplePos x="0" y="0"/>
                <wp:positionH relativeFrom="page">
                  <wp:posOffset>4231499</wp:posOffset>
                </wp:positionH>
                <wp:positionV relativeFrom="page">
                  <wp:posOffset>1961090</wp:posOffset>
                </wp:positionV>
                <wp:extent cx="3403600" cy="914400"/>
                <wp:effectExtent l="0" t="0" r="0" b="0"/>
                <wp:wrapNone/>
                <wp:docPr id="75" name="Textbox 75"/>
                <wp:cNvGraphicFramePr>
                  <a:graphicFrameLocks/>
                </wp:cNvGraphicFramePr>
                <a:graphic>
                  <a:graphicData uri="http://schemas.microsoft.com/office/word/2010/wordprocessingShape">
                    <wps:wsp>
                      <wps:cNvPr id="75" name="Textbox 75"/>
                      <wps:cNvSpPr txBox="1"/>
                      <wps:spPr>
                        <a:xfrm rot="18360000">
                          <a:off x="0" y="0"/>
                          <a:ext cx="3403600"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333.188934pt;margin-top:154.416569pt;width:268pt;height:72pt;mso-position-horizontal-relative:page;mso-position-vertical-relative:page;z-index:-22736896;rotation:306" type="#_x0000_t136" fillcolor="#ff5400" stroked="f">
                <o:extrusion v:ext="view" autorotationcenter="t"/>
                <v:textpath style="font-family:&quot;Arial MT&quot;;font-size:72pt;v-text-kern:t;mso-text-shadow:auto" string="IBADAN"/>
                <w10:wrap type="none"/>
              </v:shape>
            </w:pict>
          </mc:Fallback>
        </mc:AlternateContent>
      </w:r>
      <w:r>
        <w:rPr/>
        <w:t>expected to maintain peace and harmony between the indigenous people and oil and gas companies.</w:t>
      </w:r>
    </w:p>
    <w:p>
      <w:pPr>
        <w:pStyle w:val="BodyText"/>
        <w:ind w:left="0"/>
        <w:rPr>
          <w:sz w:val="13"/>
        </w:rPr>
      </w:pPr>
      <w:r>
        <w:rPr/>
        <mc:AlternateContent>
          <mc:Choice Requires="wps">
            <w:drawing>
              <wp:anchor distT="0" distB="0" distL="0" distR="0" allowOverlap="1" layoutInCell="1" locked="0" behindDoc="1" simplePos="0" relativeHeight="487607808">
                <wp:simplePos x="0" y="0"/>
                <wp:positionH relativeFrom="page">
                  <wp:posOffset>910589</wp:posOffset>
                </wp:positionH>
                <wp:positionV relativeFrom="paragraph">
                  <wp:posOffset>110788</wp:posOffset>
                </wp:positionV>
                <wp:extent cx="5989320" cy="3608070"/>
                <wp:effectExtent l="0" t="0" r="0" b="0"/>
                <wp:wrapTopAndBottom/>
                <wp:docPr id="76" name="Group 76"/>
                <wp:cNvGraphicFramePr>
                  <a:graphicFrameLocks/>
                </wp:cNvGraphicFramePr>
                <a:graphic>
                  <a:graphicData uri="http://schemas.microsoft.com/office/word/2010/wordprocessingGroup">
                    <wpg:wgp>
                      <wpg:cNvPr id="76" name="Group 76"/>
                      <wpg:cNvGrpSpPr/>
                      <wpg:grpSpPr>
                        <a:xfrm>
                          <a:off x="0" y="0"/>
                          <a:ext cx="5989320" cy="3608070"/>
                          <a:chExt cx="5989320" cy="3608070"/>
                        </a:xfrm>
                      </wpg:grpSpPr>
                      <pic:pic>
                        <pic:nvPicPr>
                          <pic:cNvPr id="77" name="Image 77"/>
                          <pic:cNvPicPr/>
                        </pic:nvPicPr>
                        <pic:blipFill>
                          <a:blip r:embed="rId29" cstate="print"/>
                          <a:stretch>
                            <a:fillRect/>
                          </a:stretch>
                        </pic:blipFill>
                        <pic:spPr>
                          <a:xfrm>
                            <a:off x="38099" y="38099"/>
                            <a:ext cx="5913120" cy="3531870"/>
                          </a:xfrm>
                          <a:prstGeom prst="rect">
                            <a:avLst/>
                          </a:prstGeom>
                        </pic:spPr>
                      </pic:pic>
                      <wps:wsp>
                        <wps:cNvPr id="78" name="Textbox 78"/>
                        <wps:cNvSpPr txBox="1"/>
                        <wps:spPr>
                          <a:xfrm>
                            <a:off x="19050" y="19050"/>
                            <a:ext cx="5951220" cy="3569970"/>
                          </a:xfrm>
                          <a:prstGeom prst="rect">
                            <a:avLst/>
                          </a:prstGeom>
                          <a:ln w="38100">
                            <a:solidFill>
                              <a:srgbClr val="000000"/>
                            </a:solidFill>
                            <a:prstDash val="solid"/>
                          </a:ln>
                        </wps:spPr>
                        <wps:txbx>
                          <w:txbxContent>
                            <w:p>
                              <w:pPr>
                                <w:spacing w:line="240" w:lineRule="auto" w:before="0"/>
                                <w:rPr>
                                  <w:sz w:val="40"/>
                                </w:rPr>
                              </w:pPr>
                            </w:p>
                            <w:p>
                              <w:pPr>
                                <w:spacing w:line="240" w:lineRule="auto" w:before="0"/>
                                <w:rPr>
                                  <w:sz w:val="40"/>
                                </w:rPr>
                              </w:pPr>
                            </w:p>
                            <w:p>
                              <w:pPr>
                                <w:spacing w:line="240" w:lineRule="auto" w:before="0"/>
                                <w:rPr>
                                  <w:sz w:val="40"/>
                                </w:rPr>
                              </w:pPr>
                            </w:p>
                            <w:p>
                              <w:pPr>
                                <w:spacing w:line="240" w:lineRule="auto" w:before="0"/>
                                <w:rPr>
                                  <w:sz w:val="40"/>
                                </w:rPr>
                              </w:pPr>
                            </w:p>
                            <w:p>
                              <w:pPr>
                                <w:spacing w:line="240" w:lineRule="auto" w:before="0"/>
                                <w:rPr>
                                  <w:sz w:val="40"/>
                                </w:rPr>
                              </w:pPr>
                            </w:p>
                            <w:p>
                              <w:pPr>
                                <w:spacing w:line="240" w:lineRule="auto" w:before="0"/>
                                <w:rPr>
                                  <w:sz w:val="40"/>
                                </w:rPr>
                              </w:pPr>
                            </w:p>
                            <w:p>
                              <w:pPr>
                                <w:spacing w:line="240" w:lineRule="auto" w:before="0"/>
                                <w:rPr>
                                  <w:sz w:val="40"/>
                                </w:rPr>
                              </w:pPr>
                            </w:p>
                            <w:p>
                              <w:pPr>
                                <w:spacing w:line="240" w:lineRule="auto" w:before="0"/>
                                <w:rPr>
                                  <w:sz w:val="40"/>
                                </w:rPr>
                              </w:pPr>
                            </w:p>
                            <w:p>
                              <w:pPr>
                                <w:spacing w:line="240" w:lineRule="auto" w:before="184"/>
                                <w:rPr>
                                  <w:sz w:val="40"/>
                                </w:rPr>
                              </w:pPr>
                            </w:p>
                            <w:p>
                              <w:pPr>
                                <w:spacing w:before="0"/>
                                <w:ind w:left="666" w:right="0" w:firstLine="0"/>
                                <w:jc w:val="left"/>
                                <w:rPr>
                                  <w:b/>
                                  <w:sz w:val="40"/>
                                </w:rPr>
                              </w:pPr>
                              <w:r>
                                <w:rPr>
                                  <w:b/>
                                  <w:sz w:val="40"/>
                                </w:rPr>
                                <w:t>SPILLAGE</w:t>
                              </w:r>
                              <w:r>
                                <w:rPr>
                                  <w:b/>
                                  <w:spacing w:val="-4"/>
                                  <w:sz w:val="40"/>
                                </w:rPr>
                                <w:t> </w:t>
                              </w:r>
                              <w:r>
                                <w:rPr>
                                  <w:b/>
                                  <w:spacing w:val="-2"/>
                                  <w:sz w:val="40"/>
                                </w:rPr>
                                <w:t>FAULTY</w:t>
                              </w:r>
                            </w:p>
                          </w:txbxContent>
                        </wps:txbx>
                        <wps:bodyPr wrap="square" lIns="0" tIns="0" rIns="0" bIns="0" rtlCol="0">
                          <a:noAutofit/>
                        </wps:bodyPr>
                      </wps:wsp>
                    </wpg:wgp>
                  </a:graphicData>
                </a:graphic>
              </wp:anchor>
            </w:drawing>
          </mc:Choice>
          <mc:Fallback>
            <w:pict>
              <v:group style="position:absolute;margin-left:71.699997pt;margin-top:8.723516pt;width:471.6pt;height:284.1pt;mso-position-horizontal-relative:page;mso-position-vertical-relative:paragraph;z-index:-15708672;mso-wrap-distance-left:0;mso-wrap-distance-right:0" id="docshapegroup42" coordorigin="1434,174" coordsize="9432,5682">
                <v:shape style="position:absolute;left:1494;top:234;width:9312;height:5562" type="#_x0000_t75" id="docshape43" stroked="false">
                  <v:imagedata r:id="rId29" o:title=""/>
                </v:shape>
                <v:shape style="position:absolute;left:1464;top:204;width:9372;height:5622" type="#_x0000_t202" id="docshape44" filled="false" stroked="true" strokeweight="3pt" strokecolor="#000000">
                  <v:textbox inset="0,0,0,0">
                    <w:txbxContent>
                      <w:p>
                        <w:pPr>
                          <w:spacing w:line="240" w:lineRule="auto" w:before="0"/>
                          <w:rPr>
                            <w:sz w:val="40"/>
                          </w:rPr>
                        </w:pPr>
                      </w:p>
                      <w:p>
                        <w:pPr>
                          <w:spacing w:line="240" w:lineRule="auto" w:before="0"/>
                          <w:rPr>
                            <w:sz w:val="40"/>
                          </w:rPr>
                        </w:pPr>
                      </w:p>
                      <w:p>
                        <w:pPr>
                          <w:spacing w:line="240" w:lineRule="auto" w:before="0"/>
                          <w:rPr>
                            <w:sz w:val="40"/>
                          </w:rPr>
                        </w:pPr>
                      </w:p>
                      <w:p>
                        <w:pPr>
                          <w:spacing w:line="240" w:lineRule="auto" w:before="0"/>
                          <w:rPr>
                            <w:sz w:val="40"/>
                          </w:rPr>
                        </w:pPr>
                      </w:p>
                      <w:p>
                        <w:pPr>
                          <w:spacing w:line="240" w:lineRule="auto" w:before="0"/>
                          <w:rPr>
                            <w:sz w:val="40"/>
                          </w:rPr>
                        </w:pPr>
                      </w:p>
                      <w:p>
                        <w:pPr>
                          <w:spacing w:line="240" w:lineRule="auto" w:before="0"/>
                          <w:rPr>
                            <w:sz w:val="40"/>
                          </w:rPr>
                        </w:pPr>
                      </w:p>
                      <w:p>
                        <w:pPr>
                          <w:spacing w:line="240" w:lineRule="auto" w:before="0"/>
                          <w:rPr>
                            <w:sz w:val="40"/>
                          </w:rPr>
                        </w:pPr>
                      </w:p>
                      <w:p>
                        <w:pPr>
                          <w:spacing w:line="240" w:lineRule="auto" w:before="0"/>
                          <w:rPr>
                            <w:sz w:val="40"/>
                          </w:rPr>
                        </w:pPr>
                      </w:p>
                      <w:p>
                        <w:pPr>
                          <w:spacing w:line="240" w:lineRule="auto" w:before="184"/>
                          <w:rPr>
                            <w:sz w:val="40"/>
                          </w:rPr>
                        </w:pPr>
                      </w:p>
                      <w:p>
                        <w:pPr>
                          <w:spacing w:before="0"/>
                          <w:ind w:left="666" w:right="0" w:firstLine="0"/>
                          <w:jc w:val="left"/>
                          <w:rPr>
                            <w:b/>
                            <w:sz w:val="40"/>
                          </w:rPr>
                        </w:pPr>
                        <w:r>
                          <w:rPr>
                            <w:b/>
                            <w:sz w:val="40"/>
                          </w:rPr>
                          <w:t>SPILLAGE</w:t>
                        </w:r>
                        <w:r>
                          <w:rPr>
                            <w:b/>
                            <w:spacing w:val="-4"/>
                            <w:sz w:val="40"/>
                          </w:rPr>
                          <w:t> </w:t>
                        </w:r>
                        <w:r>
                          <w:rPr>
                            <w:b/>
                            <w:spacing w:val="-2"/>
                            <w:sz w:val="40"/>
                          </w:rPr>
                          <w:t>FAULTY</w:t>
                        </w:r>
                      </w:p>
                    </w:txbxContent>
                  </v:textbox>
                  <v:stroke dashstyle="solid"/>
                  <w10:wrap type="none"/>
                </v:shape>
                <w10:wrap type="topAndBottom"/>
              </v:group>
            </w:pict>
          </mc:Fallback>
        </mc:AlternateContent>
      </w:r>
    </w:p>
    <w:p>
      <w:pPr>
        <w:pStyle w:val="Heading2"/>
        <w:spacing w:line="360" w:lineRule="auto" w:before="222"/>
        <w:ind w:left="1560" w:right="2806" w:hanging="60"/>
        <w:jc w:val="both"/>
      </w:pPr>
      <w:r>
        <w:rPr/>
        <w:t>Plate</w:t>
      </w:r>
      <w:r>
        <w:rPr>
          <w:spacing w:val="-5"/>
        </w:rPr>
        <w:t> </w:t>
      </w:r>
      <w:r>
        <w:rPr/>
        <w:t>8:</w:t>
      </w:r>
      <w:r>
        <w:rPr>
          <w:spacing w:val="-5"/>
        </w:rPr>
        <w:t> </w:t>
      </w:r>
      <w:r>
        <w:rPr/>
        <w:t>Oil</w:t>
      </w:r>
      <w:r>
        <w:rPr>
          <w:spacing w:val="-4"/>
        </w:rPr>
        <w:t> </w:t>
      </w:r>
      <w:r>
        <w:rPr/>
        <w:t>Spills</w:t>
      </w:r>
      <w:r>
        <w:rPr>
          <w:spacing w:val="-4"/>
        </w:rPr>
        <w:t> </w:t>
      </w:r>
      <w:r>
        <w:rPr/>
        <w:t>and</w:t>
      </w:r>
      <w:r>
        <w:rPr>
          <w:spacing w:val="-6"/>
        </w:rPr>
        <w:t> </w:t>
      </w:r>
      <w:r>
        <w:rPr/>
        <w:t>Environmental</w:t>
      </w:r>
      <w:r>
        <w:rPr>
          <w:spacing w:val="-4"/>
        </w:rPr>
        <w:t> </w:t>
      </w:r>
      <w:r>
        <w:rPr/>
        <w:t>Disasters</w:t>
      </w:r>
      <w:r>
        <w:rPr>
          <w:spacing w:val="-4"/>
        </w:rPr>
        <w:t> </w:t>
      </w:r>
      <w:r>
        <w:rPr/>
        <w:t>in</w:t>
      </w:r>
      <w:r>
        <w:rPr>
          <w:spacing w:val="-3"/>
        </w:rPr>
        <w:t> </w:t>
      </w:r>
      <w:r>
        <w:rPr/>
        <w:t>the</w:t>
      </w:r>
      <w:r>
        <w:rPr>
          <w:spacing w:val="-5"/>
        </w:rPr>
        <w:t> </w:t>
      </w:r>
      <w:r>
        <w:rPr/>
        <w:t>Niger</w:t>
      </w:r>
      <w:r>
        <w:rPr>
          <w:spacing w:val="-5"/>
        </w:rPr>
        <w:t> </w:t>
      </w:r>
      <w:r>
        <w:rPr/>
        <w:t>Delta Source: </w:t>
      </w:r>
      <w:hyperlink r:id="rId27">
        <w:r>
          <w:rPr/>
          <w:t>www.google.com</w:t>
        </w:r>
      </w:hyperlink>
      <w:r>
        <w:rPr/>
        <w:t> /Researchers Fieldwork</w:t>
      </w:r>
    </w:p>
    <w:p>
      <w:pPr>
        <w:pStyle w:val="BodyText"/>
        <w:spacing w:line="360" w:lineRule="auto"/>
        <w:ind w:right="1255" w:firstLine="720"/>
        <w:jc w:val="both"/>
      </w:pPr>
      <w:r>
        <w:rPr/>
        <mc:AlternateContent>
          <mc:Choice Requires="wps">
            <w:drawing>
              <wp:anchor distT="0" distB="0" distL="0" distR="0" allowOverlap="1" layoutInCell="1" locked="0" behindDoc="1" simplePos="0" relativeHeight="480578560">
                <wp:simplePos x="0" y="0"/>
                <wp:positionH relativeFrom="page">
                  <wp:posOffset>3775025</wp:posOffset>
                </wp:positionH>
                <wp:positionV relativeFrom="paragraph">
                  <wp:posOffset>-1764129</wp:posOffset>
                </wp:positionV>
                <wp:extent cx="1270635" cy="914400"/>
                <wp:effectExtent l="0" t="0" r="0" b="0"/>
                <wp:wrapNone/>
                <wp:docPr id="79" name="Textbox 79"/>
                <wp:cNvGraphicFramePr>
                  <a:graphicFrameLocks/>
                </wp:cNvGraphicFramePr>
                <a:graphic>
                  <a:graphicData uri="http://schemas.microsoft.com/office/word/2010/wordprocessingShape">
                    <wps:wsp>
                      <wps:cNvPr id="79" name="Textbox 79"/>
                      <wps:cNvSpPr txBox="1"/>
                      <wps:spPr>
                        <a:xfrm rot="18360000">
                          <a:off x="0" y="0"/>
                          <a:ext cx="1270635"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5"/>
                                <w:sz w:val="144"/>
                              </w:rPr>
                              <w:t>OF</w:t>
                            </w:r>
                          </w:p>
                        </w:txbxContent>
                      </wps:txbx>
                      <wps:bodyPr wrap="square" lIns="0" tIns="0" rIns="0" bIns="0" rtlCol="0">
                        <a:noAutofit/>
                      </wps:bodyPr>
                    </wps:wsp>
                  </a:graphicData>
                </a:graphic>
              </wp:anchor>
            </w:drawing>
          </mc:Choice>
          <mc:Fallback>
            <w:pict>
              <v:shape style="position:absolute;margin-left:297.246118pt;margin-top:-138.907831pt;width:100.05pt;height:72pt;mso-position-horizontal-relative:page;mso-position-vertical-relative:paragraph;z-index:-22737920;rotation:306" type="#_x0000_t136" fillcolor="#ff5400" stroked="f">
                <o:extrusion v:ext="view" autorotationcenter="t"/>
                <v:textpath style="font-family:&quot;Arial MT&quot;;font-size:72pt;v-text-kern:t;mso-text-shadow:auto" string="OF"/>
                <w10:wrap type="none"/>
              </v:shape>
            </w:pict>
          </mc:Fallback>
        </mc:AlternateContent>
      </w:r>
      <w:r>
        <w:rPr/>
        <w:t>Others, including prominent elites of the Niger Delta region such as Chief Edwin Clark and Chief Dakorou of Nembe argued that amongst the factors responsible for the crises in Niger Delta are “oil companies” polarization of communities. These have exacerbated the conflict through selective empowerment, ready disposition to "settle", appeasing on implementation of valid Memorandum of Understandings (MOUs) between them and the oil bearing communities" and "failed institutional transactions such as extinction of traditional occupations and demise of indenture system".</w:t>
      </w:r>
    </w:p>
    <w:p>
      <w:pPr>
        <w:pStyle w:val="BodyText"/>
        <w:spacing w:line="360" w:lineRule="auto"/>
        <w:ind w:right="1251" w:firstLine="720"/>
        <w:jc w:val="both"/>
      </w:pPr>
      <w:r>
        <w:rPr/>
        <w:t>Successive governments, donor organizations and transnational oil and gas companies have put in place different policy instruments and measures to specifically address the Niger Delta problems since the pre-independence era without success (Nwankpa, 2003; Ogbogbo, 2005; Fayemi, 2005; Albert, 2007).These include the Oil Mineral Producing Area Development Commission (OMPADEC) in 1992 and later the</w:t>
      </w:r>
      <w:r>
        <w:rPr>
          <w:spacing w:val="64"/>
          <w:w w:val="150"/>
        </w:rPr>
        <w:t> </w:t>
      </w:r>
      <w:r>
        <w:rPr/>
        <w:t>Niger</w:t>
      </w:r>
      <w:r>
        <w:rPr>
          <w:spacing w:val="65"/>
          <w:w w:val="150"/>
        </w:rPr>
        <w:t> </w:t>
      </w:r>
      <w:r>
        <w:rPr/>
        <w:t>Delta</w:t>
      </w:r>
      <w:r>
        <w:rPr>
          <w:spacing w:val="63"/>
          <w:w w:val="150"/>
        </w:rPr>
        <w:t> </w:t>
      </w:r>
      <w:r>
        <w:rPr/>
        <w:t>Development</w:t>
      </w:r>
      <w:r>
        <w:rPr>
          <w:spacing w:val="65"/>
          <w:w w:val="150"/>
        </w:rPr>
        <w:t> </w:t>
      </w:r>
      <w:r>
        <w:rPr/>
        <w:t>Commission</w:t>
      </w:r>
      <w:r>
        <w:rPr>
          <w:spacing w:val="62"/>
          <w:w w:val="150"/>
        </w:rPr>
        <w:t> </w:t>
      </w:r>
      <w:r>
        <w:rPr/>
        <w:t>(NDDC)</w:t>
      </w:r>
      <w:r>
        <w:rPr>
          <w:spacing w:val="65"/>
          <w:w w:val="150"/>
        </w:rPr>
        <w:t> </w:t>
      </w:r>
      <w:r>
        <w:rPr/>
        <w:t>in</w:t>
      </w:r>
      <w:r>
        <w:rPr>
          <w:spacing w:val="65"/>
          <w:w w:val="150"/>
        </w:rPr>
        <w:t> </w:t>
      </w:r>
      <w:r>
        <w:rPr/>
        <w:t>2000,</w:t>
      </w:r>
      <w:r>
        <w:rPr>
          <w:spacing w:val="64"/>
          <w:w w:val="150"/>
        </w:rPr>
        <w:t> </w:t>
      </w:r>
      <w:r>
        <w:rPr/>
        <w:t>the</w:t>
      </w:r>
      <w:r>
        <w:rPr>
          <w:spacing w:val="65"/>
          <w:w w:val="150"/>
        </w:rPr>
        <w:t> </w:t>
      </w:r>
      <w:r>
        <w:rPr/>
        <w:t>Ministry</w:t>
      </w:r>
      <w:r>
        <w:rPr>
          <w:spacing w:val="58"/>
          <w:w w:val="150"/>
        </w:rPr>
        <w:t> </w:t>
      </w:r>
      <w:r>
        <w:rPr>
          <w:spacing w:val="-5"/>
        </w:rPr>
        <w:t>of</w:t>
      </w:r>
    </w:p>
    <w:p>
      <w:pPr>
        <w:spacing w:after="0" w:line="360" w:lineRule="auto"/>
        <w:jc w:val="both"/>
        <w:sectPr>
          <w:pgSz w:w="11910" w:h="16840"/>
          <w:pgMar w:header="0" w:footer="1561" w:top="1360" w:bottom="1760" w:left="720" w:right="180"/>
        </w:sectPr>
      </w:pPr>
    </w:p>
    <w:p>
      <w:pPr>
        <w:pStyle w:val="BodyText"/>
        <w:spacing w:line="360" w:lineRule="auto" w:before="60"/>
        <w:ind w:right="1255"/>
        <w:jc w:val="both"/>
      </w:pPr>
      <w:r>
        <w:rPr/>
        <mc:AlternateContent>
          <mc:Choice Requires="wps">
            <w:drawing>
              <wp:anchor distT="0" distB="0" distL="0" distR="0" allowOverlap="1" layoutInCell="1" locked="0" behindDoc="1" simplePos="0" relativeHeight="480580096">
                <wp:simplePos x="0" y="0"/>
                <wp:positionH relativeFrom="page">
                  <wp:posOffset>-1537026</wp:posOffset>
                </wp:positionH>
                <wp:positionV relativeFrom="page">
                  <wp:posOffset>4900424</wp:posOffset>
                </wp:positionV>
                <wp:extent cx="10669905" cy="914400"/>
                <wp:effectExtent l="0" t="0" r="0" b="0"/>
                <wp:wrapNone/>
                <wp:docPr id="80" name="Textbox 80"/>
                <wp:cNvGraphicFramePr>
                  <a:graphicFrameLocks/>
                </wp:cNvGraphicFramePr>
                <a:graphic>
                  <a:graphicData uri="http://schemas.microsoft.com/office/word/2010/wordprocessingShape">
                    <wps:wsp>
                      <wps:cNvPr id="80" name="Textbox 80"/>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36384;rotation:306" type="#_x0000_t136" fillcolor="#ff5400" stroked="f">
                <o:extrusion v:ext="view" autorotationcenter="t"/>
                <v:textpath style="font-family:&quot;Arial MT&quot;;font-size:72pt;v-text-kern:t;mso-text-shadow:auto" string="UNIVERSITY OF IBADAN"/>
                <w10:wrap type="none"/>
              </v:shape>
            </w:pict>
          </mc:Fallback>
        </mc:AlternateContent>
      </w:r>
      <w:r>
        <w:rPr/>
        <w:t>Environment in 2002, the Amnesty programme of 2009, and the creation of the Niger Delta Affairs Ministry in 2009. From the research carried out by the Centre for Democracy and Development on the Niger Delta conflicts, Fayemi (2005: 5-7) gave three reasons why such policies have failed to achieve the desired objectives.</w:t>
      </w:r>
      <w:r>
        <w:rPr>
          <w:spacing w:val="40"/>
        </w:rPr>
        <w:t> </w:t>
      </w:r>
      <w:r>
        <w:rPr/>
        <w:t>Firstly, "they were imposed without collective ownership by the Niger Delta people. Secondly, they were primarily reactive to particular problems and not to the holistic frameworks for developing the communities.</w:t>
      </w:r>
      <w:r>
        <w:rPr>
          <w:spacing w:val="40"/>
        </w:rPr>
        <w:t> </w:t>
      </w:r>
      <w:r>
        <w:rPr/>
        <w:t>Thirdly, because "the development interventions were temporary palliatives without any serious consideration for human development in the Niger Delta", (Fayemi, 2005:20).</w:t>
      </w:r>
      <w:r>
        <w:rPr>
          <w:spacing w:val="40"/>
        </w:rPr>
        <w:t> </w:t>
      </w:r>
      <w:r>
        <w:rPr/>
        <w:t>However, these measures could not curtail militant activities, hence, the introduction of the military operations.</w:t>
      </w:r>
    </w:p>
    <w:p>
      <w:pPr>
        <w:pStyle w:val="BodyText"/>
        <w:spacing w:line="360" w:lineRule="auto" w:before="2"/>
        <w:ind w:right="1254" w:firstLine="720"/>
        <w:jc w:val="both"/>
      </w:pPr>
      <w:r>
        <w:rPr/>
        <w:t>The introduction of military operations in the Niger Delta was necessitated by the</w:t>
      </w:r>
      <w:r>
        <w:rPr>
          <w:spacing w:val="-1"/>
        </w:rPr>
        <w:t> </w:t>
      </w:r>
      <w:r>
        <w:rPr/>
        <w:t>fact that the conflicts have</w:t>
      </w:r>
      <w:r>
        <w:rPr>
          <w:spacing w:val="-1"/>
        </w:rPr>
        <w:t> </w:t>
      </w:r>
      <w:r>
        <w:rPr/>
        <w:t>manifested with such intensity</w:t>
      </w:r>
      <w:r>
        <w:rPr>
          <w:spacing w:val="-3"/>
        </w:rPr>
        <w:t> </w:t>
      </w:r>
      <w:r>
        <w:rPr/>
        <w:t>and dimensions that, the militants</w:t>
      </w:r>
      <w:r>
        <w:rPr>
          <w:spacing w:val="-3"/>
        </w:rPr>
        <w:t> </w:t>
      </w:r>
      <w:r>
        <w:rPr/>
        <w:t>have</w:t>
      </w:r>
      <w:r>
        <w:rPr>
          <w:spacing w:val="-4"/>
        </w:rPr>
        <w:t> </w:t>
      </w:r>
      <w:r>
        <w:rPr/>
        <w:t>often</w:t>
      </w:r>
      <w:r>
        <w:rPr>
          <w:spacing w:val="-3"/>
        </w:rPr>
        <w:t> </w:t>
      </w:r>
      <w:r>
        <w:rPr/>
        <w:t>over-whelmed</w:t>
      </w:r>
      <w:r>
        <w:rPr>
          <w:spacing w:val="-3"/>
        </w:rPr>
        <w:t> </w:t>
      </w:r>
      <w:r>
        <w:rPr/>
        <w:t>the</w:t>
      </w:r>
      <w:r>
        <w:rPr>
          <w:spacing w:val="-3"/>
        </w:rPr>
        <w:t> </w:t>
      </w:r>
      <w:r>
        <w:rPr/>
        <w:t>intervention</w:t>
      </w:r>
      <w:r>
        <w:rPr>
          <w:spacing w:val="-3"/>
        </w:rPr>
        <w:t> </w:t>
      </w:r>
      <w:r>
        <w:rPr/>
        <w:t>of</w:t>
      </w:r>
      <w:r>
        <w:rPr>
          <w:spacing w:val="-3"/>
        </w:rPr>
        <w:t> </w:t>
      </w:r>
      <w:r>
        <w:rPr/>
        <w:t>the</w:t>
      </w:r>
      <w:r>
        <w:rPr>
          <w:spacing w:val="-5"/>
        </w:rPr>
        <w:t> </w:t>
      </w:r>
      <w:r>
        <w:rPr/>
        <w:t>Nigeria</w:t>
      </w:r>
      <w:r>
        <w:rPr>
          <w:spacing w:val="-5"/>
        </w:rPr>
        <w:t> </w:t>
      </w:r>
      <w:r>
        <w:rPr/>
        <w:t>Police</w:t>
      </w:r>
      <w:r>
        <w:rPr>
          <w:spacing w:val="-2"/>
        </w:rPr>
        <w:t> </w:t>
      </w:r>
      <w:r>
        <w:rPr/>
        <w:t>Force</w:t>
      </w:r>
      <w:r>
        <w:rPr>
          <w:spacing w:val="-2"/>
        </w:rPr>
        <w:t> </w:t>
      </w:r>
      <w:r>
        <w:rPr/>
        <w:t>(NPF), (Bolarin, 2005:40).</w:t>
      </w:r>
      <w:r>
        <w:rPr>
          <w:spacing w:val="40"/>
        </w:rPr>
        <w:t> </w:t>
      </w:r>
      <w:r>
        <w:rPr/>
        <w:t>The first involvement of the military in the management of conflict in the Niger Delta was during the Isaac Adaka Boro revolt of 23rd February 1966.</w:t>
      </w:r>
      <w:r>
        <w:rPr>
          <w:spacing w:val="40"/>
        </w:rPr>
        <w:t> </w:t>
      </w:r>
      <w:r>
        <w:rPr/>
        <w:t>There was also the</w:t>
      </w:r>
      <w:r>
        <w:rPr>
          <w:spacing w:val="-1"/>
        </w:rPr>
        <w:t> </w:t>
      </w:r>
      <w:r>
        <w:rPr/>
        <w:t>Rivers State Internal Security</w:t>
      </w:r>
      <w:r>
        <w:rPr>
          <w:spacing w:val="-3"/>
        </w:rPr>
        <w:t> </w:t>
      </w:r>
      <w:r>
        <w:rPr/>
        <w:t>(IS)</w:t>
      </w:r>
      <w:r>
        <w:rPr>
          <w:spacing w:val="-1"/>
        </w:rPr>
        <w:t> </w:t>
      </w:r>
      <w:r>
        <w:rPr/>
        <w:t>Task Force</w:t>
      </w:r>
      <w:r>
        <w:rPr>
          <w:spacing w:val="-1"/>
        </w:rPr>
        <w:t> </w:t>
      </w:r>
      <w:r>
        <w:rPr/>
        <w:t>of 1993-1998 set up to check communal clashes between the Ogoni and Andoni people.</w:t>
      </w:r>
    </w:p>
    <w:p>
      <w:pPr>
        <w:pStyle w:val="BodyText"/>
        <w:spacing w:line="360" w:lineRule="auto"/>
        <w:ind w:right="1258" w:firstLine="720"/>
        <w:jc w:val="both"/>
      </w:pPr>
      <w:r>
        <w:rPr/>
        <w:t>Furthermore, there was the Operation HAKURI II that was established to curtail the Kaiama Declaration of November 1998 by Ijaw Youth Council (IYC), and was also mandated to protect lives and property, particularly in oil platforms,</w:t>
      </w:r>
      <w:r>
        <w:rPr>
          <w:spacing w:val="40"/>
        </w:rPr>
        <w:t> </w:t>
      </w:r>
      <w:r>
        <w:rPr/>
        <w:t>pipelines and power installations in the Niger Delta.</w:t>
      </w:r>
      <w:r>
        <w:rPr>
          <w:spacing w:val="40"/>
        </w:rPr>
        <w:t> </w:t>
      </w:r>
      <w:r>
        <w:rPr/>
        <w:t>This operation culminated in the quelling</w:t>
      </w:r>
      <w:r>
        <w:rPr>
          <w:spacing w:val="-4"/>
        </w:rPr>
        <w:t> </w:t>
      </w:r>
      <w:r>
        <w:rPr/>
        <w:t>of</w:t>
      </w:r>
      <w:r>
        <w:rPr>
          <w:spacing w:val="-2"/>
        </w:rPr>
        <w:t> </w:t>
      </w:r>
      <w:r>
        <w:rPr/>
        <w:t>the</w:t>
      </w:r>
      <w:r>
        <w:rPr>
          <w:spacing w:val="-2"/>
        </w:rPr>
        <w:t> </w:t>
      </w:r>
      <w:r>
        <w:rPr/>
        <w:t>Odi</w:t>
      </w:r>
      <w:r>
        <w:rPr>
          <w:spacing w:val="-1"/>
        </w:rPr>
        <w:t> </w:t>
      </w:r>
      <w:r>
        <w:rPr/>
        <w:t>uprising</w:t>
      </w:r>
      <w:r>
        <w:rPr>
          <w:spacing w:val="-4"/>
        </w:rPr>
        <w:t> </w:t>
      </w:r>
      <w:r>
        <w:rPr/>
        <w:t>of</w:t>
      </w:r>
      <w:r>
        <w:rPr>
          <w:spacing w:val="-2"/>
        </w:rPr>
        <w:t> </w:t>
      </w:r>
      <w:r>
        <w:rPr/>
        <w:t>1999</w:t>
      </w:r>
      <w:r>
        <w:rPr>
          <w:spacing w:val="-1"/>
        </w:rPr>
        <w:t> </w:t>
      </w:r>
      <w:r>
        <w:rPr/>
        <w:t>with</w:t>
      </w:r>
      <w:r>
        <w:rPr>
          <w:spacing w:val="-1"/>
        </w:rPr>
        <w:t> </w:t>
      </w:r>
      <w:r>
        <w:rPr/>
        <w:t>its</w:t>
      </w:r>
      <w:r>
        <w:rPr>
          <w:spacing w:val="-3"/>
        </w:rPr>
        <w:t> </w:t>
      </w:r>
      <w:r>
        <w:rPr/>
        <w:t>attendant gruesome</w:t>
      </w:r>
      <w:r>
        <w:rPr>
          <w:spacing w:val="-2"/>
        </w:rPr>
        <w:t> </w:t>
      </w:r>
      <w:r>
        <w:rPr/>
        <w:t>consequences.</w:t>
      </w:r>
      <w:r>
        <w:rPr>
          <w:spacing w:val="40"/>
        </w:rPr>
        <w:t> </w:t>
      </w:r>
      <w:r>
        <w:rPr/>
        <w:t>There was</w:t>
      </w:r>
      <w:r>
        <w:rPr>
          <w:spacing w:val="-2"/>
        </w:rPr>
        <w:t> </w:t>
      </w:r>
      <w:r>
        <w:rPr/>
        <w:t>also</w:t>
      </w:r>
      <w:r>
        <w:rPr>
          <w:spacing w:val="-2"/>
        </w:rPr>
        <w:t> </w:t>
      </w:r>
      <w:r>
        <w:rPr/>
        <w:t>the</w:t>
      </w:r>
      <w:r>
        <w:rPr>
          <w:spacing w:val="-3"/>
        </w:rPr>
        <w:t> </w:t>
      </w:r>
      <w:r>
        <w:rPr/>
        <w:t>Joint</w:t>
      </w:r>
      <w:r>
        <w:rPr>
          <w:spacing w:val="-2"/>
        </w:rPr>
        <w:t> </w:t>
      </w:r>
      <w:r>
        <w:rPr/>
        <w:t>Task</w:t>
      </w:r>
      <w:r>
        <w:rPr>
          <w:spacing w:val="-2"/>
        </w:rPr>
        <w:t> </w:t>
      </w:r>
      <w:r>
        <w:rPr/>
        <w:t>Force</w:t>
      </w:r>
      <w:r>
        <w:rPr>
          <w:spacing w:val="-3"/>
        </w:rPr>
        <w:t> </w:t>
      </w:r>
      <w:r>
        <w:rPr/>
        <w:t>(JTF)</w:t>
      </w:r>
      <w:r>
        <w:rPr>
          <w:spacing w:val="-3"/>
        </w:rPr>
        <w:t> </w:t>
      </w:r>
      <w:r>
        <w:rPr/>
        <w:t>code-</w:t>
      </w:r>
      <w:r>
        <w:rPr>
          <w:spacing w:val="-3"/>
        </w:rPr>
        <w:t> </w:t>
      </w:r>
      <w:r>
        <w:rPr/>
        <w:t>named</w:t>
      </w:r>
      <w:r>
        <w:rPr>
          <w:spacing w:val="-3"/>
        </w:rPr>
        <w:t> </w:t>
      </w:r>
      <w:r>
        <w:rPr/>
        <w:t>'operation</w:t>
      </w:r>
      <w:r>
        <w:rPr>
          <w:spacing w:val="-2"/>
        </w:rPr>
        <w:t> </w:t>
      </w:r>
      <w:r>
        <w:rPr/>
        <w:t>RESTORE</w:t>
      </w:r>
      <w:r>
        <w:rPr>
          <w:spacing w:val="-3"/>
        </w:rPr>
        <w:t> </w:t>
      </w:r>
      <w:r>
        <w:rPr/>
        <w:t>HOPE',</w:t>
      </w:r>
      <w:r>
        <w:rPr>
          <w:spacing w:val="-2"/>
        </w:rPr>
        <w:t> </w:t>
      </w:r>
      <w:r>
        <w:rPr/>
        <w:t>which is ongoing in the Niger Delta. However, JTF and operation RESTORE HOPE will be used interchangeably in this research.</w:t>
      </w:r>
    </w:p>
    <w:p>
      <w:pPr>
        <w:pStyle w:val="BodyText"/>
        <w:spacing w:line="360" w:lineRule="auto"/>
        <w:ind w:right="1254" w:firstLine="720"/>
        <w:jc w:val="both"/>
      </w:pPr>
      <w:r>
        <w:rPr/>
        <w:t>Operation RESTORE HOPE was established on 19th August, 2003 following the persistent ethnic crises in Warri and the general insecurity in the Niger Delta region.</w:t>
      </w:r>
      <w:r>
        <w:rPr>
          <w:spacing w:val="40"/>
        </w:rPr>
        <w:t> </w:t>
      </w:r>
      <w:r>
        <w:rPr/>
        <w:t>At its inception, the JTF was mandated primarily, to arrest the criminal activities</w:t>
      </w:r>
      <w:r>
        <w:rPr>
          <w:spacing w:val="-1"/>
        </w:rPr>
        <w:t> </w:t>
      </w:r>
      <w:r>
        <w:rPr/>
        <w:t>of</w:t>
      </w:r>
      <w:r>
        <w:rPr>
          <w:spacing w:val="-1"/>
        </w:rPr>
        <w:t> </w:t>
      </w:r>
      <w:r>
        <w:rPr/>
        <w:t>militant groups in the</w:t>
      </w:r>
      <w:r>
        <w:rPr>
          <w:spacing w:val="-1"/>
        </w:rPr>
        <w:t> </w:t>
      </w:r>
      <w:r>
        <w:rPr/>
        <w:t>Niger Delta, restore</w:t>
      </w:r>
      <w:r>
        <w:rPr>
          <w:spacing w:val="-2"/>
        </w:rPr>
        <w:t> </w:t>
      </w:r>
      <w:r>
        <w:rPr/>
        <w:t>law and order as well as ensure a secure enabling environment for socio-economic activities to thrive. Operation RESTORE HOPE comprises members of the Armed Forces, the NPF and the State Security</w:t>
      </w:r>
      <w:r>
        <w:rPr>
          <w:spacing w:val="2"/>
        </w:rPr>
        <w:t> </w:t>
      </w:r>
      <w:r>
        <w:rPr/>
        <w:t>Services</w:t>
      </w:r>
      <w:r>
        <w:rPr>
          <w:spacing w:val="10"/>
        </w:rPr>
        <w:t> </w:t>
      </w:r>
      <w:r>
        <w:rPr/>
        <w:t>(SSS).</w:t>
      </w:r>
      <w:r>
        <w:rPr>
          <w:spacing w:val="76"/>
        </w:rPr>
        <w:t> </w:t>
      </w:r>
      <w:r>
        <w:rPr/>
        <w:t>The</w:t>
      </w:r>
      <w:r>
        <w:rPr>
          <w:spacing w:val="9"/>
        </w:rPr>
        <w:t> </w:t>
      </w:r>
      <w:r>
        <w:rPr/>
        <w:t>JTF</w:t>
      </w:r>
      <w:r>
        <w:rPr>
          <w:spacing w:val="8"/>
        </w:rPr>
        <w:t> </w:t>
      </w:r>
      <w:r>
        <w:rPr/>
        <w:t>is</w:t>
      </w:r>
      <w:r>
        <w:rPr>
          <w:spacing w:val="7"/>
        </w:rPr>
        <w:t> </w:t>
      </w:r>
      <w:r>
        <w:rPr/>
        <w:t>presently</w:t>
      </w:r>
      <w:r>
        <w:rPr>
          <w:spacing w:val="5"/>
        </w:rPr>
        <w:t> </w:t>
      </w:r>
      <w:r>
        <w:rPr/>
        <w:t>conducting</w:t>
      </w:r>
      <w:r>
        <w:rPr>
          <w:spacing w:val="7"/>
        </w:rPr>
        <w:t> </w:t>
      </w:r>
      <w:r>
        <w:rPr/>
        <w:t>a</w:t>
      </w:r>
      <w:r>
        <w:rPr>
          <w:spacing w:val="8"/>
        </w:rPr>
        <w:t> </w:t>
      </w:r>
      <w:r>
        <w:rPr/>
        <w:t>Military</w:t>
      </w:r>
      <w:r>
        <w:rPr>
          <w:spacing w:val="5"/>
        </w:rPr>
        <w:t> </w:t>
      </w:r>
      <w:r>
        <w:rPr/>
        <w:t>Operation</w:t>
      </w:r>
      <w:r>
        <w:rPr>
          <w:spacing w:val="10"/>
        </w:rPr>
        <w:t> </w:t>
      </w:r>
      <w:r>
        <w:rPr>
          <w:spacing w:val="-2"/>
        </w:rPr>
        <w:t>Other</w:t>
      </w:r>
    </w:p>
    <w:p>
      <w:pPr>
        <w:spacing w:after="0" w:line="360" w:lineRule="auto"/>
        <w:jc w:val="both"/>
        <w:sectPr>
          <w:pgSz w:w="11910" w:h="16840"/>
          <w:pgMar w:header="0" w:footer="1561" w:top="1360" w:bottom="1760" w:left="720" w:right="180"/>
        </w:sectPr>
      </w:pPr>
    </w:p>
    <w:p>
      <w:pPr>
        <w:pStyle w:val="BodyText"/>
        <w:spacing w:line="360" w:lineRule="auto" w:before="60"/>
        <w:ind w:right="1255"/>
        <w:jc w:val="both"/>
      </w:pPr>
      <w:r>
        <w:rPr/>
        <mc:AlternateContent>
          <mc:Choice Requires="wps">
            <w:drawing>
              <wp:anchor distT="0" distB="0" distL="0" distR="0" allowOverlap="1" layoutInCell="1" locked="0" behindDoc="1" simplePos="0" relativeHeight="480580608">
                <wp:simplePos x="0" y="0"/>
                <wp:positionH relativeFrom="page">
                  <wp:posOffset>-1537026</wp:posOffset>
                </wp:positionH>
                <wp:positionV relativeFrom="page">
                  <wp:posOffset>4900424</wp:posOffset>
                </wp:positionV>
                <wp:extent cx="10669905" cy="914400"/>
                <wp:effectExtent l="0" t="0" r="0" b="0"/>
                <wp:wrapNone/>
                <wp:docPr id="81" name="Textbox 81"/>
                <wp:cNvGraphicFramePr>
                  <a:graphicFrameLocks/>
                </wp:cNvGraphicFramePr>
                <a:graphic>
                  <a:graphicData uri="http://schemas.microsoft.com/office/word/2010/wordprocessingShape">
                    <wps:wsp>
                      <wps:cNvPr id="81" name="Textbox 81"/>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35872;rotation:306" type="#_x0000_t136" fillcolor="#ff5400" stroked="f">
                <o:extrusion v:ext="view" autorotationcenter="t"/>
                <v:textpath style="font-family:&quot;Arial MT&quot;;font-size:72pt;v-text-kern:t;mso-text-shadow:auto" string="UNIVERSITY OF IBADAN"/>
                <w10:wrap type="none"/>
              </v:shape>
            </w:pict>
          </mc:Fallback>
        </mc:AlternateContent>
      </w:r>
      <w:r>
        <w:rPr/>
        <w:t>Than War (MOOTW) that oscillates between traditional IS tasks and counter- insurgency operations in the Niger Delta region.</w:t>
      </w:r>
    </w:p>
    <w:p>
      <w:pPr>
        <w:pStyle w:val="BodyText"/>
        <w:spacing w:line="360" w:lineRule="auto" w:before="1"/>
        <w:ind w:right="1258" w:firstLine="720"/>
        <w:jc w:val="both"/>
      </w:pPr>
      <w:r>
        <w:rPr/>
        <w:t>The outcome of the study by Obasi (2005: 111) clearly brought out the fact that, though the military has a constitutional role to play in the management of IS in the</w:t>
      </w:r>
      <w:r>
        <w:rPr>
          <w:spacing w:val="-2"/>
        </w:rPr>
        <w:t> </w:t>
      </w:r>
      <w:r>
        <w:rPr/>
        <w:t>Niger</w:t>
      </w:r>
      <w:r>
        <w:rPr>
          <w:spacing w:val="-2"/>
        </w:rPr>
        <w:t> </w:t>
      </w:r>
      <w:r>
        <w:rPr/>
        <w:t>Delta,</w:t>
      </w:r>
      <w:r>
        <w:rPr>
          <w:spacing w:val="-1"/>
        </w:rPr>
        <w:t> </w:t>
      </w:r>
      <w:r>
        <w:rPr/>
        <w:t>it</w:t>
      </w:r>
      <w:r>
        <w:rPr>
          <w:spacing w:val="-1"/>
        </w:rPr>
        <w:t> </w:t>
      </w:r>
      <w:r>
        <w:rPr/>
        <w:t>has</w:t>
      </w:r>
      <w:r>
        <w:rPr>
          <w:spacing w:val="-1"/>
        </w:rPr>
        <w:t> </w:t>
      </w:r>
      <w:r>
        <w:rPr/>
        <w:t>however</w:t>
      </w:r>
      <w:r>
        <w:rPr>
          <w:spacing w:val="-2"/>
        </w:rPr>
        <w:t> </w:t>
      </w:r>
      <w:r>
        <w:rPr/>
        <w:t>performed</w:t>
      </w:r>
      <w:r>
        <w:rPr>
          <w:spacing w:val="-1"/>
        </w:rPr>
        <w:t> </w:t>
      </w:r>
      <w:r>
        <w:rPr/>
        <w:t>such</w:t>
      </w:r>
      <w:r>
        <w:rPr>
          <w:spacing w:val="-2"/>
        </w:rPr>
        <w:t> </w:t>
      </w:r>
      <w:r>
        <w:rPr/>
        <w:t>roles</w:t>
      </w:r>
      <w:r>
        <w:rPr>
          <w:spacing w:val="-2"/>
        </w:rPr>
        <w:t> </w:t>
      </w:r>
      <w:r>
        <w:rPr/>
        <w:t>with</w:t>
      </w:r>
      <w:r>
        <w:rPr>
          <w:spacing w:val="-1"/>
        </w:rPr>
        <w:t> </w:t>
      </w:r>
      <w:r>
        <w:rPr/>
        <w:t>some</w:t>
      </w:r>
      <w:r>
        <w:rPr>
          <w:spacing w:val="-2"/>
        </w:rPr>
        <w:t> </w:t>
      </w:r>
      <w:r>
        <w:rPr/>
        <w:t>inherent</w:t>
      </w:r>
      <w:r>
        <w:rPr>
          <w:spacing w:val="-1"/>
        </w:rPr>
        <w:t> </w:t>
      </w:r>
      <w:r>
        <w:rPr/>
        <w:t>inadequacies and challenges. These and other issues are germane to this research and need to be rigorously examined with a view to proffering solutions towards the effective management of the Niger Delta conflict.</w:t>
      </w:r>
      <w:r>
        <w:rPr>
          <w:spacing w:val="40"/>
        </w:rPr>
        <w:t> </w:t>
      </w:r>
      <w:r>
        <w:rPr/>
        <w:t>The persistent unabated militant operations in the Niger Delta despite the various military operations by the government</w:t>
      </w:r>
      <w:r>
        <w:rPr>
          <w:spacing w:val="40"/>
        </w:rPr>
        <w:t> </w:t>
      </w:r>
      <w:r>
        <w:rPr/>
        <w:t>motivated the researcher to undertake the study.</w:t>
      </w:r>
    </w:p>
    <w:p>
      <w:pPr>
        <w:pStyle w:val="Heading2"/>
        <w:numPr>
          <w:ilvl w:val="2"/>
          <w:numId w:val="6"/>
        </w:numPr>
        <w:tabs>
          <w:tab w:pos="2160" w:val="left" w:leader="none"/>
        </w:tabs>
        <w:spacing w:line="240" w:lineRule="auto" w:before="6" w:after="0"/>
        <w:ind w:left="2160" w:right="0" w:hanging="720"/>
        <w:jc w:val="both"/>
      </w:pPr>
      <w:bookmarkStart w:name="_TOC_250029" w:id="13"/>
      <w:r>
        <w:rPr/>
        <w:t>Location</w:t>
      </w:r>
      <w:r>
        <w:rPr>
          <w:spacing w:val="-1"/>
        </w:rPr>
        <w:t> </w:t>
      </w:r>
      <w:r>
        <w:rPr/>
        <w:t>and</w:t>
      </w:r>
      <w:r>
        <w:rPr>
          <w:spacing w:val="-1"/>
        </w:rPr>
        <w:t> </w:t>
      </w:r>
      <w:r>
        <w:rPr/>
        <w:t>Strategic</w:t>
      </w:r>
      <w:r>
        <w:rPr>
          <w:spacing w:val="-1"/>
        </w:rPr>
        <w:t> </w:t>
      </w:r>
      <w:r>
        <w:rPr/>
        <w:t>Importance</w:t>
      </w:r>
      <w:r>
        <w:rPr>
          <w:spacing w:val="-2"/>
        </w:rPr>
        <w:t> </w:t>
      </w:r>
      <w:r>
        <w:rPr/>
        <w:t>of</w:t>
      </w:r>
      <w:r>
        <w:rPr>
          <w:spacing w:val="-1"/>
        </w:rPr>
        <w:t> </w:t>
      </w:r>
      <w:r>
        <w:rPr/>
        <w:t>the</w:t>
      </w:r>
      <w:r>
        <w:rPr>
          <w:spacing w:val="-2"/>
        </w:rPr>
        <w:t> </w:t>
      </w:r>
      <w:r>
        <w:rPr/>
        <w:t>Niger</w:t>
      </w:r>
      <w:r>
        <w:rPr>
          <w:spacing w:val="-1"/>
        </w:rPr>
        <w:t> </w:t>
      </w:r>
      <w:bookmarkEnd w:id="13"/>
      <w:r>
        <w:rPr>
          <w:spacing w:val="-2"/>
        </w:rPr>
        <w:t>Delta</w:t>
      </w:r>
    </w:p>
    <w:p>
      <w:pPr>
        <w:pStyle w:val="BodyText"/>
        <w:spacing w:line="360" w:lineRule="auto" w:before="132"/>
        <w:ind w:right="1258" w:firstLine="720"/>
        <w:jc w:val="both"/>
      </w:pPr>
      <w:r>
        <w:rPr/>
        <w:t>The Niger Delta region is located in the southernmost physiographic region of Nigeria.</w:t>
      </w:r>
      <w:r>
        <w:rPr>
          <w:spacing w:val="40"/>
        </w:rPr>
        <w:t> </w:t>
      </w:r>
      <w:r>
        <w:rPr/>
        <w:t>The region covered an area of over 20,000 sq km having the 9</w:t>
      </w:r>
      <w:r>
        <w:rPr>
          <w:vertAlign w:val="superscript"/>
        </w:rPr>
        <w:t>th</w:t>
      </w:r>
      <w:r>
        <w:rPr>
          <w:vertAlign w:val="baseline"/>
        </w:rPr>
        <w:t> largest drainage area of the world's rivers and it is therefore one of the world's largest wetlands.</w:t>
      </w:r>
      <w:r>
        <w:rPr>
          <w:spacing w:val="40"/>
          <w:vertAlign w:val="baseline"/>
        </w:rPr>
        <w:t> </w:t>
      </w:r>
      <w:r>
        <w:rPr>
          <w:vertAlign w:val="baseline"/>
        </w:rPr>
        <w:t>The Map of the Niger Delta is at Figure 1.</w:t>
      </w:r>
      <w:r>
        <w:rPr>
          <w:spacing w:val="40"/>
          <w:vertAlign w:val="baseline"/>
        </w:rPr>
        <w:t> </w:t>
      </w:r>
      <w:r>
        <w:rPr>
          <w:vertAlign w:val="baseline"/>
        </w:rPr>
        <w:t>The Niger Delta has a coastline of</w:t>
      </w:r>
      <w:r>
        <w:rPr>
          <w:spacing w:val="-2"/>
          <w:vertAlign w:val="baseline"/>
        </w:rPr>
        <w:t> </w:t>
      </w:r>
      <w:r>
        <w:rPr>
          <w:vertAlign w:val="baseline"/>
        </w:rPr>
        <w:t>3</w:t>
      </w:r>
      <w:r>
        <w:rPr>
          <w:spacing w:val="-1"/>
          <w:vertAlign w:val="baseline"/>
        </w:rPr>
        <w:t> </w:t>
      </w:r>
      <w:r>
        <w:rPr>
          <w:vertAlign w:val="baseline"/>
        </w:rPr>
        <w:t>nautical</w:t>
      </w:r>
      <w:r>
        <w:rPr>
          <w:spacing w:val="-1"/>
          <w:vertAlign w:val="baseline"/>
        </w:rPr>
        <w:t> </w:t>
      </w:r>
      <w:r>
        <w:rPr>
          <w:vertAlign w:val="baseline"/>
        </w:rPr>
        <w:t>miles</w:t>
      </w:r>
      <w:r>
        <w:rPr>
          <w:spacing w:val="-2"/>
          <w:vertAlign w:val="baseline"/>
        </w:rPr>
        <w:t> </w:t>
      </w:r>
      <w:r>
        <w:rPr>
          <w:vertAlign w:val="baseline"/>
        </w:rPr>
        <w:t>(205km)</w:t>
      </w:r>
      <w:r>
        <w:rPr>
          <w:spacing w:val="-2"/>
          <w:vertAlign w:val="baseline"/>
        </w:rPr>
        <w:t> </w:t>
      </w:r>
      <w:r>
        <w:rPr>
          <w:vertAlign w:val="baseline"/>
        </w:rPr>
        <w:t>contiguous</w:t>
      </w:r>
      <w:r>
        <w:rPr>
          <w:spacing w:val="-1"/>
          <w:vertAlign w:val="baseline"/>
        </w:rPr>
        <w:t> </w:t>
      </w:r>
      <w:r>
        <w:rPr>
          <w:vertAlign w:val="baseline"/>
        </w:rPr>
        <w:t>to</w:t>
      </w:r>
      <w:r>
        <w:rPr>
          <w:spacing w:val="-1"/>
          <w:vertAlign w:val="baseline"/>
        </w:rPr>
        <w:t> </w:t>
      </w:r>
      <w:r>
        <w:rPr>
          <w:vertAlign w:val="baseline"/>
        </w:rPr>
        <w:t>the</w:t>
      </w:r>
      <w:r>
        <w:rPr>
          <w:spacing w:val="-2"/>
          <w:vertAlign w:val="baseline"/>
        </w:rPr>
        <w:t> </w:t>
      </w:r>
      <w:r>
        <w:rPr>
          <w:vertAlign w:val="baseline"/>
        </w:rPr>
        <w:t>Exclusive</w:t>
      </w:r>
      <w:r>
        <w:rPr>
          <w:spacing w:val="-2"/>
          <w:vertAlign w:val="baseline"/>
        </w:rPr>
        <w:t> </w:t>
      </w:r>
      <w:r>
        <w:rPr>
          <w:vertAlign w:val="baseline"/>
        </w:rPr>
        <w:t>Economic Zone</w:t>
      </w:r>
      <w:r>
        <w:rPr>
          <w:spacing w:val="-2"/>
          <w:vertAlign w:val="baseline"/>
        </w:rPr>
        <w:t> </w:t>
      </w:r>
      <w:r>
        <w:rPr>
          <w:vertAlign w:val="baseline"/>
        </w:rPr>
        <w:t>(EEZ) which is 22,200 km</w:t>
      </w:r>
      <w:r>
        <w:rPr>
          <w:vertAlign w:val="superscript"/>
        </w:rPr>
        <w:t>2</w:t>
      </w:r>
      <w:r>
        <w:rPr>
          <w:vertAlign w:val="baseline"/>
        </w:rPr>
        <w:t> and also rich in oil deposit.</w:t>
      </w:r>
      <w:r>
        <w:rPr>
          <w:spacing w:val="40"/>
          <w:vertAlign w:val="baseline"/>
        </w:rPr>
        <w:t> </w:t>
      </w:r>
      <w:r>
        <w:rPr>
          <w:vertAlign w:val="baseline"/>
        </w:rPr>
        <w:t>The presence of numerous creeks/mangroves swamp forest presents a rather difficult terrain of the JTF operations. Similarly, conducting successful military operation in such a vast</w:t>
      </w:r>
      <w:r>
        <w:rPr>
          <w:spacing w:val="40"/>
          <w:vertAlign w:val="baseline"/>
        </w:rPr>
        <w:t> </w:t>
      </w:r>
      <w:r>
        <w:rPr>
          <w:vertAlign w:val="baseline"/>
        </w:rPr>
        <w:t>maritime environment would require numerous logistics and some specialised equipment on the part of the JTF.</w:t>
      </w:r>
    </w:p>
    <w:p>
      <w:pPr>
        <w:pStyle w:val="BodyText"/>
        <w:spacing w:line="360" w:lineRule="auto"/>
        <w:ind w:right="1259" w:firstLine="720"/>
        <w:jc w:val="both"/>
      </w:pPr>
      <w:r>
        <w:rPr/>
        <w:t>The Niger Delta has rich oil deposits. It is strategic to the growth and development of the Nigerian economy which is heavily dependent on crude oil and natural gas export.</w:t>
      </w:r>
      <w:r>
        <w:rPr>
          <w:spacing w:val="40"/>
        </w:rPr>
        <w:t> </w:t>
      </w:r>
      <w:r>
        <w:rPr/>
        <w:t>These commodities alone from the region have generated 40% of Nigeria‟s National GDP in the last 2 decades.</w:t>
      </w:r>
      <w:r>
        <w:rPr>
          <w:spacing w:val="80"/>
        </w:rPr>
        <w:t> </w:t>
      </w:r>
      <w:r>
        <w:rPr/>
        <w:t>For instance in 2008, crude oil accounts for about 80% of total government revenue and about 95% of Nigeria's foreign earnings.</w:t>
      </w:r>
      <w:r>
        <w:rPr>
          <w:spacing w:val="40"/>
        </w:rPr>
        <w:t> </w:t>
      </w:r>
      <w:r>
        <w:rPr/>
        <w:t>However, instability in the region has not augured well for the security of the country.</w:t>
      </w:r>
    </w:p>
    <w:p>
      <w:pPr>
        <w:pStyle w:val="BodyText"/>
        <w:spacing w:line="360" w:lineRule="auto" w:before="2"/>
        <w:ind w:right="1257" w:firstLine="720"/>
        <w:jc w:val="both"/>
      </w:pPr>
      <w:r>
        <w:rPr/>
        <w:t>Since the discovery</w:t>
      </w:r>
      <w:r>
        <w:rPr>
          <w:spacing w:val="-3"/>
        </w:rPr>
        <w:t> </w:t>
      </w:r>
      <w:r>
        <w:rPr/>
        <w:t>of oil in the Niger Delta region at Oloibiri in 1956, people of</w:t>
      </w:r>
      <w:r>
        <w:rPr>
          <w:spacing w:val="-4"/>
        </w:rPr>
        <w:t> </w:t>
      </w:r>
      <w:r>
        <w:rPr/>
        <w:t>the</w:t>
      </w:r>
      <w:r>
        <w:rPr>
          <w:spacing w:val="-2"/>
        </w:rPr>
        <w:t> </w:t>
      </w:r>
      <w:r>
        <w:rPr/>
        <w:t>area</w:t>
      </w:r>
      <w:r>
        <w:rPr>
          <w:spacing w:val="-4"/>
        </w:rPr>
        <w:t> </w:t>
      </w:r>
      <w:r>
        <w:rPr/>
        <w:t>have</w:t>
      </w:r>
      <w:r>
        <w:rPr>
          <w:spacing w:val="-4"/>
        </w:rPr>
        <w:t> </w:t>
      </w:r>
      <w:r>
        <w:rPr/>
        <w:t>been</w:t>
      </w:r>
      <w:r>
        <w:rPr>
          <w:spacing w:val="-1"/>
        </w:rPr>
        <w:t> </w:t>
      </w:r>
      <w:r>
        <w:rPr/>
        <w:t>agitating</w:t>
      </w:r>
      <w:r>
        <w:rPr>
          <w:spacing w:val="-5"/>
        </w:rPr>
        <w:t> </w:t>
      </w:r>
      <w:r>
        <w:rPr/>
        <w:t>for</w:t>
      </w:r>
      <w:r>
        <w:rPr>
          <w:spacing w:val="-3"/>
        </w:rPr>
        <w:t> </w:t>
      </w:r>
      <w:r>
        <w:rPr/>
        <w:t>better</w:t>
      </w:r>
      <w:r>
        <w:rPr>
          <w:spacing w:val="-3"/>
        </w:rPr>
        <w:t> </w:t>
      </w:r>
      <w:r>
        <w:rPr/>
        <w:t>socio -</w:t>
      </w:r>
      <w:r>
        <w:rPr>
          <w:spacing w:val="-2"/>
        </w:rPr>
        <w:t> </w:t>
      </w:r>
      <w:r>
        <w:rPr/>
        <w:t>economic</w:t>
      </w:r>
      <w:r>
        <w:rPr>
          <w:spacing w:val="-4"/>
        </w:rPr>
        <w:t> </w:t>
      </w:r>
      <w:r>
        <w:rPr/>
        <w:t>development,</w:t>
      </w:r>
      <w:r>
        <w:rPr>
          <w:spacing w:val="-3"/>
        </w:rPr>
        <w:t> </w:t>
      </w:r>
      <w:r>
        <w:rPr/>
        <w:t>infrastructure and basic necessities of life for the region.</w:t>
      </w:r>
      <w:r>
        <w:rPr>
          <w:spacing w:val="40"/>
        </w:rPr>
        <w:t> </w:t>
      </w:r>
      <w:r>
        <w:rPr/>
        <w:t>These expectations and grievances have been expressed in various ways, and in recent times through violence.</w:t>
      </w:r>
    </w:p>
    <w:p>
      <w:pPr>
        <w:spacing w:after="0" w:line="360" w:lineRule="auto"/>
        <w:jc w:val="both"/>
        <w:sectPr>
          <w:pgSz w:w="11910" w:h="16840"/>
          <w:pgMar w:header="0" w:footer="1561" w:top="1360" w:bottom="1760" w:left="720" w:right="180"/>
        </w:sectPr>
      </w:pPr>
    </w:p>
    <w:p>
      <w:pPr>
        <w:tabs>
          <w:tab w:pos="5306" w:val="left" w:leader="none"/>
        </w:tabs>
        <w:spacing w:line="240" w:lineRule="auto"/>
        <w:ind w:left="133" w:right="0" w:firstLine="0"/>
        <w:rPr>
          <w:sz w:val="20"/>
        </w:rPr>
      </w:pPr>
      <w:r>
        <w:rPr/>
        <mc:AlternateContent>
          <mc:Choice Requires="wps">
            <w:drawing>
              <wp:anchor distT="0" distB="0" distL="0" distR="0" allowOverlap="1" layoutInCell="1" locked="0" behindDoc="1" simplePos="0" relativeHeight="480581632">
                <wp:simplePos x="0" y="0"/>
                <wp:positionH relativeFrom="page">
                  <wp:posOffset>-1537026</wp:posOffset>
                </wp:positionH>
                <wp:positionV relativeFrom="page">
                  <wp:posOffset>4900424</wp:posOffset>
                </wp:positionV>
                <wp:extent cx="10669905" cy="914400"/>
                <wp:effectExtent l="0" t="0" r="0" b="0"/>
                <wp:wrapNone/>
                <wp:docPr id="82" name="Textbox 82"/>
                <wp:cNvGraphicFramePr>
                  <a:graphicFrameLocks/>
                </wp:cNvGraphicFramePr>
                <a:graphic>
                  <a:graphicData uri="http://schemas.microsoft.com/office/word/2010/wordprocessingShape">
                    <wps:wsp>
                      <wps:cNvPr id="82" name="Textbox 82"/>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34848;rotation:306" type="#_x0000_t136" fillcolor="#ff5400" stroked="f">
                <o:extrusion v:ext="view" autorotationcenter="t"/>
                <v:textpath style="font-family:&quot;Arial MT&quot;;font-size:72pt;v-text-kern:t;mso-text-shadow:auto" string="UNIVERSITY OF IBADAN"/>
                <w10:wrap type="none"/>
              </v:shape>
            </w:pict>
          </mc:Fallback>
        </mc:AlternateContent>
      </w:r>
      <w:r>
        <w:rPr>
          <w:sz w:val="20"/>
        </w:rPr>
        <w:drawing>
          <wp:inline distT="0" distB="0" distL="0" distR="0">
            <wp:extent cx="2803791" cy="3115818"/>
            <wp:effectExtent l="0" t="0" r="0" b="0"/>
            <wp:docPr id="83" name="Image 83"/>
            <wp:cNvGraphicFramePr>
              <a:graphicFrameLocks/>
            </wp:cNvGraphicFramePr>
            <a:graphic>
              <a:graphicData uri="http://schemas.openxmlformats.org/drawingml/2006/picture">
                <pic:pic>
                  <pic:nvPicPr>
                    <pic:cNvPr id="83" name="Image 83"/>
                    <pic:cNvPicPr/>
                  </pic:nvPicPr>
                  <pic:blipFill>
                    <a:blip r:embed="rId30" cstate="print"/>
                    <a:stretch>
                      <a:fillRect/>
                    </a:stretch>
                  </pic:blipFill>
                  <pic:spPr>
                    <a:xfrm>
                      <a:off x="0" y="0"/>
                      <a:ext cx="2803791" cy="3115818"/>
                    </a:xfrm>
                    <a:prstGeom prst="rect">
                      <a:avLst/>
                    </a:prstGeom>
                  </pic:spPr>
                </pic:pic>
              </a:graphicData>
            </a:graphic>
          </wp:inline>
        </w:drawing>
      </w:r>
      <w:r>
        <w:rPr>
          <w:sz w:val="20"/>
        </w:rPr>
      </w:r>
      <w:r>
        <w:rPr>
          <w:sz w:val="20"/>
        </w:rPr>
        <w:tab/>
      </w:r>
      <w:r>
        <w:rPr>
          <w:position w:val="11"/>
          <w:sz w:val="20"/>
        </w:rPr>
        <w:drawing>
          <wp:inline distT="0" distB="0" distL="0" distR="0">
            <wp:extent cx="3302354" cy="3131820"/>
            <wp:effectExtent l="0" t="0" r="0" b="0"/>
            <wp:docPr id="84" name="Image 84"/>
            <wp:cNvGraphicFramePr>
              <a:graphicFrameLocks/>
            </wp:cNvGraphicFramePr>
            <a:graphic>
              <a:graphicData uri="http://schemas.openxmlformats.org/drawingml/2006/picture">
                <pic:pic>
                  <pic:nvPicPr>
                    <pic:cNvPr id="84" name="Image 84"/>
                    <pic:cNvPicPr/>
                  </pic:nvPicPr>
                  <pic:blipFill>
                    <a:blip r:embed="rId31" cstate="print"/>
                    <a:stretch>
                      <a:fillRect/>
                    </a:stretch>
                  </pic:blipFill>
                  <pic:spPr>
                    <a:xfrm>
                      <a:off x="0" y="0"/>
                      <a:ext cx="3302354" cy="3131820"/>
                    </a:xfrm>
                    <a:prstGeom prst="rect">
                      <a:avLst/>
                    </a:prstGeom>
                  </pic:spPr>
                </pic:pic>
              </a:graphicData>
            </a:graphic>
          </wp:inline>
        </w:drawing>
      </w:r>
      <w:r>
        <w:rPr>
          <w:position w:val="11"/>
          <w:sz w:val="20"/>
        </w:rPr>
      </w:r>
    </w:p>
    <w:p>
      <w:pPr>
        <w:tabs>
          <w:tab w:pos="5232" w:val="left" w:leader="none"/>
        </w:tabs>
        <w:spacing w:before="235"/>
        <w:ind w:left="1440" w:right="0" w:firstLine="0"/>
        <w:jc w:val="left"/>
        <w:rPr>
          <w:b/>
          <w:sz w:val="24"/>
        </w:rPr>
      </w:pPr>
      <w:r>
        <w:rPr>
          <w:sz w:val="24"/>
        </w:rPr>
        <w:t>Plate</w:t>
      </w:r>
      <w:r>
        <w:rPr>
          <w:spacing w:val="-3"/>
          <w:sz w:val="24"/>
        </w:rPr>
        <w:t> </w:t>
      </w:r>
      <w:r>
        <w:rPr>
          <w:sz w:val="24"/>
        </w:rPr>
        <w:t>9</w:t>
      </w:r>
      <w:r>
        <w:rPr>
          <w:spacing w:val="-1"/>
          <w:sz w:val="24"/>
        </w:rPr>
        <w:t> </w:t>
      </w:r>
      <w:r>
        <w:rPr>
          <w:sz w:val="24"/>
        </w:rPr>
        <w:t>:</w:t>
      </w:r>
      <w:r>
        <w:rPr>
          <w:b/>
          <w:sz w:val="24"/>
        </w:rPr>
        <w:t>Oloibiri</w:t>
      </w:r>
      <w:r>
        <w:rPr>
          <w:b/>
          <w:spacing w:val="-1"/>
          <w:sz w:val="24"/>
        </w:rPr>
        <w:t> </w:t>
      </w:r>
      <w:r>
        <w:rPr>
          <w:b/>
          <w:sz w:val="24"/>
        </w:rPr>
        <w:t>In</w:t>
      </w:r>
      <w:r>
        <w:rPr>
          <w:b/>
          <w:spacing w:val="-1"/>
          <w:sz w:val="24"/>
        </w:rPr>
        <w:t> </w:t>
      </w:r>
      <w:r>
        <w:rPr>
          <w:b/>
          <w:sz w:val="24"/>
        </w:rPr>
        <w:t>Bayelsa</w:t>
      </w:r>
      <w:r>
        <w:rPr>
          <w:b/>
          <w:spacing w:val="-1"/>
          <w:sz w:val="24"/>
        </w:rPr>
        <w:t> </w:t>
      </w:r>
      <w:r>
        <w:rPr>
          <w:b/>
          <w:spacing w:val="-4"/>
          <w:sz w:val="24"/>
        </w:rPr>
        <w:t>State</w:t>
      </w:r>
      <w:r>
        <w:rPr>
          <w:b/>
          <w:sz w:val="24"/>
        </w:rPr>
        <w:tab/>
        <w:t>Plate</w:t>
      </w:r>
      <w:r>
        <w:rPr>
          <w:b/>
          <w:spacing w:val="-6"/>
          <w:sz w:val="24"/>
        </w:rPr>
        <w:t> </w:t>
      </w:r>
      <w:r>
        <w:rPr>
          <w:b/>
          <w:sz w:val="24"/>
        </w:rPr>
        <w:t>10: Oloibiri</w:t>
      </w:r>
      <w:r>
        <w:rPr>
          <w:b/>
          <w:spacing w:val="-1"/>
          <w:sz w:val="24"/>
        </w:rPr>
        <w:t> </w:t>
      </w:r>
      <w:r>
        <w:rPr>
          <w:b/>
          <w:sz w:val="24"/>
        </w:rPr>
        <w:t>Community,</w:t>
      </w:r>
      <w:r>
        <w:rPr>
          <w:b/>
          <w:spacing w:val="-1"/>
          <w:sz w:val="24"/>
        </w:rPr>
        <w:t> </w:t>
      </w:r>
      <w:r>
        <w:rPr>
          <w:b/>
          <w:sz w:val="24"/>
        </w:rPr>
        <w:t>Bayelsa</w:t>
      </w:r>
      <w:r>
        <w:rPr>
          <w:b/>
          <w:spacing w:val="-1"/>
          <w:sz w:val="24"/>
        </w:rPr>
        <w:t> </w:t>
      </w:r>
      <w:r>
        <w:rPr>
          <w:b/>
          <w:spacing w:val="-2"/>
          <w:sz w:val="24"/>
        </w:rPr>
        <w:t>state</w:t>
      </w:r>
    </w:p>
    <w:p>
      <w:pPr>
        <w:tabs>
          <w:tab w:pos="5398" w:val="left" w:leader="none"/>
          <w:tab w:pos="5614" w:val="left" w:leader="none"/>
        </w:tabs>
        <w:spacing w:line="280" w:lineRule="auto" w:before="41"/>
        <w:ind w:left="1440" w:right="2234" w:firstLine="60"/>
        <w:jc w:val="left"/>
        <w:rPr>
          <w:b/>
          <w:sz w:val="24"/>
        </w:rPr>
      </w:pPr>
      <w:r>
        <w:rPr>
          <w:sz w:val="24"/>
        </w:rPr>
        <w:t>(</w:t>
      </w:r>
      <w:r>
        <w:rPr>
          <w:b/>
          <w:sz w:val="24"/>
        </w:rPr>
        <w:t>Source: Googlesearch.com)</w:t>
        <w:tab/>
        <w:t>After</w:t>
      </w:r>
      <w:r>
        <w:rPr>
          <w:b/>
          <w:spacing w:val="-10"/>
          <w:sz w:val="24"/>
        </w:rPr>
        <w:t> </w:t>
      </w:r>
      <w:r>
        <w:rPr>
          <w:b/>
          <w:sz w:val="24"/>
        </w:rPr>
        <w:t>Decades</w:t>
      </w:r>
      <w:r>
        <w:rPr>
          <w:b/>
          <w:spacing w:val="-9"/>
          <w:sz w:val="24"/>
        </w:rPr>
        <w:t> </w:t>
      </w:r>
      <w:r>
        <w:rPr>
          <w:b/>
          <w:sz w:val="24"/>
        </w:rPr>
        <w:t>of</w:t>
      </w:r>
      <w:r>
        <w:rPr>
          <w:b/>
          <w:spacing w:val="-8"/>
          <w:sz w:val="24"/>
        </w:rPr>
        <w:t> </w:t>
      </w:r>
      <w:r>
        <w:rPr>
          <w:b/>
          <w:sz w:val="24"/>
        </w:rPr>
        <w:t>Oil</w:t>
      </w:r>
      <w:r>
        <w:rPr>
          <w:b/>
          <w:spacing w:val="-9"/>
          <w:sz w:val="24"/>
        </w:rPr>
        <w:t> </w:t>
      </w:r>
      <w:r>
        <w:rPr>
          <w:b/>
          <w:sz w:val="24"/>
        </w:rPr>
        <w:t>Exploration Accessed 15/09/2010</w:t>
        <w:tab/>
        <w:tab/>
        <w:t>Source: Googlesearch.com</w:t>
      </w:r>
    </w:p>
    <w:p>
      <w:pPr>
        <w:spacing w:line="271" w:lineRule="exact" w:before="0"/>
        <w:ind w:left="5461" w:right="0" w:firstLine="0"/>
        <w:jc w:val="left"/>
        <w:rPr>
          <w:b/>
          <w:sz w:val="24"/>
        </w:rPr>
      </w:pPr>
      <w:r>
        <w:rPr>
          <w:b/>
          <w:sz w:val="24"/>
        </w:rPr>
        <w:t>Accessed</w:t>
      </w:r>
      <w:r>
        <w:rPr>
          <w:b/>
          <w:spacing w:val="-1"/>
          <w:sz w:val="24"/>
        </w:rPr>
        <w:t> </w:t>
      </w:r>
      <w:r>
        <w:rPr>
          <w:b/>
          <w:spacing w:val="-2"/>
          <w:sz w:val="24"/>
        </w:rPr>
        <w:t>15/9/10</w:t>
      </w:r>
    </w:p>
    <w:p>
      <w:pPr>
        <w:pStyle w:val="BodyText"/>
        <w:spacing w:line="276" w:lineRule="auto" w:before="235"/>
        <w:ind w:right="1260"/>
      </w:pPr>
      <w:r>
        <w:rPr/>
        <w:t>For instance, Briggs, (2004: 217-226) expressed the view that in 1966, Isaac Adaka Boro</w:t>
      </w:r>
      <w:r>
        <w:rPr>
          <w:spacing w:val="-3"/>
        </w:rPr>
        <w:t> </w:t>
      </w:r>
      <w:r>
        <w:rPr/>
        <w:t>drew</w:t>
      </w:r>
      <w:r>
        <w:rPr>
          <w:spacing w:val="-3"/>
        </w:rPr>
        <w:t> </w:t>
      </w:r>
      <w:r>
        <w:rPr/>
        <w:t>attention</w:t>
      </w:r>
      <w:r>
        <w:rPr>
          <w:spacing w:val="-3"/>
        </w:rPr>
        <w:t> </w:t>
      </w:r>
      <w:r>
        <w:rPr/>
        <w:t>to</w:t>
      </w:r>
      <w:r>
        <w:rPr>
          <w:spacing w:val="-3"/>
        </w:rPr>
        <w:t> </w:t>
      </w:r>
      <w:r>
        <w:rPr/>
        <w:t>the</w:t>
      </w:r>
      <w:r>
        <w:rPr>
          <w:spacing w:val="-4"/>
        </w:rPr>
        <w:t> </w:t>
      </w:r>
      <w:r>
        <w:rPr/>
        <w:t>agitations</w:t>
      </w:r>
      <w:r>
        <w:rPr>
          <w:spacing w:val="-3"/>
        </w:rPr>
        <w:t> </w:t>
      </w:r>
      <w:r>
        <w:rPr/>
        <w:t>of</w:t>
      </w:r>
      <w:r>
        <w:rPr>
          <w:spacing w:val="-3"/>
        </w:rPr>
        <w:t> </w:t>
      </w:r>
      <w:r>
        <w:rPr/>
        <w:t>the</w:t>
      </w:r>
      <w:r>
        <w:rPr>
          <w:spacing w:val="-4"/>
        </w:rPr>
        <w:t> </w:t>
      </w:r>
      <w:r>
        <w:rPr/>
        <w:t>people</w:t>
      </w:r>
      <w:r>
        <w:rPr>
          <w:spacing w:val="-2"/>
        </w:rPr>
        <w:t> </w:t>
      </w:r>
      <w:r>
        <w:rPr/>
        <w:t>of</w:t>
      </w:r>
      <w:r>
        <w:rPr>
          <w:spacing w:val="-3"/>
        </w:rPr>
        <w:t> </w:t>
      </w:r>
      <w:r>
        <w:rPr/>
        <w:t>the</w:t>
      </w:r>
      <w:r>
        <w:rPr>
          <w:spacing w:val="-5"/>
        </w:rPr>
        <w:t> </w:t>
      </w:r>
      <w:r>
        <w:rPr/>
        <w:t>area,</w:t>
      </w:r>
      <w:r>
        <w:rPr>
          <w:spacing w:val="-3"/>
        </w:rPr>
        <w:t> </w:t>
      </w:r>
      <w:r>
        <w:rPr/>
        <w:t>which</w:t>
      </w:r>
      <w:r>
        <w:rPr>
          <w:spacing w:val="-3"/>
        </w:rPr>
        <w:t> </w:t>
      </w:r>
      <w:r>
        <w:rPr/>
        <w:t>the</w:t>
      </w:r>
      <w:r>
        <w:rPr>
          <w:spacing w:val="-2"/>
        </w:rPr>
        <w:t> </w:t>
      </w:r>
      <w:r>
        <w:rPr/>
        <w:t>government termed a rebellion.</w:t>
      </w:r>
      <w:r>
        <w:rPr>
          <w:spacing w:val="40"/>
        </w:rPr>
        <w:t> </w:t>
      </w:r>
      <w:r>
        <w:rPr/>
        <w:t>In 1990, the Movement for the Survival of Ogoni people (MOSOP) sensitized the Ogonis on their plight as oil producing communities.</w:t>
      </w:r>
      <w:r>
        <w:rPr>
          <w:spacing w:val="40"/>
        </w:rPr>
        <w:t> </w:t>
      </w:r>
      <w:r>
        <w:rPr/>
        <w:t>This drew the attention of the world community to the environmental degradation and poverty suffered by the Ogonis as a result of operation of the oil companies.</w:t>
      </w:r>
    </w:p>
    <w:p>
      <w:pPr>
        <w:pStyle w:val="BodyText"/>
        <w:spacing w:before="6"/>
        <w:ind w:left="0"/>
        <w:rPr>
          <w:sz w:val="13"/>
        </w:rPr>
      </w:pPr>
      <w:r>
        <w:rPr/>
        <mc:AlternateContent>
          <mc:Choice Requires="wps">
            <w:drawing>
              <wp:anchor distT="0" distB="0" distL="0" distR="0" allowOverlap="1" layoutInCell="1" locked="0" behindDoc="1" simplePos="0" relativeHeight="487610880">
                <wp:simplePos x="0" y="0"/>
                <wp:positionH relativeFrom="page">
                  <wp:posOffset>2147633</wp:posOffset>
                </wp:positionH>
                <wp:positionV relativeFrom="paragraph">
                  <wp:posOffset>114623</wp:posOffset>
                </wp:positionV>
                <wp:extent cx="3106420" cy="2185035"/>
                <wp:effectExtent l="0" t="0" r="0" b="0"/>
                <wp:wrapTopAndBottom/>
                <wp:docPr id="85" name="Group 85"/>
                <wp:cNvGraphicFramePr>
                  <a:graphicFrameLocks/>
                </wp:cNvGraphicFramePr>
                <a:graphic>
                  <a:graphicData uri="http://schemas.microsoft.com/office/word/2010/wordprocessingGroup">
                    <wpg:wgp>
                      <wpg:cNvPr id="85" name="Group 85"/>
                      <wpg:cNvGrpSpPr/>
                      <wpg:grpSpPr>
                        <a:xfrm>
                          <a:off x="0" y="0"/>
                          <a:ext cx="3106420" cy="2185035"/>
                          <a:chExt cx="3106420" cy="2185035"/>
                        </a:xfrm>
                      </wpg:grpSpPr>
                      <pic:pic>
                        <pic:nvPicPr>
                          <pic:cNvPr id="86" name="Image 86"/>
                          <pic:cNvPicPr/>
                        </pic:nvPicPr>
                        <pic:blipFill>
                          <a:blip r:embed="rId32" cstate="print"/>
                          <a:stretch>
                            <a:fillRect/>
                          </a:stretch>
                        </pic:blipFill>
                        <pic:spPr>
                          <a:xfrm>
                            <a:off x="28511" y="28511"/>
                            <a:ext cx="3049270" cy="2127885"/>
                          </a:xfrm>
                          <a:prstGeom prst="rect">
                            <a:avLst/>
                          </a:prstGeom>
                        </pic:spPr>
                      </pic:pic>
                      <wps:wsp>
                        <wps:cNvPr id="87" name="Graphic 87"/>
                        <wps:cNvSpPr/>
                        <wps:spPr>
                          <a:xfrm>
                            <a:off x="14287" y="14287"/>
                            <a:ext cx="3077845" cy="2156460"/>
                          </a:xfrm>
                          <a:custGeom>
                            <a:avLst/>
                            <a:gdLst/>
                            <a:ahLst/>
                            <a:cxnLst/>
                            <a:rect l="l" t="t" r="r" b="b"/>
                            <a:pathLst>
                              <a:path w="3077845" h="2156460">
                                <a:moveTo>
                                  <a:pt x="0" y="2156460"/>
                                </a:moveTo>
                                <a:lnTo>
                                  <a:pt x="3077845" y="2156460"/>
                                </a:lnTo>
                                <a:lnTo>
                                  <a:pt x="3077845" y="0"/>
                                </a:lnTo>
                                <a:lnTo>
                                  <a:pt x="0" y="0"/>
                                </a:lnTo>
                                <a:lnTo>
                                  <a:pt x="0" y="2156460"/>
                                </a:lnTo>
                                <a:close/>
                              </a:path>
                            </a:pathLst>
                          </a:custGeom>
                          <a:ln w="285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9.104996pt;margin-top:9.025452pt;width:244.6pt;height:172.05pt;mso-position-horizontal-relative:page;mso-position-vertical-relative:paragraph;z-index:-15705600;mso-wrap-distance-left:0;mso-wrap-distance-right:0" id="docshapegroup45" coordorigin="3382,181" coordsize="4892,3441">
                <v:shape style="position:absolute;left:3427;top:225;width:4802;height:3351" type="#_x0000_t75" id="docshape46" stroked="false">
                  <v:imagedata r:id="rId32" o:title=""/>
                </v:shape>
                <v:rect style="position:absolute;left:3404;top:203;width:4847;height:3396" id="docshape47" filled="false" stroked="true" strokeweight="2.25pt" strokecolor="#000000">
                  <v:stroke dashstyle="solid"/>
                </v:rect>
                <w10:wrap type="topAndBottom"/>
              </v:group>
            </w:pict>
          </mc:Fallback>
        </mc:AlternateContent>
      </w:r>
    </w:p>
    <w:p>
      <w:pPr>
        <w:spacing w:line="451" w:lineRule="auto" w:before="207"/>
        <w:ind w:left="3120" w:right="2080" w:hanging="60"/>
        <w:jc w:val="left"/>
        <w:rPr>
          <w:b/>
          <w:sz w:val="24"/>
        </w:rPr>
      </w:pPr>
      <w:r>
        <w:rPr>
          <w:b/>
          <w:sz w:val="24"/>
        </w:rPr>
        <w:t>Plate</w:t>
      </w:r>
      <w:r>
        <w:rPr>
          <w:b/>
          <w:spacing w:val="-6"/>
          <w:sz w:val="24"/>
        </w:rPr>
        <w:t> </w:t>
      </w:r>
      <w:r>
        <w:rPr>
          <w:b/>
          <w:sz w:val="24"/>
        </w:rPr>
        <w:t>11</w:t>
      </w:r>
      <w:r>
        <w:rPr>
          <w:b/>
          <w:spacing w:val="40"/>
          <w:sz w:val="24"/>
        </w:rPr>
        <w:t> </w:t>
      </w:r>
      <w:r>
        <w:rPr>
          <w:b/>
          <w:sz w:val="24"/>
        </w:rPr>
        <w:t>:</w:t>
      </w:r>
      <w:r>
        <w:rPr>
          <w:b/>
          <w:spacing w:val="-6"/>
          <w:sz w:val="24"/>
        </w:rPr>
        <w:t> </w:t>
      </w:r>
      <w:r>
        <w:rPr>
          <w:b/>
          <w:sz w:val="24"/>
        </w:rPr>
        <w:t>Ogoni</w:t>
      </w:r>
      <w:r>
        <w:rPr>
          <w:b/>
          <w:spacing w:val="-5"/>
          <w:sz w:val="24"/>
        </w:rPr>
        <w:t> </w:t>
      </w:r>
      <w:r>
        <w:rPr>
          <w:b/>
          <w:sz w:val="24"/>
        </w:rPr>
        <w:t>Crisis</w:t>
      </w:r>
      <w:r>
        <w:rPr>
          <w:b/>
          <w:spacing w:val="-4"/>
          <w:sz w:val="24"/>
        </w:rPr>
        <w:t> </w:t>
      </w:r>
      <w:r>
        <w:rPr>
          <w:b/>
          <w:sz w:val="24"/>
        </w:rPr>
        <w:t>Showing</w:t>
      </w:r>
      <w:r>
        <w:rPr>
          <w:b/>
          <w:spacing w:val="-5"/>
          <w:sz w:val="24"/>
        </w:rPr>
        <w:t> </w:t>
      </w:r>
      <w:r>
        <w:rPr>
          <w:b/>
          <w:sz w:val="24"/>
        </w:rPr>
        <w:t>Protest:</w:t>
      </w:r>
      <w:r>
        <w:rPr>
          <w:b/>
          <w:spacing w:val="-5"/>
          <w:sz w:val="24"/>
        </w:rPr>
        <w:t> </w:t>
      </w:r>
      <w:r>
        <w:rPr>
          <w:b/>
          <w:sz w:val="24"/>
        </w:rPr>
        <w:t>1992-1995. Source: </w:t>
      </w:r>
      <w:hyperlink r:id="rId27">
        <w:r>
          <w:rPr>
            <w:b/>
            <w:sz w:val="24"/>
            <w:u w:val="single"/>
          </w:rPr>
          <w:t>www.google.com</w:t>
        </w:r>
        <w:r>
          <w:rPr>
            <w:b/>
            <w:sz w:val="24"/>
          </w:rPr>
          <w:t>,</w:t>
        </w:r>
      </w:hyperlink>
      <w:r>
        <w:rPr>
          <w:b/>
          <w:sz w:val="24"/>
        </w:rPr>
        <w:t> Accessed</w:t>
      </w:r>
      <w:r>
        <w:rPr>
          <w:b/>
          <w:spacing w:val="40"/>
          <w:sz w:val="24"/>
        </w:rPr>
        <w:t> </w:t>
      </w:r>
      <w:r>
        <w:rPr>
          <w:b/>
          <w:sz w:val="24"/>
        </w:rPr>
        <w:t>15/9/10</w:t>
      </w:r>
    </w:p>
    <w:p>
      <w:pPr>
        <w:spacing w:after="0" w:line="451" w:lineRule="auto"/>
        <w:jc w:val="left"/>
        <w:rPr>
          <w:sz w:val="24"/>
        </w:rPr>
        <w:sectPr>
          <w:pgSz w:w="11910" w:h="16840"/>
          <w:pgMar w:header="0" w:footer="1561" w:top="700" w:bottom="1760" w:left="720" w:right="180"/>
        </w:sectPr>
      </w:pPr>
    </w:p>
    <w:p>
      <w:pPr>
        <w:pStyle w:val="BodyText"/>
        <w:ind w:left="3488"/>
        <w:rPr>
          <w:sz w:val="20"/>
        </w:rPr>
      </w:pPr>
      <w:r>
        <w:rPr/>
        <mc:AlternateContent>
          <mc:Choice Requires="wps">
            <w:drawing>
              <wp:anchor distT="0" distB="0" distL="0" distR="0" allowOverlap="1" layoutInCell="1" locked="0" behindDoc="1" simplePos="0" relativeHeight="480582656">
                <wp:simplePos x="0" y="0"/>
                <wp:positionH relativeFrom="page">
                  <wp:posOffset>-1537026</wp:posOffset>
                </wp:positionH>
                <wp:positionV relativeFrom="page">
                  <wp:posOffset>4900424</wp:posOffset>
                </wp:positionV>
                <wp:extent cx="10669905" cy="914400"/>
                <wp:effectExtent l="0" t="0" r="0" b="0"/>
                <wp:wrapNone/>
                <wp:docPr id="88" name="Textbox 88"/>
                <wp:cNvGraphicFramePr>
                  <a:graphicFrameLocks/>
                </wp:cNvGraphicFramePr>
                <a:graphic>
                  <a:graphicData uri="http://schemas.microsoft.com/office/word/2010/wordprocessingShape">
                    <wps:wsp>
                      <wps:cNvPr id="88" name="Textbox 88"/>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33824;rotation:306" type="#_x0000_t136" fillcolor="#ff5400" stroked="f">
                <o:extrusion v:ext="view" autorotationcenter="t"/>
                <v:textpath style="font-family:&quot;Arial MT&quot;;font-size:72pt;v-text-kern:t;mso-text-shadow:auto" string="UNIVERSITY OF IBADAN"/>
                <w10:wrap type="none"/>
              </v:shape>
            </w:pict>
          </mc:Fallback>
        </mc:AlternateContent>
      </w:r>
      <w:r>
        <w:rPr>
          <w:sz w:val="20"/>
        </w:rPr>
        <mc:AlternateContent>
          <mc:Choice Requires="wps">
            <w:drawing>
              <wp:inline distT="0" distB="0" distL="0" distR="0">
                <wp:extent cx="2584450" cy="3114040"/>
                <wp:effectExtent l="0" t="0" r="0" b="635"/>
                <wp:docPr id="89" name="Group 89"/>
                <wp:cNvGraphicFramePr>
                  <a:graphicFrameLocks/>
                </wp:cNvGraphicFramePr>
                <a:graphic>
                  <a:graphicData uri="http://schemas.microsoft.com/office/word/2010/wordprocessingGroup">
                    <wpg:wgp>
                      <wpg:cNvPr id="89" name="Group 89"/>
                      <wpg:cNvGrpSpPr/>
                      <wpg:grpSpPr>
                        <a:xfrm>
                          <a:off x="0" y="0"/>
                          <a:ext cx="2584450" cy="3114040"/>
                          <a:chExt cx="2584450" cy="3114040"/>
                        </a:xfrm>
                      </wpg:grpSpPr>
                      <pic:pic>
                        <pic:nvPicPr>
                          <pic:cNvPr id="90" name="Image 90"/>
                          <pic:cNvPicPr/>
                        </pic:nvPicPr>
                        <pic:blipFill>
                          <a:blip r:embed="rId33" cstate="print"/>
                          <a:stretch>
                            <a:fillRect/>
                          </a:stretch>
                        </pic:blipFill>
                        <pic:spPr>
                          <a:xfrm>
                            <a:off x="28638" y="28638"/>
                            <a:ext cx="2527299" cy="3056889"/>
                          </a:xfrm>
                          <a:prstGeom prst="rect">
                            <a:avLst/>
                          </a:prstGeom>
                        </pic:spPr>
                      </pic:pic>
                      <wps:wsp>
                        <wps:cNvPr id="91" name="Graphic 91"/>
                        <wps:cNvSpPr/>
                        <wps:spPr>
                          <a:xfrm>
                            <a:off x="14287" y="14287"/>
                            <a:ext cx="2555875" cy="3085465"/>
                          </a:xfrm>
                          <a:custGeom>
                            <a:avLst/>
                            <a:gdLst/>
                            <a:ahLst/>
                            <a:cxnLst/>
                            <a:rect l="l" t="t" r="r" b="b"/>
                            <a:pathLst>
                              <a:path w="2555875" h="3085465">
                                <a:moveTo>
                                  <a:pt x="0" y="3085464"/>
                                </a:moveTo>
                                <a:lnTo>
                                  <a:pt x="2555875" y="3085464"/>
                                </a:lnTo>
                                <a:lnTo>
                                  <a:pt x="2555875" y="0"/>
                                </a:lnTo>
                                <a:lnTo>
                                  <a:pt x="0" y="0"/>
                                </a:lnTo>
                                <a:lnTo>
                                  <a:pt x="0" y="3085464"/>
                                </a:lnTo>
                                <a:close/>
                              </a:path>
                            </a:pathLst>
                          </a:custGeom>
                          <a:ln w="285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3.5pt;height:245.2pt;mso-position-horizontal-relative:char;mso-position-vertical-relative:line" id="docshapegroup48" coordorigin="0,0" coordsize="4070,4904">
                <v:shape style="position:absolute;left:45;top:45;width:3980;height:4814" type="#_x0000_t75" id="docshape49" stroked="false">
                  <v:imagedata r:id="rId33" o:title=""/>
                </v:shape>
                <v:rect style="position:absolute;left:22;top:22;width:4025;height:4859" id="docshape50" filled="false" stroked="true" strokeweight="2.25pt" strokecolor="#000000">
                  <v:stroke dashstyle="solid"/>
                </v:rect>
              </v:group>
            </w:pict>
          </mc:Fallback>
        </mc:AlternateContent>
      </w:r>
      <w:r>
        <w:rPr>
          <w:sz w:val="20"/>
        </w:rPr>
      </w:r>
    </w:p>
    <w:p>
      <w:pPr>
        <w:spacing w:before="243"/>
        <w:ind w:left="0" w:right="303" w:firstLine="0"/>
        <w:jc w:val="center"/>
        <w:rPr>
          <w:b/>
          <w:sz w:val="24"/>
        </w:rPr>
      </w:pPr>
      <w:r>
        <w:rPr>
          <w:b/>
          <w:sz w:val="24"/>
        </w:rPr>
        <w:t>Plate</w:t>
      </w:r>
      <w:r>
        <w:rPr>
          <w:b/>
          <w:spacing w:val="-3"/>
          <w:sz w:val="24"/>
        </w:rPr>
        <w:t> </w:t>
      </w:r>
      <w:r>
        <w:rPr>
          <w:b/>
          <w:sz w:val="24"/>
        </w:rPr>
        <w:t>12:</w:t>
      </w:r>
      <w:r>
        <w:rPr>
          <w:b/>
          <w:spacing w:val="1"/>
          <w:sz w:val="24"/>
        </w:rPr>
        <w:t> </w:t>
      </w:r>
      <w:r>
        <w:rPr>
          <w:b/>
          <w:sz w:val="24"/>
        </w:rPr>
        <w:t>Ogoni</w:t>
      </w:r>
      <w:r>
        <w:rPr>
          <w:b/>
          <w:spacing w:val="-1"/>
          <w:sz w:val="24"/>
        </w:rPr>
        <w:t> </w:t>
      </w:r>
      <w:r>
        <w:rPr>
          <w:b/>
          <w:sz w:val="24"/>
        </w:rPr>
        <w:t>Crisis on No</w:t>
      </w:r>
      <w:r>
        <w:rPr>
          <w:b/>
          <w:spacing w:val="-1"/>
          <w:sz w:val="24"/>
        </w:rPr>
        <w:t> </w:t>
      </w:r>
      <w:r>
        <w:rPr>
          <w:b/>
          <w:sz w:val="24"/>
        </w:rPr>
        <w:t>To</w:t>
      </w:r>
      <w:r>
        <w:rPr>
          <w:b/>
          <w:spacing w:val="-3"/>
          <w:sz w:val="24"/>
        </w:rPr>
        <w:t> </w:t>
      </w:r>
      <w:r>
        <w:rPr>
          <w:b/>
          <w:sz w:val="24"/>
        </w:rPr>
        <w:t>Shell: 1992-</w:t>
      </w:r>
      <w:r>
        <w:rPr>
          <w:b/>
          <w:spacing w:val="-4"/>
          <w:sz w:val="24"/>
        </w:rPr>
        <w:t>1995.</w:t>
      </w:r>
    </w:p>
    <w:p>
      <w:pPr>
        <w:spacing w:before="0"/>
        <w:ind w:left="0" w:right="186" w:firstLine="0"/>
        <w:jc w:val="center"/>
        <w:rPr>
          <w:b/>
          <w:sz w:val="24"/>
        </w:rPr>
      </w:pPr>
      <w:r>
        <w:rPr>
          <w:b/>
          <w:sz w:val="24"/>
        </w:rPr>
        <w:t>Source:</w:t>
      </w:r>
      <w:r>
        <w:rPr>
          <w:b/>
          <w:spacing w:val="-3"/>
          <w:sz w:val="24"/>
        </w:rPr>
        <w:t> </w:t>
      </w:r>
      <w:hyperlink r:id="rId27">
        <w:r>
          <w:rPr>
            <w:b/>
            <w:sz w:val="24"/>
            <w:u w:val="single"/>
          </w:rPr>
          <w:t>www.google.com</w:t>
        </w:r>
        <w:r>
          <w:rPr>
            <w:b/>
            <w:sz w:val="24"/>
          </w:rPr>
          <w:t>.</w:t>
        </w:r>
      </w:hyperlink>
      <w:r>
        <w:rPr>
          <w:b/>
          <w:spacing w:val="57"/>
          <w:sz w:val="24"/>
        </w:rPr>
        <w:t> </w:t>
      </w:r>
      <w:r>
        <w:rPr>
          <w:b/>
          <w:sz w:val="24"/>
        </w:rPr>
        <w:t>Accessed</w:t>
      </w:r>
      <w:r>
        <w:rPr>
          <w:b/>
          <w:spacing w:val="-1"/>
          <w:sz w:val="24"/>
        </w:rPr>
        <w:t> </w:t>
      </w:r>
      <w:r>
        <w:rPr>
          <w:b/>
          <w:spacing w:val="-2"/>
          <w:sz w:val="24"/>
        </w:rPr>
        <w:t>15/9/10</w:t>
      </w:r>
    </w:p>
    <w:p>
      <w:pPr>
        <w:pStyle w:val="BodyText"/>
        <w:spacing w:before="134"/>
        <w:ind w:left="0"/>
        <w:rPr>
          <w:b/>
        </w:rPr>
      </w:pPr>
    </w:p>
    <w:p>
      <w:pPr>
        <w:pStyle w:val="BodyText"/>
        <w:spacing w:line="360" w:lineRule="auto"/>
        <w:ind w:right="1257"/>
        <w:jc w:val="both"/>
      </w:pPr>
      <w:r>
        <w:rPr/>
        <w:t>The agitation has built up over time, and spread throughout the Niger Delta, resulting in internal security threats to national security.</w:t>
      </w:r>
    </w:p>
    <w:p>
      <w:pPr>
        <w:pStyle w:val="BodyText"/>
        <w:spacing w:line="360" w:lineRule="auto"/>
        <w:ind w:right="1257" w:firstLine="720"/>
        <w:jc w:val="both"/>
      </w:pPr>
      <w:r>
        <w:rPr/>
        <w:t>However, instability in the region has not augured well for the security of the country.</w:t>
      </w:r>
      <w:r>
        <w:rPr>
          <w:spacing w:val="40"/>
        </w:rPr>
        <w:t> </w:t>
      </w:r>
      <w:r>
        <w:rPr/>
        <w:t>Not even the military with its operation RESTORE HOPE has been able to provide such needed security that could stem the militancy in the region, even as human development and the environment continued to suffer.</w:t>
      </w:r>
      <w:r>
        <w:rPr>
          <w:spacing w:val="40"/>
        </w:rPr>
        <w:t> </w:t>
      </w:r>
      <w:r>
        <w:rPr/>
        <w:t>All these pose serious security challenges to military operations in the region. Since the 1990s, the Niger Delta has assumed the characters of a conflict-ridden region.</w:t>
      </w:r>
      <w:r>
        <w:rPr>
          <w:spacing w:val="40"/>
        </w:rPr>
        <w:t> </w:t>
      </w:r>
      <w:r>
        <w:rPr/>
        <w:t>The most common and vicious forms of conflict, in terms of lives lost and property destroyed include intra and inter-community, inter-ethnic and community and Oil company conflicts. A catalogue of violence in the Niger Delta between 2003 and 2006 as reported by</w:t>
      </w:r>
      <w:r>
        <w:rPr>
          <w:spacing w:val="40"/>
        </w:rPr>
        <w:t> </w:t>
      </w:r>
      <w:r>
        <w:rPr/>
        <w:t>UNDP 2006 Report was handy during the research.</w:t>
      </w:r>
      <w:r>
        <w:rPr>
          <w:spacing w:val="40"/>
        </w:rPr>
        <w:t> </w:t>
      </w:r>
      <w:r>
        <w:rPr/>
        <w:t>Today, the Niger Delta conflict has attracted immense local and global attention as it takes considerable toll on the state of security and economy of the nation.</w:t>
      </w:r>
      <w:r>
        <w:rPr>
          <w:spacing w:val="40"/>
        </w:rPr>
        <w:t> </w:t>
      </w:r>
      <w:r>
        <w:rPr/>
        <w:t>In this study, the Niger Delta conflict is seen as a resource-based conflict involving the dynamics of the intricate Niger Delta environment, the communities, militants, the multinational oil and gas companies and government including its agencies.</w:t>
      </w:r>
    </w:p>
    <w:p>
      <w:pPr>
        <w:spacing w:after="0" w:line="360" w:lineRule="auto"/>
        <w:jc w:val="both"/>
        <w:sectPr>
          <w:pgSz w:w="11910" w:h="16840"/>
          <w:pgMar w:header="0" w:footer="1561" w:top="1500" w:bottom="1760" w:left="720" w:right="180"/>
        </w:sectPr>
      </w:pPr>
    </w:p>
    <w:p>
      <w:pPr>
        <w:pStyle w:val="Heading2"/>
        <w:numPr>
          <w:ilvl w:val="2"/>
          <w:numId w:val="6"/>
        </w:numPr>
        <w:tabs>
          <w:tab w:pos="2160" w:val="left" w:leader="none"/>
        </w:tabs>
        <w:spacing w:line="240" w:lineRule="auto" w:before="65" w:after="0"/>
        <w:ind w:left="2160" w:right="0" w:hanging="720"/>
        <w:jc w:val="both"/>
      </w:pPr>
      <w:r>
        <w:rPr/>
        <mc:AlternateContent>
          <mc:Choice Requires="wps">
            <w:drawing>
              <wp:anchor distT="0" distB="0" distL="0" distR="0" allowOverlap="1" layoutInCell="1" locked="0" behindDoc="1" simplePos="0" relativeHeight="480583168">
                <wp:simplePos x="0" y="0"/>
                <wp:positionH relativeFrom="page">
                  <wp:posOffset>-1537026</wp:posOffset>
                </wp:positionH>
                <wp:positionV relativeFrom="page">
                  <wp:posOffset>4900424</wp:posOffset>
                </wp:positionV>
                <wp:extent cx="10669905" cy="914400"/>
                <wp:effectExtent l="0" t="0" r="0" b="0"/>
                <wp:wrapNone/>
                <wp:docPr id="92" name="Textbox 92"/>
                <wp:cNvGraphicFramePr>
                  <a:graphicFrameLocks/>
                </wp:cNvGraphicFramePr>
                <a:graphic>
                  <a:graphicData uri="http://schemas.microsoft.com/office/word/2010/wordprocessingShape">
                    <wps:wsp>
                      <wps:cNvPr id="92" name="Textbox 92"/>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33312;rotation:306" type="#_x0000_t136" fillcolor="#ff5400" stroked="f">
                <o:extrusion v:ext="view" autorotationcenter="t"/>
                <v:textpath style="font-family:&quot;Arial MT&quot;;font-size:72pt;v-text-kern:t;mso-text-shadow:auto" string="UNIVERSITY OF IBADAN"/>
                <w10:wrap type="none"/>
              </v:shape>
            </w:pict>
          </mc:Fallback>
        </mc:AlternateContent>
      </w:r>
      <w:bookmarkStart w:name="_TOC_250028" w:id="14"/>
      <w:r>
        <w:rPr/>
        <w:t>Causes</w:t>
      </w:r>
      <w:r>
        <w:rPr>
          <w:spacing w:val="-1"/>
        </w:rPr>
        <w:t> </w:t>
      </w:r>
      <w:r>
        <w:rPr/>
        <w:t>of the</w:t>
      </w:r>
      <w:r>
        <w:rPr>
          <w:spacing w:val="-1"/>
        </w:rPr>
        <w:t> </w:t>
      </w:r>
      <w:r>
        <w:rPr/>
        <w:t>Niger</w:t>
      </w:r>
      <w:r>
        <w:rPr>
          <w:spacing w:val="-2"/>
        </w:rPr>
        <w:t> </w:t>
      </w:r>
      <w:r>
        <w:rPr/>
        <w:t>Delta </w:t>
      </w:r>
      <w:bookmarkEnd w:id="14"/>
      <w:r>
        <w:rPr>
          <w:spacing w:val="-2"/>
        </w:rPr>
        <w:t>Conflict</w:t>
      </w:r>
    </w:p>
    <w:p>
      <w:pPr>
        <w:pStyle w:val="BodyText"/>
        <w:spacing w:line="360" w:lineRule="auto" w:before="133"/>
        <w:ind w:right="1257" w:firstLine="720"/>
        <w:jc w:val="both"/>
      </w:pPr>
      <w:r>
        <w:rPr/>
        <w:t>In the past two decades, the Niger Delta region most especially Bayelsa, Delta and Rivers, has become a zone of complex insecurities that pose serious threats to national security.</w:t>
      </w:r>
      <w:r>
        <w:rPr>
          <w:spacing w:val="40"/>
        </w:rPr>
        <w:t> </w:t>
      </w:r>
      <w:r>
        <w:rPr/>
        <w:t>This is due to the dynamics of oil and gas exploitation and exploration which have generated tensions and violence, as well as loss of lives and properties in the region.</w:t>
      </w:r>
      <w:r>
        <w:rPr>
          <w:spacing w:val="40"/>
        </w:rPr>
        <w:t> </w:t>
      </w:r>
      <w:r>
        <w:rPr/>
        <w:t>Additionally, the Niger Delta conflict is also attributable to decades of neglect suffered by the region from both Federal and State governments, corruption, poor „indigenous‟ leadership and absence of basic social infrastructures (Sesay and Simbine, 2006).</w:t>
      </w:r>
      <w:r>
        <w:rPr>
          <w:spacing w:val="40"/>
        </w:rPr>
        <w:t> </w:t>
      </w:r>
      <w:r>
        <w:rPr/>
        <w:t>At inception, the conflict in the Niger Delta region was centered on legitimate agitation against obvious and perceived political and economic exploitation, and environmental degradation associated with the activities of oil/gas transnational companies and negligence by the Federal Government of Nigeria.</w:t>
      </w:r>
      <w:r>
        <w:rPr>
          <w:spacing w:val="40"/>
        </w:rPr>
        <w:t> </w:t>
      </w:r>
      <w:r>
        <w:rPr/>
        <w:t>This has however degenerated into militancy and criminal activities in the last decade.</w:t>
      </w:r>
    </w:p>
    <w:p>
      <w:pPr>
        <w:pStyle w:val="BodyText"/>
        <w:spacing w:line="360" w:lineRule="auto" w:before="1"/>
        <w:ind w:right="1255" w:firstLine="720"/>
        <w:jc w:val="both"/>
      </w:pPr>
      <w:r>
        <w:rPr/>
        <w:t>The major cause of the conflicts in the Niger Delta emanates from real and perceived neglect, resource control and deprivation of the Niger Delta communities in terms of development.</w:t>
      </w:r>
      <w:r>
        <w:rPr>
          <w:spacing w:val="40"/>
        </w:rPr>
        <w:t> </w:t>
      </w:r>
      <w:r>
        <w:rPr/>
        <w:t>According to Oshita (2007), the Niger Delta communities, oil and gas exploration and exploitation activities of transnational companies in the</w:t>
      </w:r>
      <w:r>
        <w:rPr>
          <w:spacing w:val="40"/>
        </w:rPr>
        <w:t> </w:t>
      </w:r>
      <w:r>
        <w:rPr/>
        <w:t>region have degraded the environment.</w:t>
      </w:r>
      <w:r>
        <w:rPr>
          <w:spacing w:val="40"/>
        </w:rPr>
        <w:t> </w:t>
      </w:r>
      <w:r>
        <w:rPr/>
        <w:t>These have adversely affected the means of livelihood of the people who are basically farmers and fishermen, thus militating against their sustainable development. Also, oil companies polarization of communities have exacerbated the conflict through "selective empowerment" a ready disposition to 'settle', appeasing the local 'elite' and default and delay an implementation of valid Memorandum Of Understanding (MOUs) between the companies and the oil-producing communities.</w:t>
      </w:r>
    </w:p>
    <w:p>
      <w:pPr>
        <w:pStyle w:val="BodyText"/>
        <w:spacing w:line="360" w:lineRule="auto" w:before="2"/>
        <w:ind w:right="1258" w:firstLine="720"/>
        <w:jc w:val="both"/>
      </w:pPr>
      <w:r>
        <w:rPr/>
        <w:t>Likewise, the youths of the region including militants (cultists, militia groups, armed bandits and gangster, criminals and hoodlums) often react negatively to the alleged inadequate attention that government and the transnational oil and gas companies have demonstrated towards them, thus constituting serious security threat to the country.</w:t>
      </w:r>
      <w:r>
        <w:rPr>
          <w:spacing w:val="40"/>
        </w:rPr>
        <w:t> </w:t>
      </w:r>
      <w:r>
        <w:rPr/>
        <w:t>These threats manifest through sabotage of oil facilities, illegal oil bunkering, hostage taking and incipient terrorism among others.</w:t>
      </w:r>
    </w:p>
    <w:p>
      <w:pPr>
        <w:spacing w:after="0" w:line="360" w:lineRule="auto"/>
        <w:jc w:val="both"/>
        <w:sectPr>
          <w:pgSz w:w="11910" w:h="16840"/>
          <w:pgMar w:header="0" w:footer="1561" w:top="1360" w:bottom="1760" w:left="720" w:right="180"/>
        </w:sectPr>
      </w:pPr>
    </w:p>
    <w:p>
      <w:pPr>
        <w:pStyle w:val="BodyText"/>
        <w:ind w:left="1155"/>
        <w:rPr>
          <w:sz w:val="20"/>
        </w:rPr>
      </w:pPr>
      <w:r>
        <w:rPr/>
        <mc:AlternateContent>
          <mc:Choice Requires="wps">
            <w:drawing>
              <wp:anchor distT="0" distB="0" distL="0" distR="0" allowOverlap="1" layoutInCell="1" locked="0" behindDoc="1" simplePos="0" relativeHeight="480585728">
                <wp:simplePos x="0" y="0"/>
                <wp:positionH relativeFrom="page">
                  <wp:posOffset>-468867</wp:posOffset>
                </wp:positionH>
                <wp:positionV relativeFrom="page">
                  <wp:posOffset>6996504</wp:posOffset>
                </wp:positionV>
                <wp:extent cx="5487670" cy="914400"/>
                <wp:effectExtent l="0" t="0" r="0" b="0"/>
                <wp:wrapNone/>
                <wp:docPr id="93" name="Textbox 93"/>
                <wp:cNvGraphicFramePr>
                  <a:graphicFrameLocks/>
                </wp:cNvGraphicFramePr>
                <a:graphic>
                  <a:graphicData uri="http://schemas.microsoft.com/office/word/2010/wordprocessingShape">
                    <wps:wsp>
                      <wps:cNvPr id="93" name="Textbox 93"/>
                      <wps:cNvSpPr txBox="1"/>
                      <wps:spPr>
                        <a:xfrm rot="18360000">
                          <a:off x="0" y="0"/>
                          <a:ext cx="5487670"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UNIVERSITY</w:t>
                            </w:r>
                          </w:p>
                        </w:txbxContent>
                      </wps:txbx>
                      <wps:bodyPr wrap="square" lIns="0" tIns="0" rIns="0" bIns="0" rtlCol="0">
                        <a:noAutofit/>
                      </wps:bodyPr>
                    </wps:wsp>
                  </a:graphicData>
                </a:graphic>
              </wp:anchor>
            </w:drawing>
          </mc:Choice>
          <mc:Fallback>
            <w:pict>
              <v:shape style="position:absolute;margin-left:-36.918713pt;margin-top:550.905835pt;width:432.1pt;height:72pt;mso-position-horizontal-relative:page;mso-position-vertical-relative:page;z-index:-22730752;rotation:306" type="#_x0000_t136" fillcolor="#ff5400" stroked="f">
                <o:extrusion v:ext="view" autorotationcenter="t"/>
                <v:textpath style="font-family:&quot;Arial MT&quot;;font-size:72pt;v-text-kern:t;mso-text-shadow:auto" string="UNIVERSITY"/>
                <w10:wrap type="none"/>
              </v:shape>
            </w:pict>
          </mc:Fallback>
        </mc:AlternateContent>
      </w:r>
      <w:r>
        <w:rPr/>
        <mc:AlternateContent>
          <mc:Choice Requires="wps">
            <w:drawing>
              <wp:anchor distT="0" distB="0" distL="0" distR="0" allowOverlap="1" layoutInCell="1" locked="0" behindDoc="1" simplePos="0" relativeHeight="480586240">
                <wp:simplePos x="0" y="0"/>
                <wp:positionH relativeFrom="page">
                  <wp:posOffset>4231499</wp:posOffset>
                </wp:positionH>
                <wp:positionV relativeFrom="page">
                  <wp:posOffset>1961090</wp:posOffset>
                </wp:positionV>
                <wp:extent cx="3403600" cy="914400"/>
                <wp:effectExtent l="0" t="0" r="0" b="0"/>
                <wp:wrapNone/>
                <wp:docPr id="94" name="Textbox 94"/>
                <wp:cNvGraphicFramePr>
                  <a:graphicFrameLocks/>
                </wp:cNvGraphicFramePr>
                <a:graphic>
                  <a:graphicData uri="http://schemas.microsoft.com/office/word/2010/wordprocessingShape">
                    <wps:wsp>
                      <wps:cNvPr id="94" name="Textbox 94"/>
                      <wps:cNvSpPr txBox="1"/>
                      <wps:spPr>
                        <a:xfrm rot="18360000">
                          <a:off x="0" y="0"/>
                          <a:ext cx="3403600"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333.188934pt;margin-top:154.416569pt;width:268pt;height:72pt;mso-position-horizontal-relative:page;mso-position-vertical-relative:page;z-index:-22730240;rotation:306" type="#_x0000_t136" fillcolor="#ff5400" stroked="f">
                <o:extrusion v:ext="view" autorotationcenter="t"/>
                <v:textpath style="font-family:&quot;Arial MT&quot;;font-size:72pt;v-text-kern:t;mso-text-shadow:auto" string="IBADAN"/>
                <w10:wrap type="none"/>
              </v:shape>
            </w:pict>
          </mc:Fallback>
        </mc:AlternateContent>
      </w:r>
      <w:r>
        <w:rPr>
          <w:sz w:val="20"/>
        </w:rPr>
        <mc:AlternateContent>
          <mc:Choice Requires="wps">
            <w:drawing>
              <wp:inline distT="0" distB="0" distL="0" distR="0">
                <wp:extent cx="5299710" cy="3651885"/>
                <wp:effectExtent l="0" t="0" r="0" b="5714"/>
                <wp:docPr id="95" name="Group 95"/>
                <wp:cNvGraphicFramePr>
                  <a:graphicFrameLocks/>
                </wp:cNvGraphicFramePr>
                <a:graphic>
                  <a:graphicData uri="http://schemas.microsoft.com/office/word/2010/wordprocessingGroup">
                    <wpg:wgp>
                      <wpg:cNvPr id="95" name="Group 95"/>
                      <wpg:cNvGrpSpPr/>
                      <wpg:grpSpPr>
                        <a:xfrm>
                          <a:off x="0" y="0"/>
                          <a:ext cx="5299710" cy="3651885"/>
                          <a:chExt cx="5299710" cy="3651885"/>
                        </a:xfrm>
                      </wpg:grpSpPr>
                      <pic:pic>
                        <pic:nvPicPr>
                          <pic:cNvPr id="96" name="Image 96"/>
                          <pic:cNvPicPr/>
                        </pic:nvPicPr>
                        <pic:blipFill>
                          <a:blip r:embed="rId34" cstate="print"/>
                          <a:stretch>
                            <a:fillRect/>
                          </a:stretch>
                        </pic:blipFill>
                        <pic:spPr>
                          <a:xfrm>
                            <a:off x="28575" y="28638"/>
                            <a:ext cx="5242560" cy="3594735"/>
                          </a:xfrm>
                          <a:prstGeom prst="rect">
                            <a:avLst/>
                          </a:prstGeom>
                        </pic:spPr>
                      </pic:pic>
                      <wps:wsp>
                        <wps:cNvPr id="97" name="Graphic 97"/>
                        <wps:cNvSpPr/>
                        <wps:spPr>
                          <a:xfrm>
                            <a:off x="14287" y="14287"/>
                            <a:ext cx="5271135" cy="3623310"/>
                          </a:xfrm>
                          <a:custGeom>
                            <a:avLst/>
                            <a:gdLst/>
                            <a:ahLst/>
                            <a:cxnLst/>
                            <a:rect l="l" t="t" r="r" b="b"/>
                            <a:pathLst>
                              <a:path w="5271135" h="3623310">
                                <a:moveTo>
                                  <a:pt x="0" y="3623309"/>
                                </a:moveTo>
                                <a:lnTo>
                                  <a:pt x="5271135" y="3623309"/>
                                </a:lnTo>
                                <a:lnTo>
                                  <a:pt x="5271135" y="0"/>
                                </a:lnTo>
                                <a:lnTo>
                                  <a:pt x="0" y="0"/>
                                </a:lnTo>
                                <a:lnTo>
                                  <a:pt x="0" y="3623309"/>
                                </a:lnTo>
                                <a:close/>
                              </a:path>
                            </a:pathLst>
                          </a:custGeom>
                          <a:ln w="285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17.3pt;height:287.55pt;mso-position-horizontal-relative:char;mso-position-vertical-relative:line" id="docshapegroup51" coordorigin="0,0" coordsize="8346,5751">
                <v:shape style="position:absolute;left:45;top:45;width:8256;height:5661" type="#_x0000_t75" id="docshape52" stroked="false">
                  <v:imagedata r:id="rId34" o:title=""/>
                </v:shape>
                <v:rect style="position:absolute;left:22;top:22;width:8301;height:5706" id="docshape53" filled="false" stroked="true" strokeweight="2.25pt" strokecolor="#000000">
                  <v:stroke dashstyle="solid"/>
                </v:rect>
              </v:group>
            </w:pict>
          </mc:Fallback>
        </mc:AlternateContent>
      </w:r>
      <w:r>
        <w:rPr>
          <w:sz w:val="20"/>
        </w:rPr>
      </w:r>
    </w:p>
    <w:p>
      <w:pPr>
        <w:spacing w:line="278" w:lineRule="auto" w:before="155"/>
        <w:ind w:left="1440" w:right="4714" w:firstLine="0"/>
        <w:jc w:val="left"/>
        <w:rPr>
          <w:b/>
          <w:sz w:val="24"/>
        </w:rPr>
      </w:pPr>
      <w:r>
        <w:rPr/>
        <mc:AlternateContent>
          <mc:Choice Requires="wps">
            <w:drawing>
              <wp:anchor distT="0" distB="0" distL="0" distR="0" allowOverlap="1" layoutInCell="1" locked="0" behindDoc="1" simplePos="0" relativeHeight="480584704">
                <wp:simplePos x="0" y="0"/>
                <wp:positionH relativeFrom="page">
                  <wp:posOffset>3775025</wp:posOffset>
                </wp:positionH>
                <wp:positionV relativeFrom="paragraph">
                  <wp:posOffset>-700930</wp:posOffset>
                </wp:positionV>
                <wp:extent cx="1270635" cy="914400"/>
                <wp:effectExtent l="0" t="0" r="0" b="0"/>
                <wp:wrapNone/>
                <wp:docPr id="98" name="Textbox 98"/>
                <wp:cNvGraphicFramePr>
                  <a:graphicFrameLocks/>
                </wp:cNvGraphicFramePr>
                <a:graphic>
                  <a:graphicData uri="http://schemas.microsoft.com/office/word/2010/wordprocessingShape">
                    <wps:wsp>
                      <wps:cNvPr id="98" name="Textbox 98"/>
                      <wps:cNvSpPr txBox="1"/>
                      <wps:spPr>
                        <a:xfrm rot="18360000">
                          <a:off x="0" y="0"/>
                          <a:ext cx="1270635"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5"/>
                                <w:sz w:val="144"/>
                              </w:rPr>
                              <w:t>OF</w:t>
                            </w:r>
                          </w:p>
                        </w:txbxContent>
                      </wps:txbx>
                      <wps:bodyPr wrap="square" lIns="0" tIns="0" rIns="0" bIns="0" rtlCol="0">
                        <a:noAutofit/>
                      </wps:bodyPr>
                    </wps:wsp>
                  </a:graphicData>
                </a:graphic>
              </wp:anchor>
            </w:drawing>
          </mc:Choice>
          <mc:Fallback>
            <w:pict>
              <v:shape style="position:absolute;margin-left:297.246118pt;margin-top:-55.191339pt;width:100.05pt;height:72pt;mso-position-horizontal-relative:page;mso-position-vertical-relative:paragraph;z-index:-22731776;rotation:306" type="#_x0000_t136" fillcolor="#ff5400" stroked="f">
                <o:extrusion v:ext="view" autorotationcenter="t"/>
                <v:textpath style="font-family:&quot;Arial MT&quot;;font-size:72pt;v-text-kern:t;mso-text-shadow:auto" string="OF"/>
                <w10:wrap type="none"/>
              </v:shape>
            </w:pict>
          </mc:Fallback>
        </mc:AlternateContent>
      </w:r>
      <w:r>
        <w:rPr/>
        <mc:AlternateContent>
          <mc:Choice Requires="wps">
            <w:drawing>
              <wp:anchor distT="0" distB="0" distL="0" distR="0" allowOverlap="1" layoutInCell="1" locked="0" behindDoc="0" simplePos="0" relativeHeight="15755776">
                <wp:simplePos x="0" y="0"/>
                <wp:positionH relativeFrom="page">
                  <wp:posOffset>3796664</wp:posOffset>
                </wp:positionH>
                <wp:positionV relativeFrom="paragraph">
                  <wp:posOffset>640460</wp:posOffset>
                </wp:positionV>
                <wp:extent cx="3258820" cy="3455035"/>
                <wp:effectExtent l="0" t="0" r="0" b="0"/>
                <wp:wrapNone/>
                <wp:docPr id="99" name="Group 99"/>
                <wp:cNvGraphicFramePr>
                  <a:graphicFrameLocks/>
                </wp:cNvGraphicFramePr>
                <a:graphic>
                  <a:graphicData uri="http://schemas.microsoft.com/office/word/2010/wordprocessingGroup">
                    <wpg:wgp>
                      <wpg:cNvPr id="99" name="Group 99"/>
                      <wpg:cNvGrpSpPr/>
                      <wpg:grpSpPr>
                        <a:xfrm>
                          <a:off x="0" y="0"/>
                          <a:ext cx="3258820" cy="3455035"/>
                          <a:chExt cx="3258820" cy="3455035"/>
                        </a:xfrm>
                      </wpg:grpSpPr>
                      <pic:pic>
                        <pic:nvPicPr>
                          <pic:cNvPr id="100" name="Image 100"/>
                          <pic:cNvPicPr/>
                        </pic:nvPicPr>
                        <pic:blipFill>
                          <a:blip r:embed="rId35" cstate="print"/>
                          <a:stretch>
                            <a:fillRect/>
                          </a:stretch>
                        </pic:blipFill>
                        <pic:spPr>
                          <a:xfrm>
                            <a:off x="0" y="0"/>
                            <a:ext cx="3258820" cy="3384550"/>
                          </a:xfrm>
                          <a:prstGeom prst="rect">
                            <a:avLst/>
                          </a:prstGeom>
                        </pic:spPr>
                      </pic:pic>
                      <wps:wsp>
                        <wps:cNvPr id="101" name="Textbox 101"/>
                        <wps:cNvSpPr txBox="1"/>
                        <wps:spPr>
                          <a:xfrm>
                            <a:off x="0" y="0"/>
                            <a:ext cx="3258820" cy="3455035"/>
                          </a:xfrm>
                          <a:prstGeom prst="rect">
                            <a:avLst/>
                          </a:prstGeom>
                        </wps:spPr>
                        <wps:txbx>
                          <w:txbxContent>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196"/>
                                <w:rPr>
                                  <w:b/>
                                  <w:sz w:val="24"/>
                                </w:rPr>
                              </w:pPr>
                            </w:p>
                            <w:p>
                              <w:pPr>
                                <w:spacing w:before="1"/>
                                <w:ind w:left="552" w:right="0" w:firstLine="0"/>
                                <w:jc w:val="left"/>
                                <w:rPr>
                                  <w:b/>
                                  <w:sz w:val="24"/>
                                </w:rPr>
                              </w:pPr>
                              <w:r>
                                <w:rPr>
                                  <w:b/>
                                  <w:sz w:val="24"/>
                                </w:rPr>
                                <w:t>Plate</w:t>
                              </w:r>
                              <w:r>
                                <w:rPr>
                                  <w:b/>
                                  <w:spacing w:val="-2"/>
                                  <w:sz w:val="24"/>
                                </w:rPr>
                                <w:t> </w:t>
                              </w:r>
                              <w:r>
                                <w:rPr>
                                  <w:b/>
                                  <w:sz w:val="24"/>
                                </w:rPr>
                                <w:t>15:</w:t>
                              </w:r>
                              <w:r>
                                <w:rPr>
                                  <w:b/>
                                  <w:spacing w:val="-1"/>
                                  <w:sz w:val="24"/>
                                </w:rPr>
                                <w:t> </w:t>
                              </w:r>
                              <w:r>
                                <w:rPr>
                                  <w:b/>
                                  <w:sz w:val="24"/>
                                </w:rPr>
                                <w:t>JTF</w:t>
                              </w:r>
                              <w:r>
                                <w:rPr>
                                  <w:b/>
                                  <w:spacing w:val="-4"/>
                                  <w:sz w:val="24"/>
                                </w:rPr>
                                <w:t> </w:t>
                              </w:r>
                              <w:r>
                                <w:rPr>
                                  <w:b/>
                                  <w:sz w:val="24"/>
                                </w:rPr>
                                <w:t>Operatives </w:t>
                              </w:r>
                              <w:r>
                                <w:rPr>
                                  <w:b/>
                                  <w:spacing w:val="-2"/>
                                  <w:sz w:val="24"/>
                                </w:rPr>
                                <w:t>Destroying</w:t>
                              </w:r>
                            </w:p>
                          </w:txbxContent>
                        </wps:txbx>
                        <wps:bodyPr wrap="square" lIns="0" tIns="0" rIns="0" bIns="0" rtlCol="0">
                          <a:noAutofit/>
                        </wps:bodyPr>
                      </wps:wsp>
                    </wpg:wgp>
                  </a:graphicData>
                </a:graphic>
              </wp:anchor>
            </w:drawing>
          </mc:Choice>
          <mc:Fallback>
            <w:pict>
              <v:group style="position:absolute;margin-left:298.949982pt;margin-top:50.429993pt;width:256.6pt;height:272.05pt;mso-position-horizontal-relative:page;mso-position-vertical-relative:paragraph;z-index:15755776" id="docshapegroup54" coordorigin="5979,1009" coordsize="5132,5441">
                <v:shape style="position:absolute;left:5979;top:1008;width:5132;height:5330" type="#_x0000_t75" id="docshape55" stroked="false">
                  <v:imagedata r:id="rId35" o:title=""/>
                </v:shape>
                <v:shape style="position:absolute;left:5979;top:1008;width:5132;height:5441" type="#_x0000_t202" id="docshape56" filled="false" stroked="false">
                  <v:textbox inset="0,0,0,0">
                    <w:txbxContent>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196"/>
                          <w:rPr>
                            <w:b/>
                            <w:sz w:val="24"/>
                          </w:rPr>
                        </w:pPr>
                      </w:p>
                      <w:p>
                        <w:pPr>
                          <w:spacing w:before="1"/>
                          <w:ind w:left="552" w:right="0" w:firstLine="0"/>
                          <w:jc w:val="left"/>
                          <w:rPr>
                            <w:b/>
                            <w:sz w:val="24"/>
                          </w:rPr>
                        </w:pPr>
                        <w:r>
                          <w:rPr>
                            <w:b/>
                            <w:sz w:val="24"/>
                          </w:rPr>
                          <w:t>Plate</w:t>
                        </w:r>
                        <w:r>
                          <w:rPr>
                            <w:b/>
                            <w:spacing w:val="-2"/>
                            <w:sz w:val="24"/>
                          </w:rPr>
                          <w:t> </w:t>
                        </w:r>
                        <w:r>
                          <w:rPr>
                            <w:b/>
                            <w:sz w:val="24"/>
                          </w:rPr>
                          <w:t>15:</w:t>
                        </w:r>
                        <w:r>
                          <w:rPr>
                            <w:b/>
                            <w:spacing w:val="-1"/>
                            <w:sz w:val="24"/>
                          </w:rPr>
                          <w:t> </w:t>
                        </w:r>
                        <w:r>
                          <w:rPr>
                            <w:b/>
                            <w:sz w:val="24"/>
                          </w:rPr>
                          <w:t>JTF</w:t>
                        </w:r>
                        <w:r>
                          <w:rPr>
                            <w:b/>
                            <w:spacing w:val="-4"/>
                            <w:sz w:val="24"/>
                          </w:rPr>
                          <w:t> </w:t>
                        </w:r>
                        <w:r>
                          <w:rPr>
                            <w:b/>
                            <w:sz w:val="24"/>
                          </w:rPr>
                          <w:t>Operatives </w:t>
                        </w:r>
                        <w:r>
                          <w:rPr>
                            <w:b/>
                            <w:spacing w:val="-2"/>
                            <w:sz w:val="24"/>
                          </w:rPr>
                          <w:t>Destroying</w:t>
                        </w:r>
                      </w:p>
                    </w:txbxContent>
                  </v:textbox>
                  <w10:wrap type="none"/>
                </v:shape>
                <w10:wrap type="none"/>
              </v:group>
            </w:pict>
          </mc:Fallback>
        </mc:AlternateContent>
      </w:r>
      <w:r>
        <w:rPr>
          <w:b/>
          <w:sz w:val="24"/>
        </w:rPr>
        <w:t>Plate 13: Attack on Opobo Pipeline 2004 Source:</w:t>
      </w:r>
      <w:r>
        <w:rPr>
          <w:b/>
          <w:spacing w:val="-11"/>
          <w:sz w:val="24"/>
        </w:rPr>
        <w:t> </w:t>
      </w:r>
      <w:hyperlink r:id="rId27">
        <w:r>
          <w:rPr>
            <w:b/>
            <w:sz w:val="24"/>
            <w:u w:val="single"/>
          </w:rPr>
          <w:t>www.google.com</w:t>
        </w:r>
        <w:r>
          <w:rPr>
            <w:b/>
            <w:sz w:val="24"/>
          </w:rPr>
          <w:t>.</w:t>
        </w:r>
      </w:hyperlink>
      <w:r>
        <w:rPr>
          <w:b/>
          <w:spacing w:val="40"/>
          <w:sz w:val="24"/>
        </w:rPr>
        <w:t> </w:t>
      </w:r>
      <w:r>
        <w:rPr>
          <w:b/>
          <w:sz w:val="24"/>
        </w:rPr>
        <w:t>Accessed</w:t>
      </w:r>
      <w:r>
        <w:rPr>
          <w:b/>
          <w:spacing w:val="-10"/>
          <w:sz w:val="24"/>
        </w:rPr>
        <w:t> </w:t>
      </w:r>
      <w:r>
        <w:rPr>
          <w:b/>
          <w:sz w:val="24"/>
        </w:rPr>
        <w:t>15/9/10</w:t>
      </w:r>
    </w:p>
    <w:p>
      <w:pPr>
        <w:pStyle w:val="BodyText"/>
        <w:spacing w:before="4"/>
        <w:ind w:left="0"/>
        <w:rPr>
          <w:b/>
          <w:sz w:val="8"/>
        </w:rPr>
      </w:pPr>
      <w:r>
        <w:rPr/>
        <w:drawing>
          <wp:anchor distT="0" distB="0" distL="0" distR="0" allowOverlap="1" layoutInCell="1" locked="0" behindDoc="1" simplePos="0" relativeHeight="487613952">
            <wp:simplePos x="0" y="0"/>
            <wp:positionH relativeFrom="page">
              <wp:posOffset>527685</wp:posOffset>
            </wp:positionH>
            <wp:positionV relativeFrom="paragraph">
              <wp:posOffset>76412</wp:posOffset>
            </wp:positionV>
            <wp:extent cx="2869966" cy="3122676"/>
            <wp:effectExtent l="0" t="0" r="0" b="0"/>
            <wp:wrapTopAndBottom/>
            <wp:docPr id="102" name="Image 102"/>
            <wp:cNvGraphicFramePr>
              <a:graphicFrameLocks/>
            </wp:cNvGraphicFramePr>
            <a:graphic>
              <a:graphicData uri="http://schemas.openxmlformats.org/drawingml/2006/picture">
                <pic:pic>
                  <pic:nvPicPr>
                    <pic:cNvPr id="102" name="Image 102"/>
                    <pic:cNvPicPr/>
                  </pic:nvPicPr>
                  <pic:blipFill>
                    <a:blip r:embed="rId36" cstate="print"/>
                    <a:stretch>
                      <a:fillRect/>
                    </a:stretch>
                  </pic:blipFill>
                  <pic:spPr>
                    <a:xfrm>
                      <a:off x="0" y="0"/>
                      <a:ext cx="2869966" cy="3122676"/>
                    </a:xfrm>
                    <a:prstGeom prst="rect">
                      <a:avLst/>
                    </a:prstGeom>
                  </pic:spPr>
                </pic:pic>
              </a:graphicData>
            </a:graphic>
          </wp:anchor>
        </w:drawing>
      </w:r>
    </w:p>
    <w:p>
      <w:pPr>
        <w:pStyle w:val="BodyText"/>
        <w:spacing w:before="63"/>
        <w:ind w:left="0"/>
        <w:rPr>
          <w:b/>
        </w:rPr>
      </w:pPr>
    </w:p>
    <w:p>
      <w:pPr>
        <w:spacing w:before="1"/>
        <w:ind w:left="1440" w:right="0" w:firstLine="0"/>
        <w:jc w:val="left"/>
        <w:rPr>
          <w:b/>
          <w:sz w:val="24"/>
        </w:rPr>
      </w:pPr>
      <w:r>
        <w:rPr>
          <w:b/>
          <w:sz w:val="24"/>
        </w:rPr>
        <w:t>Plate</w:t>
      </w:r>
      <w:r>
        <w:rPr>
          <w:b/>
          <w:spacing w:val="-2"/>
          <w:sz w:val="24"/>
        </w:rPr>
        <w:t> </w:t>
      </w:r>
      <w:r>
        <w:rPr>
          <w:b/>
          <w:sz w:val="24"/>
        </w:rPr>
        <w:t>14: Illegal</w:t>
      </w:r>
      <w:r>
        <w:rPr>
          <w:b/>
          <w:spacing w:val="-1"/>
          <w:sz w:val="24"/>
        </w:rPr>
        <w:t> </w:t>
      </w:r>
      <w:r>
        <w:rPr>
          <w:b/>
          <w:sz w:val="24"/>
        </w:rPr>
        <w:t>Oil </w:t>
      </w:r>
      <w:r>
        <w:rPr>
          <w:b/>
          <w:spacing w:val="-2"/>
          <w:sz w:val="24"/>
        </w:rPr>
        <w:t>Refinery</w:t>
      </w:r>
    </w:p>
    <w:p>
      <w:pPr>
        <w:tabs>
          <w:tab w:pos="5913" w:val="left" w:leader="none"/>
        </w:tabs>
        <w:spacing w:line="276" w:lineRule="auto" w:before="40"/>
        <w:ind w:left="1440" w:right="1625" w:firstLine="60"/>
        <w:jc w:val="left"/>
        <w:rPr>
          <w:b/>
          <w:sz w:val="24"/>
        </w:rPr>
      </w:pPr>
      <w:r>
        <w:rPr>
          <w:b/>
          <w:sz w:val="24"/>
        </w:rPr>
        <w:t>Source Researcher’s Fieldwork,</w:t>
        <w:tab/>
        <w:t>Illegal</w:t>
      </w:r>
      <w:r>
        <w:rPr>
          <w:b/>
          <w:spacing w:val="-8"/>
          <w:sz w:val="24"/>
        </w:rPr>
        <w:t> </w:t>
      </w:r>
      <w:r>
        <w:rPr>
          <w:b/>
          <w:sz w:val="24"/>
        </w:rPr>
        <w:t>Refinery</w:t>
      </w:r>
      <w:r>
        <w:rPr>
          <w:b/>
          <w:spacing w:val="-8"/>
          <w:sz w:val="24"/>
        </w:rPr>
        <w:t> </w:t>
      </w:r>
      <w:r>
        <w:rPr>
          <w:b/>
          <w:sz w:val="24"/>
        </w:rPr>
        <w:t>in</w:t>
      </w:r>
      <w:r>
        <w:rPr>
          <w:b/>
          <w:spacing w:val="-8"/>
          <w:sz w:val="24"/>
        </w:rPr>
        <w:t> </w:t>
      </w:r>
      <w:r>
        <w:rPr>
          <w:b/>
          <w:sz w:val="24"/>
        </w:rPr>
        <w:t>the</w:t>
      </w:r>
      <w:r>
        <w:rPr>
          <w:b/>
          <w:spacing w:val="-9"/>
          <w:sz w:val="24"/>
        </w:rPr>
        <w:t> </w:t>
      </w:r>
      <w:r>
        <w:rPr>
          <w:b/>
          <w:sz w:val="24"/>
        </w:rPr>
        <w:t>Niger</w:t>
      </w:r>
      <w:r>
        <w:rPr>
          <w:b/>
          <w:spacing w:val="-9"/>
          <w:sz w:val="24"/>
        </w:rPr>
        <w:t> </w:t>
      </w:r>
      <w:r>
        <w:rPr>
          <w:b/>
          <w:sz w:val="24"/>
        </w:rPr>
        <w:t>Delta </w:t>
      </w:r>
      <w:r>
        <w:rPr>
          <w:b/>
          <w:spacing w:val="-2"/>
          <w:sz w:val="24"/>
        </w:rPr>
        <w:t>2011.</w:t>
      </w:r>
    </w:p>
    <w:p>
      <w:pPr>
        <w:spacing w:after="0" w:line="276" w:lineRule="auto"/>
        <w:jc w:val="left"/>
        <w:rPr>
          <w:sz w:val="24"/>
        </w:rPr>
        <w:sectPr>
          <w:pgSz w:w="11910" w:h="16840"/>
          <w:pgMar w:header="0" w:footer="1561" w:top="1700" w:bottom="1760" w:left="720" w:right="180"/>
        </w:sectPr>
      </w:pPr>
    </w:p>
    <w:p>
      <w:pPr>
        <w:pStyle w:val="BodyText"/>
        <w:ind w:left="0"/>
        <w:rPr>
          <w:b/>
        </w:rPr>
      </w:pPr>
      <w:r>
        <w:rPr/>
        <mc:AlternateContent>
          <mc:Choice Requires="wps">
            <w:drawing>
              <wp:anchor distT="0" distB="0" distL="0" distR="0" allowOverlap="1" layoutInCell="1" locked="0" behindDoc="1" simplePos="0" relativeHeight="480586752">
                <wp:simplePos x="0" y="0"/>
                <wp:positionH relativeFrom="page">
                  <wp:posOffset>-1537026</wp:posOffset>
                </wp:positionH>
                <wp:positionV relativeFrom="page">
                  <wp:posOffset>4900424</wp:posOffset>
                </wp:positionV>
                <wp:extent cx="10669905" cy="914400"/>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29728;rotation:306" type="#_x0000_t136" fillcolor="#ff5400" stroked="f">
                <o:extrusion v:ext="view" autorotationcenter="t"/>
                <v:textpath style="font-family:&quot;Arial MT&quot;;font-size:72pt;v-text-kern:t;mso-text-shadow:auto" string="UNIVERSITY OF IBADAN"/>
                <w10:wrap type="none"/>
              </v:shape>
            </w:pict>
          </mc:Fallback>
        </mc:AlternateContent>
      </w: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spacing w:before="98"/>
        <w:ind w:left="0"/>
        <w:rPr>
          <w:b/>
        </w:rPr>
      </w:pPr>
    </w:p>
    <w:p>
      <w:pPr>
        <w:spacing w:line="242" w:lineRule="auto" w:before="0"/>
        <w:ind w:left="2880" w:right="3112" w:hanging="60"/>
        <w:jc w:val="left"/>
        <w:rPr>
          <w:b/>
          <w:sz w:val="24"/>
        </w:rPr>
      </w:pPr>
      <w:r>
        <w:rPr/>
        <w:drawing>
          <wp:anchor distT="0" distB="0" distL="0" distR="0" allowOverlap="1" layoutInCell="1" locked="0" behindDoc="0" simplePos="0" relativeHeight="15757824">
            <wp:simplePos x="0" y="0"/>
            <wp:positionH relativeFrom="page">
              <wp:posOffset>1847850</wp:posOffset>
            </wp:positionH>
            <wp:positionV relativeFrom="paragraph">
              <wp:posOffset>640474</wp:posOffset>
            </wp:positionV>
            <wp:extent cx="2912110" cy="3309620"/>
            <wp:effectExtent l="0" t="0" r="0" b="0"/>
            <wp:wrapNone/>
            <wp:docPr id="104" name="Image 104" descr="SDC11296"/>
            <wp:cNvGraphicFramePr>
              <a:graphicFrameLocks/>
            </wp:cNvGraphicFramePr>
            <a:graphic>
              <a:graphicData uri="http://schemas.openxmlformats.org/drawingml/2006/picture">
                <pic:pic>
                  <pic:nvPicPr>
                    <pic:cNvPr id="104" name="Image 104" descr="SDC11296"/>
                    <pic:cNvPicPr/>
                  </pic:nvPicPr>
                  <pic:blipFill>
                    <a:blip r:embed="rId37" cstate="print"/>
                    <a:stretch>
                      <a:fillRect/>
                    </a:stretch>
                  </pic:blipFill>
                  <pic:spPr>
                    <a:xfrm>
                      <a:off x="0" y="0"/>
                      <a:ext cx="2912110" cy="3309620"/>
                    </a:xfrm>
                    <a:prstGeom prst="rect">
                      <a:avLst/>
                    </a:prstGeom>
                  </pic:spPr>
                </pic:pic>
              </a:graphicData>
            </a:graphic>
          </wp:anchor>
        </w:drawing>
      </w:r>
      <w:r>
        <w:rPr/>
        <w:drawing>
          <wp:anchor distT="0" distB="0" distL="0" distR="0" allowOverlap="1" layoutInCell="1" locked="0" behindDoc="0" simplePos="0" relativeHeight="15758336">
            <wp:simplePos x="0" y="0"/>
            <wp:positionH relativeFrom="page">
              <wp:posOffset>2007235</wp:posOffset>
            </wp:positionH>
            <wp:positionV relativeFrom="paragraph">
              <wp:posOffset>-3211308</wp:posOffset>
            </wp:positionV>
            <wp:extent cx="4006214" cy="3200400"/>
            <wp:effectExtent l="0" t="0" r="0" b="0"/>
            <wp:wrapNone/>
            <wp:docPr id="105" name="Image 105" descr="DSC00505"/>
            <wp:cNvGraphicFramePr>
              <a:graphicFrameLocks/>
            </wp:cNvGraphicFramePr>
            <a:graphic>
              <a:graphicData uri="http://schemas.openxmlformats.org/drawingml/2006/picture">
                <pic:pic>
                  <pic:nvPicPr>
                    <pic:cNvPr id="105" name="Image 105" descr="DSC00505"/>
                    <pic:cNvPicPr/>
                  </pic:nvPicPr>
                  <pic:blipFill>
                    <a:blip r:embed="rId38" cstate="print"/>
                    <a:stretch>
                      <a:fillRect/>
                    </a:stretch>
                  </pic:blipFill>
                  <pic:spPr>
                    <a:xfrm>
                      <a:off x="0" y="0"/>
                      <a:ext cx="4006214" cy="3200400"/>
                    </a:xfrm>
                    <a:prstGeom prst="rect">
                      <a:avLst/>
                    </a:prstGeom>
                  </pic:spPr>
                </pic:pic>
              </a:graphicData>
            </a:graphic>
          </wp:anchor>
        </w:drawing>
      </w:r>
      <w:r>
        <w:rPr>
          <w:b/>
          <w:sz w:val="24"/>
        </w:rPr>
        <w:t>Plate</w:t>
      </w:r>
      <w:r>
        <w:rPr>
          <w:b/>
          <w:spacing w:val="-7"/>
          <w:sz w:val="24"/>
        </w:rPr>
        <w:t> </w:t>
      </w:r>
      <w:r>
        <w:rPr>
          <w:b/>
          <w:sz w:val="24"/>
        </w:rPr>
        <w:t>16:</w:t>
      </w:r>
      <w:r>
        <w:rPr>
          <w:b/>
          <w:spacing w:val="-6"/>
          <w:sz w:val="24"/>
        </w:rPr>
        <w:t> </w:t>
      </w:r>
      <w:r>
        <w:rPr>
          <w:b/>
          <w:sz w:val="24"/>
        </w:rPr>
        <w:t>Spills</w:t>
      </w:r>
      <w:r>
        <w:rPr>
          <w:b/>
          <w:spacing w:val="-6"/>
          <w:sz w:val="24"/>
        </w:rPr>
        <w:t> </w:t>
      </w:r>
      <w:r>
        <w:rPr>
          <w:b/>
          <w:sz w:val="24"/>
        </w:rPr>
        <w:t>from</w:t>
      </w:r>
      <w:r>
        <w:rPr>
          <w:b/>
          <w:spacing w:val="-10"/>
          <w:sz w:val="24"/>
        </w:rPr>
        <w:t> </w:t>
      </w:r>
      <w:r>
        <w:rPr>
          <w:b/>
          <w:sz w:val="24"/>
        </w:rPr>
        <w:t>illegal</w:t>
      </w:r>
      <w:r>
        <w:rPr>
          <w:b/>
          <w:spacing w:val="-6"/>
          <w:sz w:val="24"/>
        </w:rPr>
        <w:t> </w:t>
      </w:r>
      <w:r>
        <w:rPr>
          <w:b/>
          <w:sz w:val="24"/>
        </w:rPr>
        <w:t>Refinery</w:t>
      </w:r>
      <w:r>
        <w:rPr>
          <w:b/>
          <w:spacing w:val="-6"/>
          <w:sz w:val="24"/>
        </w:rPr>
        <w:t> </w:t>
      </w:r>
      <w:r>
        <w:rPr>
          <w:b/>
          <w:sz w:val="24"/>
        </w:rPr>
        <w:t>Activities Source: Researcher’s Fieldwork, 2010</w:t>
      </w: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spacing w:before="3"/>
        <w:ind w:left="0"/>
        <w:rPr>
          <w:b/>
        </w:rPr>
      </w:pPr>
    </w:p>
    <w:p>
      <w:pPr>
        <w:spacing w:line="242" w:lineRule="auto" w:before="0"/>
        <w:ind w:left="2160" w:right="3654" w:firstLine="0"/>
        <w:jc w:val="left"/>
        <w:rPr>
          <w:b/>
          <w:sz w:val="24"/>
        </w:rPr>
      </w:pPr>
      <w:r>
        <w:rPr>
          <w:b/>
          <w:sz w:val="24"/>
        </w:rPr>
        <w:t>Plate</w:t>
      </w:r>
      <w:r>
        <w:rPr>
          <w:b/>
          <w:spacing w:val="-6"/>
          <w:sz w:val="24"/>
        </w:rPr>
        <w:t> </w:t>
      </w:r>
      <w:r>
        <w:rPr>
          <w:b/>
          <w:sz w:val="24"/>
        </w:rPr>
        <w:t>17:</w:t>
      </w:r>
      <w:r>
        <w:rPr>
          <w:b/>
          <w:spacing w:val="-6"/>
          <w:sz w:val="24"/>
        </w:rPr>
        <w:t> </w:t>
      </w:r>
      <w:r>
        <w:rPr>
          <w:b/>
          <w:sz w:val="24"/>
        </w:rPr>
        <w:t>Illegal</w:t>
      </w:r>
      <w:r>
        <w:rPr>
          <w:b/>
          <w:spacing w:val="-5"/>
          <w:sz w:val="24"/>
        </w:rPr>
        <w:t> </w:t>
      </w:r>
      <w:r>
        <w:rPr>
          <w:b/>
          <w:sz w:val="24"/>
        </w:rPr>
        <w:t>Oil</w:t>
      </w:r>
      <w:r>
        <w:rPr>
          <w:b/>
          <w:spacing w:val="-5"/>
          <w:sz w:val="24"/>
        </w:rPr>
        <w:t> </w:t>
      </w:r>
      <w:r>
        <w:rPr>
          <w:b/>
          <w:sz w:val="24"/>
        </w:rPr>
        <w:t>Refinery</w:t>
      </w:r>
      <w:r>
        <w:rPr>
          <w:b/>
          <w:spacing w:val="-3"/>
          <w:sz w:val="24"/>
        </w:rPr>
        <w:t> </w:t>
      </w:r>
      <w:r>
        <w:rPr>
          <w:b/>
          <w:sz w:val="24"/>
        </w:rPr>
        <w:t>in</w:t>
      </w:r>
      <w:r>
        <w:rPr>
          <w:b/>
          <w:spacing w:val="-4"/>
          <w:sz w:val="24"/>
        </w:rPr>
        <w:t> </w:t>
      </w:r>
      <w:r>
        <w:rPr>
          <w:b/>
          <w:sz w:val="24"/>
        </w:rPr>
        <w:t>the</w:t>
      </w:r>
      <w:r>
        <w:rPr>
          <w:b/>
          <w:spacing w:val="-6"/>
          <w:sz w:val="24"/>
        </w:rPr>
        <w:t> </w:t>
      </w:r>
      <w:r>
        <w:rPr>
          <w:b/>
          <w:sz w:val="24"/>
        </w:rPr>
        <w:t>Niger</w:t>
      </w:r>
      <w:r>
        <w:rPr>
          <w:b/>
          <w:spacing w:val="-6"/>
          <w:sz w:val="24"/>
        </w:rPr>
        <w:t> </w:t>
      </w:r>
      <w:r>
        <w:rPr>
          <w:b/>
          <w:sz w:val="24"/>
        </w:rPr>
        <w:t>Delta Source: Researcher’s Fieldwork, 2011</w:t>
      </w:r>
    </w:p>
    <w:p>
      <w:pPr>
        <w:spacing w:after="0" w:line="242" w:lineRule="auto"/>
        <w:jc w:val="left"/>
        <w:rPr>
          <w:sz w:val="24"/>
        </w:rPr>
        <w:sectPr>
          <w:pgSz w:w="11910" w:h="16840"/>
          <w:pgMar w:header="0" w:footer="1561" w:top="1120" w:bottom="1760" w:left="720" w:right="180"/>
        </w:sectPr>
      </w:pPr>
    </w:p>
    <w:p>
      <w:pPr>
        <w:pStyle w:val="BodyText"/>
        <w:ind w:left="0"/>
        <w:rPr>
          <w:b/>
        </w:rPr>
      </w:pPr>
      <w:r>
        <w:rPr/>
        <mc:AlternateContent>
          <mc:Choice Requires="wps">
            <w:drawing>
              <wp:anchor distT="0" distB="0" distL="0" distR="0" allowOverlap="1" layoutInCell="1" locked="0" behindDoc="1" simplePos="0" relativeHeight="480588800">
                <wp:simplePos x="0" y="0"/>
                <wp:positionH relativeFrom="page">
                  <wp:posOffset>-1537026</wp:posOffset>
                </wp:positionH>
                <wp:positionV relativeFrom="page">
                  <wp:posOffset>4900424</wp:posOffset>
                </wp:positionV>
                <wp:extent cx="10669905" cy="914400"/>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27680;rotation:306" type="#_x0000_t136" fillcolor="#ff5400" stroked="f">
                <o:extrusion v:ext="view" autorotationcenter="t"/>
                <v:textpath style="font-family:&quot;Arial MT&quot;;font-size:72pt;v-text-kern:t;mso-text-shadow:auto" string="UNIVERSITY OF IBADAN"/>
                <w10:wrap type="none"/>
              </v:shape>
            </w:pict>
          </mc:Fallback>
        </mc:AlternateContent>
      </w: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spacing w:before="57"/>
        <w:ind w:left="0"/>
        <w:rPr>
          <w:b/>
        </w:rPr>
      </w:pPr>
    </w:p>
    <w:p>
      <w:pPr>
        <w:spacing w:line="360" w:lineRule="auto" w:before="0"/>
        <w:ind w:left="2160" w:right="4714" w:firstLine="0"/>
        <w:jc w:val="left"/>
        <w:rPr>
          <w:b/>
          <w:sz w:val="24"/>
        </w:rPr>
      </w:pPr>
      <w:r>
        <w:rPr/>
        <w:drawing>
          <wp:anchor distT="0" distB="0" distL="0" distR="0" allowOverlap="1" layoutInCell="1" locked="0" behindDoc="0" simplePos="0" relativeHeight="15759872">
            <wp:simplePos x="0" y="0"/>
            <wp:positionH relativeFrom="page">
              <wp:posOffset>1121410</wp:posOffset>
            </wp:positionH>
            <wp:positionV relativeFrom="paragraph">
              <wp:posOffset>-2667792</wp:posOffset>
            </wp:positionV>
            <wp:extent cx="5586095" cy="2404745"/>
            <wp:effectExtent l="0" t="0" r="0" b="0"/>
            <wp:wrapNone/>
            <wp:docPr id="107" name="Image 107" descr="DSC00513"/>
            <wp:cNvGraphicFramePr>
              <a:graphicFrameLocks/>
            </wp:cNvGraphicFramePr>
            <a:graphic>
              <a:graphicData uri="http://schemas.openxmlformats.org/drawingml/2006/picture">
                <pic:pic>
                  <pic:nvPicPr>
                    <pic:cNvPr id="107" name="Image 107" descr="DSC00513"/>
                    <pic:cNvPicPr/>
                  </pic:nvPicPr>
                  <pic:blipFill>
                    <a:blip r:embed="rId39" cstate="print"/>
                    <a:stretch>
                      <a:fillRect/>
                    </a:stretch>
                  </pic:blipFill>
                  <pic:spPr>
                    <a:xfrm>
                      <a:off x="0" y="0"/>
                      <a:ext cx="5586095" cy="2404745"/>
                    </a:xfrm>
                    <a:prstGeom prst="rect">
                      <a:avLst/>
                    </a:prstGeom>
                  </pic:spPr>
                </pic:pic>
              </a:graphicData>
            </a:graphic>
          </wp:anchor>
        </w:drawing>
      </w:r>
      <w:r>
        <w:rPr>
          <w:b/>
          <w:sz w:val="24"/>
        </w:rPr>
        <w:t>Plate 18: Pollution from Oil Spills Source:</w:t>
      </w:r>
      <w:r>
        <w:rPr>
          <w:b/>
          <w:spacing w:val="-13"/>
          <w:sz w:val="24"/>
        </w:rPr>
        <w:t> </w:t>
      </w:r>
      <w:r>
        <w:rPr>
          <w:b/>
          <w:sz w:val="24"/>
        </w:rPr>
        <w:t>Researcher’s</w:t>
      </w:r>
      <w:r>
        <w:rPr>
          <w:b/>
          <w:spacing w:val="-12"/>
          <w:sz w:val="24"/>
        </w:rPr>
        <w:t> </w:t>
      </w:r>
      <w:r>
        <w:rPr>
          <w:b/>
          <w:sz w:val="24"/>
        </w:rPr>
        <w:t>Fieldwork,</w:t>
      </w:r>
      <w:r>
        <w:rPr>
          <w:b/>
          <w:spacing w:val="-13"/>
          <w:sz w:val="24"/>
        </w:rPr>
        <w:t> </w:t>
      </w:r>
      <w:r>
        <w:rPr>
          <w:b/>
          <w:sz w:val="24"/>
        </w:rPr>
        <w:t>2010</w:t>
      </w: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spacing w:before="158"/>
        <w:ind w:left="0"/>
        <w:rPr>
          <w:b/>
          <w:sz w:val="20"/>
        </w:rPr>
      </w:pPr>
      <w:r>
        <w:rPr/>
        <mc:AlternateContent>
          <mc:Choice Requires="wps">
            <w:drawing>
              <wp:anchor distT="0" distB="0" distL="0" distR="0" allowOverlap="1" layoutInCell="1" locked="0" behindDoc="1" simplePos="0" relativeHeight="487618048">
                <wp:simplePos x="0" y="0"/>
                <wp:positionH relativeFrom="page">
                  <wp:posOffset>946404</wp:posOffset>
                </wp:positionH>
                <wp:positionV relativeFrom="paragraph">
                  <wp:posOffset>261814</wp:posOffset>
                </wp:positionV>
                <wp:extent cx="5866130" cy="3088005"/>
                <wp:effectExtent l="0" t="0" r="0" b="0"/>
                <wp:wrapTopAndBottom/>
                <wp:docPr id="108" name="Group 108"/>
                <wp:cNvGraphicFramePr>
                  <a:graphicFrameLocks/>
                </wp:cNvGraphicFramePr>
                <a:graphic>
                  <a:graphicData uri="http://schemas.microsoft.com/office/word/2010/wordprocessingGroup">
                    <wpg:wgp>
                      <wpg:cNvPr id="108" name="Group 108"/>
                      <wpg:cNvGrpSpPr/>
                      <wpg:grpSpPr>
                        <a:xfrm>
                          <a:off x="0" y="0"/>
                          <a:ext cx="5866130" cy="3088005"/>
                          <a:chExt cx="5866130" cy="3088005"/>
                        </a:xfrm>
                      </wpg:grpSpPr>
                      <pic:pic>
                        <pic:nvPicPr>
                          <pic:cNvPr id="109" name="Image 109"/>
                          <pic:cNvPicPr/>
                        </pic:nvPicPr>
                        <pic:blipFill>
                          <a:blip r:embed="rId40" cstate="print"/>
                          <a:stretch>
                            <a:fillRect/>
                          </a:stretch>
                        </pic:blipFill>
                        <pic:spPr>
                          <a:xfrm>
                            <a:off x="0" y="0"/>
                            <a:ext cx="5865876" cy="3087614"/>
                          </a:xfrm>
                          <a:prstGeom prst="rect">
                            <a:avLst/>
                          </a:prstGeom>
                        </pic:spPr>
                      </pic:pic>
                      <pic:pic>
                        <pic:nvPicPr>
                          <pic:cNvPr id="110" name="Image 110"/>
                          <pic:cNvPicPr/>
                        </pic:nvPicPr>
                        <pic:blipFill>
                          <a:blip r:embed="rId41" cstate="print"/>
                          <a:stretch>
                            <a:fillRect/>
                          </a:stretch>
                        </pic:blipFill>
                        <pic:spPr>
                          <a:xfrm>
                            <a:off x="55625" y="54859"/>
                            <a:ext cx="5701664" cy="2923539"/>
                          </a:xfrm>
                          <a:prstGeom prst="rect">
                            <a:avLst/>
                          </a:prstGeom>
                        </pic:spPr>
                      </pic:pic>
                      <wps:wsp>
                        <wps:cNvPr id="111" name="Graphic 111"/>
                        <wps:cNvSpPr/>
                        <wps:spPr>
                          <a:xfrm>
                            <a:off x="36575" y="35809"/>
                            <a:ext cx="5739765" cy="2961640"/>
                          </a:xfrm>
                          <a:custGeom>
                            <a:avLst/>
                            <a:gdLst/>
                            <a:ahLst/>
                            <a:cxnLst/>
                            <a:rect l="l" t="t" r="r" b="b"/>
                            <a:pathLst>
                              <a:path w="5739765" h="2961640">
                                <a:moveTo>
                                  <a:pt x="0" y="2961640"/>
                                </a:moveTo>
                                <a:lnTo>
                                  <a:pt x="5739765" y="2961640"/>
                                </a:lnTo>
                                <a:lnTo>
                                  <a:pt x="5739765" y="0"/>
                                </a:lnTo>
                                <a:lnTo>
                                  <a:pt x="0" y="0"/>
                                </a:lnTo>
                                <a:lnTo>
                                  <a:pt x="0" y="296164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4.520004pt;margin-top:20.615349pt;width:461.9pt;height:243.15pt;mso-position-horizontal-relative:page;mso-position-vertical-relative:paragraph;z-index:-15698432;mso-wrap-distance-left:0;mso-wrap-distance-right:0" id="docshapegroup57" coordorigin="1490,412" coordsize="9238,4863">
                <v:shape style="position:absolute;left:1490;top:412;width:9238;height:4863" type="#_x0000_t75" id="docshape58" stroked="false">
                  <v:imagedata r:id="rId40" o:title=""/>
                </v:shape>
                <v:shape style="position:absolute;left:1578;top:498;width:8979;height:4604" type="#_x0000_t75" id="docshape59" stroked="false">
                  <v:imagedata r:id="rId41" o:title=""/>
                </v:shape>
                <v:rect style="position:absolute;left:1548;top:468;width:9039;height:4664" id="docshape60" filled="false" stroked="true" strokeweight="3pt" strokecolor="#000000">
                  <v:stroke dashstyle="solid"/>
                </v:rect>
                <w10:wrap type="topAndBottom"/>
              </v:group>
            </w:pict>
          </mc:Fallback>
        </mc:AlternateContent>
      </w:r>
    </w:p>
    <w:p>
      <w:pPr>
        <w:spacing w:line="360" w:lineRule="auto" w:before="154"/>
        <w:ind w:left="1440" w:right="2080" w:firstLine="0"/>
        <w:jc w:val="left"/>
        <w:rPr>
          <w:b/>
          <w:sz w:val="24"/>
        </w:rPr>
      </w:pPr>
      <w:r>
        <w:rPr>
          <w:b/>
          <w:sz w:val="24"/>
        </w:rPr>
        <w:t>Plate</w:t>
      </w:r>
      <w:r>
        <w:rPr>
          <w:b/>
          <w:spacing w:val="-5"/>
          <w:sz w:val="24"/>
        </w:rPr>
        <w:t> </w:t>
      </w:r>
      <w:r>
        <w:rPr>
          <w:b/>
          <w:sz w:val="24"/>
        </w:rPr>
        <w:t>19:</w:t>
      </w:r>
      <w:r>
        <w:rPr>
          <w:b/>
          <w:spacing w:val="-4"/>
          <w:sz w:val="24"/>
        </w:rPr>
        <w:t> </w:t>
      </w:r>
      <w:r>
        <w:rPr>
          <w:b/>
          <w:sz w:val="24"/>
        </w:rPr>
        <w:t>Seized</w:t>
      </w:r>
      <w:r>
        <w:rPr>
          <w:b/>
          <w:spacing w:val="-4"/>
          <w:sz w:val="24"/>
        </w:rPr>
        <w:t> </w:t>
      </w:r>
      <w:r>
        <w:rPr>
          <w:b/>
          <w:sz w:val="24"/>
        </w:rPr>
        <w:t>Crude</w:t>
      </w:r>
      <w:r>
        <w:rPr>
          <w:b/>
          <w:spacing w:val="-4"/>
          <w:sz w:val="24"/>
        </w:rPr>
        <w:t> </w:t>
      </w:r>
      <w:r>
        <w:rPr>
          <w:b/>
          <w:sz w:val="24"/>
        </w:rPr>
        <w:t>from</w:t>
      </w:r>
      <w:r>
        <w:rPr>
          <w:b/>
          <w:spacing w:val="-8"/>
          <w:sz w:val="24"/>
        </w:rPr>
        <w:t> </w:t>
      </w:r>
      <w:r>
        <w:rPr>
          <w:b/>
          <w:sz w:val="24"/>
        </w:rPr>
        <w:t>Illegal</w:t>
      </w:r>
      <w:r>
        <w:rPr>
          <w:b/>
          <w:spacing w:val="-4"/>
          <w:sz w:val="24"/>
        </w:rPr>
        <w:t> </w:t>
      </w:r>
      <w:r>
        <w:rPr>
          <w:b/>
          <w:sz w:val="24"/>
        </w:rPr>
        <w:t>Oil</w:t>
      </w:r>
      <w:r>
        <w:rPr>
          <w:b/>
          <w:spacing w:val="-4"/>
          <w:sz w:val="24"/>
        </w:rPr>
        <w:t> </w:t>
      </w:r>
      <w:r>
        <w:rPr>
          <w:b/>
          <w:sz w:val="24"/>
        </w:rPr>
        <w:t>Bunkerers</w:t>
      </w:r>
      <w:r>
        <w:rPr>
          <w:b/>
          <w:spacing w:val="-4"/>
          <w:sz w:val="24"/>
        </w:rPr>
        <w:t> </w:t>
      </w:r>
      <w:r>
        <w:rPr>
          <w:b/>
          <w:sz w:val="24"/>
        </w:rPr>
        <w:t>during</w:t>
      </w:r>
      <w:r>
        <w:rPr>
          <w:b/>
          <w:spacing w:val="-4"/>
          <w:sz w:val="24"/>
        </w:rPr>
        <w:t> </w:t>
      </w:r>
      <w:r>
        <w:rPr>
          <w:b/>
          <w:sz w:val="24"/>
        </w:rPr>
        <w:t>JTF</w:t>
      </w:r>
      <w:r>
        <w:rPr>
          <w:b/>
          <w:spacing w:val="-6"/>
          <w:sz w:val="24"/>
        </w:rPr>
        <w:t> </w:t>
      </w:r>
      <w:r>
        <w:rPr>
          <w:b/>
          <w:sz w:val="24"/>
        </w:rPr>
        <w:t>Raids Source: Researcher’s Fieldwork, 2010</w:t>
      </w:r>
    </w:p>
    <w:p>
      <w:pPr>
        <w:spacing w:after="0" w:line="360" w:lineRule="auto"/>
        <w:jc w:val="left"/>
        <w:rPr>
          <w:sz w:val="24"/>
        </w:rPr>
        <w:sectPr>
          <w:pgSz w:w="11910" w:h="16840"/>
          <w:pgMar w:header="0" w:footer="1561" w:top="1540" w:bottom="1760" w:left="720" w:right="180"/>
        </w:sectPr>
      </w:pPr>
    </w:p>
    <w:p>
      <w:pPr>
        <w:pStyle w:val="BodyText"/>
        <w:spacing w:line="360" w:lineRule="auto" w:before="60"/>
        <w:ind w:right="1259" w:firstLine="840"/>
        <w:jc w:val="both"/>
      </w:pPr>
      <w:r>
        <w:rPr/>
        <mc:AlternateContent>
          <mc:Choice Requires="wps">
            <w:drawing>
              <wp:anchor distT="0" distB="0" distL="0" distR="0" allowOverlap="1" layoutInCell="1" locked="0" behindDoc="1" simplePos="0" relativeHeight="480589824">
                <wp:simplePos x="0" y="0"/>
                <wp:positionH relativeFrom="page">
                  <wp:posOffset>-1537026</wp:posOffset>
                </wp:positionH>
                <wp:positionV relativeFrom="page">
                  <wp:posOffset>4900424</wp:posOffset>
                </wp:positionV>
                <wp:extent cx="10669905" cy="914400"/>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26656;rotation:306" type="#_x0000_t136" fillcolor="#ff5400" stroked="f">
                <o:extrusion v:ext="view" autorotationcenter="t"/>
                <v:textpath style="font-family:&quot;Arial MT&quot;;font-size:72pt;v-text-kern:t;mso-text-shadow:auto" string="UNIVERSITY OF IBADAN"/>
                <w10:wrap type="none"/>
              </v:shape>
            </w:pict>
          </mc:Fallback>
        </mc:AlternateContent>
      </w:r>
      <w:r>
        <w:rPr/>
        <w:t>Thus, conflicts in the Niger Delta region are embedded in the tripartite relationships between the government, oil and gas companies as well as the communities where these resources are explored. Deriving from the above, violent conflicts in the Niger Delta region are deeply rooted in underdevelopment and have continued unabated, with grave consequences for the communities, the transnational oil and gas companies and the Nigerian economy in particular.</w:t>
      </w:r>
    </w:p>
    <w:p>
      <w:pPr>
        <w:pStyle w:val="BodyText"/>
        <w:spacing w:line="360" w:lineRule="auto" w:before="1"/>
        <w:ind w:right="1256" w:firstLine="720"/>
        <w:jc w:val="both"/>
      </w:pPr>
      <w:r>
        <w:rPr/>
        <w:t>In the same vein, scholars have focused on the poor state of development in</w:t>
      </w:r>
      <w:r>
        <w:rPr>
          <w:spacing w:val="40"/>
        </w:rPr>
        <w:t> </w:t>
      </w:r>
      <w:r>
        <w:rPr/>
        <w:t>the Niger Delta region of Nigeria for some time now.</w:t>
      </w:r>
      <w:r>
        <w:rPr>
          <w:spacing w:val="40"/>
        </w:rPr>
        <w:t> </w:t>
      </w:r>
      <w:r>
        <w:rPr/>
        <w:t>The central issue of concern is the paradox where, despite</w:t>
      </w:r>
      <w:r>
        <w:rPr>
          <w:spacing w:val="-1"/>
        </w:rPr>
        <w:t> </w:t>
      </w:r>
      <w:r>
        <w:rPr/>
        <w:t>its evident and abundant resources, the region is extremely poor.</w:t>
      </w:r>
      <w:r>
        <w:rPr>
          <w:spacing w:val="40"/>
        </w:rPr>
        <w:t> </w:t>
      </w:r>
      <w:r>
        <w:rPr/>
        <w:t>The literature blames this on federalism and politics of revenue sharing in Nigeria (Ibaba, 2005: 193-300), environmental injustice and human rights violation (Aaron, 2006: 272), the failure of corporate social responsibility on the part of multinational oil companies (Ikelegbe, 2008: 107) and accountability and</w:t>
      </w:r>
      <w:r>
        <w:rPr>
          <w:spacing w:val="40"/>
        </w:rPr>
        <w:t> </w:t>
      </w:r>
      <w:r>
        <w:rPr/>
        <w:t>transparency failures in governance (Enweremadu, 2008: 448).</w:t>
      </w:r>
    </w:p>
    <w:p>
      <w:pPr>
        <w:pStyle w:val="BodyText"/>
        <w:tabs>
          <w:tab w:pos="4515" w:val="left" w:leader="none"/>
        </w:tabs>
        <w:spacing w:line="360" w:lineRule="auto" w:before="1"/>
        <w:ind w:right="1264" w:firstLine="720"/>
      </w:pPr>
      <w:r>
        <w:rPr/>
        <w:t>The</w:t>
      </w:r>
      <w:r>
        <w:rPr>
          <w:spacing w:val="80"/>
        </w:rPr>
        <w:t> </w:t>
      </w:r>
      <w:r>
        <w:rPr/>
        <w:t>issues</w:t>
      </w:r>
      <w:r>
        <w:rPr>
          <w:spacing w:val="80"/>
        </w:rPr>
        <w:t> </w:t>
      </w:r>
      <w:r>
        <w:rPr/>
        <w:t>involve</w:t>
      </w:r>
      <w:r>
        <w:rPr>
          <w:spacing w:val="80"/>
        </w:rPr>
        <w:t> </w:t>
      </w:r>
      <w:r>
        <w:rPr/>
        <w:t>development,</w:t>
      </w:r>
      <w:r>
        <w:rPr>
          <w:spacing w:val="80"/>
        </w:rPr>
        <w:t> </w:t>
      </w:r>
      <w:r>
        <w:rPr/>
        <w:t>militancy</w:t>
      </w:r>
      <w:r>
        <w:rPr>
          <w:spacing w:val="80"/>
        </w:rPr>
        <w:t> </w:t>
      </w:r>
      <w:r>
        <w:rPr/>
        <w:t>and</w:t>
      </w:r>
      <w:r>
        <w:rPr>
          <w:spacing w:val="80"/>
        </w:rPr>
        <w:t> </w:t>
      </w:r>
      <w:r>
        <w:rPr/>
        <w:t>security.</w:t>
      </w:r>
      <w:r>
        <w:rPr>
          <w:spacing w:val="80"/>
        </w:rPr>
        <w:t> </w:t>
      </w:r>
      <w:r>
        <w:rPr/>
        <w:t>Thus,</w:t>
      </w:r>
      <w:r>
        <w:rPr>
          <w:spacing w:val="80"/>
        </w:rPr>
        <w:t> </w:t>
      </w:r>
      <w:r>
        <w:rPr/>
        <w:t>violent conflicts</w:t>
      </w:r>
      <w:r>
        <w:rPr>
          <w:spacing w:val="75"/>
        </w:rPr>
        <w:t> </w:t>
      </w:r>
      <w:r>
        <w:rPr/>
        <w:t>perpetrated</w:t>
      </w:r>
      <w:r>
        <w:rPr>
          <w:spacing w:val="76"/>
        </w:rPr>
        <w:t> </w:t>
      </w:r>
      <w:r>
        <w:rPr/>
        <w:t>by</w:t>
      </w:r>
      <w:r>
        <w:rPr>
          <w:spacing w:val="72"/>
        </w:rPr>
        <w:t> </w:t>
      </w:r>
      <w:r>
        <w:rPr/>
        <w:t>militants</w:t>
      </w:r>
      <w:r>
        <w:rPr>
          <w:spacing w:val="75"/>
        </w:rPr>
        <w:t> </w:t>
      </w:r>
      <w:r>
        <w:rPr/>
        <w:t>in</w:t>
      </w:r>
      <w:r>
        <w:rPr>
          <w:spacing w:val="75"/>
        </w:rPr>
        <w:t> </w:t>
      </w:r>
      <w:r>
        <w:rPr/>
        <w:t>the</w:t>
      </w:r>
      <w:r>
        <w:rPr>
          <w:spacing w:val="74"/>
        </w:rPr>
        <w:t> </w:t>
      </w:r>
      <w:r>
        <w:rPr/>
        <w:t>region</w:t>
      </w:r>
      <w:r>
        <w:rPr>
          <w:spacing w:val="75"/>
        </w:rPr>
        <w:t> </w:t>
      </w:r>
      <w:r>
        <w:rPr/>
        <w:t>have</w:t>
      </w:r>
      <w:r>
        <w:rPr>
          <w:spacing w:val="76"/>
        </w:rPr>
        <w:t> </w:t>
      </w:r>
      <w:r>
        <w:rPr/>
        <w:t>constrained</w:t>
      </w:r>
      <w:r>
        <w:rPr>
          <w:spacing w:val="76"/>
        </w:rPr>
        <w:t> </w:t>
      </w:r>
      <w:r>
        <w:rPr/>
        <w:t>developmental efforts.</w:t>
      </w:r>
      <w:r>
        <w:rPr>
          <w:spacing w:val="40"/>
        </w:rPr>
        <w:t> </w:t>
      </w:r>
      <w:r>
        <w:rPr/>
        <w:t>After all, development cannot take place in societies where militancy and conflict are</w:t>
      </w:r>
      <w:r>
        <w:rPr>
          <w:spacing w:val="-1"/>
        </w:rPr>
        <w:t> </w:t>
      </w:r>
      <w:r>
        <w:rPr/>
        <w:t>the</w:t>
      </w:r>
      <w:r>
        <w:rPr>
          <w:spacing w:val="-1"/>
        </w:rPr>
        <w:t> </w:t>
      </w:r>
      <w:r>
        <w:rPr/>
        <w:t>order</w:t>
      </w:r>
      <w:r>
        <w:rPr>
          <w:spacing w:val="-1"/>
        </w:rPr>
        <w:t> </w:t>
      </w:r>
      <w:r>
        <w:rPr/>
        <w:t>of</w:t>
      </w:r>
      <w:r>
        <w:rPr>
          <w:spacing w:val="-1"/>
        </w:rPr>
        <w:t> </w:t>
      </w:r>
      <w:r>
        <w:rPr/>
        <w:t>the</w:t>
      </w:r>
      <w:r>
        <w:rPr>
          <w:spacing w:val="-1"/>
        </w:rPr>
        <w:t> </w:t>
      </w:r>
      <w:r>
        <w:rPr/>
        <w:t>day.</w:t>
      </w:r>
      <w:r>
        <w:rPr>
          <w:spacing w:val="40"/>
        </w:rPr>
        <w:t> </w:t>
      </w:r>
      <w:r>
        <w:rPr/>
        <w:t>The</w:t>
      </w:r>
      <w:r>
        <w:rPr>
          <w:spacing w:val="-1"/>
        </w:rPr>
        <w:t> </w:t>
      </w:r>
      <w:r>
        <w:rPr/>
        <w:t>lack of</w:t>
      </w:r>
      <w:r>
        <w:rPr>
          <w:spacing w:val="-1"/>
        </w:rPr>
        <w:t> </w:t>
      </w:r>
      <w:r>
        <w:rPr/>
        <w:t>development however, contributes</w:t>
      </w:r>
      <w:r>
        <w:rPr>
          <w:spacing w:val="-1"/>
        </w:rPr>
        <w:t> </w:t>
      </w:r>
      <w:r>
        <w:rPr/>
        <w:t>to the tensions and violence that resulted in conflict.</w:t>
      </w:r>
      <w:r>
        <w:rPr>
          <w:spacing w:val="40"/>
        </w:rPr>
        <w:t> </w:t>
      </w:r>
      <w:r>
        <w:rPr/>
        <w:t>This vicious cycle must be broken for realisable and sustainable development.</w:t>
      </w:r>
      <w:r>
        <w:rPr>
          <w:spacing w:val="40"/>
        </w:rPr>
        <w:t> </w:t>
      </w:r>
      <w:r>
        <w:rPr/>
        <w:t>Similarly, government cannot allow reprisal attacks by</w:t>
      </w:r>
      <w:r>
        <w:rPr>
          <w:spacing w:val="-3"/>
        </w:rPr>
        <w:t> </w:t>
      </w:r>
      <w:r>
        <w:rPr/>
        <w:t>militant ethnic groups in any</w:t>
      </w:r>
      <w:r>
        <w:rPr>
          <w:spacing w:val="-3"/>
        </w:rPr>
        <w:t> </w:t>
      </w:r>
      <w:r>
        <w:rPr/>
        <w:t>part of the country, especially</w:t>
      </w:r>
      <w:r>
        <w:rPr>
          <w:spacing w:val="-3"/>
        </w:rPr>
        <w:t> </w:t>
      </w:r>
      <w:r>
        <w:rPr/>
        <w:t>the Niger Delta region</w:t>
      </w:r>
      <w:r>
        <w:rPr>
          <w:spacing w:val="40"/>
        </w:rPr>
        <w:t> </w:t>
      </w:r>
      <w:r>
        <w:rPr/>
        <w:t>to</w:t>
      </w:r>
      <w:r>
        <w:rPr>
          <w:spacing w:val="40"/>
        </w:rPr>
        <w:t> </w:t>
      </w:r>
      <w:r>
        <w:rPr/>
        <w:t>continue</w:t>
      </w:r>
      <w:r>
        <w:rPr>
          <w:spacing w:val="40"/>
        </w:rPr>
        <w:t> </w:t>
      </w:r>
      <w:r>
        <w:rPr/>
        <w:t>unabated.</w:t>
        <w:tab/>
        <w:t>Hence,</w:t>
      </w:r>
      <w:r>
        <w:rPr>
          <w:spacing w:val="40"/>
        </w:rPr>
        <w:t> </w:t>
      </w:r>
      <w:r>
        <w:rPr/>
        <w:t>the</w:t>
      </w:r>
      <w:r>
        <w:rPr>
          <w:spacing w:val="39"/>
        </w:rPr>
        <w:t> </w:t>
      </w:r>
      <w:r>
        <w:rPr/>
        <w:t>establishment</w:t>
      </w:r>
      <w:r>
        <w:rPr>
          <w:spacing w:val="40"/>
        </w:rPr>
        <w:t> </w:t>
      </w:r>
      <w:r>
        <w:rPr/>
        <w:t>of</w:t>
      </w:r>
      <w:r>
        <w:rPr>
          <w:spacing w:val="39"/>
        </w:rPr>
        <w:t> </w:t>
      </w:r>
      <w:r>
        <w:rPr/>
        <w:t>the</w:t>
      </w:r>
      <w:r>
        <w:rPr>
          <w:spacing w:val="37"/>
        </w:rPr>
        <w:t> </w:t>
      </w:r>
      <w:r>
        <w:rPr/>
        <w:t>Joint</w:t>
      </w:r>
      <w:r>
        <w:rPr>
          <w:spacing w:val="38"/>
        </w:rPr>
        <w:t> </w:t>
      </w:r>
      <w:r>
        <w:rPr/>
        <w:t>Military</w:t>
      </w:r>
      <w:r>
        <w:rPr>
          <w:spacing w:val="35"/>
        </w:rPr>
        <w:t> </w:t>
      </w:r>
      <w:r>
        <w:rPr/>
        <w:t>Task </w:t>
      </w:r>
      <w:r>
        <w:rPr>
          <w:spacing w:val="-2"/>
        </w:rPr>
        <w:t>Force.</w:t>
      </w:r>
    </w:p>
    <w:p>
      <w:pPr>
        <w:pStyle w:val="Heading2"/>
        <w:numPr>
          <w:ilvl w:val="2"/>
          <w:numId w:val="6"/>
        </w:numPr>
        <w:tabs>
          <w:tab w:pos="2160" w:val="left" w:leader="none"/>
        </w:tabs>
        <w:spacing w:line="240" w:lineRule="auto" w:before="4" w:after="0"/>
        <w:ind w:left="2160" w:right="0" w:hanging="720"/>
        <w:jc w:val="left"/>
      </w:pPr>
      <w:bookmarkStart w:name="_TOC_250027" w:id="15"/>
      <w:r>
        <w:rPr/>
        <w:t>Implications</w:t>
      </w:r>
      <w:r>
        <w:rPr>
          <w:spacing w:val="-3"/>
        </w:rPr>
        <w:t> </w:t>
      </w:r>
      <w:r>
        <w:rPr/>
        <w:t>of</w:t>
      </w:r>
      <w:r>
        <w:rPr>
          <w:spacing w:val="-1"/>
        </w:rPr>
        <w:t> </w:t>
      </w:r>
      <w:r>
        <w:rPr/>
        <w:t>the</w:t>
      </w:r>
      <w:r>
        <w:rPr>
          <w:spacing w:val="-1"/>
        </w:rPr>
        <w:t> </w:t>
      </w:r>
      <w:r>
        <w:rPr/>
        <w:t>Niger</w:t>
      </w:r>
      <w:r>
        <w:rPr>
          <w:spacing w:val="-1"/>
        </w:rPr>
        <w:t> </w:t>
      </w:r>
      <w:r>
        <w:rPr/>
        <w:t>Delta</w:t>
      </w:r>
      <w:r>
        <w:rPr>
          <w:spacing w:val="-2"/>
        </w:rPr>
        <w:t> </w:t>
      </w:r>
      <w:r>
        <w:rPr/>
        <w:t>Conflict</w:t>
      </w:r>
      <w:r>
        <w:rPr>
          <w:spacing w:val="-1"/>
        </w:rPr>
        <w:t> </w:t>
      </w:r>
      <w:r>
        <w:rPr/>
        <w:t>for</w:t>
      </w:r>
      <w:r>
        <w:rPr>
          <w:spacing w:val="-1"/>
        </w:rPr>
        <w:t> </w:t>
      </w:r>
      <w:r>
        <w:rPr/>
        <w:t>National</w:t>
      </w:r>
      <w:r>
        <w:rPr>
          <w:spacing w:val="-1"/>
        </w:rPr>
        <w:t> </w:t>
      </w:r>
      <w:bookmarkEnd w:id="15"/>
      <w:r>
        <w:rPr>
          <w:spacing w:val="-2"/>
        </w:rPr>
        <w:t>Security</w:t>
      </w:r>
    </w:p>
    <w:p>
      <w:pPr>
        <w:pStyle w:val="BodyText"/>
        <w:spacing w:line="360" w:lineRule="auto" w:before="135"/>
        <w:ind w:right="1254" w:firstLine="720"/>
        <w:jc w:val="both"/>
      </w:pPr>
      <w:r>
        <w:rPr/>
        <w:t>The Niger Delta conflict has serious implications on the socio-economic, political and security fortunes (situation) of the nation.</w:t>
      </w:r>
      <w:r>
        <w:rPr>
          <w:spacing w:val="40"/>
        </w:rPr>
        <w:t> </w:t>
      </w:r>
      <w:r>
        <w:rPr/>
        <w:t>This is because the conflict borders on territorial integrity, well-being of the Niger Delta communities, security, development and peace among others.</w:t>
      </w:r>
      <w:r>
        <w:rPr>
          <w:spacing w:val="40"/>
        </w:rPr>
        <w:t> </w:t>
      </w:r>
      <w:r>
        <w:rPr/>
        <w:t>Any attempt to truncate any of these vital national interest and core values is usually resisted by government and might lead to application of force.</w:t>
      </w:r>
      <w:r>
        <w:rPr>
          <w:spacing w:val="40"/>
        </w:rPr>
        <w:t> </w:t>
      </w:r>
      <w:r>
        <w:rPr/>
        <w:t>However, the consequences of the Niger Delta conflict are identified to include, economic, environmental, social, political and security issues.</w:t>
      </w:r>
    </w:p>
    <w:p>
      <w:pPr>
        <w:pStyle w:val="BodyText"/>
        <w:spacing w:line="360" w:lineRule="auto"/>
        <w:ind w:right="1257" w:firstLine="720"/>
        <w:jc w:val="both"/>
      </w:pPr>
      <w:r>
        <w:rPr/>
        <w:t>A cursory look at the economic consequences of this conflict shows that economic</w:t>
      </w:r>
      <w:r>
        <w:rPr>
          <w:spacing w:val="12"/>
        </w:rPr>
        <w:t> </w:t>
      </w:r>
      <w:r>
        <w:rPr/>
        <w:t>sabotage</w:t>
      </w:r>
      <w:r>
        <w:rPr>
          <w:spacing w:val="13"/>
        </w:rPr>
        <w:t> </w:t>
      </w:r>
      <w:r>
        <w:rPr/>
        <w:t>is</w:t>
      </w:r>
      <w:r>
        <w:rPr>
          <w:spacing w:val="14"/>
        </w:rPr>
        <w:t> </w:t>
      </w:r>
      <w:r>
        <w:rPr/>
        <w:t>a</w:t>
      </w:r>
      <w:r>
        <w:rPr>
          <w:spacing w:val="13"/>
        </w:rPr>
        <w:t> </w:t>
      </w:r>
      <w:r>
        <w:rPr/>
        <w:t>causal</w:t>
      </w:r>
      <w:r>
        <w:rPr>
          <w:spacing w:val="12"/>
        </w:rPr>
        <w:t> </w:t>
      </w:r>
      <w:r>
        <w:rPr/>
        <w:t>factor</w:t>
      </w:r>
      <w:r>
        <w:rPr>
          <w:spacing w:val="13"/>
        </w:rPr>
        <w:t> </w:t>
      </w:r>
      <w:r>
        <w:rPr/>
        <w:t>to</w:t>
      </w:r>
      <w:r>
        <w:rPr>
          <w:spacing w:val="14"/>
        </w:rPr>
        <w:t> </w:t>
      </w:r>
      <w:r>
        <w:rPr/>
        <w:t>so</w:t>
      </w:r>
      <w:r>
        <w:rPr>
          <w:spacing w:val="14"/>
        </w:rPr>
        <w:t> </w:t>
      </w:r>
      <w:r>
        <w:rPr/>
        <w:t>many</w:t>
      </w:r>
      <w:r>
        <w:rPr>
          <w:spacing w:val="8"/>
        </w:rPr>
        <w:t> </w:t>
      </w:r>
      <w:r>
        <w:rPr/>
        <w:t>incidents.</w:t>
      </w:r>
      <w:r>
        <w:rPr>
          <w:spacing w:val="14"/>
        </w:rPr>
        <w:t> </w:t>
      </w:r>
      <w:r>
        <w:rPr/>
        <w:t>Economic</w:t>
      </w:r>
      <w:r>
        <w:rPr>
          <w:spacing w:val="13"/>
        </w:rPr>
        <w:t> </w:t>
      </w:r>
      <w:r>
        <w:rPr/>
        <w:t>sabotage</w:t>
      </w:r>
      <w:r>
        <w:rPr>
          <w:spacing w:val="12"/>
        </w:rPr>
        <w:t> </w:t>
      </w:r>
      <w:r>
        <w:rPr/>
        <w:t>in</w:t>
      </w:r>
      <w:r>
        <w:rPr>
          <w:spacing w:val="14"/>
        </w:rPr>
        <w:t> </w:t>
      </w:r>
      <w:r>
        <w:rPr>
          <w:spacing w:val="-5"/>
        </w:rPr>
        <w:t>the</w:t>
      </w:r>
    </w:p>
    <w:p>
      <w:pPr>
        <w:spacing w:after="0" w:line="360" w:lineRule="auto"/>
        <w:jc w:val="both"/>
        <w:sectPr>
          <w:pgSz w:w="11910" w:h="16840"/>
          <w:pgMar w:header="0" w:footer="1561" w:top="1360" w:bottom="1760" w:left="720" w:right="180"/>
        </w:sectPr>
      </w:pPr>
    </w:p>
    <w:p>
      <w:pPr>
        <w:pStyle w:val="BodyText"/>
        <w:spacing w:line="360" w:lineRule="auto" w:before="60"/>
        <w:ind w:right="1260"/>
        <w:jc w:val="both"/>
      </w:pPr>
      <w:r>
        <w:rPr/>
        <mc:AlternateContent>
          <mc:Choice Requires="wps">
            <w:drawing>
              <wp:anchor distT="0" distB="0" distL="0" distR="0" allowOverlap="1" layoutInCell="1" locked="0" behindDoc="1" simplePos="0" relativeHeight="480591872">
                <wp:simplePos x="0" y="0"/>
                <wp:positionH relativeFrom="page">
                  <wp:posOffset>3775025</wp:posOffset>
                </wp:positionH>
                <wp:positionV relativeFrom="page">
                  <wp:posOffset>4057505</wp:posOffset>
                </wp:positionV>
                <wp:extent cx="1270635" cy="914400"/>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rot="18360000">
                          <a:off x="0" y="0"/>
                          <a:ext cx="1270635"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5"/>
                                <w:sz w:val="144"/>
                              </w:rPr>
                              <w:t>OF</w:t>
                            </w:r>
                          </w:p>
                        </w:txbxContent>
                      </wps:txbx>
                      <wps:bodyPr wrap="square" lIns="0" tIns="0" rIns="0" bIns="0" rtlCol="0">
                        <a:noAutofit/>
                      </wps:bodyPr>
                    </wps:wsp>
                  </a:graphicData>
                </a:graphic>
              </wp:anchor>
            </w:drawing>
          </mc:Choice>
          <mc:Fallback>
            <w:pict>
              <v:shape style="position:absolute;margin-left:297.246118pt;margin-top:319.488654pt;width:100.05pt;height:72pt;mso-position-horizontal-relative:page;mso-position-vertical-relative:page;z-index:-22724608;rotation:306" type="#_x0000_t136" fillcolor="#ff5400" stroked="f">
                <o:extrusion v:ext="view" autorotationcenter="t"/>
                <v:textpath style="font-family:&quot;Arial MT&quot;;font-size:72pt;v-text-kern:t;mso-text-shadow:auto" string="OF"/>
                <w10:wrap type="none"/>
              </v:shape>
            </w:pict>
          </mc:Fallback>
        </mc:AlternateContent>
      </w:r>
      <w:r>
        <w:rPr/>
        <mc:AlternateContent>
          <mc:Choice Requires="wps">
            <w:drawing>
              <wp:anchor distT="0" distB="0" distL="0" distR="0" allowOverlap="1" layoutInCell="1" locked="0" behindDoc="1" simplePos="0" relativeHeight="480592384">
                <wp:simplePos x="0" y="0"/>
                <wp:positionH relativeFrom="page">
                  <wp:posOffset>-468867</wp:posOffset>
                </wp:positionH>
                <wp:positionV relativeFrom="page">
                  <wp:posOffset>6996504</wp:posOffset>
                </wp:positionV>
                <wp:extent cx="5487670" cy="914400"/>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rot="18360000">
                          <a:off x="0" y="0"/>
                          <a:ext cx="5487670"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UNIVERSITY</w:t>
                            </w:r>
                          </w:p>
                        </w:txbxContent>
                      </wps:txbx>
                      <wps:bodyPr wrap="square" lIns="0" tIns="0" rIns="0" bIns="0" rtlCol="0">
                        <a:noAutofit/>
                      </wps:bodyPr>
                    </wps:wsp>
                  </a:graphicData>
                </a:graphic>
              </wp:anchor>
            </w:drawing>
          </mc:Choice>
          <mc:Fallback>
            <w:pict>
              <v:shape style="position:absolute;margin-left:-36.918713pt;margin-top:550.905835pt;width:432.1pt;height:72pt;mso-position-horizontal-relative:page;mso-position-vertical-relative:page;z-index:-22724096;rotation:306" type="#_x0000_t136" fillcolor="#ff5400" stroked="f">
                <o:extrusion v:ext="view" autorotationcenter="t"/>
                <v:textpath style="font-family:&quot;Arial MT&quot;;font-size:72pt;v-text-kern:t;mso-text-shadow:auto" string="UNIVERSITY"/>
                <w10:wrap type="none"/>
              </v:shape>
            </w:pict>
          </mc:Fallback>
        </mc:AlternateContent>
      </w:r>
      <w:r>
        <w:rPr/>
        <mc:AlternateContent>
          <mc:Choice Requires="wps">
            <w:drawing>
              <wp:anchor distT="0" distB="0" distL="0" distR="0" allowOverlap="1" layoutInCell="1" locked="0" behindDoc="1" simplePos="0" relativeHeight="480592896">
                <wp:simplePos x="0" y="0"/>
                <wp:positionH relativeFrom="page">
                  <wp:posOffset>4231499</wp:posOffset>
                </wp:positionH>
                <wp:positionV relativeFrom="page">
                  <wp:posOffset>1961090</wp:posOffset>
                </wp:positionV>
                <wp:extent cx="3403600" cy="914400"/>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rot="18360000">
                          <a:off x="0" y="0"/>
                          <a:ext cx="3403600"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333.188934pt;margin-top:154.416569pt;width:268pt;height:72pt;mso-position-horizontal-relative:page;mso-position-vertical-relative:page;z-index:-22723584;rotation:306" type="#_x0000_t136" fillcolor="#ff5400" stroked="f">
                <o:extrusion v:ext="view" autorotationcenter="t"/>
                <v:textpath style="font-family:&quot;Arial MT&quot;;font-size:72pt;v-text-kern:t;mso-text-shadow:auto" string="IBADAN"/>
                <w10:wrap type="none"/>
              </v:shape>
            </w:pict>
          </mc:Fallback>
        </mc:AlternateContent>
      </w:r>
      <w:r>
        <w:rPr/>
        <w:t>Niger Delta is mainly manifested in pipeline vandalism, oil theft or illegal bunkering, work stoppages, piracy, hijacking, outright bombing and destruction of oil platforms. All these problems are being exacerbated by militancy.</w:t>
      </w:r>
    </w:p>
    <w:p>
      <w:pPr>
        <w:pStyle w:val="BodyText"/>
        <w:spacing w:before="1"/>
        <w:ind w:left="0"/>
        <w:rPr>
          <w:sz w:val="10"/>
        </w:rPr>
      </w:pPr>
      <w:r>
        <w:rPr/>
        <mc:AlternateContent>
          <mc:Choice Requires="wps">
            <w:drawing>
              <wp:anchor distT="0" distB="0" distL="0" distR="0" allowOverlap="1" layoutInCell="1" locked="0" behindDoc="1" simplePos="0" relativeHeight="487620096">
                <wp:simplePos x="0" y="0"/>
                <wp:positionH relativeFrom="page">
                  <wp:posOffset>1328483</wp:posOffset>
                </wp:positionH>
                <wp:positionV relativeFrom="paragraph">
                  <wp:posOffset>89792</wp:posOffset>
                </wp:positionV>
                <wp:extent cx="5293360" cy="3027045"/>
                <wp:effectExtent l="0" t="0" r="0" b="0"/>
                <wp:wrapTopAndBottom/>
                <wp:docPr id="116" name="Group 116"/>
                <wp:cNvGraphicFramePr>
                  <a:graphicFrameLocks/>
                </wp:cNvGraphicFramePr>
                <a:graphic>
                  <a:graphicData uri="http://schemas.microsoft.com/office/word/2010/wordprocessingGroup">
                    <wpg:wgp>
                      <wpg:cNvPr id="116" name="Group 116"/>
                      <wpg:cNvGrpSpPr/>
                      <wpg:grpSpPr>
                        <a:xfrm>
                          <a:off x="0" y="0"/>
                          <a:ext cx="5293360" cy="3027045"/>
                          <a:chExt cx="5293360" cy="3027045"/>
                        </a:xfrm>
                      </wpg:grpSpPr>
                      <pic:pic>
                        <pic:nvPicPr>
                          <pic:cNvPr id="117" name="Image 117"/>
                          <pic:cNvPicPr/>
                        </pic:nvPicPr>
                        <pic:blipFill>
                          <a:blip r:embed="rId42" cstate="print"/>
                          <a:stretch>
                            <a:fillRect/>
                          </a:stretch>
                        </pic:blipFill>
                        <pic:spPr>
                          <a:xfrm>
                            <a:off x="28511" y="28511"/>
                            <a:ext cx="5236210" cy="2969895"/>
                          </a:xfrm>
                          <a:prstGeom prst="rect">
                            <a:avLst/>
                          </a:prstGeom>
                        </pic:spPr>
                      </pic:pic>
                      <wps:wsp>
                        <wps:cNvPr id="118" name="Textbox 118"/>
                        <wps:cNvSpPr txBox="1"/>
                        <wps:spPr>
                          <a:xfrm>
                            <a:off x="14287" y="14287"/>
                            <a:ext cx="5264785" cy="2998470"/>
                          </a:xfrm>
                          <a:prstGeom prst="rect">
                            <a:avLst/>
                          </a:prstGeom>
                          <a:ln w="28575">
                            <a:solidFill>
                              <a:srgbClr val="000000"/>
                            </a:solidFill>
                            <a:prstDash val="solid"/>
                          </a:ln>
                        </wps:spPr>
                        <wps:txbx>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234"/>
                                <w:rPr>
                                  <w:sz w:val="24"/>
                                </w:rPr>
                              </w:pPr>
                            </w:p>
                            <w:p>
                              <w:pPr>
                                <w:spacing w:before="0"/>
                                <w:ind w:left="23" w:right="0" w:firstLine="0"/>
                                <w:jc w:val="left"/>
                                <w:rPr>
                                  <w:b/>
                                  <w:sz w:val="24"/>
                                </w:rPr>
                              </w:pPr>
                              <w:r>
                                <w:rPr>
                                  <w:b/>
                                  <w:sz w:val="24"/>
                                </w:rPr>
                                <w:t>:</w:t>
                              </w:r>
                              <w:r>
                                <w:rPr>
                                  <w:b/>
                                  <w:spacing w:val="58"/>
                                  <w:sz w:val="24"/>
                                </w:rPr>
                                <w:t> </w:t>
                              </w:r>
                              <w:r>
                                <w:rPr>
                                  <w:b/>
                                  <w:sz w:val="24"/>
                                </w:rPr>
                                <w:t>Attack</w:t>
                              </w:r>
                              <w:r>
                                <w:rPr>
                                  <w:b/>
                                  <w:spacing w:val="-1"/>
                                  <w:sz w:val="24"/>
                                </w:rPr>
                                <w:t> </w:t>
                              </w:r>
                              <w:r>
                                <w:rPr>
                                  <w:b/>
                                  <w:spacing w:val="-5"/>
                                  <w:sz w:val="24"/>
                                </w:rPr>
                                <w:t>on</w:t>
                              </w:r>
                            </w:p>
                          </w:txbxContent>
                        </wps:txbx>
                        <wps:bodyPr wrap="square" lIns="0" tIns="0" rIns="0" bIns="0" rtlCol="0">
                          <a:noAutofit/>
                        </wps:bodyPr>
                      </wps:wsp>
                    </wpg:wgp>
                  </a:graphicData>
                </a:graphic>
              </wp:anchor>
            </w:drawing>
          </mc:Choice>
          <mc:Fallback>
            <w:pict>
              <v:group style="position:absolute;margin-left:104.605003pt;margin-top:7.070273pt;width:416.8pt;height:238.35pt;mso-position-horizontal-relative:page;mso-position-vertical-relative:paragraph;z-index:-15696384;mso-wrap-distance-left:0;mso-wrap-distance-right:0" id="docshapegroup61" coordorigin="2092,141" coordsize="8336,4767">
                <v:shape style="position:absolute;left:2137;top:186;width:8246;height:4677" type="#_x0000_t75" id="docshape62" stroked="false">
                  <v:imagedata r:id="rId42" o:title=""/>
                </v:shape>
                <v:shape style="position:absolute;left:2114;top:163;width:8291;height:4722" type="#_x0000_t202" id="docshape63" filled="false" stroked="true" strokeweight="2.25pt" strokecolor="#000000">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234"/>
                          <w:rPr>
                            <w:sz w:val="24"/>
                          </w:rPr>
                        </w:pPr>
                      </w:p>
                      <w:p>
                        <w:pPr>
                          <w:spacing w:before="0"/>
                          <w:ind w:left="23" w:right="0" w:firstLine="0"/>
                          <w:jc w:val="left"/>
                          <w:rPr>
                            <w:b/>
                            <w:sz w:val="24"/>
                          </w:rPr>
                        </w:pPr>
                        <w:r>
                          <w:rPr>
                            <w:b/>
                            <w:sz w:val="24"/>
                          </w:rPr>
                          <w:t>:</w:t>
                        </w:r>
                        <w:r>
                          <w:rPr>
                            <w:b/>
                            <w:spacing w:val="58"/>
                            <w:sz w:val="24"/>
                          </w:rPr>
                          <w:t> </w:t>
                        </w:r>
                        <w:r>
                          <w:rPr>
                            <w:b/>
                            <w:sz w:val="24"/>
                          </w:rPr>
                          <w:t>Attack</w:t>
                        </w:r>
                        <w:r>
                          <w:rPr>
                            <w:b/>
                            <w:spacing w:val="-1"/>
                            <w:sz w:val="24"/>
                          </w:rPr>
                          <w:t> </w:t>
                        </w:r>
                        <w:r>
                          <w:rPr>
                            <w:b/>
                            <w:spacing w:val="-5"/>
                            <w:sz w:val="24"/>
                          </w:rPr>
                          <w:t>on</w:t>
                        </w:r>
                      </w:p>
                    </w:txbxContent>
                  </v:textbox>
                  <v:stroke dashstyle="solid"/>
                  <w10:wrap type="none"/>
                </v:shape>
                <w10:wrap type="topAndBottom"/>
              </v:group>
            </w:pict>
          </mc:Fallback>
        </mc:AlternateContent>
      </w:r>
    </w:p>
    <w:p>
      <w:pPr>
        <w:pStyle w:val="Heading2"/>
        <w:spacing w:line="360" w:lineRule="auto" w:before="65" w:after="9"/>
        <w:ind w:right="2080"/>
      </w:pPr>
      <w:r>
        <w:rPr/>
        <w:t>Plate</w:t>
      </w:r>
      <w:r>
        <w:rPr>
          <w:spacing w:val="-5"/>
        </w:rPr>
        <w:t> </w:t>
      </w:r>
      <w:r>
        <w:rPr/>
        <w:t>20:</w:t>
      </w:r>
      <w:r>
        <w:rPr>
          <w:spacing w:val="-5"/>
        </w:rPr>
        <w:t> </w:t>
      </w:r>
      <w:r>
        <w:rPr/>
        <w:t>Chanomi</w:t>
      </w:r>
      <w:r>
        <w:rPr>
          <w:spacing w:val="-4"/>
        </w:rPr>
        <w:t> </w:t>
      </w:r>
      <w:r>
        <w:rPr/>
        <w:t>Creek</w:t>
      </w:r>
      <w:r>
        <w:rPr>
          <w:spacing w:val="-4"/>
        </w:rPr>
        <w:t> </w:t>
      </w:r>
      <w:r>
        <w:rPr/>
        <w:t>Pipeline</w:t>
      </w:r>
      <w:r>
        <w:rPr>
          <w:spacing w:val="-3"/>
        </w:rPr>
        <w:t> </w:t>
      </w:r>
      <w:r>
        <w:rPr/>
        <w:t>–Warri</w:t>
      </w:r>
      <w:r>
        <w:rPr>
          <w:spacing w:val="-4"/>
        </w:rPr>
        <w:t> </w:t>
      </w:r>
      <w:r>
        <w:rPr/>
        <w:t>and</w:t>
      </w:r>
      <w:r>
        <w:rPr>
          <w:spacing w:val="-4"/>
        </w:rPr>
        <w:t> </w:t>
      </w:r>
      <w:r>
        <w:rPr/>
        <w:t>Kaduna</w:t>
      </w:r>
      <w:r>
        <w:rPr>
          <w:spacing w:val="-4"/>
        </w:rPr>
        <w:t> </w:t>
      </w:r>
      <w:r>
        <w:rPr/>
        <w:t>Refineries</w:t>
      </w:r>
      <w:r>
        <w:rPr>
          <w:spacing w:val="-4"/>
        </w:rPr>
        <w:t> </w:t>
      </w:r>
      <w:r>
        <w:rPr/>
        <w:t>2003 Source: </w:t>
      </w:r>
      <w:hyperlink r:id="rId27">
        <w:r>
          <w:rPr>
            <w:u w:val="single"/>
          </w:rPr>
          <w:t>www.google.com</w:t>
        </w:r>
        <w:r>
          <w:rPr/>
          <w:t>.</w:t>
        </w:r>
      </w:hyperlink>
      <w:r>
        <w:rPr/>
        <w:t> Accessed 15/9/10</w:t>
      </w:r>
    </w:p>
    <w:p>
      <w:pPr>
        <w:tabs>
          <w:tab w:pos="5966" w:val="left" w:leader="none"/>
        </w:tabs>
        <w:spacing w:line="240" w:lineRule="auto"/>
        <w:ind w:left="779" w:right="0" w:firstLine="0"/>
        <w:rPr>
          <w:sz w:val="20"/>
        </w:rPr>
      </w:pPr>
      <w:r>
        <w:rPr>
          <w:position w:val="5"/>
          <w:sz w:val="20"/>
        </w:rPr>
        <mc:AlternateContent>
          <mc:Choice Requires="wps">
            <w:drawing>
              <wp:inline distT="0" distB="0" distL="0" distR="0">
                <wp:extent cx="2974340" cy="2385695"/>
                <wp:effectExtent l="0" t="0" r="0" b="5080"/>
                <wp:docPr id="119" name="Group 119"/>
                <wp:cNvGraphicFramePr>
                  <a:graphicFrameLocks/>
                </wp:cNvGraphicFramePr>
                <a:graphic>
                  <a:graphicData uri="http://schemas.microsoft.com/office/word/2010/wordprocessingGroup">
                    <wpg:wgp>
                      <wpg:cNvPr id="119" name="Group 119"/>
                      <wpg:cNvGrpSpPr/>
                      <wpg:grpSpPr>
                        <a:xfrm>
                          <a:off x="0" y="0"/>
                          <a:ext cx="2974340" cy="2385695"/>
                          <a:chExt cx="2974340" cy="2385695"/>
                        </a:xfrm>
                      </wpg:grpSpPr>
                      <pic:pic>
                        <pic:nvPicPr>
                          <pic:cNvPr id="120" name="Image 120"/>
                          <pic:cNvPicPr/>
                        </pic:nvPicPr>
                        <pic:blipFill>
                          <a:blip r:embed="rId43" cstate="print"/>
                          <a:stretch>
                            <a:fillRect/>
                          </a:stretch>
                        </pic:blipFill>
                        <pic:spPr>
                          <a:xfrm>
                            <a:off x="28575" y="28638"/>
                            <a:ext cx="2917189" cy="2328545"/>
                          </a:xfrm>
                          <a:prstGeom prst="rect">
                            <a:avLst/>
                          </a:prstGeom>
                        </pic:spPr>
                      </pic:pic>
                      <wps:wsp>
                        <wps:cNvPr id="121" name="Textbox 121"/>
                        <wps:cNvSpPr txBox="1"/>
                        <wps:spPr>
                          <a:xfrm>
                            <a:off x="14287" y="14287"/>
                            <a:ext cx="2945765" cy="2357120"/>
                          </a:xfrm>
                          <a:prstGeom prst="rect">
                            <a:avLst/>
                          </a:prstGeom>
                          <a:ln w="28575">
                            <a:solidFill>
                              <a:srgbClr val="000000"/>
                            </a:solidFill>
                            <a:prstDash val="solid"/>
                          </a:ln>
                        </wps:spPr>
                        <wps:txbx>
                          <w:txbxContent>
                            <w:p>
                              <w:pPr>
                                <w:spacing w:line="240" w:lineRule="auto" w:before="0"/>
                                <w:rPr>
                                  <w:b/>
                                  <w:sz w:val="28"/>
                                </w:rPr>
                              </w:pPr>
                            </w:p>
                            <w:p>
                              <w:pPr>
                                <w:spacing w:line="240" w:lineRule="auto" w:before="0"/>
                                <w:rPr>
                                  <w:b/>
                                  <w:sz w:val="28"/>
                                </w:rPr>
                              </w:pPr>
                            </w:p>
                            <w:p>
                              <w:pPr>
                                <w:spacing w:line="240" w:lineRule="auto" w:before="262"/>
                                <w:rPr>
                                  <w:b/>
                                  <w:sz w:val="28"/>
                                </w:rPr>
                              </w:pPr>
                            </w:p>
                            <w:p>
                              <w:pPr>
                                <w:spacing w:before="0"/>
                                <w:ind w:left="615" w:right="0" w:firstLine="0"/>
                                <w:jc w:val="left"/>
                                <w:rPr>
                                  <w:b/>
                                  <w:sz w:val="28"/>
                                </w:rPr>
                              </w:pPr>
                              <w:r>
                                <w:rPr>
                                  <w:b/>
                                  <w:sz w:val="28"/>
                                </w:rPr>
                                <w:t>JESSE</w:t>
                              </w:r>
                              <w:r>
                                <w:rPr>
                                  <w:b/>
                                  <w:spacing w:val="-3"/>
                                  <w:sz w:val="28"/>
                                </w:rPr>
                                <w:t> </w:t>
                              </w:r>
                              <w:r>
                                <w:rPr>
                                  <w:b/>
                                  <w:sz w:val="28"/>
                                </w:rPr>
                                <w:t>FIRE</w:t>
                              </w:r>
                              <w:r>
                                <w:rPr>
                                  <w:b/>
                                  <w:spacing w:val="-2"/>
                                  <w:sz w:val="28"/>
                                </w:rPr>
                                <w:t> DISASTER</w:t>
                              </w:r>
                            </w:p>
                          </w:txbxContent>
                        </wps:txbx>
                        <wps:bodyPr wrap="square" lIns="0" tIns="0" rIns="0" bIns="0" rtlCol="0">
                          <a:noAutofit/>
                        </wps:bodyPr>
                      </wps:wsp>
                    </wpg:wgp>
                  </a:graphicData>
                </a:graphic>
              </wp:inline>
            </w:drawing>
          </mc:Choice>
          <mc:Fallback>
            <w:pict>
              <v:group style="width:234.2pt;height:187.85pt;mso-position-horizontal-relative:char;mso-position-vertical-relative:line" id="docshapegroup64" coordorigin="0,0" coordsize="4684,3757">
                <v:shape style="position:absolute;left:45;top:45;width:4594;height:3667" type="#_x0000_t75" id="docshape65" stroked="false">
                  <v:imagedata r:id="rId43" o:title=""/>
                </v:shape>
                <v:shape style="position:absolute;left:22;top:22;width:4639;height:3712" type="#_x0000_t202" id="docshape66" filled="false" stroked="true" strokeweight="2.25pt" strokecolor="#000000">
                  <v:textbox inset="0,0,0,0">
                    <w:txbxContent>
                      <w:p>
                        <w:pPr>
                          <w:spacing w:line="240" w:lineRule="auto" w:before="0"/>
                          <w:rPr>
                            <w:b/>
                            <w:sz w:val="28"/>
                          </w:rPr>
                        </w:pPr>
                      </w:p>
                      <w:p>
                        <w:pPr>
                          <w:spacing w:line="240" w:lineRule="auto" w:before="0"/>
                          <w:rPr>
                            <w:b/>
                            <w:sz w:val="28"/>
                          </w:rPr>
                        </w:pPr>
                      </w:p>
                      <w:p>
                        <w:pPr>
                          <w:spacing w:line="240" w:lineRule="auto" w:before="262"/>
                          <w:rPr>
                            <w:b/>
                            <w:sz w:val="28"/>
                          </w:rPr>
                        </w:pPr>
                      </w:p>
                      <w:p>
                        <w:pPr>
                          <w:spacing w:before="0"/>
                          <w:ind w:left="615" w:right="0" w:firstLine="0"/>
                          <w:jc w:val="left"/>
                          <w:rPr>
                            <w:b/>
                            <w:sz w:val="28"/>
                          </w:rPr>
                        </w:pPr>
                        <w:r>
                          <w:rPr>
                            <w:b/>
                            <w:sz w:val="28"/>
                          </w:rPr>
                          <w:t>JESSE</w:t>
                        </w:r>
                        <w:r>
                          <w:rPr>
                            <w:b/>
                            <w:spacing w:val="-3"/>
                            <w:sz w:val="28"/>
                          </w:rPr>
                          <w:t> </w:t>
                        </w:r>
                        <w:r>
                          <w:rPr>
                            <w:b/>
                            <w:sz w:val="28"/>
                          </w:rPr>
                          <w:t>FIRE</w:t>
                        </w:r>
                        <w:r>
                          <w:rPr>
                            <w:b/>
                            <w:spacing w:val="-2"/>
                            <w:sz w:val="28"/>
                          </w:rPr>
                          <w:t> DISASTER</w:t>
                        </w:r>
                      </w:p>
                    </w:txbxContent>
                  </v:textbox>
                  <v:stroke dashstyle="solid"/>
                  <w10:wrap type="none"/>
                </v:shape>
              </v:group>
            </w:pict>
          </mc:Fallback>
        </mc:AlternateContent>
      </w:r>
      <w:r>
        <w:rPr>
          <w:position w:val="5"/>
          <w:sz w:val="20"/>
        </w:rPr>
      </w:r>
      <w:r>
        <w:rPr>
          <w:position w:val="5"/>
          <w:sz w:val="20"/>
        </w:rPr>
        <w:tab/>
      </w:r>
      <w:r>
        <w:rPr>
          <w:sz w:val="20"/>
        </w:rPr>
        <mc:AlternateContent>
          <mc:Choice Requires="wps">
            <w:drawing>
              <wp:inline distT="0" distB="0" distL="0" distR="0">
                <wp:extent cx="2849880" cy="2405380"/>
                <wp:effectExtent l="0" t="0" r="0" b="4444"/>
                <wp:docPr id="122" name="Group 122"/>
                <wp:cNvGraphicFramePr>
                  <a:graphicFrameLocks/>
                </wp:cNvGraphicFramePr>
                <a:graphic>
                  <a:graphicData uri="http://schemas.microsoft.com/office/word/2010/wordprocessingGroup">
                    <wpg:wgp>
                      <wpg:cNvPr id="122" name="Group 122"/>
                      <wpg:cNvGrpSpPr/>
                      <wpg:grpSpPr>
                        <a:xfrm>
                          <a:off x="0" y="0"/>
                          <a:ext cx="2849880" cy="2405380"/>
                          <a:chExt cx="2849880" cy="2405380"/>
                        </a:xfrm>
                      </wpg:grpSpPr>
                      <pic:pic>
                        <pic:nvPicPr>
                          <pic:cNvPr id="123" name="Image 123"/>
                          <pic:cNvPicPr/>
                        </pic:nvPicPr>
                        <pic:blipFill>
                          <a:blip r:embed="rId44" cstate="print"/>
                          <a:stretch>
                            <a:fillRect/>
                          </a:stretch>
                        </pic:blipFill>
                        <pic:spPr>
                          <a:xfrm>
                            <a:off x="38100" y="38100"/>
                            <a:ext cx="2773679" cy="2329179"/>
                          </a:xfrm>
                          <a:prstGeom prst="rect">
                            <a:avLst/>
                          </a:prstGeom>
                        </pic:spPr>
                      </pic:pic>
                      <wps:wsp>
                        <wps:cNvPr id="124" name="Textbox 124"/>
                        <wps:cNvSpPr txBox="1"/>
                        <wps:spPr>
                          <a:xfrm>
                            <a:off x="19050" y="19050"/>
                            <a:ext cx="2811780" cy="2367280"/>
                          </a:xfrm>
                          <a:prstGeom prst="rect">
                            <a:avLst/>
                          </a:prstGeom>
                          <a:ln w="38100">
                            <a:solidFill>
                              <a:srgbClr val="000000"/>
                            </a:solidFill>
                            <a:prstDash val="solid"/>
                          </a:ln>
                        </wps:spPr>
                        <wps:txbx>
                          <w:txbxContent>
                            <w:p>
                              <w:pPr>
                                <w:spacing w:before="298"/>
                                <w:ind w:left="875" w:right="0" w:firstLine="0"/>
                                <w:jc w:val="left"/>
                                <w:rPr>
                                  <w:b/>
                                  <w:sz w:val="28"/>
                                </w:rPr>
                              </w:pPr>
                              <w:r>
                                <w:rPr>
                                  <w:b/>
                                  <w:sz w:val="28"/>
                                </w:rPr>
                                <w:t>PIPE</w:t>
                              </w:r>
                              <w:r>
                                <w:rPr>
                                  <w:b/>
                                  <w:spacing w:val="-4"/>
                                  <w:sz w:val="28"/>
                                </w:rPr>
                                <w:t> LINES</w:t>
                              </w:r>
                            </w:p>
                          </w:txbxContent>
                        </wps:txbx>
                        <wps:bodyPr wrap="square" lIns="0" tIns="0" rIns="0" bIns="0" rtlCol="0">
                          <a:noAutofit/>
                        </wps:bodyPr>
                      </wps:wsp>
                    </wpg:wgp>
                  </a:graphicData>
                </a:graphic>
              </wp:inline>
            </w:drawing>
          </mc:Choice>
          <mc:Fallback>
            <w:pict>
              <v:group style="width:224.4pt;height:189.4pt;mso-position-horizontal-relative:char;mso-position-vertical-relative:line" id="docshapegroup67" coordorigin="0,0" coordsize="4488,3788">
                <v:shape style="position:absolute;left:60;top:60;width:4368;height:3668" type="#_x0000_t75" id="docshape68" stroked="false">
                  <v:imagedata r:id="rId44" o:title=""/>
                </v:shape>
                <v:shape style="position:absolute;left:30;top:30;width:4428;height:3728" type="#_x0000_t202" id="docshape69" filled="false" stroked="true" strokeweight="3pt" strokecolor="#000000">
                  <v:textbox inset="0,0,0,0">
                    <w:txbxContent>
                      <w:p>
                        <w:pPr>
                          <w:spacing w:before="298"/>
                          <w:ind w:left="875" w:right="0" w:firstLine="0"/>
                          <w:jc w:val="left"/>
                          <w:rPr>
                            <w:b/>
                            <w:sz w:val="28"/>
                          </w:rPr>
                        </w:pPr>
                        <w:r>
                          <w:rPr>
                            <w:b/>
                            <w:sz w:val="28"/>
                          </w:rPr>
                          <w:t>PIPE</w:t>
                        </w:r>
                        <w:r>
                          <w:rPr>
                            <w:b/>
                            <w:spacing w:val="-4"/>
                            <w:sz w:val="28"/>
                          </w:rPr>
                          <w:t> LINES</w:t>
                        </w:r>
                      </w:p>
                    </w:txbxContent>
                  </v:textbox>
                  <v:stroke dashstyle="solid"/>
                  <w10:wrap type="none"/>
                </v:shape>
              </v:group>
            </w:pict>
          </mc:Fallback>
        </mc:AlternateContent>
      </w:r>
      <w:r>
        <w:rPr>
          <w:sz w:val="20"/>
        </w:rPr>
      </w:r>
    </w:p>
    <w:p>
      <w:pPr>
        <w:tabs>
          <w:tab w:pos="4849" w:val="left" w:leader="none"/>
        </w:tabs>
        <w:spacing w:before="152"/>
        <w:ind w:left="173" w:right="0" w:firstLine="0"/>
        <w:jc w:val="center"/>
        <w:rPr>
          <w:b/>
          <w:sz w:val="24"/>
        </w:rPr>
      </w:pPr>
      <w:r>
        <w:rPr>
          <w:b/>
          <w:sz w:val="24"/>
        </w:rPr>
        <w:t>Plate</w:t>
      </w:r>
      <w:r>
        <w:rPr>
          <w:b/>
          <w:spacing w:val="-2"/>
          <w:sz w:val="24"/>
        </w:rPr>
        <w:t> </w:t>
      </w:r>
      <w:r>
        <w:rPr>
          <w:b/>
          <w:sz w:val="24"/>
        </w:rPr>
        <w:t>21:</w:t>
      </w:r>
      <w:r>
        <w:rPr>
          <w:b/>
          <w:spacing w:val="-2"/>
          <w:sz w:val="24"/>
        </w:rPr>
        <w:t> </w:t>
      </w:r>
      <w:r>
        <w:rPr>
          <w:b/>
          <w:sz w:val="24"/>
        </w:rPr>
        <w:t>Oil Spills</w:t>
      </w:r>
      <w:r>
        <w:rPr>
          <w:b/>
          <w:spacing w:val="-1"/>
          <w:sz w:val="24"/>
        </w:rPr>
        <w:t> </w:t>
      </w:r>
      <w:r>
        <w:rPr>
          <w:b/>
          <w:sz w:val="24"/>
        </w:rPr>
        <w:t>and</w:t>
      </w:r>
      <w:r>
        <w:rPr>
          <w:b/>
          <w:spacing w:val="-2"/>
          <w:sz w:val="24"/>
        </w:rPr>
        <w:t> Environmental</w:t>
      </w:r>
      <w:r>
        <w:rPr>
          <w:b/>
          <w:sz w:val="24"/>
        </w:rPr>
        <w:tab/>
        <w:t>Plate</w:t>
      </w:r>
      <w:r>
        <w:rPr>
          <w:b/>
          <w:spacing w:val="-5"/>
          <w:sz w:val="24"/>
        </w:rPr>
        <w:t> </w:t>
      </w:r>
      <w:r>
        <w:rPr>
          <w:b/>
          <w:sz w:val="24"/>
        </w:rPr>
        <w:t>22: Pipelines</w:t>
      </w:r>
      <w:r>
        <w:rPr>
          <w:b/>
          <w:spacing w:val="-1"/>
          <w:sz w:val="24"/>
        </w:rPr>
        <w:t> </w:t>
      </w:r>
      <w:r>
        <w:rPr>
          <w:b/>
          <w:sz w:val="24"/>
        </w:rPr>
        <w:t>traversing </w:t>
      </w:r>
      <w:r>
        <w:rPr>
          <w:b/>
          <w:spacing w:val="-2"/>
          <w:sz w:val="24"/>
        </w:rPr>
        <w:t>Niger</w:t>
      </w:r>
    </w:p>
    <w:p>
      <w:pPr>
        <w:spacing w:before="0"/>
        <w:ind w:left="5455" w:right="1299" w:firstLine="0"/>
        <w:jc w:val="center"/>
        <w:rPr>
          <w:b/>
          <w:sz w:val="24"/>
        </w:rPr>
      </w:pPr>
      <w:r>
        <w:rPr>
          <w:b/>
          <w:sz w:val="24"/>
        </w:rPr>
        <w:t>Delta</w:t>
      </w:r>
      <w:r>
        <w:rPr>
          <w:b/>
          <w:spacing w:val="-3"/>
          <w:sz w:val="24"/>
        </w:rPr>
        <w:t> </w:t>
      </w:r>
      <w:r>
        <w:rPr>
          <w:b/>
          <w:sz w:val="24"/>
        </w:rPr>
        <w:t>(Source:</w:t>
      </w:r>
      <w:r>
        <w:rPr>
          <w:b/>
          <w:spacing w:val="57"/>
          <w:sz w:val="24"/>
        </w:rPr>
        <w:t> </w:t>
      </w:r>
      <w:r>
        <w:rPr>
          <w:b/>
          <w:spacing w:val="-2"/>
          <w:sz w:val="24"/>
        </w:rPr>
        <w:t>Researcher’s</w:t>
      </w:r>
    </w:p>
    <w:p>
      <w:pPr>
        <w:tabs>
          <w:tab w:pos="4736" w:val="left" w:leader="none"/>
        </w:tabs>
        <w:spacing w:before="0"/>
        <w:ind w:left="0" w:right="1654" w:firstLine="0"/>
        <w:jc w:val="center"/>
        <w:rPr>
          <w:b/>
          <w:sz w:val="24"/>
        </w:rPr>
      </w:pPr>
      <w:r>
        <w:rPr>
          <w:b/>
          <w:sz w:val="24"/>
        </w:rPr>
        <w:t>Disasters</w:t>
      </w:r>
      <w:r>
        <w:rPr>
          <w:b/>
          <w:spacing w:val="-2"/>
          <w:sz w:val="24"/>
        </w:rPr>
        <w:t> </w:t>
      </w:r>
      <w:r>
        <w:rPr>
          <w:b/>
          <w:sz w:val="24"/>
        </w:rPr>
        <w:t>in the</w:t>
      </w:r>
      <w:r>
        <w:rPr>
          <w:b/>
          <w:spacing w:val="-2"/>
          <w:sz w:val="24"/>
        </w:rPr>
        <w:t> </w:t>
      </w:r>
      <w:r>
        <w:rPr>
          <w:b/>
          <w:sz w:val="24"/>
        </w:rPr>
        <w:t>Niger </w:t>
      </w:r>
      <w:r>
        <w:rPr>
          <w:b/>
          <w:spacing w:val="-2"/>
          <w:sz w:val="24"/>
        </w:rPr>
        <w:t>Delta</w:t>
      </w:r>
      <w:r>
        <w:rPr>
          <w:b/>
          <w:sz w:val="24"/>
        </w:rPr>
        <w:tab/>
        <w:t>Fieldwork, </w:t>
      </w:r>
      <w:r>
        <w:rPr>
          <w:b/>
          <w:spacing w:val="-2"/>
          <w:sz w:val="24"/>
        </w:rPr>
        <w:t>2009)</w:t>
      </w:r>
    </w:p>
    <w:p>
      <w:pPr>
        <w:pStyle w:val="BodyText"/>
        <w:spacing w:before="137"/>
        <w:ind w:left="0"/>
        <w:rPr>
          <w:b/>
        </w:rPr>
      </w:pPr>
    </w:p>
    <w:p>
      <w:pPr>
        <w:pStyle w:val="BodyText"/>
        <w:spacing w:line="360" w:lineRule="auto"/>
        <w:ind w:right="1263" w:firstLine="780"/>
        <w:jc w:val="both"/>
      </w:pPr>
      <w:r>
        <w:rPr/>
        <w:t>Militancy in the Niger Delta has many consequences.</w:t>
      </w:r>
      <w:r>
        <w:rPr>
          <w:spacing w:val="40"/>
        </w:rPr>
        <w:t> </w:t>
      </w:r>
      <w:r>
        <w:rPr/>
        <w:t>It leads to unrest and consequently inhibits optimum capacity for oil production.</w:t>
      </w:r>
      <w:r>
        <w:rPr>
          <w:spacing w:val="40"/>
        </w:rPr>
        <w:t> </w:t>
      </w:r>
      <w:r>
        <w:rPr/>
        <w:t>There are areas where production</w:t>
      </w:r>
      <w:r>
        <w:rPr>
          <w:spacing w:val="48"/>
          <w:w w:val="150"/>
        </w:rPr>
        <w:t> </w:t>
      </w:r>
      <w:r>
        <w:rPr/>
        <w:t>has</w:t>
      </w:r>
      <w:r>
        <w:rPr>
          <w:spacing w:val="52"/>
          <w:w w:val="150"/>
        </w:rPr>
        <w:t> </w:t>
      </w:r>
      <w:r>
        <w:rPr/>
        <w:t>been</w:t>
      </w:r>
      <w:r>
        <w:rPr>
          <w:spacing w:val="53"/>
          <w:w w:val="150"/>
        </w:rPr>
        <w:t> </w:t>
      </w:r>
      <w:r>
        <w:rPr/>
        <w:t>abandoned</w:t>
      </w:r>
      <w:r>
        <w:rPr>
          <w:spacing w:val="51"/>
          <w:w w:val="150"/>
        </w:rPr>
        <w:t> </w:t>
      </w:r>
      <w:r>
        <w:rPr/>
        <w:t>because</w:t>
      </w:r>
      <w:r>
        <w:rPr>
          <w:spacing w:val="80"/>
        </w:rPr>
        <w:t> </w:t>
      </w:r>
      <w:r>
        <w:rPr/>
        <w:t>of</w:t>
      </w:r>
      <w:r>
        <w:rPr>
          <w:spacing w:val="51"/>
          <w:w w:val="150"/>
        </w:rPr>
        <w:t> </w:t>
      </w:r>
      <w:r>
        <w:rPr/>
        <w:t>insecurity</w:t>
      </w:r>
      <w:r>
        <w:rPr>
          <w:spacing w:val="76"/>
        </w:rPr>
        <w:t> </w:t>
      </w:r>
      <w:r>
        <w:rPr/>
        <w:t>and</w:t>
      </w:r>
      <w:r>
        <w:rPr>
          <w:spacing w:val="53"/>
          <w:w w:val="150"/>
        </w:rPr>
        <w:t> </w:t>
      </w:r>
      <w:r>
        <w:rPr/>
        <w:t>actions</w:t>
      </w:r>
      <w:r>
        <w:rPr>
          <w:spacing w:val="51"/>
          <w:w w:val="150"/>
        </w:rPr>
        <w:t> </w:t>
      </w:r>
      <w:r>
        <w:rPr/>
        <w:t>of</w:t>
      </w:r>
      <w:r>
        <w:rPr>
          <w:spacing w:val="80"/>
        </w:rPr>
        <w:t> </w:t>
      </w:r>
      <w:r>
        <w:rPr>
          <w:spacing w:val="-2"/>
        </w:rPr>
        <w:t>militants.</w:t>
      </w:r>
    </w:p>
    <w:p>
      <w:pPr>
        <w:spacing w:after="0" w:line="360" w:lineRule="auto"/>
        <w:jc w:val="both"/>
        <w:sectPr>
          <w:pgSz w:w="11910" w:h="16840"/>
          <w:pgMar w:header="0" w:footer="1561" w:top="1360" w:bottom="1760" w:left="720" w:right="180"/>
        </w:sectPr>
      </w:pPr>
    </w:p>
    <w:p>
      <w:pPr>
        <w:pStyle w:val="BodyText"/>
        <w:spacing w:line="360" w:lineRule="auto" w:before="60"/>
        <w:ind w:right="1257"/>
        <w:jc w:val="both"/>
      </w:pPr>
      <w:r>
        <w:rPr/>
        <mc:AlternateContent>
          <mc:Choice Requires="wps">
            <w:drawing>
              <wp:anchor distT="0" distB="0" distL="0" distR="0" allowOverlap="1" layoutInCell="1" locked="0" behindDoc="1" simplePos="0" relativeHeight="480593920">
                <wp:simplePos x="0" y="0"/>
                <wp:positionH relativeFrom="page">
                  <wp:posOffset>-1537026</wp:posOffset>
                </wp:positionH>
                <wp:positionV relativeFrom="page">
                  <wp:posOffset>4900424</wp:posOffset>
                </wp:positionV>
                <wp:extent cx="10669905" cy="914400"/>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22560;rotation:306" type="#_x0000_t136" fillcolor="#ff5400" stroked="f">
                <o:extrusion v:ext="view" autorotationcenter="t"/>
                <v:textpath style="font-family:&quot;Arial MT&quot;;font-size:72pt;v-text-kern:t;mso-text-shadow:auto" string="UNIVERSITY OF IBADAN"/>
                <w10:wrap type="none"/>
              </v:shape>
            </w:pict>
          </mc:Fallback>
        </mc:AlternateContent>
      </w:r>
      <w:r>
        <w:rPr/>
        <w:t>Inevitably, this diminishes oil production output and lowers oil revenue with its knock-on effect on the nation's economy.</w:t>
      </w:r>
      <w:r>
        <w:rPr>
          <w:spacing w:val="40"/>
        </w:rPr>
        <w:t> </w:t>
      </w:r>
      <w:r>
        <w:rPr/>
        <w:t>Militancy also scares away personnel and investing firms.</w:t>
      </w:r>
      <w:r>
        <w:rPr>
          <w:spacing w:val="40"/>
        </w:rPr>
        <w:t> </w:t>
      </w:r>
      <w:r>
        <w:rPr/>
        <w:t>Most oil companies do not allow their foreign staff to work in areas considered „dangerous‟.</w:t>
      </w:r>
      <w:r>
        <w:rPr>
          <w:spacing w:val="40"/>
        </w:rPr>
        <w:t> </w:t>
      </w:r>
      <w:r>
        <w:rPr/>
        <w:t>In addition, it was reported that the unrest has forced some foreign oil-servicing companies to turn down contracts awarded in the oil-rich region. Figure 2 shows that crude oil theft fluctuated between 148 million barrels per day (mbpd) in January 2003 and 27 mbpd in September 2008.</w:t>
      </w:r>
      <w:r>
        <w:rPr>
          <w:spacing w:val="40"/>
        </w:rPr>
        <w:t> </w:t>
      </w:r>
      <w:r>
        <w:rPr/>
        <w:t>It was revealed that the highest theft rate of oil took place between 2003 and 2005 when the JTF on internal security operations did not have Fast Assault Craft (FAC) for patrols against illegal bunkering in the Niger Delta.</w:t>
      </w:r>
    </w:p>
    <w:p>
      <w:pPr>
        <w:pStyle w:val="BodyText"/>
        <w:spacing w:line="360" w:lineRule="auto" w:before="2"/>
        <w:ind w:right="1260" w:firstLine="720"/>
        <w:jc w:val="both"/>
      </w:pPr>
      <w:r>
        <w:rPr/>
        <w:t>Likewise, the gradual increase in the oil theft rate from the beginning of 2008 depicted in the chart was attributably due to reduced patrols against illegal bunkering because most of the FAC had become unserviceable owing to overuse.</w:t>
      </w:r>
      <w:r>
        <w:rPr>
          <w:spacing w:val="80"/>
        </w:rPr>
        <w:t> </w:t>
      </w:r>
      <w:r>
        <w:rPr/>
        <w:t>In addition, the illegal bunkerers and most militants in the Niger Delta show increasing dexterity to confront JTF troops with arms and sophisticated weapons.</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07"/>
        <w:ind w:left="0"/>
        <w:rPr>
          <w:sz w:val="20"/>
        </w:rPr>
      </w:pPr>
      <w:r>
        <w:rPr/>
        <mc:AlternateContent>
          <mc:Choice Requires="wps">
            <w:drawing>
              <wp:anchor distT="0" distB="0" distL="0" distR="0" allowOverlap="1" layoutInCell="1" locked="0" behindDoc="1" simplePos="0" relativeHeight="487623168">
                <wp:simplePos x="0" y="0"/>
                <wp:positionH relativeFrom="page">
                  <wp:posOffset>944880</wp:posOffset>
                </wp:positionH>
                <wp:positionV relativeFrom="paragraph">
                  <wp:posOffset>229365</wp:posOffset>
                </wp:positionV>
                <wp:extent cx="5948680" cy="3209290"/>
                <wp:effectExtent l="0" t="0" r="0" b="0"/>
                <wp:wrapTopAndBottom/>
                <wp:docPr id="126" name="Group 126"/>
                <wp:cNvGraphicFramePr>
                  <a:graphicFrameLocks/>
                </wp:cNvGraphicFramePr>
                <a:graphic>
                  <a:graphicData uri="http://schemas.microsoft.com/office/word/2010/wordprocessingGroup">
                    <wpg:wgp>
                      <wpg:cNvPr id="126" name="Group 126"/>
                      <wpg:cNvGrpSpPr/>
                      <wpg:grpSpPr>
                        <a:xfrm>
                          <a:off x="0" y="0"/>
                          <a:ext cx="5948680" cy="3209290"/>
                          <a:chExt cx="5948680" cy="3209290"/>
                        </a:xfrm>
                      </wpg:grpSpPr>
                      <pic:pic>
                        <pic:nvPicPr>
                          <pic:cNvPr id="127" name="Image 127"/>
                          <pic:cNvPicPr/>
                        </pic:nvPicPr>
                        <pic:blipFill>
                          <a:blip r:embed="rId45" cstate="print"/>
                          <a:stretch>
                            <a:fillRect/>
                          </a:stretch>
                        </pic:blipFill>
                        <pic:spPr>
                          <a:xfrm>
                            <a:off x="38099" y="38100"/>
                            <a:ext cx="5872479" cy="3133089"/>
                          </a:xfrm>
                          <a:prstGeom prst="rect">
                            <a:avLst/>
                          </a:prstGeom>
                        </pic:spPr>
                      </pic:pic>
                      <wps:wsp>
                        <wps:cNvPr id="128" name="Graphic 128"/>
                        <wps:cNvSpPr/>
                        <wps:spPr>
                          <a:xfrm>
                            <a:off x="19050" y="19050"/>
                            <a:ext cx="5910580" cy="3171190"/>
                          </a:xfrm>
                          <a:custGeom>
                            <a:avLst/>
                            <a:gdLst/>
                            <a:ahLst/>
                            <a:cxnLst/>
                            <a:rect l="l" t="t" r="r" b="b"/>
                            <a:pathLst>
                              <a:path w="5910580" h="3171190">
                                <a:moveTo>
                                  <a:pt x="0" y="3171190"/>
                                </a:moveTo>
                                <a:lnTo>
                                  <a:pt x="5910580" y="3171190"/>
                                </a:lnTo>
                                <a:lnTo>
                                  <a:pt x="5910580" y="0"/>
                                </a:lnTo>
                                <a:lnTo>
                                  <a:pt x="0" y="0"/>
                                </a:lnTo>
                                <a:lnTo>
                                  <a:pt x="0" y="317119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4.400002pt;margin-top:18.060274pt;width:468.4pt;height:252.7pt;mso-position-horizontal-relative:page;mso-position-vertical-relative:paragraph;z-index:-15693312;mso-wrap-distance-left:0;mso-wrap-distance-right:0" id="docshapegroup70" coordorigin="1488,361" coordsize="9368,5054">
                <v:shape style="position:absolute;left:1548;top:421;width:9248;height:4934" type="#_x0000_t75" id="docshape71" stroked="false">
                  <v:imagedata r:id="rId45" o:title=""/>
                </v:shape>
                <v:rect style="position:absolute;left:1518;top:391;width:9308;height:4994" id="docshape72" filled="false" stroked="true" strokeweight="3pt" strokecolor="#000000">
                  <v:stroke dashstyle="solid"/>
                </v:rect>
                <w10:wrap type="topAndBottom"/>
              </v:group>
            </w:pict>
          </mc:Fallback>
        </mc:AlternateContent>
      </w:r>
    </w:p>
    <w:p>
      <w:pPr>
        <w:pStyle w:val="BodyText"/>
        <w:spacing w:before="154"/>
        <w:ind w:left="0"/>
      </w:pPr>
    </w:p>
    <w:p>
      <w:pPr>
        <w:pStyle w:val="Heading2"/>
        <w:spacing w:line="242" w:lineRule="auto"/>
        <w:ind w:right="3530"/>
      </w:pPr>
      <w:r>
        <w:rPr/>
        <w:t>Plate 23: Typical Militant Group in the Niger Delta Source:</w:t>
      </w:r>
      <w:r>
        <w:rPr>
          <w:spacing w:val="-6"/>
        </w:rPr>
        <w:t> </w:t>
      </w:r>
      <w:hyperlink r:id="rId27">
        <w:r>
          <w:rPr/>
          <w:t>www.google.com</w:t>
        </w:r>
      </w:hyperlink>
      <w:r>
        <w:rPr>
          <w:spacing w:val="40"/>
        </w:rPr>
        <w:t> </w:t>
      </w:r>
      <w:r>
        <w:rPr/>
        <w:t>Accessed</w:t>
      </w:r>
      <w:r>
        <w:rPr>
          <w:spacing w:val="40"/>
        </w:rPr>
        <w:t> </w:t>
      </w:r>
      <w:r>
        <w:rPr/>
        <w:t>on</w:t>
      </w:r>
      <w:r>
        <w:rPr>
          <w:spacing w:val="-5"/>
        </w:rPr>
        <w:t> </w:t>
      </w:r>
      <w:r>
        <w:rPr/>
        <w:t>15</w:t>
      </w:r>
      <w:r>
        <w:rPr>
          <w:spacing w:val="-4"/>
        </w:rPr>
        <w:t> </w:t>
      </w:r>
      <w:r>
        <w:rPr/>
        <w:t>September,</w:t>
      </w:r>
      <w:r>
        <w:rPr>
          <w:spacing w:val="-6"/>
        </w:rPr>
        <w:t> </w:t>
      </w:r>
      <w:r>
        <w:rPr/>
        <w:t>2010</w:t>
      </w:r>
    </w:p>
    <w:p>
      <w:pPr>
        <w:spacing w:after="0" w:line="242" w:lineRule="auto"/>
        <w:sectPr>
          <w:pgSz w:w="11910" w:h="16840"/>
          <w:pgMar w:header="0" w:footer="1561" w:top="1360" w:bottom="1760" w:left="720" w:right="180"/>
        </w:sectPr>
      </w:pPr>
    </w:p>
    <w:p>
      <w:pPr>
        <w:pStyle w:val="BodyText"/>
        <w:spacing w:line="360" w:lineRule="auto" w:before="77"/>
        <w:ind w:right="1260" w:firstLine="840"/>
        <w:jc w:val="both"/>
      </w:pPr>
      <w:r>
        <w:rPr/>
        <mc:AlternateContent>
          <mc:Choice Requires="wps">
            <w:drawing>
              <wp:anchor distT="0" distB="0" distL="0" distR="0" allowOverlap="1" layoutInCell="1" locked="0" behindDoc="1" simplePos="0" relativeHeight="480594432">
                <wp:simplePos x="0" y="0"/>
                <wp:positionH relativeFrom="page">
                  <wp:posOffset>-1537026</wp:posOffset>
                </wp:positionH>
                <wp:positionV relativeFrom="page">
                  <wp:posOffset>4900424</wp:posOffset>
                </wp:positionV>
                <wp:extent cx="10669905" cy="914400"/>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22048;rotation:306" type="#_x0000_t136" fillcolor="#ff5400" stroked="f">
                <o:extrusion v:ext="view" autorotationcenter="t"/>
                <v:textpath style="font-family:&quot;Arial MT&quot;;font-size:72pt;v-text-kern:t;mso-text-shadow:auto" string="UNIVERSITY OF IBADAN"/>
                <w10:wrap type="none"/>
              </v:shape>
            </w:pict>
          </mc:Fallback>
        </mc:AlternateContent>
      </w:r>
      <w:r>
        <w:rPr/>
        <w:t>The rising spate of militancy in the Niger Delta took a huge toll on Nigeria's oil revenue.</w:t>
      </w:r>
      <w:r>
        <w:rPr>
          <w:spacing w:val="40"/>
        </w:rPr>
        <w:t> </w:t>
      </w:r>
      <w:r>
        <w:rPr/>
        <w:t>The</w:t>
      </w:r>
      <w:r>
        <w:rPr>
          <w:spacing w:val="-1"/>
        </w:rPr>
        <w:t> </w:t>
      </w:r>
      <w:r>
        <w:rPr/>
        <w:t>report of</w:t>
      </w:r>
      <w:r>
        <w:rPr>
          <w:spacing w:val="-1"/>
        </w:rPr>
        <w:t> </w:t>
      </w:r>
      <w:r>
        <w:rPr/>
        <w:t>the 2009 Technical Committee</w:t>
      </w:r>
      <w:r>
        <w:rPr>
          <w:spacing w:val="-1"/>
        </w:rPr>
        <w:t> </w:t>
      </w:r>
      <w:r>
        <w:rPr/>
        <w:t>on the Niger</w:t>
      </w:r>
      <w:r>
        <w:rPr>
          <w:spacing w:val="-1"/>
        </w:rPr>
        <w:t> </w:t>
      </w:r>
      <w:r>
        <w:rPr/>
        <w:t>Delta</w:t>
      </w:r>
      <w:r>
        <w:rPr>
          <w:spacing w:val="-1"/>
        </w:rPr>
        <w:t> </w:t>
      </w:r>
      <w:r>
        <w:rPr/>
        <w:t>revealed that</w:t>
      </w:r>
      <w:r>
        <w:rPr>
          <w:spacing w:val="-1"/>
        </w:rPr>
        <w:t> </w:t>
      </w:r>
      <w:r>
        <w:rPr/>
        <w:t>the</w:t>
      </w:r>
      <w:r>
        <w:rPr>
          <w:spacing w:val="-2"/>
        </w:rPr>
        <w:t> </w:t>
      </w:r>
      <w:r>
        <w:rPr/>
        <w:t>country</w:t>
      </w:r>
      <w:r>
        <w:rPr>
          <w:spacing w:val="-6"/>
        </w:rPr>
        <w:t> </w:t>
      </w:r>
      <w:r>
        <w:rPr/>
        <w:t>lost about</w:t>
      </w:r>
      <w:r>
        <w:rPr>
          <w:spacing w:val="-1"/>
        </w:rPr>
        <w:t> </w:t>
      </w:r>
      <w:r>
        <w:rPr/>
        <w:t>N8.84</w:t>
      </w:r>
      <w:r>
        <w:rPr>
          <w:spacing w:val="-2"/>
        </w:rPr>
        <w:t> </w:t>
      </w:r>
      <w:r>
        <w:rPr/>
        <w:t>trillion</w:t>
      </w:r>
      <w:r>
        <w:rPr>
          <w:spacing w:val="-3"/>
        </w:rPr>
        <w:t> </w:t>
      </w:r>
      <w:r>
        <w:rPr/>
        <w:t>($61.6</w:t>
      </w:r>
      <w:r>
        <w:rPr>
          <w:spacing w:val="-1"/>
        </w:rPr>
        <w:t> </w:t>
      </w:r>
      <w:r>
        <w:rPr/>
        <w:t>billion)</w:t>
      </w:r>
      <w:r>
        <w:rPr>
          <w:spacing w:val="-2"/>
        </w:rPr>
        <w:t> </w:t>
      </w:r>
      <w:r>
        <w:rPr/>
        <w:t>to</w:t>
      </w:r>
      <w:r>
        <w:rPr>
          <w:spacing w:val="-1"/>
        </w:rPr>
        <w:t> </w:t>
      </w:r>
      <w:r>
        <w:rPr/>
        <w:t>oil</w:t>
      </w:r>
      <w:r>
        <w:rPr>
          <w:spacing w:val="-3"/>
        </w:rPr>
        <w:t> </w:t>
      </w:r>
      <w:r>
        <w:rPr/>
        <w:t>theft</w:t>
      </w:r>
      <w:r>
        <w:rPr>
          <w:spacing w:val="-1"/>
        </w:rPr>
        <w:t> </w:t>
      </w:r>
      <w:r>
        <w:rPr/>
        <w:t>and</w:t>
      </w:r>
      <w:r>
        <w:rPr>
          <w:spacing w:val="-1"/>
        </w:rPr>
        <w:t> </w:t>
      </w:r>
      <w:r>
        <w:rPr/>
        <w:t>sabotage</w:t>
      </w:r>
      <w:r>
        <w:rPr>
          <w:spacing w:val="-3"/>
        </w:rPr>
        <w:t> </w:t>
      </w:r>
      <w:r>
        <w:rPr/>
        <w:t>in</w:t>
      </w:r>
      <w:r>
        <w:rPr>
          <w:spacing w:val="-1"/>
        </w:rPr>
        <w:t> </w:t>
      </w:r>
      <w:r>
        <w:rPr/>
        <w:t>the region</w:t>
      </w:r>
      <w:r>
        <w:rPr>
          <w:spacing w:val="-3"/>
        </w:rPr>
        <w:t> </w:t>
      </w:r>
      <w:r>
        <w:rPr/>
        <w:t>between</w:t>
      </w:r>
      <w:r>
        <w:rPr>
          <w:spacing w:val="-3"/>
        </w:rPr>
        <w:t> </w:t>
      </w:r>
      <w:r>
        <w:rPr/>
        <w:t>2006</w:t>
      </w:r>
      <w:r>
        <w:rPr>
          <w:spacing w:val="-3"/>
        </w:rPr>
        <w:t> </w:t>
      </w:r>
      <w:r>
        <w:rPr/>
        <w:t>and</w:t>
      </w:r>
      <w:r>
        <w:rPr>
          <w:spacing w:val="-1"/>
        </w:rPr>
        <w:t> </w:t>
      </w:r>
      <w:r>
        <w:rPr/>
        <w:t>2008.</w:t>
      </w:r>
      <w:r>
        <w:rPr>
          <w:spacing w:val="40"/>
        </w:rPr>
        <w:t> </w:t>
      </w:r>
      <w:r>
        <w:rPr/>
        <w:t>For</w:t>
      </w:r>
      <w:r>
        <w:rPr>
          <w:spacing w:val="-3"/>
        </w:rPr>
        <w:t> </w:t>
      </w:r>
      <w:r>
        <w:rPr/>
        <w:t>instance,</w:t>
      </w:r>
      <w:r>
        <w:rPr>
          <w:spacing w:val="-3"/>
        </w:rPr>
        <w:t> </w:t>
      </w:r>
      <w:r>
        <w:rPr/>
        <w:t>in</w:t>
      </w:r>
      <w:r>
        <w:rPr>
          <w:spacing w:val="-3"/>
        </w:rPr>
        <w:t> </w:t>
      </w:r>
      <w:r>
        <w:rPr/>
        <w:t>2006</w:t>
      </w:r>
      <w:r>
        <w:rPr>
          <w:spacing w:val="-3"/>
        </w:rPr>
        <w:t> </w:t>
      </w:r>
      <w:r>
        <w:rPr/>
        <w:t>alone,</w:t>
      </w:r>
      <w:r>
        <w:rPr>
          <w:spacing w:val="-3"/>
        </w:rPr>
        <w:t> </w:t>
      </w:r>
      <w:r>
        <w:rPr/>
        <w:t>the</w:t>
      </w:r>
      <w:r>
        <w:rPr>
          <w:spacing w:val="-3"/>
        </w:rPr>
        <w:t> </w:t>
      </w:r>
      <w:r>
        <w:rPr/>
        <w:t>total</w:t>
      </w:r>
      <w:r>
        <w:rPr>
          <w:spacing w:val="-3"/>
        </w:rPr>
        <w:t> </w:t>
      </w:r>
      <w:r>
        <w:rPr/>
        <w:t>loss</w:t>
      </w:r>
      <w:r>
        <w:rPr>
          <w:spacing w:val="-3"/>
        </w:rPr>
        <w:t> </w:t>
      </w:r>
      <w:r>
        <w:rPr/>
        <w:t>of</w:t>
      </w:r>
      <w:r>
        <w:rPr>
          <w:spacing w:val="-3"/>
        </w:rPr>
        <w:t> </w:t>
      </w:r>
      <w:r>
        <w:rPr/>
        <w:t>oil</w:t>
      </w:r>
      <w:r>
        <w:rPr>
          <w:spacing w:val="-3"/>
        </w:rPr>
        <w:t> </w:t>
      </w:r>
      <w:r>
        <w:rPr/>
        <w:t>due</w:t>
      </w:r>
      <w:r>
        <w:rPr>
          <w:spacing w:val="-3"/>
        </w:rPr>
        <w:t> </w:t>
      </w:r>
      <w:r>
        <w:rPr/>
        <w:t>to militancy was N2.45 trillion ($17.1 billion) while additional N283 billion</w:t>
      </w:r>
      <w:r>
        <w:rPr>
          <w:spacing w:val="40"/>
        </w:rPr>
        <w:t> </w:t>
      </w:r>
      <w:r>
        <w:rPr/>
        <w:t>($1.9billion) was lost to illegal oil bunkering; in 2007 also, the loss was N2.69 trillion ($18.8 billion) due to militancy while in the first 9 months of 2008, the country's loss was about N2.97 trillion ($20.7 billion) due to militancy that resulted into shutdown</w:t>
      </w:r>
      <w:r>
        <w:rPr>
          <w:spacing w:val="40"/>
        </w:rPr>
        <w:t> </w:t>
      </w:r>
      <w:r>
        <w:rPr/>
        <w:t>of</w:t>
      </w:r>
      <w:r>
        <w:rPr>
          <w:spacing w:val="-1"/>
        </w:rPr>
        <w:t> </w:t>
      </w:r>
      <w:r>
        <w:rPr/>
        <w:t>oil wells stations and oil spillages.</w:t>
      </w:r>
      <w:r>
        <w:rPr>
          <w:spacing w:val="40"/>
        </w:rPr>
        <w:t> </w:t>
      </w:r>
      <w:r>
        <w:rPr/>
        <w:t>Details of</w:t>
      </w:r>
      <w:r>
        <w:rPr>
          <w:spacing w:val="-1"/>
        </w:rPr>
        <w:t> </w:t>
      </w:r>
      <w:r>
        <w:rPr/>
        <w:t>these</w:t>
      </w:r>
      <w:r>
        <w:rPr>
          <w:spacing w:val="-1"/>
        </w:rPr>
        <w:t> </w:t>
      </w:r>
      <w:r>
        <w:rPr/>
        <w:t>losses in revenue</w:t>
      </w:r>
      <w:r>
        <w:rPr>
          <w:spacing w:val="-1"/>
        </w:rPr>
        <w:t> </w:t>
      </w:r>
      <w:r>
        <w:rPr/>
        <w:t>between 2006 and 2008 are contained in </w:t>
      </w:r>
      <w:r>
        <w:rPr>
          <w:i/>
        </w:rPr>
        <w:t>Newswatch Magazine </w:t>
      </w:r>
      <w:r>
        <w:rPr/>
        <w:t>(4 May, 2009: 19).</w:t>
      </w:r>
    </w:p>
    <w:p>
      <w:pPr>
        <w:pStyle w:val="BodyText"/>
        <w:spacing w:line="360" w:lineRule="auto" w:before="1"/>
        <w:ind w:right="1257" w:firstLine="720"/>
        <w:jc w:val="both"/>
      </w:pPr>
      <w:r>
        <w:rPr/>
        <w:t>Thus, the escalation of violence in the Niger Delta has led to a drastic reduction of operation in the petroleum sector, while the impact on the nation's future and global energy markets has been profound.</w:t>
      </w:r>
      <w:r>
        <w:rPr>
          <w:spacing w:val="40"/>
        </w:rPr>
        <w:t> </w:t>
      </w:r>
      <w:r>
        <w:rPr/>
        <w:t>President Yar'Adua, while signing the 2009 Appropriation Bill stated that while crude oil output per day for 2009 was projected at 2.209 million barrels, actual production was put at 1.6 million</w:t>
      </w:r>
      <w:r>
        <w:rPr>
          <w:spacing w:val="-1"/>
        </w:rPr>
        <w:t> </w:t>
      </w:r>
      <w:r>
        <w:rPr/>
        <w:t>barrels due to militants' activities in the Niger Delta.</w:t>
      </w:r>
      <w:r>
        <w:rPr>
          <w:spacing w:val="40"/>
        </w:rPr>
        <w:t> </w:t>
      </w:r>
      <w:r>
        <w:rPr/>
        <w:t>With the recent economic meltdown, this projected oil revenue for the budget could portend serious negative effect for the economy. This could lead to increased unemployment, poverty and further insecurity. These manifestations pose serious threats to national security.</w:t>
      </w:r>
    </w:p>
    <w:p>
      <w:pPr>
        <w:pStyle w:val="BodyText"/>
        <w:spacing w:line="360" w:lineRule="auto"/>
        <w:ind w:right="1254" w:firstLine="720"/>
        <w:jc w:val="both"/>
      </w:pPr>
      <w:r>
        <w:rPr/>
        <w:t>The political dimension to the Niger Delta conflict is the engagement of militants in hostage-taking.</w:t>
      </w:r>
      <w:r>
        <w:rPr>
          <w:spacing w:val="40"/>
        </w:rPr>
        <w:t> </w:t>
      </w:r>
      <w:r>
        <w:rPr/>
        <w:t>This started in 2003, as one of the features of undeclared war against transnational oil and gas industries by the local militia.</w:t>
      </w:r>
      <w:r>
        <w:rPr>
          <w:spacing w:val="80"/>
          <w:w w:val="150"/>
        </w:rPr>
        <w:t> </w:t>
      </w:r>
      <w:r>
        <w:rPr/>
        <w:t>The victims are usually</w:t>
      </w:r>
      <w:r>
        <w:rPr>
          <w:spacing w:val="-3"/>
        </w:rPr>
        <w:t> </w:t>
      </w:r>
      <w:r>
        <w:rPr/>
        <w:t>traded for ransoms.</w:t>
      </w:r>
      <w:r>
        <w:rPr>
          <w:spacing w:val="40"/>
        </w:rPr>
        <w:t> </w:t>
      </w:r>
      <w:r>
        <w:rPr/>
        <w:t>In July</w:t>
      </w:r>
      <w:r>
        <w:rPr>
          <w:spacing w:val="-3"/>
        </w:rPr>
        <w:t> </w:t>
      </w:r>
      <w:r>
        <w:rPr/>
        <w:t>2006, two foreign oil companies – Berger Nigeria Limited and Wilbros Engineering Services withdrew from the Niger Delta because of safety concerns.</w:t>
      </w:r>
      <w:r>
        <w:rPr>
          <w:spacing w:val="40"/>
        </w:rPr>
        <w:t> </w:t>
      </w:r>
      <w:r>
        <w:rPr/>
        <w:t>Wilbros, a United States Engineering Services‟ firm which had nine of its expatriate staff taken hostage, decided that operating in the Niger Delta had become too dangerous and that the commercial and operating risks associated with doing business in Nigeria has exceeded their risk levels (</w:t>
      </w:r>
      <w:r>
        <w:rPr>
          <w:i/>
        </w:rPr>
        <w:t>Global Insight</w:t>
      </w:r>
      <w:r>
        <w:rPr/>
        <w:t>, 2006).</w:t>
      </w:r>
    </w:p>
    <w:p>
      <w:pPr>
        <w:pStyle w:val="BodyText"/>
        <w:spacing w:line="360" w:lineRule="auto" w:before="1"/>
        <w:ind w:right="1263" w:firstLine="720"/>
        <w:jc w:val="both"/>
      </w:pPr>
      <w:r>
        <w:rPr/>
        <w:t>The Shell Petroleum Development Corporation (SPDC) Security Department provided the documented incidences of hostage taking in 2008 as shown in Figure 2.</w:t>
      </w:r>
    </w:p>
    <w:p>
      <w:pPr>
        <w:spacing w:after="0" w:line="360" w:lineRule="auto"/>
        <w:jc w:val="both"/>
        <w:sectPr>
          <w:pgSz w:w="11910" w:h="16840"/>
          <w:pgMar w:header="0" w:footer="1561" w:top="1620" w:bottom="1760" w:left="720" w:right="180"/>
        </w:sectPr>
      </w:pPr>
    </w:p>
    <w:p>
      <w:pPr>
        <w:pStyle w:val="BodyText"/>
        <w:ind w:left="0"/>
      </w:pPr>
      <w:r>
        <w:rPr/>
        <mc:AlternateContent>
          <mc:Choice Requires="wps">
            <w:drawing>
              <wp:anchor distT="0" distB="0" distL="0" distR="0" allowOverlap="1" layoutInCell="1" locked="0" behindDoc="1" simplePos="0" relativeHeight="480594944">
                <wp:simplePos x="0" y="0"/>
                <wp:positionH relativeFrom="page">
                  <wp:posOffset>-1537026</wp:posOffset>
                </wp:positionH>
                <wp:positionV relativeFrom="page">
                  <wp:posOffset>4900424</wp:posOffset>
                </wp:positionV>
                <wp:extent cx="10669905" cy="914400"/>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21536;rotation:306" type="#_x0000_t136" fillcolor="#ff5400" stroked="f">
                <o:extrusion v:ext="view" autorotationcenter="t"/>
                <v:textpath style="font-family:&quot;Arial MT&quot;;font-size:72pt;v-text-kern:t;mso-text-shadow:auto" string="UNIVERSITY OF IBADAN"/>
                <w10:wrap type="none"/>
              </v:shape>
            </w:pict>
          </mc:Fallback>
        </mc:AlternateConten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115"/>
        <w:ind w:left="0"/>
      </w:pPr>
    </w:p>
    <w:p>
      <w:pPr>
        <w:pStyle w:val="Heading2"/>
        <w:spacing w:line="360" w:lineRule="auto"/>
        <w:ind w:right="2409"/>
        <w:jc w:val="both"/>
      </w:pPr>
      <w:r>
        <w:rPr/>
        <w:drawing>
          <wp:anchor distT="0" distB="0" distL="0" distR="0" allowOverlap="1" layoutInCell="1" locked="0" behindDoc="0" simplePos="0" relativeHeight="15766016">
            <wp:simplePos x="0" y="0"/>
            <wp:positionH relativeFrom="page">
              <wp:posOffset>903604</wp:posOffset>
            </wp:positionH>
            <wp:positionV relativeFrom="paragraph">
              <wp:posOffset>-3582753</wp:posOffset>
            </wp:positionV>
            <wp:extent cx="6358254" cy="3319145"/>
            <wp:effectExtent l="0" t="0" r="0" b="0"/>
            <wp:wrapNone/>
            <wp:docPr id="131" name="Image 131"/>
            <wp:cNvGraphicFramePr>
              <a:graphicFrameLocks/>
            </wp:cNvGraphicFramePr>
            <a:graphic>
              <a:graphicData uri="http://schemas.openxmlformats.org/drawingml/2006/picture">
                <pic:pic>
                  <pic:nvPicPr>
                    <pic:cNvPr id="131" name="Image 131"/>
                    <pic:cNvPicPr/>
                  </pic:nvPicPr>
                  <pic:blipFill>
                    <a:blip r:embed="rId46" cstate="print"/>
                    <a:stretch>
                      <a:fillRect/>
                    </a:stretch>
                  </pic:blipFill>
                  <pic:spPr>
                    <a:xfrm>
                      <a:off x="0" y="0"/>
                      <a:ext cx="6358254" cy="3319145"/>
                    </a:xfrm>
                    <a:prstGeom prst="rect">
                      <a:avLst/>
                    </a:prstGeom>
                  </pic:spPr>
                </pic:pic>
              </a:graphicData>
            </a:graphic>
          </wp:anchor>
        </w:drawing>
      </w:r>
      <w:r>
        <w:rPr/>
        <w:t>Figure 2 – Incidences of Hostage Taking in Niger Delta in 2008 Source:</w:t>
      </w:r>
      <w:r>
        <w:rPr>
          <w:spacing w:val="-5"/>
        </w:rPr>
        <w:t> </w:t>
      </w:r>
      <w:r>
        <w:rPr/>
        <w:t>Shell</w:t>
      </w:r>
      <w:r>
        <w:rPr>
          <w:spacing w:val="-2"/>
        </w:rPr>
        <w:t> </w:t>
      </w:r>
      <w:r>
        <w:rPr/>
        <w:t>Petroleum</w:t>
      </w:r>
      <w:r>
        <w:rPr>
          <w:spacing w:val="-4"/>
        </w:rPr>
        <w:t> </w:t>
      </w:r>
      <w:r>
        <w:rPr/>
        <w:t>Development</w:t>
      </w:r>
      <w:r>
        <w:rPr>
          <w:spacing w:val="-1"/>
        </w:rPr>
        <w:t> </w:t>
      </w:r>
      <w:r>
        <w:rPr/>
        <w:t>Corporation,</w:t>
      </w:r>
      <w:r>
        <w:rPr>
          <w:spacing w:val="-3"/>
        </w:rPr>
        <w:t> </w:t>
      </w:r>
      <w:r>
        <w:rPr/>
        <w:t>Security</w:t>
      </w:r>
      <w:r>
        <w:rPr>
          <w:spacing w:val="-2"/>
        </w:rPr>
        <w:t> Division.</w:t>
      </w:r>
    </w:p>
    <w:p>
      <w:pPr>
        <w:pStyle w:val="BodyText"/>
        <w:spacing w:line="360" w:lineRule="auto"/>
        <w:ind w:right="1253" w:firstLine="900"/>
        <w:jc w:val="both"/>
      </w:pPr>
      <w:r>
        <w:rPr/>
        <w:t>From the statistics, a total of 390 persons were abducted in 2008, out of which 13 were killed and 342 were released by the militants on an average period of less than three weeks after abduction.</w:t>
      </w:r>
      <w:r>
        <w:rPr>
          <w:spacing w:val="40"/>
        </w:rPr>
        <w:t> </w:t>
      </w:r>
      <w:r>
        <w:rPr/>
        <w:t>A closer look at the chart shows that except in the months of April and June, there was a steady rise in hostage taking and</w:t>
      </w:r>
      <w:r>
        <w:rPr>
          <w:spacing w:val="40"/>
        </w:rPr>
        <w:t> </w:t>
      </w:r>
      <w:r>
        <w:rPr/>
        <w:t>kidnapping from the months of January to October 2008.</w:t>
      </w:r>
      <w:r>
        <w:rPr>
          <w:spacing w:val="80"/>
        </w:rPr>
        <w:t> </w:t>
      </w:r>
      <w:r>
        <w:rPr/>
        <w:t>The month of October alone, 130 expatriates (Nigerians inclusive) were taken hostages. Abduction however, reduced in</w:t>
      </w:r>
      <w:r>
        <w:rPr>
          <w:spacing w:val="-1"/>
        </w:rPr>
        <w:t> </w:t>
      </w:r>
      <w:r>
        <w:rPr/>
        <w:t>November</w:t>
      </w:r>
      <w:r>
        <w:rPr>
          <w:spacing w:val="-2"/>
        </w:rPr>
        <w:t> </w:t>
      </w:r>
      <w:r>
        <w:rPr/>
        <w:t>most</w:t>
      </w:r>
      <w:r>
        <w:rPr>
          <w:spacing w:val="-1"/>
        </w:rPr>
        <w:t> </w:t>
      </w:r>
      <w:r>
        <w:rPr/>
        <w:t>probably</w:t>
      </w:r>
      <w:r>
        <w:rPr>
          <w:spacing w:val="-4"/>
        </w:rPr>
        <w:t> </w:t>
      </w:r>
      <w:r>
        <w:rPr/>
        <w:t>because some</w:t>
      </w:r>
      <w:r>
        <w:rPr>
          <w:spacing w:val="-2"/>
        </w:rPr>
        <w:t> </w:t>
      </w:r>
      <w:r>
        <w:rPr/>
        <w:t>construction companies like</w:t>
      </w:r>
      <w:r>
        <w:rPr>
          <w:spacing w:val="-2"/>
        </w:rPr>
        <w:t> </w:t>
      </w:r>
      <w:r>
        <w:rPr/>
        <w:t>Julius Berger Nigeria Limited and Wilbros Engineering Services, suspended operations in the Niger Delta</w:t>
      </w:r>
      <w:r>
        <w:rPr>
          <w:spacing w:val="40"/>
        </w:rPr>
        <w:t> </w:t>
      </w:r>
      <w:r>
        <w:rPr/>
        <w:t>and more robust security measures were accorded</w:t>
      </w:r>
      <w:r>
        <w:rPr>
          <w:spacing w:val="40"/>
        </w:rPr>
        <w:t> </w:t>
      </w:r>
      <w:r>
        <w:rPr/>
        <w:t>the</w:t>
      </w:r>
      <w:r>
        <w:rPr>
          <w:spacing w:val="40"/>
        </w:rPr>
        <w:t> </w:t>
      </w:r>
      <w:r>
        <w:rPr/>
        <w:t>expatriates. The surge in hostage taking shows that the main aim was financial gains.</w:t>
      </w:r>
      <w:r>
        <w:rPr>
          <w:spacing w:val="40"/>
        </w:rPr>
        <w:t> </w:t>
      </w:r>
      <w:r>
        <w:rPr/>
        <w:t>This complicates the nature of incidents in the area and the conduct of Joint Military Task Force operations.</w:t>
      </w:r>
    </w:p>
    <w:p>
      <w:pPr>
        <w:pStyle w:val="BodyText"/>
        <w:spacing w:line="360" w:lineRule="auto"/>
        <w:ind w:right="1256" w:firstLine="720"/>
        <w:jc w:val="both"/>
      </w:pPr>
      <w:r>
        <w:rPr/>
        <w:t>The foregoing suggests, however, that the hostage - taking most especially foreigners for ransom posed a serious challenge to the nation's international image. This often portrays a poor image for Nigeria in the diplomatic circle.</w:t>
      </w:r>
      <w:r>
        <w:rPr>
          <w:spacing w:val="40"/>
        </w:rPr>
        <w:t> </w:t>
      </w:r>
      <w:r>
        <w:rPr/>
        <w:t>The numerous travel</w:t>
      </w:r>
      <w:r>
        <w:rPr>
          <w:spacing w:val="72"/>
        </w:rPr>
        <w:t> </w:t>
      </w:r>
      <w:r>
        <w:rPr/>
        <w:t>alerts</w:t>
      </w:r>
      <w:r>
        <w:rPr>
          <w:spacing w:val="72"/>
        </w:rPr>
        <w:t> </w:t>
      </w:r>
      <w:r>
        <w:rPr/>
        <w:t>issued</w:t>
      </w:r>
      <w:r>
        <w:rPr>
          <w:spacing w:val="72"/>
        </w:rPr>
        <w:t> </w:t>
      </w:r>
      <w:r>
        <w:rPr/>
        <w:t>by Western</w:t>
      </w:r>
      <w:r>
        <w:rPr>
          <w:spacing w:val="72"/>
        </w:rPr>
        <w:t> </w:t>
      </w:r>
      <w:r>
        <w:rPr/>
        <w:t>European</w:t>
      </w:r>
      <w:r>
        <w:rPr>
          <w:spacing w:val="74"/>
        </w:rPr>
        <w:t> </w:t>
      </w:r>
      <w:r>
        <w:rPr/>
        <w:t>countries</w:t>
      </w:r>
      <w:r>
        <w:rPr>
          <w:spacing w:val="40"/>
        </w:rPr>
        <w:t> </w:t>
      </w:r>
      <w:r>
        <w:rPr/>
        <w:t>and</w:t>
      </w:r>
      <w:r>
        <w:rPr>
          <w:spacing w:val="72"/>
        </w:rPr>
        <w:t> </w:t>
      </w:r>
      <w:r>
        <w:rPr/>
        <w:t>of</w:t>
      </w:r>
      <w:r>
        <w:rPr>
          <w:spacing w:val="40"/>
        </w:rPr>
        <w:t> </w:t>
      </w:r>
      <w:r>
        <w:rPr/>
        <w:t>late,</w:t>
      </w:r>
      <w:r>
        <w:rPr>
          <w:spacing w:val="72"/>
        </w:rPr>
        <w:t> </w:t>
      </w:r>
      <w:r>
        <w:rPr/>
        <w:t>the</w:t>
      </w:r>
      <w:r>
        <w:rPr>
          <w:spacing w:val="72"/>
        </w:rPr>
        <w:t> </w:t>
      </w:r>
      <w:r>
        <w:rPr/>
        <w:t>Philippines,</w:t>
      </w:r>
    </w:p>
    <w:p>
      <w:pPr>
        <w:spacing w:after="0" w:line="360" w:lineRule="auto"/>
        <w:jc w:val="both"/>
        <w:sectPr>
          <w:pgSz w:w="11910" w:h="16840"/>
          <w:pgMar w:header="0" w:footer="1561" w:top="1480" w:bottom="1760" w:left="720" w:right="180"/>
        </w:sectPr>
      </w:pPr>
    </w:p>
    <w:p>
      <w:pPr>
        <w:pStyle w:val="BodyText"/>
        <w:spacing w:line="360" w:lineRule="auto" w:before="60"/>
        <w:ind w:right="1255"/>
        <w:jc w:val="both"/>
      </w:pPr>
      <w:r>
        <w:rPr/>
        <mc:AlternateContent>
          <mc:Choice Requires="wps">
            <w:drawing>
              <wp:anchor distT="0" distB="0" distL="0" distR="0" allowOverlap="1" layoutInCell="1" locked="0" behindDoc="1" simplePos="0" relativeHeight="480596480">
                <wp:simplePos x="0" y="0"/>
                <wp:positionH relativeFrom="page">
                  <wp:posOffset>-1537026</wp:posOffset>
                </wp:positionH>
                <wp:positionV relativeFrom="page">
                  <wp:posOffset>4900424</wp:posOffset>
                </wp:positionV>
                <wp:extent cx="10669905" cy="914400"/>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20000;rotation:306" type="#_x0000_t136" fillcolor="#ff5400" stroked="f">
                <o:extrusion v:ext="view" autorotationcenter="t"/>
                <v:textpath style="font-family:&quot;Arial MT&quot;;font-size:72pt;v-text-kern:t;mso-text-shadow:auto" string="UNIVERSITY OF IBADAN"/>
                <w10:wrap type="none"/>
              </v:shape>
            </w:pict>
          </mc:Fallback>
        </mc:AlternateContent>
      </w:r>
      <w:r>
        <w:rPr/>
        <w:t>exemplify the perception of the international community on the state of insecurity in the country.</w:t>
      </w:r>
      <w:r>
        <w:rPr>
          <w:spacing w:val="40"/>
        </w:rPr>
        <w:t> </w:t>
      </w:r>
      <w:r>
        <w:rPr/>
        <w:t>This trend of kidnapping and hostage - takings could strain diplomatic relations between Nigeria and other countries.</w:t>
      </w:r>
      <w:r>
        <w:rPr>
          <w:spacing w:val="40"/>
        </w:rPr>
        <w:t> </w:t>
      </w:r>
      <w:r>
        <w:rPr/>
        <w:t>It could also discourage foreign investments and tourism development in the country.</w:t>
      </w:r>
    </w:p>
    <w:p>
      <w:pPr>
        <w:pStyle w:val="BodyText"/>
        <w:spacing w:line="360" w:lineRule="auto" w:before="1"/>
        <w:ind w:right="1260" w:firstLine="720"/>
        <w:jc w:val="both"/>
      </w:pPr>
      <w:r>
        <w:rPr/>
        <w:t>There is also the issue of environmental degradation. According to the UNDP Niger Delta Thurman Development report, oil and gas exploitation has had a severe impact on the Niger Delta‟s environment and communities.</w:t>
      </w:r>
      <w:r>
        <w:rPr>
          <w:spacing w:val="40"/>
        </w:rPr>
        <w:t> </w:t>
      </w:r>
      <w:r>
        <w:rPr/>
        <w:t>Apart from pollution, oil and gas exploitation has negatively affected socio-economic condition through effluence and wastes from oil operations, oil spills, gas leaks and flares and canalization among others.</w:t>
      </w:r>
    </w:p>
    <w:p>
      <w:pPr>
        <w:pStyle w:val="BodyText"/>
        <w:ind w:left="0"/>
        <w:rPr>
          <w:sz w:val="20"/>
        </w:rPr>
      </w:pPr>
    </w:p>
    <w:p>
      <w:pPr>
        <w:pStyle w:val="BodyText"/>
        <w:spacing w:before="38"/>
        <w:ind w:left="0"/>
        <w:rPr>
          <w:sz w:val="20"/>
        </w:rPr>
      </w:pPr>
      <w:r>
        <w:rPr/>
        <w:drawing>
          <wp:anchor distT="0" distB="0" distL="0" distR="0" allowOverlap="1" layoutInCell="1" locked="0" behindDoc="1" simplePos="0" relativeHeight="487625728">
            <wp:simplePos x="0" y="0"/>
            <wp:positionH relativeFrom="page">
              <wp:posOffset>1372361</wp:posOffset>
            </wp:positionH>
            <wp:positionV relativeFrom="paragraph">
              <wp:posOffset>186029</wp:posOffset>
            </wp:positionV>
            <wp:extent cx="3788160" cy="2903220"/>
            <wp:effectExtent l="0" t="0" r="0" b="0"/>
            <wp:wrapTopAndBottom/>
            <wp:docPr id="133" name="Image 133"/>
            <wp:cNvGraphicFramePr>
              <a:graphicFrameLocks/>
            </wp:cNvGraphicFramePr>
            <a:graphic>
              <a:graphicData uri="http://schemas.openxmlformats.org/drawingml/2006/picture">
                <pic:pic>
                  <pic:nvPicPr>
                    <pic:cNvPr id="133" name="Image 133"/>
                    <pic:cNvPicPr/>
                  </pic:nvPicPr>
                  <pic:blipFill>
                    <a:blip r:embed="rId47" cstate="print"/>
                    <a:stretch>
                      <a:fillRect/>
                    </a:stretch>
                  </pic:blipFill>
                  <pic:spPr>
                    <a:xfrm>
                      <a:off x="0" y="0"/>
                      <a:ext cx="3788160" cy="2903220"/>
                    </a:xfrm>
                    <a:prstGeom prst="rect">
                      <a:avLst/>
                    </a:prstGeom>
                  </pic:spPr>
                </pic:pic>
              </a:graphicData>
            </a:graphic>
          </wp:anchor>
        </w:drawing>
      </w:r>
    </w:p>
    <w:p>
      <w:pPr>
        <w:pStyle w:val="BodyText"/>
        <w:spacing w:before="92"/>
        <w:ind w:left="0"/>
      </w:pPr>
    </w:p>
    <w:p>
      <w:pPr>
        <w:spacing w:before="1"/>
        <w:ind w:left="1440" w:right="0" w:firstLine="0"/>
        <w:jc w:val="left"/>
        <w:rPr>
          <w:b/>
          <w:sz w:val="24"/>
        </w:rPr>
      </w:pPr>
      <w:r>
        <w:rPr>
          <w:b/>
          <w:sz w:val="24"/>
        </w:rPr>
        <w:t>Plate</w:t>
      </w:r>
      <w:r>
        <w:rPr>
          <w:b/>
          <w:spacing w:val="-5"/>
          <w:sz w:val="24"/>
        </w:rPr>
        <w:t> </w:t>
      </w:r>
      <w:r>
        <w:rPr>
          <w:b/>
          <w:sz w:val="24"/>
        </w:rPr>
        <w:t>24: Gas</w:t>
      </w:r>
      <w:r>
        <w:rPr>
          <w:b/>
          <w:spacing w:val="1"/>
          <w:sz w:val="24"/>
        </w:rPr>
        <w:t> </w:t>
      </w:r>
      <w:r>
        <w:rPr>
          <w:b/>
          <w:sz w:val="24"/>
        </w:rPr>
        <w:t>Flaring</w:t>
      </w:r>
      <w:r>
        <w:rPr>
          <w:b/>
          <w:spacing w:val="-2"/>
          <w:sz w:val="24"/>
        </w:rPr>
        <w:t> </w:t>
      </w:r>
      <w:r>
        <w:rPr>
          <w:b/>
          <w:sz w:val="24"/>
        </w:rPr>
        <w:t>in the</w:t>
      </w:r>
      <w:r>
        <w:rPr>
          <w:b/>
          <w:spacing w:val="-2"/>
          <w:sz w:val="24"/>
        </w:rPr>
        <w:t> </w:t>
      </w:r>
      <w:r>
        <w:rPr>
          <w:b/>
          <w:sz w:val="24"/>
        </w:rPr>
        <w:t>Niger</w:t>
      </w:r>
      <w:r>
        <w:rPr>
          <w:b/>
          <w:spacing w:val="-2"/>
          <w:sz w:val="24"/>
        </w:rPr>
        <w:t> Delta</w:t>
      </w:r>
    </w:p>
    <w:p>
      <w:pPr>
        <w:spacing w:before="242"/>
        <w:ind w:left="1440" w:right="0" w:firstLine="0"/>
        <w:jc w:val="left"/>
        <w:rPr>
          <w:b/>
          <w:sz w:val="24"/>
        </w:rPr>
      </w:pPr>
      <w:r>
        <w:rPr>
          <w:b/>
          <w:sz w:val="24"/>
        </w:rPr>
        <w:t>Source:</w:t>
      </w:r>
      <w:r>
        <w:rPr>
          <w:b/>
          <w:spacing w:val="54"/>
          <w:sz w:val="24"/>
        </w:rPr>
        <w:t> </w:t>
      </w:r>
      <w:r>
        <w:rPr>
          <w:b/>
          <w:sz w:val="24"/>
        </w:rPr>
        <w:t>Researcher’s</w:t>
      </w:r>
      <w:r>
        <w:rPr>
          <w:b/>
          <w:spacing w:val="-1"/>
          <w:sz w:val="24"/>
        </w:rPr>
        <w:t> </w:t>
      </w:r>
      <w:r>
        <w:rPr>
          <w:b/>
          <w:sz w:val="24"/>
        </w:rPr>
        <w:t>Fieldwork,</w:t>
      </w:r>
      <w:r>
        <w:rPr>
          <w:b/>
          <w:spacing w:val="-3"/>
          <w:sz w:val="24"/>
        </w:rPr>
        <w:t> </w:t>
      </w:r>
      <w:r>
        <w:rPr>
          <w:b/>
          <w:sz w:val="24"/>
        </w:rPr>
        <w:t>14</w:t>
      </w:r>
      <w:r>
        <w:rPr>
          <w:b/>
          <w:spacing w:val="-5"/>
          <w:sz w:val="24"/>
        </w:rPr>
        <w:t> </w:t>
      </w:r>
      <w:r>
        <w:rPr>
          <w:b/>
          <w:sz w:val="24"/>
        </w:rPr>
        <w:t>September,</w:t>
      </w:r>
      <w:r>
        <w:rPr>
          <w:b/>
          <w:spacing w:val="-2"/>
          <w:sz w:val="24"/>
        </w:rPr>
        <w:t> </w:t>
      </w:r>
      <w:r>
        <w:rPr>
          <w:b/>
          <w:spacing w:val="-4"/>
          <w:sz w:val="24"/>
        </w:rPr>
        <w:t>2011</w:t>
      </w:r>
    </w:p>
    <w:p>
      <w:pPr>
        <w:spacing w:after="0"/>
        <w:jc w:val="left"/>
        <w:rPr>
          <w:sz w:val="24"/>
        </w:rPr>
        <w:sectPr>
          <w:pgSz w:w="11910" w:h="16840"/>
          <w:pgMar w:header="0" w:footer="1561" w:top="1360" w:bottom="1760" w:left="720" w:right="180"/>
        </w:sectPr>
      </w:pPr>
    </w:p>
    <w:p>
      <w:pPr>
        <w:pStyle w:val="BodyText"/>
        <w:ind w:left="0"/>
        <w:rPr>
          <w:b/>
        </w:rPr>
      </w:pPr>
      <w:r>
        <w:rPr/>
        <mc:AlternateContent>
          <mc:Choice Requires="wps">
            <w:drawing>
              <wp:anchor distT="0" distB="0" distL="0" distR="0" allowOverlap="1" layoutInCell="1" locked="0" behindDoc="1" simplePos="0" relativeHeight="480596992">
                <wp:simplePos x="0" y="0"/>
                <wp:positionH relativeFrom="page">
                  <wp:posOffset>-1537026</wp:posOffset>
                </wp:positionH>
                <wp:positionV relativeFrom="page">
                  <wp:posOffset>4900424</wp:posOffset>
                </wp:positionV>
                <wp:extent cx="10669905" cy="914400"/>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19488;rotation:306" type="#_x0000_t136" fillcolor="#ff5400" stroked="f">
                <o:extrusion v:ext="view" autorotationcenter="t"/>
                <v:textpath style="font-family:&quot;Arial MT&quot;;font-size:72pt;v-text-kern:t;mso-text-shadow:auto" string="UNIVERSITY OF IBADAN"/>
                <w10:wrap type="none"/>
              </v:shape>
            </w:pict>
          </mc:Fallback>
        </mc:AlternateContent>
      </w: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spacing w:before="86"/>
        <w:ind w:left="0"/>
        <w:rPr>
          <w:b/>
        </w:rPr>
      </w:pPr>
    </w:p>
    <w:p>
      <w:pPr>
        <w:spacing w:line="360" w:lineRule="auto" w:before="0"/>
        <w:ind w:left="1440" w:right="3112" w:firstLine="0"/>
        <w:jc w:val="left"/>
        <w:rPr>
          <w:b/>
          <w:sz w:val="24"/>
        </w:rPr>
      </w:pPr>
      <w:r>
        <w:rPr/>
        <w:drawing>
          <wp:anchor distT="0" distB="0" distL="0" distR="0" allowOverlap="1" layoutInCell="1" locked="0" behindDoc="0" simplePos="0" relativeHeight="15768064">
            <wp:simplePos x="0" y="0"/>
            <wp:positionH relativeFrom="page">
              <wp:posOffset>1390650</wp:posOffset>
            </wp:positionH>
            <wp:positionV relativeFrom="paragraph">
              <wp:posOffset>-3029712</wp:posOffset>
            </wp:positionV>
            <wp:extent cx="4443095" cy="2941954"/>
            <wp:effectExtent l="0" t="0" r="0" b="0"/>
            <wp:wrapNone/>
            <wp:docPr id="135" name="Image 135" descr="DSC00501"/>
            <wp:cNvGraphicFramePr>
              <a:graphicFrameLocks/>
            </wp:cNvGraphicFramePr>
            <a:graphic>
              <a:graphicData uri="http://schemas.openxmlformats.org/drawingml/2006/picture">
                <pic:pic>
                  <pic:nvPicPr>
                    <pic:cNvPr id="135" name="Image 135" descr="DSC00501"/>
                    <pic:cNvPicPr/>
                  </pic:nvPicPr>
                  <pic:blipFill>
                    <a:blip r:embed="rId48" cstate="print"/>
                    <a:stretch>
                      <a:fillRect/>
                    </a:stretch>
                  </pic:blipFill>
                  <pic:spPr>
                    <a:xfrm>
                      <a:off x="0" y="0"/>
                      <a:ext cx="4443095" cy="2941954"/>
                    </a:xfrm>
                    <a:prstGeom prst="rect">
                      <a:avLst/>
                    </a:prstGeom>
                  </pic:spPr>
                </pic:pic>
              </a:graphicData>
            </a:graphic>
          </wp:anchor>
        </w:drawing>
      </w:r>
      <w:r>
        <w:rPr/>
        <w:drawing>
          <wp:anchor distT="0" distB="0" distL="0" distR="0" allowOverlap="1" layoutInCell="1" locked="0" behindDoc="0" simplePos="0" relativeHeight="15768576">
            <wp:simplePos x="0" y="0"/>
            <wp:positionH relativeFrom="page">
              <wp:posOffset>1390650</wp:posOffset>
            </wp:positionH>
            <wp:positionV relativeFrom="paragraph">
              <wp:posOffset>525779</wp:posOffset>
            </wp:positionV>
            <wp:extent cx="4303395" cy="3230117"/>
            <wp:effectExtent l="0" t="0" r="0" b="0"/>
            <wp:wrapNone/>
            <wp:docPr id="136" name="Image 136" descr="DSC00522"/>
            <wp:cNvGraphicFramePr>
              <a:graphicFrameLocks/>
            </wp:cNvGraphicFramePr>
            <a:graphic>
              <a:graphicData uri="http://schemas.openxmlformats.org/drawingml/2006/picture">
                <pic:pic>
                  <pic:nvPicPr>
                    <pic:cNvPr id="136" name="Image 136" descr="DSC00522"/>
                    <pic:cNvPicPr/>
                  </pic:nvPicPr>
                  <pic:blipFill>
                    <a:blip r:embed="rId49" cstate="print"/>
                    <a:stretch>
                      <a:fillRect/>
                    </a:stretch>
                  </pic:blipFill>
                  <pic:spPr>
                    <a:xfrm>
                      <a:off x="0" y="0"/>
                      <a:ext cx="4303395" cy="3230117"/>
                    </a:xfrm>
                    <a:prstGeom prst="rect">
                      <a:avLst/>
                    </a:prstGeom>
                  </pic:spPr>
                </pic:pic>
              </a:graphicData>
            </a:graphic>
          </wp:anchor>
        </w:drawing>
      </w:r>
      <w:r>
        <w:rPr>
          <w:b/>
          <w:sz w:val="24"/>
        </w:rPr>
        <w:t>Plate</w:t>
      </w:r>
      <w:r>
        <w:rPr>
          <w:b/>
          <w:spacing w:val="-6"/>
          <w:sz w:val="24"/>
        </w:rPr>
        <w:t> </w:t>
      </w:r>
      <w:r>
        <w:rPr>
          <w:b/>
          <w:sz w:val="24"/>
        </w:rPr>
        <w:t>25:</w:t>
      </w:r>
      <w:r>
        <w:rPr>
          <w:b/>
          <w:spacing w:val="-4"/>
          <w:sz w:val="24"/>
        </w:rPr>
        <w:t> </w:t>
      </w:r>
      <w:r>
        <w:rPr>
          <w:b/>
          <w:sz w:val="24"/>
        </w:rPr>
        <w:t>Pollution</w:t>
      </w:r>
      <w:r>
        <w:rPr>
          <w:b/>
          <w:spacing w:val="-5"/>
          <w:sz w:val="24"/>
        </w:rPr>
        <w:t> </w:t>
      </w:r>
      <w:r>
        <w:rPr>
          <w:b/>
          <w:sz w:val="24"/>
        </w:rPr>
        <w:t>of</w:t>
      </w:r>
      <w:r>
        <w:rPr>
          <w:b/>
          <w:spacing w:val="-4"/>
          <w:sz w:val="24"/>
        </w:rPr>
        <w:t> </w:t>
      </w:r>
      <w:r>
        <w:rPr>
          <w:b/>
          <w:sz w:val="24"/>
        </w:rPr>
        <w:t>Niger</w:t>
      </w:r>
      <w:r>
        <w:rPr>
          <w:b/>
          <w:spacing w:val="-6"/>
          <w:sz w:val="24"/>
        </w:rPr>
        <w:t> </w:t>
      </w:r>
      <w:r>
        <w:rPr>
          <w:b/>
          <w:sz w:val="24"/>
        </w:rPr>
        <w:t>Delta</w:t>
      </w:r>
      <w:r>
        <w:rPr>
          <w:b/>
          <w:spacing w:val="-4"/>
          <w:sz w:val="24"/>
        </w:rPr>
        <w:t> </w:t>
      </w:r>
      <w:r>
        <w:rPr>
          <w:b/>
          <w:sz w:val="24"/>
        </w:rPr>
        <w:t>Creeks</w:t>
      </w:r>
      <w:r>
        <w:rPr>
          <w:b/>
          <w:spacing w:val="-5"/>
          <w:sz w:val="24"/>
        </w:rPr>
        <w:t> </w:t>
      </w:r>
      <w:r>
        <w:rPr>
          <w:b/>
          <w:sz w:val="24"/>
        </w:rPr>
        <w:t>due</w:t>
      </w:r>
      <w:r>
        <w:rPr>
          <w:b/>
          <w:spacing w:val="-6"/>
          <w:sz w:val="24"/>
        </w:rPr>
        <w:t> </w:t>
      </w:r>
      <w:r>
        <w:rPr>
          <w:b/>
          <w:sz w:val="24"/>
        </w:rPr>
        <w:t>to</w:t>
      </w:r>
      <w:r>
        <w:rPr>
          <w:b/>
          <w:spacing w:val="-5"/>
          <w:sz w:val="24"/>
        </w:rPr>
        <w:t> </w:t>
      </w:r>
      <w:r>
        <w:rPr>
          <w:b/>
          <w:sz w:val="24"/>
        </w:rPr>
        <w:t>Vandalism Source: Researcher’s Fieldwork, 14 September 2011</w:t>
      </w: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spacing w:before="257"/>
        <w:ind w:left="0"/>
        <w:rPr>
          <w:b/>
        </w:rPr>
      </w:pPr>
    </w:p>
    <w:p>
      <w:pPr>
        <w:spacing w:line="360" w:lineRule="auto" w:before="1"/>
        <w:ind w:left="1440" w:right="2080" w:firstLine="0"/>
        <w:jc w:val="left"/>
        <w:rPr>
          <w:b/>
          <w:sz w:val="24"/>
        </w:rPr>
      </w:pPr>
      <w:r>
        <w:rPr>
          <w:b/>
          <w:sz w:val="24"/>
        </w:rPr>
        <w:t>Plate</w:t>
      </w:r>
      <w:r>
        <w:rPr>
          <w:b/>
          <w:spacing w:val="-6"/>
          <w:sz w:val="24"/>
        </w:rPr>
        <w:t> </w:t>
      </w:r>
      <w:r>
        <w:rPr>
          <w:b/>
          <w:sz w:val="24"/>
        </w:rPr>
        <w:t>26:</w:t>
      </w:r>
      <w:r>
        <w:rPr>
          <w:b/>
          <w:spacing w:val="-4"/>
          <w:sz w:val="24"/>
        </w:rPr>
        <w:t> </w:t>
      </w:r>
      <w:r>
        <w:rPr>
          <w:b/>
          <w:sz w:val="24"/>
        </w:rPr>
        <w:t>Pollution</w:t>
      </w:r>
      <w:r>
        <w:rPr>
          <w:b/>
          <w:spacing w:val="-5"/>
          <w:sz w:val="24"/>
        </w:rPr>
        <w:t> </w:t>
      </w:r>
      <w:r>
        <w:rPr>
          <w:b/>
          <w:sz w:val="24"/>
        </w:rPr>
        <w:t>of</w:t>
      </w:r>
      <w:r>
        <w:rPr>
          <w:b/>
          <w:spacing w:val="-4"/>
          <w:sz w:val="24"/>
        </w:rPr>
        <w:t> </w:t>
      </w:r>
      <w:r>
        <w:rPr>
          <w:b/>
          <w:sz w:val="24"/>
        </w:rPr>
        <w:t>Niger</w:t>
      </w:r>
      <w:r>
        <w:rPr>
          <w:b/>
          <w:spacing w:val="-6"/>
          <w:sz w:val="24"/>
        </w:rPr>
        <w:t> </w:t>
      </w:r>
      <w:r>
        <w:rPr>
          <w:b/>
          <w:sz w:val="24"/>
        </w:rPr>
        <w:t>Delta</w:t>
      </w:r>
      <w:r>
        <w:rPr>
          <w:b/>
          <w:spacing w:val="-5"/>
          <w:sz w:val="24"/>
        </w:rPr>
        <w:t> </w:t>
      </w:r>
      <w:r>
        <w:rPr>
          <w:b/>
          <w:sz w:val="24"/>
        </w:rPr>
        <w:t>Environment</w:t>
      </w:r>
      <w:r>
        <w:rPr>
          <w:b/>
          <w:spacing w:val="-4"/>
          <w:sz w:val="24"/>
        </w:rPr>
        <w:t> </w:t>
      </w:r>
      <w:r>
        <w:rPr>
          <w:b/>
          <w:sz w:val="24"/>
        </w:rPr>
        <w:t>due</w:t>
      </w:r>
      <w:r>
        <w:rPr>
          <w:b/>
          <w:spacing w:val="-6"/>
          <w:sz w:val="24"/>
        </w:rPr>
        <w:t> </w:t>
      </w:r>
      <w:r>
        <w:rPr>
          <w:b/>
          <w:sz w:val="24"/>
        </w:rPr>
        <w:t>to</w:t>
      </w:r>
      <w:r>
        <w:rPr>
          <w:b/>
          <w:spacing w:val="-5"/>
          <w:sz w:val="24"/>
        </w:rPr>
        <w:t> </w:t>
      </w:r>
      <w:r>
        <w:rPr>
          <w:b/>
          <w:sz w:val="24"/>
        </w:rPr>
        <w:t>Militant</w:t>
      </w:r>
      <w:r>
        <w:rPr>
          <w:b/>
          <w:spacing w:val="-5"/>
          <w:sz w:val="24"/>
        </w:rPr>
        <w:t> </w:t>
      </w:r>
      <w:r>
        <w:rPr>
          <w:b/>
          <w:sz w:val="24"/>
        </w:rPr>
        <w:t>Activities Source: Researcher’s Fieldwork, 14 September 2011</w:t>
      </w:r>
    </w:p>
    <w:p>
      <w:pPr>
        <w:spacing w:after="0" w:line="360" w:lineRule="auto"/>
        <w:jc w:val="left"/>
        <w:rPr>
          <w:sz w:val="24"/>
        </w:rPr>
        <w:sectPr>
          <w:pgSz w:w="11910" w:h="16840"/>
          <w:pgMar w:header="0" w:footer="1561" w:top="1420" w:bottom="1760" w:left="720" w:right="180"/>
        </w:sectPr>
      </w:pPr>
    </w:p>
    <w:p>
      <w:pPr>
        <w:pStyle w:val="BodyText"/>
        <w:ind w:left="0"/>
        <w:rPr>
          <w:b/>
        </w:rPr>
      </w:pPr>
      <w:r>
        <w:rPr/>
        <mc:AlternateContent>
          <mc:Choice Requires="wps">
            <w:drawing>
              <wp:anchor distT="0" distB="0" distL="0" distR="0" allowOverlap="1" layoutInCell="1" locked="0" behindDoc="1" simplePos="0" relativeHeight="480598528">
                <wp:simplePos x="0" y="0"/>
                <wp:positionH relativeFrom="page">
                  <wp:posOffset>-1537026</wp:posOffset>
                </wp:positionH>
                <wp:positionV relativeFrom="page">
                  <wp:posOffset>4900424</wp:posOffset>
                </wp:positionV>
                <wp:extent cx="10669905" cy="914400"/>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17952;rotation:306" type="#_x0000_t136" fillcolor="#ff5400" stroked="f">
                <o:extrusion v:ext="view" autorotationcenter="t"/>
                <v:textpath style="font-family:&quot;Arial MT&quot;;font-size:72pt;v-text-kern:t;mso-text-shadow:auto" string="UNIVERSITY OF IBADAN"/>
                <w10:wrap type="none"/>
              </v:shape>
            </w:pict>
          </mc:Fallback>
        </mc:AlternateContent>
      </w: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spacing w:before="201"/>
        <w:ind w:left="0"/>
        <w:rPr>
          <w:b/>
        </w:rPr>
      </w:pPr>
    </w:p>
    <w:p>
      <w:pPr>
        <w:spacing w:line="360" w:lineRule="auto" w:before="0"/>
        <w:ind w:left="1440" w:right="3112" w:firstLine="0"/>
        <w:jc w:val="left"/>
        <w:rPr>
          <w:b/>
          <w:sz w:val="24"/>
        </w:rPr>
      </w:pPr>
      <w:r>
        <w:rPr/>
        <w:drawing>
          <wp:anchor distT="0" distB="0" distL="0" distR="0" allowOverlap="1" layoutInCell="1" locked="0" behindDoc="0" simplePos="0" relativeHeight="15769600">
            <wp:simplePos x="0" y="0"/>
            <wp:positionH relativeFrom="page">
              <wp:posOffset>1390650</wp:posOffset>
            </wp:positionH>
            <wp:positionV relativeFrom="paragraph">
              <wp:posOffset>-3277983</wp:posOffset>
            </wp:positionV>
            <wp:extent cx="4256404" cy="3190112"/>
            <wp:effectExtent l="0" t="0" r="0" b="0"/>
            <wp:wrapNone/>
            <wp:docPr id="138" name="Image 138" descr="DSC00454"/>
            <wp:cNvGraphicFramePr>
              <a:graphicFrameLocks/>
            </wp:cNvGraphicFramePr>
            <a:graphic>
              <a:graphicData uri="http://schemas.openxmlformats.org/drawingml/2006/picture">
                <pic:pic>
                  <pic:nvPicPr>
                    <pic:cNvPr id="138" name="Image 138" descr="DSC00454"/>
                    <pic:cNvPicPr/>
                  </pic:nvPicPr>
                  <pic:blipFill>
                    <a:blip r:embed="rId50" cstate="print"/>
                    <a:stretch>
                      <a:fillRect/>
                    </a:stretch>
                  </pic:blipFill>
                  <pic:spPr>
                    <a:xfrm>
                      <a:off x="0" y="0"/>
                      <a:ext cx="4256404" cy="3190112"/>
                    </a:xfrm>
                    <a:prstGeom prst="rect">
                      <a:avLst/>
                    </a:prstGeom>
                  </pic:spPr>
                </pic:pic>
              </a:graphicData>
            </a:graphic>
          </wp:anchor>
        </w:drawing>
      </w:r>
      <w:r>
        <w:rPr/>
        <w:drawing>
          <wp:anchor distT="0" distB="0" distL="0" distR="0" allowOverlap="1" layoutInCell="1" locked="0" behindDoc="0" simplePos="0" relativeHeight="15770112">
            <wp:simplePos x="0" y="0"/>
            <wp:positionH relativeFrom="page">
              <wp:posOffset>1390650</wp:posOffset>
            </wp:positionH>
            <wp:positionV relativeFrom="paragraph">
              <wp:posOffset>788429</wp:posOffset>
            </wp:positionV>
            <wp:extent cx="4264025" cy="3200400"/>
            <wp:effectExtent l="0" t="0" r="0" b="0"/>
            <wp:wrapNone/>
            <wp:docPr id="139" name="Image 139" descr="SDC11296"/>
            <wp:cNvGraphicFramePr>
              <a:graphicFrameLocks/>
            </wp:cNvGraphicFramePr>
            <a:graphic>
              <a:graphicData uri="http://schemas.openxmlformats.org/drawingml/2006/picture">
                <pic:pic>
                  <pic:nvPicPr>
                    <pic:cNvPr id="139" name="Image 139" descr="SDC11296"/>
                    <pic:cNvPicPr/>
                  </pic:nvPicPr>
                  <pic:blipFill>
                    <a:blip r:embed="rId37" cstate="print"/>
                    <a:stretch>
                      <a:fillRect/>
                    </a:stretch>
                  </pic:blipFill>
                  <pic:spPr>
                    <a:xfrm>
                      <a:off x="0" y="0"/>
                      <a:ext cx="4264025" cy="3200400"/>
                    </a:xfrm>
                    <a:prstGeom prst="rect">
                      <a:avLst/>
                    </a:prstGeom>
                  </pic:spPr>
                </pic:pic>
              </a:graphicData>
            </a:graphic>
          </wp:anchor>
        </w:drawing>
      </w:r>
      <w:r>
        <w:rPr>
          <w:b/>
          <w:sz w:val="24"/>
        </w:rPr>
        <w:t>Plate</w:t>
      </w:r>
      <w:r>
        <w:rPr>
          <w:b/>
          <w:spacing w:val="-4"/>
          <w:sz w:val="24"/>
        </w:rPr>
        <w:t> </w:t>
      </w:r>
      <w:r>
        <w:rPr>
          <w:b/>
          <w:sz w:val="24"/>
        </w:rPr>
        <w:t>27:</w:t>
      </w:r>
      <w:r>
        <w:rPr>
          <w:b/>
          <w:spacing w:val="-4"/>
          <w:sz w:val="24"/>
        </w:rPr>
        <w:t> </w:t>
      </w:r>
      <w:r>
        <w:rPr>
          <w:b/>
          <w:sz w:val="24"/>
        </w:rPr>
        <w:t>A</w:t>
      </w:r>
      <w:r>
        <w:rPr>
          <w:b/>
          <w:spacing w:val="-5"/>
          <w:sz w:val="24"/>
        </w:rPr>
        <w:t> </w:t>
      </w:r>
      <w:r>
        <w:rPr>
          <w:b/>
          <w:sz w:val="24"/>
        </w:rPr>
        <w:t>typical</w:t>
      </w:r>
      <w:r>
        <w:rPr>
          <w:b/>
          <w:spacing w:val="-4"/>
          <w:sz w:val="24"/>
        </w:rPr>
        <w:t> </w:t>
      </w:r>
      <w:r>
        <w:rPr>
          <w:b/>
          <w:sz w:val="24"/>
        </w:rPr>
        <w:t>site</w:t>
      </w:r>
      <w:r>
        <w:rPr>
          <w:b/>
          <w:spacing w:val="-5"/>
          <w:sz w:val="24"/>
        </w:rPr>
        <w:t> </w:t>
      </w:r>
      <w:r>
        <w:rPr>
          <w:b/>
          <w:sz w:val="24"/>
        </w:rPr>
        <w:t>for</w:t>
      </w:r>
      <w:r>
        <w:rPr>
          <w:b/>
          <w:spacing w:val="-4"/>
          <w:sz w:val="24"/>
        </w:rPr>
        <w:t> </w:t>
      </w:r>
      <w:r>
        <w:rPr>
          <w:b/>
          <w:sz w:val="24"/>
        </w:rPr>
        <w:t>Illegal</w:t>
      </w:r>
      <w:r>
        <w:rPr>
          <w:b/>
          <w:spacing w:val="-4"/>
          <w:sz w:val="24"/>
        </w:rPr>
        <w:t> </w:t>
      </w:r>
      <w:r>
        <w:rPr>
          <w:b/>
          <w:sz w:val="24"/>
        </w:rPr>
        <w:t>Refinery</w:t>
      </w:r>
      <w:r>
        <w:rPr>
          <w:b/>
          <w:spacing w:val="-4"/>
          <w:sz w:val="24"/>
        </w:rPr>
        <w:t> </w:t>
      </w:r>
      <w:r>
        <w:rPr>
          <w:b/>
          <w:sz w:val="24"/>
        </w:rPr>
        <w:t>in</w:t>
      </w:r>
      <w:r>
        <w:rPr>
          <w:b/>
          <w:spacing w:val="-3"/>
          <w:sz w:val="24"/>
        </w:rPr>
        <w:t> </w:t>
      </w:r>
      <w:r>
        <w:rPr>
          <w:b/>
          <w:sz w:val="24"/>
        </w:rPr>
        <w:t>the</w:t>
      </w:r>
      <w:r>
        <w:rPr>
          <w:b/>
          <w:spacing w:val="-4"/>
          <w:sz w:val="24"/>
        </w:rPr>
        <w:t> </w:t>
      </w:r>
      <w:r>
        <w:rPr>
          <w:b/>
          <w:sz w:val="24"/>
        </w:rPr>
        <w:t>Niger</w:t>
      </w:r>
      <w:r>
        <w:rPr>
          <w:b/>
          <w:spacing w:val="-4"/>
          <w:sz w:val="24"/>
        </w:rPr>
        <w:t> </w:t>
      </w:r>
      <w:r>
        <w:rPr>
          <w:b/>
          <w:sz w:val="24"/>
        </w:rPr>
        <w:t>Delta Source: Researcher’s 25 June 2010 Fieldwork,</w:t>
      </w: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spacing w:before="73"/>
        <w:ind w:left="0"/>
        <w:rPr>
          <w:b/>
        </w:rPr>
      </w:pPr>
    </w:p>
    <w:p>
      <w:pPr>
        <w:spacing w:line="360" w:lineRule="auto" w:before="1"/>
        <w:ind w:left="1440" w:right="3654" w:firstLine="0"/>
        <w:jc w:val="left"/>
        <w:rPr>
          <w:b/>
          <w:sz w:val="24"/>
        </w:rPr>
      </w:pPr>
      <w:r>
        <w:rPr>
          <w:b/>
          <w:sz w:val="24"/>
        </w:rPr>
        <w:t>Plate</w:t>
      </w:r>
      <w:r>
        <w:rPr>
          <w:b/>
          <w:spacing w:val="-6"/>
          <w:sz w:val="24"/>
        </w:rPr>
        <w:t> </w:t>
      </w:r>
      <w:r>
        <w:rPr>
          <w:b/>
          <w:sz w:val="24"/>
        </w:rPr>
        <w:t>28:</w:t>
      </w:r>
      <w:r>
        <w:rPr>
          <w:b/>
          <w:spacing w:val="-5"/>
          <w:sz w:val="24"/>
        </w:rPr>
        <w:t> </w:t>
      </w:r>
      <w:r>
        <w:rPr>
          <w:b/>
          <w:sz w:val="24"/>
        </w:rPr>
        <w:t>Illegal</w:t>
      </w:r>
      <w:r>
        <w:rPr>
          <w:b/>
          <w:spacing w:val="-5"/>
          <w:sz w:val="24"/>
        </w:rPr>
        <w:t> </w:t>
      </w:r>
      <w:r>
        <w:rPr>
          <w:b/>
          <w:sz w:val="24"/>
        </w:rPr>
        <w:t>Oil</w:t>
      </w:r>
      <w:r>
        <w:rPr>
          <w:b/>
          <w:spacing w:val="-5"/>
          <w:sz w:val="24"/>
        </w:rPr>
        <w:t> </w:t>
      </w:r>
      <w:r>
        <w:rPr>
          <w:b/>
          <w:sz w:val="24"/>
        </w:rPr>
        <w:t>Refinery</w:t>
      </w:r>
      <w:r>
        <w:rPr>
          <w:b/>
          <w:spacing w:val="-5"/>
          <w:sz w:val="24"/>
        </w:rPr>
        <w:t> </w:t>
      </w:r>
      <w:r>
        <w:rPr>
          <w:b/>
          <w:sz w:val="24"/>
        </w:rPr>
        <w:t>Site</w:t>
      </w:r>
      <w:r>
        <w:rPr>
          <w:b/>
          <w:spacing w:val="-7"/>
          <w:sz w:val="24"/>
        </w:rPr>
        <w:t> </w:t>
      </w:r>
      <w:r>
        <w:rPr>
          <w:b/>
          <w:sz w:val="24"/>
        </w:rPr>
        <w:t>Destroyed</w:t>
      </w:r>
      <w:r>
        <w:rPr>
          <w:b/>
          <w:spacing w:val="-5"/>
          <w:sz w:val="24"/>
        </w:rPr>
        <w:t> </w:t>
      </w:r>
      <w:r>
        <w:rPr>
          <w:b/>
          <w:sz w:val="24"/>
        </w:rPr>
        <w:t>by</w:t>
      </w:r>
      <w:r>
        <w:rPr>
          <w:b/>
          <w:spacing w:val="-5"/>
          <w:sz w:val="24"/>
        </w:rPr>
        <w:t> </w:t>
      </w:r>
      <w:r>
        <w:rPr>
          <w:b/>
          <w:sz w:val="24"/>
        </w:rPr>
        <w:t>JTF Source:</w:t>
      </w:r>
      <w:r>
        <w:rPr>
          <w:b/>
          <w:spacing w:val="-6"/>
          <w:sz w:val="24"/>
        </w:rPr>
        <w:t> </w:t>
      </w:r>
      <w:r>
        <w:rPr>
          <w:b/>
          <w:sz w:val="24"/>
        </w:rPr>
        <w:t>Researcher’s</w:t>
      </w:r>
      <w:r>
        <w:rPr>
          <w:b/>
          <w:spacing w:val="-3"/>
          <w:sz w:val="24"/>
        </w:rPr>
        <w:t> </w:t>
      </w:r>
      <w:r>
        <w:rPr>
          <w:b/>
          <w:sz w:val="24"/>
        </w:rPr>
        <w:t>Fieldwork,</w:t>
      </w:r>
      <w:r>
        <w:rPr>
          <w:b/>
          <w:spacing w:val="-4"/>
          <w:sz w:val="24"/>
        </w:rPr>
        <w:t> </w:t>
      </w:r>
      <w:r>
        <w:rPr>
          <w:b/>
          <w:sz w:val="24"/>
        </w:rPr>
        <w:t>2</w:t>
      </w:r>
      <w:r>
        <w:rPr>
          <w:b/>
          <w:spacing w:val="-4"/>
          <w:sz w:val="24"/>
        </w:rPr>
        <w:t> </w:t>
      </w:r>
      <w:r>
        <w:rPr>
          <w:b/>
          <w:sz w:val="24"/>
        </w:rPr>
        <w:t>September</w:t>
      </w:r>
      <w:r>
        <w:rPr>
          <w:b/>
          <w:spacing w:val="-4"/>
          <w:sz w:val="24"/>
        </w:rPr>
        <w:t> 2011</w:t>
      </w:r>
    </w:p>
    <w:p>
      <w:pPr>
        <w:pStyle w:val="BodyText"/>
        <w:spacing w:before="132"/>
        <w:ind w:left="0"/>
        <w:rPr>
          <w:b/>
        </w:rPr>
      </w:pPr>
    </w:p>
    <w:p>
      <w:pPr>
        <w:spacing w:before="0"/>
        <w:ind w:left="1440" w:right="0" w:firstLine="0"/>
        <w:jc w:val="left"/>
        <w:rPr>
          <w:sz w:val="24"/>
        </w:rPr>
      </w:pPr>
      <w:r>
        <w:rPr>
          <w:spacing w:val="-10"/>
          <w:sz w:val="24"/>
        </w:rPr>
        <w:t>.</w:t>
      </w:r>
    </w:p>
    <w:p>
      <w:pPr>
        <w:spacing w:after="0"/>
        <w:jc w:val="left"/>
        <w:rPr>
          <w:sz w:val="24"/>
        </w:rPr>
        <w:sectPr>
          <w:pgSz w:w="11910" w:h="16840"/>
          <w:pgMar w:header="0" w:footer="1561" w:top="1420" w:bottom="1760" w:left="720" w:right="180"/>
        </w:sectPr>
      </w:pPr>
    </w:p>
    <w:p>
      <w:pPr>
        <w:pStyle w:val="BodyText"/>
        <w:ind w:left="302"/>
        <w:rPr>
          <w:sz w:val="20"/>
        </w:rPr>
      </w:pPr>
      <w:r>
        <w:rPr/>
        <mc:AlternateContent>
          <mc:Choice Requires="wps">
            <w:drawing>
              <wp:anchor distT="0" distB="0" distL="0" distR="0" allowOverlap="1" layoutInCell="1" locked="0" behindDoc="1" simplePos="0" relativeHeight="480600064">
                <wp:simplePos x="0" y="0"/>
                <wp:positionH relativeFrom="page">
                  <wp:posOffset>-1537026</wp:posOffset>
                </wp:positionH>
                <wp:positionV relativeFrom="page">
                  <wp:posOffset>4900424</wp:posOffset>
                </wp:positionV>
                <wp:extent cx="10669905" cy="914400"/>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16416;rotation:306" type="#_x0000_t136" fillcolor="#ff5400" stroked="f">
                <o:extrusion v:ext="view" autorotationcenter="t"/>
                <v:textpath style="font-family:&quot;Arial MT&quot;;font-size:72pt;v-text-kern:t;mso-text-shadow:auto" string="UNIVERSITY OF IBADAN"/>
                <w10:wrap type="none"/>
              </v:shape>
            </w:pict>
          </mc:Fallback>
        </mc:AlternateContent>
      </w:r>
      <w:r>
        <w:rPr>
          <w:sz w:val="20"/>
        </w:rPr>
        <w:drawing>
          <wp:inline distT="0" distB="0" distL="0" distR="0">
            <wp:extent cx="6429826" cy="4247388"/>
            <wp:effectExtent l="0" t="0" r="0" b="0"/>
            <wp:docPr id="141" name="Image 141"/>
            <wp:cNvGraphicFramePr>
              <a:graphicFrameLocks/>
            </wp:cNvGraphicFramePr>
            <a:graphic>
              <a:graphicData uri="http://schemas.openxmlformats.org/drawingml/2006/picture">
                <pic:pic>
                  <pic:nvPicPr>
                    <pic:cNvPr id="141" name="Image 141"/>
                    <pic:cNvPicPr/>
                  </pic:nvPicPr>
                  <pic:blipFill>
                    <a:blip r:embed="rId51" cstate="print"/>
                    <a:stretch>
                      <a:fillRect/>
                    </a:stretch>
                  </pic:blipFill>
                  <pic:spPr>
                    <a:xfrm>
                      <a:off x="0" y="0"/>
                      <a:ext cx="6429826" cy="4247388"/>
                    </a:xfrm>
                    <a:prstGeom prst="rect">
                      <a:avLst/>
                    </a:prstGeom>
                  </pic:spPr>
                </pic:pic>
              </a:graphicData>
            </a:graphic>
          </wp:inline>
        </w:drawing>
      </w:r>
      <w:r>
        <w:rPr>
          <w:sz w:val="20"/>
        </w:rPr>
      </w:r>
    </w:p>
    <w:p>
      <w:pPr>
        <w:pStyle w:val="BodyText"/>
        <w:spacing w:before="15"/>
        <w:ind w:left="0"/>
      </w:pPr>
    </w:p>
    <w:p>
      <w:pPr>
        <w:pStyle w:val="Heading2"/>
        <w:spacing w:line="242" w:lineRule="auto" w:before="1"/>
        <w:ind w:left="2160" w:right="2080"/>
      </w:pPr>
      <w:r>
        <w:rPr/>
        <w:t>Plate</w:t>
      </w:r>
      <w:r>
        <w:rPr>
          <w:spacing w:val="-5"/>
        </w:rPr>
        <w:t> </w:t>
      </w:r>
      <w:r>
        <w:rPr/>
        <w:t>29:</w:t>
      </w:r>
      <w:r>
        <w:rPr>
          <w:spacing w:val="-5"/>
        </w:rPr>
        <w:t> </w:t>
      </w:r>
      <w:r>
        <w:rPr/>
        <w:t>Spills</w:t>
      </w:r>
      <w:r>
        <w:rPr>
          <w:spacing w:val="-4"/>
        </w:rPr>
        <w:t> </w:t>
      </w:r>
      <w:r>
        <w:rPr/>
        <w:t>from</w:t>
      </w:r>
      <w:r>
        <w:rPr>
          <w:spacing w:val="-8"/>
        </w:rPr>
        <w:t> </w:t>
      </w:r>
      <w:r>
        <w:rPr/>
        <w:t>Illegal</w:t>
      </w:r>
      <w:r>
        <w:rPr>
          <w:spacing w:val="-4"/>
        </w:rPr>
        <w:t> </w:t>
      </w:r>
      <w:r>
        <w:rPr/>
        <w:t>Oil</w:t>
      </w:r>
      <w:r>
        <w:rPr>
          <w:spacing w:val="-4"/>
        </w:rPr>
        <w:t> </w:t>
      </w:r>
      <w:r>
        <w:rPr/>
        <w:t>Refineries</w:t>
      </w:r>
      <w:r>
        <w:rPr>
          <w:spacing w:val="-4"/>
        </w:rPr>
        <w:t> </w:t>
      </w:r>
      <w:r>
        <w:rPr/>
        <w:t>in</w:t>
      </w:r>
      <w:r>
        <w:rPr>
          <w:spacing w:val="-4"/>
        </w:rPr>
        <w:t> </w:t>
      </w:r>
      <w:r>
        <w:rPr/>
        <w:t>the</w:t>
      </w:r>
      <w:r>
        <w:rPr>
          <w:spacing w:val="-5"/>
        </w:rPr>
        <w:t> </w:t>
      </w:r>
      <w:r>
        <w:rPr/>
        <w:t>Niger</w:t>
      </w:r>
      <w:r>
        <w:rPr>
          <w:spacing w:val="-5"/>
        </w:rPr>
        <w:t> </w:t>
      </w:r>
      <w:r>
        <w:rPr/>
        <w:t>Delta Source: Researcher’s Fieldwork, 2009</w:t>
      </w:r>
    </w:p>
    <w:p>
      <w:pPr>
        <w:pStyle w:val="BodyText"/>
        <w:spacing w:before="172"/>
        <w:ind w:left="0"/>
        <w:rPr>
          <w:b/>
        </w:rPr>
      </w:pPr>
    </w:p>
    <w:p>
      <w:pPr>
        <w:pStyle w:val="BodyText"/>
        <w:spacing w:line="360" w:lineRule="auto"/>
        <w:ind w:right="1255" w:firstLine="720"/>
        <w:jc w:val="both"/>
      </w:pPr>
      <w:r>
        <w:rPr/>
        <w:t>There are social costs of the conflict in terms of loss of lives and property due to militant activities in the Niger Delta.</w:t>
      </w:r>
      <w:r>
        <w:rPr>
          <w:spacing w:val="40"/>
        </w:rPr>
        <w:t> </w:t>
      </w:r>
      <w:r>
        <w:rPr/>
        <w:t>The Niger Delta was impoverished in the midst of vast oil wealth, due to frustrated expectations, fostered widespread indignation, entrenched deep- rooted and destructive mistrust, and incited unprecedented restiveness in the region.</w:t>
      </w:r>
      <w:r>
        <w:rPr>
          <w:spacing w:val="40"/>
        </w:rPr>
        <w:t> </w:t>
      </w:r>
      <w:r>
        <w:rPr/>
        <w:t>The most common and vicious forms of conflict in terms of lives lost and property destroyed are intra-community, inter- community, inter- ethnic and community-oil company conflicts.</w:t>
      </w:r>
      <w:r>
        <w:rPr>
          <w:spacing w:val="40"/>
        </w:rPr>
        <w:t> </w:t>
      </w:r>
      <w:r>
        <w:rPr/>
        <w:t>Appendix 4 gives some details of cost of the crisis in the region. Obasi (2005) observed certain features of</w:t>
      </w:r>
      <w:r>
        <w:rPr>
          <w:spacing w:val="-1"/>
        </w:rPr>
        <w:t> </w:t>
      </w:r>
      <w:r>
        <w:rPr/>
        <w:t>these conflicts to include</w:t>
      </w:r>
      <w:r>
        <w:rPr>
          <w:spacing w:val="-1"/>
        </w:rPr>
        <w:t> </w:t>
      </w:r>
      <w:r>
        <w:rPr/>
        <w:t>expansion in the spatial spread of the conflicts, increasing role of ethnic/community militias and youth groups in the conflicts and increasing</w:t>
      </w:r>
      <w:r>
        <w:rPr>
          <w:spacing w:val="40"/>
        </w:rPr>
        <w:t> </w:t>
      </w:r>
      <w:r>
        <w:rPr/>
        <w:t>loss of lives and property.</w:t>
      </w:r>
    </w:p>
    <w:p>
      <w:pPr>
        <w:pStyle w:val="BodyText"/>
        <w:spacing w:line="360" w:lineRule="auto"/>
        <w:ind w:right="1257" w:firstLine="720"/>
        <w:jc w:val="both"/>
      </w:pPr>
      <w:r>
        <w:rPr/>
        <w:t>Perhaps, the most disturbing consequences of the Niger Delta conflicts are the twin problems of SALW proliferation and militancy.</w:t>
      </w:r>
    </w:p>
    <w:p>
      <w:pPr>
        <w:spacing w:after="0" w:line="360" w:lineRule="auto"/>
        <w:jc w:val="both"/>
        <w:sectPr>
          <w:pgSz w:w="11910" w:h="16840"/>
          <w:pgMar w:header="0" w:footer="1561" w:top="1480" w:bottom="1760" w:left="720" w:right="180"/>
        </w:sectPr>
      </w:pPr>
    </w:p>
    <w:p>
      <w:pPr>
        <w:pStyle w:val="BodyText"/>
        <w:spacing w:line="360" w:lineRule="auto" w:before="60"/>
        <w:ind w:right="1256" w:firstLine="1140"/>
        <w:jc w:val="both"/>
      </w:pPr>
      <w:r>
        <w:rPr/>
        <mc:AlternateContent>
          <mc:Choice Requires="wps">
            <w:drawing>
              <wp:anchor distT="0" distB="0" distL="0" distR="0" allowOverlap="1" layoutInCell="1" locked="0" behindDoc="1" simplePos="0" relativeHeight="480600576">
                <wp:simplePos x="0" y="0"/>
                <wp:positionH relativeFrom="page">
                  <wp:posOffset>-1537026</wp:posOffset>
                </wp:positionH>
                <wp:positionV relativeFrom="page">
                  <wp:posOffset>4900424</wp:posOffset>
                </wp:positionV>
                <wp:extent cx="10669905" cy="914400"/>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15904;rotation:306" type="#_x0000_t136" fillcolor="#ff5400" stroked="f">
                <o:extrusion v:ext="view" autorotationcenter="t"/>
                <v:textpath style="font-family:&quot;Arial MT&quot;;font-size:72pt;v-text-kern:t;mso-text-shadow:auto" string="UNIVERSITY OF IBADAN"/>
                <w10:wrap type="none"/>
              </v:shape>
            </w:pict>
          </mc:Fallback>
        </mc:AlternateContent>
      </w:r>
      <w:r>
        <w:rPr/>
        <w:t>The increasing activities of militants in the Niger Delta and the rate at which they acquire weapons give cause for grave security concern.</w:t>
      </w:r>
      <w:r>
        <w:rPr>
          <w:spacing w:val="40"/>
        </w:rPr>
        <w:t> </w:t>
      </w:r>
      <w:r>
        <w:rPr/>
        <w:t>The asymmetric warfare they</w:t>
      </w:r>
      <w:r>
        <w:rPr>
          <w:spacing w:val="-1"/>
        </w:rPr>
        <w:t> </w:t>
      </w:r>
      <w:r>
        <w:rPr/>
        <w:t>engage the JTF</w:t>
      </w:r>
      <w:r>
        <w:rPr>
          <w:spacing w:val="-1"/>
        </w:rPr>
        <w:t> </w:t>
      </w:r>
      <w:r>
        <w:rPr/>
        <w:t>troops in their estimated 13,329 settlements in the region with a population of less than 5,000, gives cause for concern (UNDP Report, 2006 : 16).</w:t>
      </w:r>
      <w:r>
        <w:rPr>
          <w:spacing w:val="40"/>
        </w:rPr>
        <w:t> </w:t>
      </w:r>
      <w:r>
        <w:rPr/>
        <w:t>Nevertheless, the violent conflict in the Niger Delta region presents a no-win scenario</w:t>
      </w:r>
      <w:r>
        <w:rPr>
          <w:spacing w:val="-1"/>
        </w:rPr>
        <w:t> </w:t>
      </w:r>
      <w:r>
        <w:rPr/>
        <w:t>to all the</w:t>
      </w:r>
      <w:r>
        <w:rPr>
          <w:spacing w:val="-1"/>
        </w:rPr>
        <w:t> </w:t>
      </w:r>
      <w:r>
        <w:rPr/>
        <w:t>contending</w:t>
      </w:r>
      <w:r>
        <w:rPr>
          <w:spacing w:val="-2"/>
        </w:rPr>
        <w:t> </w:t>
      </w:r>
      <w:r>
        <w:rPr/>
        <w:t>parties.</w:t>
      </w:r>
      <w:r>
        <w:rPr>
          <w:spacing w:val="40"/>
        </w:rPr>
        <w:t> </w:t>
      </w:r>
      <w:r>
        <w:rPr/>
        <w:t>Many</w:t>
      </w:r>
      <w:r>
        <w:rPr>
          <w:spacing w:val="-5"/>
        </w:rPr>
        <w:t> </w:t>
      </w:r>
      <w:r>
        <w:rPr/>
        <w:t>of</w:t>
      </w:r>
      <w:r>
        <w:rPr>
          <w:spacing w:val="-1"/>
        </w:rPr>
        <w:t> </w:t>
      </w:r>
      <w:r>
        <w:rPr/>
        <w:t>the</w:t>
      </w:r>
      <w:r>
        <w:rPr>
          <w:spacing w:val="-1"/>
        </w:rPr>
        <w:t> </w:t>
      </w:r>
      <w:r>
        <w:rPr/>
        <w:t>militant youths saw armed</w:t>
      </w:r>
      <w:r>
        <w:rPr>
          <w:spacing w:val="-1"/>
        </w:rPr>
        <w:t> </w:t>
      </w:r>
      <w:r>
        <w:rPr/>
        <w:t>conflict as a vocation or business from which to earn a living.</w:t>
      </w:r>
      <w:r>
        <w:rPr>
          <w:spacing w:val="40"/>
        </w:rPr>
        <w:t> </w:t>
      </w:r>
      <w:r>
        <w:rPr/>
        <w:t>Regardless of the difference in their background and however lofty their intention/ideals may be, the activities of these</w:t>
      </w:r>
      <w:r>
        <w:rPr>
          <w:spacing w:val="-4"/>
        </w:rPr>
        <w:t> </w:t>
      </w:r>
      <w:r>
        <w:rPr/>
        <w:t>groups</w:t>
      </w:r>
      <w:r>
        <w:rPr>
          <w:spacing w:val="-3"/>
        </w:rPr>
        <w:t> </w:t>
      </w:r>
      <w:r>
        <w:rPr/>
        <w:t>carry</w:t>
      </w:r>
      <w:r>
        <w:rPr>
          <w:spacing w:val="-7"/>
        </w:rPr>
        <w:t> </w:t>
      </w:r>
      <w:r>
        <w:rPr/>
        <w:t>significant</w:t>
      </w:r>
      <w:r>
        <w:rPr>
          <w:spacing w:val="-4"/>
        </w:rPr>
        <w:t> </w:t>
      </w:r>
      <w:r>
        <w:rPr/>
        <w:t>implications</w:t>
      </w:r>
      <w:r>
        <w:rPr>
          <w:spacing w:val="-4"/>
        </w:rPr>
        <w:t> </w:t>
      </w:r>
      <w:r>
        <w:rPr/>
        <w:t>for</w:t>
      </w:r>
      <w:r>
        <w:rPr>
          <w:spacing w:val="-6"/>
        </w:rPr>
        <w:t> </w:t>
      </w:r>
      <w:r>
        <w:rPr/>
        <w:t>human</w:t>
      </w:r>
      <w:r>
        <w:rPr>
          <w:spacing w:val="-4"/>
        </w:rPr>
        <w:t> </w:t>
      </w:r>
      <w:r>
        <w:rPr/>
        <w:t>right,</w:t>
      </w:r>
      <w:r>
        <w:rPr>
          <w:spacing w:val="-2"/>
        </w:rPr>
        <w:t> </w:t>
      </w:r>
      <w:r>
        <w:rPr/>
        <w:t>good governance,</w:t>
      </w:r>
      <w:r>
        <w:rPr>
          <w:spacing w:val="-4"/>
        </w:rPr>
        <w:t> </w:t>
      </w:r>
      <w:r>
        <w:rPr/>
        <w:t>national security and stability of the country.</w:t>
      </w:r>
    </w:p>
    <w:p>
      <w:pPr>
        <w:pStyle w:val="BodyText"/>
        <w:spacing w:line="360" w:lineRule="auto" w:before="2"/>
        <w:ind w:right="1258" w:firstLine="720"/>
        <w:jc w:val="both"/>
      </w:pPr>
      <w:r>
        <w:rPr/>
        <w:t>From the foregoing, the results of the Niger Delta conflict have been a general deterioration of economic, social and political cohesion.</w:t>
      </w:r>
      <w:r>
        <w:rPr>
          <w:spacing w:val="40"/>
        </w:rPr>
        <w:t> </w:t>
      </w:r>
      <w:r>
        <w:rPr/>
        <w:t>The conflict denied the region lasting security, enduring peace and prosperity, and the realization of the abundant opportunities.</w:t>
      </w:r>
      <w:r>
        <w:rPr>
          <w:spacing w:val="40"/>
        </w:rPr>
        <w:t> </w:t>
      </w:r>
      <w:r>
        <w:rPr/>
        <w:t>In spite of the myriad of challenges posed by</w:t>
      </w:r>
      <w:r>
        <w:rPr>
          <w:spacing w:val="-3"/>
        </w:rPr>
        <w:t> </w:t>
      </w:r>
      <w:r>
        <w:rPr/>
        <w:t>the Niger Delta conflict, government owes its citizens a duty to protect them from the adverse effects of these militants‟ activities.</w:t>
      </w:r>
      <w:r>
        <w:rPr>
          <w:spacing w:val="40"/>
        </w:rPr>
        <w:t> </w:t>
      </w:r>
      <w:r>
        <w:rPr/>
        <w:t>The federal government owes it as a duty to address substantive questions of development as well as insecurity in the region.</w:t>
      </w:r>
    </w:p>
    <w:p>
      <w:pPr>
        <w:pStyle w:val="BodyText"/>
        <w:spacing w:line="360" w:lineRule="auto"/>
        <w:ind w:right="1256" w:firstLine="720"/>
        <w:jc w:val="both"/>
      </w:pPr>
      <w:r>
        <w:rPr/>
        <w:t>It must however be recognized that there have been some multi-dimensional approaches that have been introduced or currently in place to address the Niger Delta conflict. Government responded to the conflict by the use of economic development incentives through the Oil Mineral Producing Area Development Commission (OMPADEC) in 1992 and later the Niger Delta Development Commission (NDDC)</w:t>
      </w:r>
      <w:r>
        <w:rPr>
          <w:spacing w:val="40"/>
        </w:rPr>
        <w:t> </w:t>
      </w:r>
      <w:r>
        <w:rPr/>
        <w:t>in 2000 and the Ministry of Environment in 2002.</w:t>
      </w:r>
      <w:r>
        <w:rPr>
          <w:spacing w:val="80"/>
        </w:rPr>
        <w:t> </w:t>
      </w:r>
      <w:r>
        <w:rPr/>
        <w:t>However, the measures taken so far by the government and various stakeholders in tackling the socio-economic and human security problems in the region have not succeeded. Hence, the deployment of JTF Operation RESTORE HOPE in 2003. Much later, the Federal Government established the Ministry of Niger Delta Affairs in 2008 and the Amnesty programme of 2009.</w:t>
      </w:r>
    </w:p>
    <w:p>
      <w:pPr>
        <w:pStyle w:val="Heading1"/>
        <w:numPr>
          <w:ilvl w:val="2"/>
          <w:numId w:val="6"/>
        </w:numPr>
        <w:tabs>
          <w:tab w:pos="2160" w:val="left" w:leader="none"/>
        </w:tabs>
        <w:spacing w:line="240" w:lineRule="auto" w:before="6" w:after="0"/>
        <w:ind w:left="2160" w:right="0" w:hanging="720"/>
        <w:jc w:val="left"/>
      </w:pPr>
      <w:bookmarkStart w:name="_TOC_250026" w:id="16"/>
      <w:r>
        <w:rPr/>
        <w:t>ATTEMPTS</w:t>
      </w:r>
      <w:r>
        <w:rPr>
          <w:spacing w:val="-2"/>
        </w:rPr>
        <w:t> </w:t>
      </w:r>
      <w:r>
        <w:rPr/>
        <w:t>AT</w:t>
      </w:r>
      <w:r>
        <w:rPr>
          <w:spacing w:val="-2"/>
        </w:rPr>
        <w:t> </w:t>
      </w:r>
      <w:r>
        <w:rPr/>
        <w:t>SOLVING</w:t>
      </w:r>
      <w:r>
        <w:rPr>
          <w:spacing w:val="-5"/>
        </w:rPr>
        <w:t> </w:t>
      </w:r>
      <w:r>
        <w:rPr/>
        <w:t>THE</w:t>
      </w:r>
      <w:r>
        <w:rPr>
          <w:spacing w:val="-1"/>
        </w:rPr>
        <w:t> </w:t>
      </w:r>
      <w:r>
        <w:rPr/>
        <w:t>PROBLEMS</w:t>
      </w:r>
      <w:r>
        <w:rPr>
          <w:spacing w:val="-2"/>
        </w:rPr>
        <w:t> </w:t>
      </w:r>
      <w:r>
        <w:rPr/>
        <w:t>IN</w:t>
      </w:r>
      <w:r>
        <w:rPr>
          <w:spacing w:val="-2"/>
        </w:rPr>
        <w:t> </w:t>
      </w:r>
      <w:r>
        <w:rPr/>
        <w:t>THE</w:t>
      </w:r>
      <w:r>
        <w:rPr>
          <w:spacing w:val="-2"/>
        </w:rPr>
        <w:t> </w:t>
      </w:r>
      <w:r>
        <w:rPr/>
        <w:t>NIGER</w:t>
      </w:r>
      <w:r>
        <w:rPr>
          <w:spacing w:val="-1"/>
        </w:rPr>
        <w:t> </w:t>
      </w:r>
      <w:bookmarkEnd w:id="16"/>
      <w:r>
        <w:rPr>
          <w:spacing w:val="-2"/>
        </w:rPr>
        <w:t>DELTA</w:t>
      </w:r>
    </w:p>
    <w:p>
      <w:pPr>
        <w:pStyle w:val="BodyText"/>
        <w:spacing w:line="360" w:lineRule="auto" w:before="107"/>
        <w:ind w:right="1255" w:firstLine="720"/>
        <w:jc w:val="both"/>
      </w:pPr>
      <w:r>
        <w:rPr/>
        <w:t>Violent conflicts in the Niger Delta have been seen by the Federal</w:t>
      </w:r>
      <w:r>
        <w:rPr>
          <w:spacing w:val="40"/>
        </w:rPr>
        <w:t> </w:t>
      </w:r>
      <w:r>
        <w:rPr/>
        <w:t>Government from a security standpoint, where containment and suppression have</w:t>
      </w:r>
      <w:r>
        <w:rPr>
          <w:spacing w:val="40"/>
        </w:rPr>
        <w:t> </w:t>
      </w:r>
      <w:r>
        <w:rPr/>
        <w:t>been the primary objectives rather than long-term conflict resolution.</w:t>
      </w:r>
      <w:r>
        <w:rPr>
          <w:spacing w:val="40"/>
        </w:rPr>
        <w:t> </w:t>
      </w:r>
      <w:r>
        <w:rPr/>
        <w:t>Attempts to involve</w:t>
      </w:r>
      <w:r>
        <w:rPr>
          <w:spacing w:val="5"/>
        </w:rPr>
        <w:t> </w:t>
      </w:r>
      <w:r>
        <w:rPr/>
        <w:t>traditional</w:t>
      </w:r>
      <w:r>
        <w:rPr>
          <w:spacing w:val="7"/>
        </w:rPr>
        <w:t> </w:t>
      </w:r>
      <w:r>
        <w:rPr/>
        <w:t>rulers</w:t>
      </w:r>
      <w:r>
        <w:rPr>
          <w:spacing w:val="7"/>
        </w:rPr>
        <w:t> </w:t>
      </w:r>
      <w:r>
        <w:rPr/>
        <w:t>and</w:t>
      </w:r>
      <w:r>
        <w:rPr>
          <w:spacing w:val="8"/>
        </w:rPr>
        <w:t> </w:t>
      </w:r>
      <w:r>
        <w:rPr/>
        <w:t>community</w:t>
      </w:r>
      <w:r>
        <w:rPr>
          <w:spacing w:val="2"/>
        </w:rPr>
        <w:t> </w:t>
      </w:r>
      <w:r>
        <w:rPr/>
        <w:t>leaders</w:t>
      </w:r>
      <w:r>
        <w:rPr>
          <w:spacing w:val="7"/>
        </w:rPr>
        <w:t> </w:t>
      </w:r>
      <w:r>
        <w:rPr/>
        <w:t>in</w:t>
      </w:r>
      <w:r>
        <w:rPr>
          <w:spacing w:val="8"/>
        </w:rPr>
        <w:t> </w:t>
      </w:r>
      <w:r>
        <w:rPr/>
        <w:t>conflict</w:t>
      </w:r>
      <w:r>
        <w:rPr>
          <w:spacing w:val="8"/>
        </w:rPr>
        <w:t> </w:t>
      </w:r>
      <w:r>
        <w:rPr/>
        <w:t>prevention</w:t>
      </w:r>
      <w:r>
        <w:rPr>
          <w:spacing w:val="8"/>
        </w:rPr>
        <w:t> </w:t>
      </w:r>
      <w:r>
        <w:rPr/>
        <w:t>and</w:t>
      </w:r>
      <w:r>
        <w:rPr>
          <w:spacing w:val="8"/>
        </w:rPr>
        <w:t> </w:t>
      </w:r>
      <w:r>
        <w:rPr>
          <w:spacing w:val="-2"/>
        </w:rPr>
        <w:t>resolution</w:t>
      </w:r>
    </w:p>
    <w:p>
      <w:pPr>
        <w:spacing w:after="0" w:line="360" w:lineRule="auto"/>
        <w:jc w:val="both"/>
        <w:sectPr>
          <w:pgSz w:w="11910" w:h="16840"/>
          <w:pgMar w:header="0" w:footer="1561" w:top="1360" w:bottom="1760" w:left="720" w:right="180"/>
        </w:sectPr>
      </w:pPr>
    </w:p>
    <w:p>
      <w:pPr>
        <w:pStyle w:val="BodyText"/>
        <w:spacing w:line="360" w:lineRule="auto" w:before="60"/>
        <w:ind w:right="1257"/>
        <w:jc w:val="both"/>
      </w:pPr>
      <w:r>
        <w:rPr/>
        <mc:AlternateContent>
          <mc:Choice Requires="wps">
            <w:drawing>
              <wp:anchor distT="0" distB="0" distL="0" distR="0" allowOverlap="1" layoutInCell="1" locked="0" behindDoc="1" simplePos="0" relativeHeight="480601088">
                <wp:simplePos x="0" y="0"/>
                <wp:positionH relativeFrom="page">
                  <wp:posOffset>-1537026</wp:posOffset>
                </wp:positionH>
                <wp:positionV relativeFrom="page">
                  <wp:posOffset>4900424</wp:posOffset>
                </wp:positionV>
                <wp:extent cx="10669905" cy="914400"/>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15392;rotation:306" type="#_x0000_t136" fillcolor="#ff5400" stroked="f">
                <o:extrusion v:ext="view" autorotationcenter="t"/>
                <v:textpath style="font-family:&quot;Arial MT&quot;;font-size:72pt;v-text-kern:t;mso-text-shadow:auto" string="UNIVERSITY OF IBADAN"/>
                <w10:wrap type="none"/>
              </v:shape>
            </w:pict>
          </mc:Fallback>
        </mc:AlternateContent>
      </w:r>
      <w:r>
        <w:rPr/>
        <w:t>or community development initiatives have been largely unsuccessful, as local chiefs are accused of diverting money intended for community projects to themselves.</w:t>
      </w:r>
      <w:r>
        <w:rPr>
          <w:spacing w:val="40"/>
        </w:rPr>
        <w:t> </w:t>
      </w:r>
      <w:r>
        <w:rPr/>
        <w:t>As such, youth groups have become the power brokers in several communities.</w:t>
      </w:r>
    </w:p>
    <w:p>
      <w:pPr>
        <w:pStyle w:val="BodyText"/>
        <w:spacing w:line="360" w:lineRule="auto"/>
        <w:ind w:right="1259" w:firstLine="720"/>
        <w:jc w:val="both"/>
      </w:pPr>
      <w:r>
        <w:rPr/>
        <w:t>There are also a large number of local NGOs and civil society organizations engaged in community development and conflict prevention work using the 'third party decision-making' and joint problem-solving approaches.</w:t>
      </w:r>
      <w:r>
        <w:rPr>
          <w:spacing w:val="40"/>
        </w:rPr>
        <w:t> </w:t>
      </w:r>
      <w:r>
        <w:rPr/>
        <w:t>These initiatives were considered useful by some and successful in terms of raising awareness and building capacity of the participants in conflict management and negotiation techniques. However, they failed to have a lasting impact for resolving the various conflicts.</w:t>
      </w:r>
    </w:p>
    <w:p>
      <w:pPr>
        <w:pStyle w:val="BodyText"/>
        <w:spacing w:line="360" w:lineRule="auto"/>
        <w:ind w:right="1257" w:firstLine="720"/>
        <w:jc w:val="both"/>
      </w:pPr>
      <w:r>
        <w:rPr/>
        <w:t>The communities and various socio-political associations have ventilated their grievances through dialogue, protest, litigation and confrontational means without much success (Ogbogbo 2005:170-177).</w:t>
      </w:r>
      <w:r>
        <w:rPr>
          <w:spacing w:val="80"/>
        </w:rPr>
        <w:t> </w:t>
      </w:r>
      <w:r>
        <w:rPr/>
        <w:t>Responses from the government date back</w:t>
      </w:r>
      <w:r>
        <w:rPr>
          <w:spacing w:val="40"/>
        </w:rPr>
        <w:t> </w:t>
      </w:r>
      <w:r>
        <w:rPr/>
        <w:t>to 1967 when the then military government invoked the Petroleum Decree of 1967. There were also the promulgation of the Anti-Sabotage Decree of 1975 that was enacted to combat sabotage and illegal bunkering.</w:t>
      </w:r>
      <w:r>
        <w:rPr>
          <w:spacing w:val="40"/>
        </w:rPr>
        <w:t> </w:t>
      </w:r>
      <w:r>
        <w:rPr/>
        <w:t>There was the promulgation of the Treason and Treasonable offences decree of 1993.</w:t>
      </w:r>
      <w:r>
        <w:rPr>
          <w:spacing w:val="40"/>
        </w:rPr>
        <w:t> </w:t>
      </w:r>
      <w:r>
        <w:rPr/>
        <w:t>Following this enactment was the commencement of</w:t>
      </w:r>
      <w:r>
        <w:rPr>
          <w:spacing w:val="-2"/>
        </w:rPr>
        <w:t> </w:t>
      </w:r>
      <w:r>
        <w:rPr/>
        <w:t>the</w:t>
      </w:r>
      <w:r>
        <w:rPr>
          <w:spacing w:val="-1"/>
        </w:rPr>
        <w:t> </w:t>
      </w:r>
      <w:r>
        <w:rPr/>
        <w:t>Armed</w:t>
      </w:r>
      <w:r>
        <w:rPr>
          <w:spacing w:val="-2"/>
        </w:rPr>
        <w:t> </w:t>
      </w:r>
      <w:r>
        <w:rPr/>
        <w:t>Forces and police</w:t>
      </w:r>
      <w:r>
        <w:rPr>
          <w:spacing w:val="-2"/>
        </w:rPr>
        <w:t> </w:t>
      </w:r>
      <w:r>
        <w:rPr/>
        <w:t>mobilization</w:t>
      </w:r>
      <w:r>
        <w:rPr>
          <w:spacing w:val="-1"/>
        </w:rPr>
        <w:t> </w:t>
      </w:r>
      <w:r>
        <w:rPr/>
        <w:t>to</w:t>
      </w:r>
      <w:r>
        <w:rPr>
          <w:spacing w:val="-1"/>
        </w:rPr>
        <w:t> </w:t>
      </w:r>
      <w:r>
        <w:rPr/>
        <w:t>guard oil</w:t>
      </w:r>
      <w:r>
        <w:rPr>
          <w:spacing w:val="-1"/>
        </w:rPr>
        <w:t> </w:t>
      </w:r>
      <w:r>
        <w:rPr/>
        <w:t>installations and keep the peace in the oil-producing areas of Niger Delta.</w:t>
      </w:r>
      <w:r>
        <w:rPr>
          <w:spacing w:val="40"/>
        </w:rPr>
        <w:t> </w:t>
      </w:r>
      <w:r>
        <w:rPr/>
        <w:t>There was also the Presidential Task Force created in 1979 to handle the ecological crisis in the Niger Delta.</w:t>
      </w:r>
      <w:r>
        <w:rPr>
          <w:spacing w:val="80"/>
        </w:rPr>
        <w:t> </w:t>
      </w:r>
      <w:r>
        <w:rPr/>
        <w:t>This was followed by the establishment of the Oil Mineral Producing Areas and Development Commission (OMPADEC) in 1992 in replacement of the hitherto created Task Force.</w:t>
      </w:r>
    </w:p>
    <w:p>
      <w:pPr>
        <w:pStyle w:val="BodyText"/>
        <w:spacing w:line="360" w:lineRule="auto" w:before="3"/>
        <w:ind w:right="1255" w:firstLine="720"/>
        <w:jc w:val="both"/>
      </w:pPr>
      <w:r>
        <w:rPr/>
        <w:t>In 2000, the government of President Olusegun Obasanjo then created the Niger Delta Development Commission (NDDC) to help end violence and spur up a rapid socio-economic development.</w:t>
      </w:r>
      <w:r>
        <w:rPr>
          <w:spacing w:val="40"/>
        </w:rPr>
        <w:t> </w:t>
      </w:r>
      <w:r>
        <w:rPr/>
        <w:t>Even with that, during and after the 2003 and 2007 presidential elections, violence between rival militia groups and against the oil corporations with political rivals increased considerably.</w:t>
      </w:r>
      <w:r>
        <w:rPr>
          <w:spacing w:val="40"/>
        </w:rPr>
        <w:t> </w:t>
      </w:r>
      <w:r>
        <w:rPr/>
        <w:t>All these interventions were seen as mere palliatives because they failed to address the core issues that brought about the crisis in the region.</w:t>
      </w:r>
    </w:p>
    <w:p>
      <w:pPr>
        <w:pStyle w:val="BodyText"/>
        <w:spacing w:line="360" w:lineRule="auto"/>
        <w:ind w:right="1258" w:firstLine="720"/>
        <w:jc w:val="both"/>
      </w:pPr>
      <w:r>
        <w:rPr/>
        <w:t>The scale of neglect (as observed) has been an important factor behind the violence</w:t>
      </w:r>
      <w:r>
        <w:rPr>
          <w:spacing w:val="-2"/>
        </w:rPr>
        <w:t> </w:t>
      </w:r>
      <w:r>
        <w:rPr/>
        <w:t>in</w:t>
      </w:r>
      <w:r>
        <w:rPr>
          <w:spacing w:val="-1"/>
        </w:rPr>
        <w:t> </w:t>
      </w:r>
      <w:r>
        <w:rPr/>
        <w:t>the</w:t>
      </w:r>
      <w:r>
        <w:rPr>
          <w:spacing w:val="-2"/>
        </w:rPr>
        <w:t> </w:t>
      </w:r>
      <w:r>
        <w:rPr/>
        <w:t>Niger</w:t>
      </w:r>
      <w:r>
        <w:rPr>
          <w:spacing w:val="-2"/>
        </w:rPr>
        <w:t> </w:t>
      </w:r>
      <w:r>
        <w:rPr/>
        <w:t>Delta</w:t>
      </w:r>
      <w:r>
        <w:rPr>
          <w:spacing w:val="-2"/>
        </w:rPr>
        <w:t> </w:t>
      </w:r>
      <w:r>
        <w:rPr/>
        <w:t>which</w:t>
      </w:r>
      <w:r>
        <w:rPr>
          <w:spacing w:val="-1"/>
        </w:rPr>
        <w:t> </w:t>
      </w:r>
      <w:r>
        <w:rPr/>
        <w:t>is</w:t>
      </w:r>
      <w:r>
        <w:rPr>
          <w:spacing w:val="-1"/>
        </w:rPr>
        <w:t> </w:t>
      </w:r>
      <w:r>
        <w:rPr/>
        <w:t>carried</w:t>
      </w:r>
      <w:r>
        <w:rPr>
          <w:spacing w:val="-2"/>
        </w:rPr>
        <w:t> </w:t>
      </w:r>
      <w:r>
        <w:rPr/>
        <w:t>out</w:t>
      </w:r>
      <w:r>
        <w:rPr>
          <w:spacing w:val="-1"/>
        </w:rPr>
        <w:t> </w:t>
      </w:r>
      <w:r>
        <w:rPr/>
        <w:t>by</w:t>
      </w:r>
      <w:r>
        <w:rPr>
          <w:spacing w:val="-4"/>
        </w:rPr>
        <w:t> </w:t>
      </w:r>
      <w:r>
        <w:rPr/>
        <w:t>'social</w:t>
      </w:r>
      <w:r>
        <w:rPr>
          <w:spacing w:val="-1"/>
        </w:rPr>
        <w:t> </w:t>
      </w:r>
      <w:r>
        <w:rPr/>
        <w:t>group'</w:t>
      </w:r>
      <w:r>
        <w:rPr>
          <w:spacing w:val="-4"/>
        </w:rPr>
        <w:t> </w:t>
      </w:r>
      <w:r>
        <w:rPr/>
        <w:t>referred</w:t>
      </w:r>
      <w:r>
        <w:rPr>
          <w:spacing w:val="-1"/>
        </w:rPr>
        <w:t> </w:t>
      </w:r>
      <w:r>
        <w:rPr/>
        <w:t>to</w:t>
      </w:r>
      <w:r>
        <w:rPr>
          <w:spacing w:val="-1"/>
        </w:rPr>
        <w:t> </w:t>
      </w:r>
      <w:r>
        <w:rPr/>
        <w:t>as</w:t>
      </w:r>
      <w:r>
        <w:rPr>
          <w:spacing w:val="-1"/>
        </w:rPr>
        <w:t> </w:t>
      </w:r>
      <w:r>
        <w:rPr/>
        <w:t>"cults”. These groups are made up of youths from the Niger Delta.</w:t>
      </w:r>
      <w:r>
        <w:rPr>
          <w:spacing w:val="40"/>
        </w:rPr>
        <w:t> </w:t>
      </w:r>
      <w:r>
        <w:rPr/>
        <w:t>The groups were believed to</w:t>
      </w:r>
      <w:r>
        <w:rPr>
          <w:spacing w:val="16"/>
        </w:rPr>
        <w:t> </w:t>
      </w:r>
      <w:r>
        <w:rPr/>
        <w:t>have</w:t>
      </w:r>
      <w:r>
        <w:rPr>
          <w:spacing w:val="19"/>
        </w:rPr>
        <w:t> </w:t>
      </w:r>
      <w:r>
        <w:rPr/>
        <w:t>originated</w:t>
      </w:r>
      <w:r>
        <w:rPr>
          <w:spacing w:val="20"/>
        </w:rPr>
        <w:t> </w:t>
      </w:r>
      <w:r>
        <w:rPr/>
        <w:t>with</w:t>
      </w:r>
      <w:r>
        <w:rPr>
          <w:spacing w:val="18"/>
        </w:rPr>
        <w:t> </w:t>
      </w:r>
      <w:r>
        <w:rPr/>
        <w:t>the</w:t>
      </w:r>
      <w:r>
        <w:rPr>
          <w:spacing w:val="17"/>
        </w:rPr>
        <w:t> </w:t>
      </w:r>
      <w:r>
        <w:rPr/>
        <w:t>intention</w:t>
      </w:r>
      <w:r>
        <w:rPr>
          <w:spacing w:val="17"/>
        </w:rPr>
        <w:t> </w:t>
      </w:r>
      <w:r>
        <w:rPr/>
        <w:t>of</w:t>
      </w:r>
      <w:r>
        <w:rPr>
          <w:spacing w:val="19"/>
        </w:rPr>
        <w:t> </w:t>
      </w:r>
      <w:r>
        <w:rPr/>
        <w:t>offering</w:t>
      </w:r>
      <w:r>
        <w:rPr>
          <w:spacing w:val="17"/>
        </w:rPr>
        <w:t> </w:t>
      </w:r>
      <w:r>
        <w:rPr/>
        <w:t>physical</w:t>
      </w:r>
      <w:r>
        <w:rPr>
          <w:spacing w:val="20"/>
        </w:rPr>
        <w:t> </w:t>
      </w:r>
      <w:r>
        <w:rPr/>
        <w:t>protection</w:t>
      </w:r>
      <w:r>
        <w:rPr>
          <w:spacing w:val="17"/>
        </w:rPr>
        <w:t> </w:t>
      </w:r>
      <w:r>
        <w:rPr/>
        <w:t>and</w:t>
      </w:r>
      <w:r>
        <w:rPr>
          <w:spacing w:val="22"/>
        </w:rPr>
        <w:t> </w:t>
      </w:r>
      <w:r>
        <w:rPr/>
        <w:t>providing</w:t>
      </w:r>
      <w:r>
        <w:rPr>
          <w:spacing w:val="16"/>
        </w:rPr>
        <w:t> </w:t>
      </w:r>
      <w:r>
        <w:rPr>
          <w:spacing w:val="-5"/>
        </w:rPr>
        <w:t>it</w:t>
      </w:r>
    </w:p>
    <w:p>
      <w:pPr>
        <w:spacing w:after="0" w:line="360" w:lineRule="auto"/>
        <w:jc w:val="both"/>
        <w:sectPr>
          <w:pgSz w:w="11910" w:h="16840"/>
          <w:pgMar w:header="0" w:footer="1561" w:top="1360" w:bottom="1760" w:left="720" w:right="180"/>
        </w:sectPr>
      </w:pPr>
    </w:p>
    <w:p>
      <w:pPr>
        <w:pStyle w:val="BodyText"/>
        <w:spacing w:line="360" w:lineRule="auto" w:before="60"/>
        <w:ind w:right="1261"/>
        <w:jc w:val="both"/>
      </w:pPr>
      <w:r>
        <w:rPr/>
        <mc:AlternateContent>
          <mc:Choice Requires="wps">
            <w:drawing>
              <wp:anchor distT="0" distB="0" distL="0" distR="0" allowOverlap="1" layoutInCell="1" locked="0" behindDoc="1" simplePos="0" relativeHeight="480601600">
                <wp:simplePos x="0" y="0"/>
                <wp:positionH relativeFrom="page">
                  <wp:posOffset>-1537026</wp:posOffset>
                </wp:positionH>
                <wp:positionV relativeFrom="page">
                  <wp:posOffset>4900424</wp:posOffset>
                </wp:positionV>
                <wp:extent cx="10669905" cy="914400"/>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14880;rotation:306" type="#_x0000_t136" fillcolor="#ff5400" stroked="f">
                <o:extrusion v:ext="view" autorotationcenter="t"/>
                <v:textpath style="font-family:&quot;Arial MT&quot;;font-size:72pt;v-text-kern:t;mso-text-shadow:auto" string="UNIVERSITY OF IBADAN"/>
                <w10:wrap type="none"/>
              </v:shape>
            </w:pict>
          </mc:Fallback>
        </mc:AlternateContent>
      </w:r>
      <w:r>
        <w:rPr/>
        <w:t>members with an opportunity to meet people with similar ethnic or social identity. With time, these groups acquired arms and also began to compete with each other</w:t>
      </w:r>
      <w:r>
        <w:rPr>
          <w:spacing w:val="40"/>
        </w:rPr>
        <w:t> </w:t>
      </w:r>
      <w:r>
        <w:rPr/>
        <w:t>over oil bunkering.</w:t>
      </w:r>
    </w:p>
    <w:p>
      <w:pPr>
        <w:pStyle w:val="BodyText"/>
        <w:spacing w:line="360" w:lineRule="auto"/>
        <w:ind w:right="1253" w:firstLine="720"/>
        <w:jc w:val="both"/>
      </w:pPr>
      <w:r>
        <w:rPr/>
        <w:t>The violence perpetrated by these groups, however grew out of the political campaigns of 2003.</w:t>
      </w:r>
      <w:r>
        <w:rPr>
          <w:spacing w:val="40"/>
        </w:rPr>
        <w:t> </w:t>
      </w:r>
      <w:r>
        <w:rPr/>
        <w:t>In April 2003, the militant held 100 oil workers hostage. Sometime in June 2003, the SPDC security</w:t>
      </w:r>
      <w:r>
        <w:rPr>
          <w:spacing w:val="-3"/>
        </w:rPr>
        <w:t> </w:t>
      </w:r>
      <w:r>
        <w:rPr/>
        <w:t>reported that, Ijaw youths were demanded the sum of N25 million ransoms having abducted three contract workers of the Shell Petroleum Development Corporation.</w:t>
      </w:r>
      <w:r>
        <w:rPr>
          <w:spacing w:val="40"/>
        </w:rPr>
        <w:t> </w:t>
      </w:r>
      <w:r>
        <w:rPr/>
        <w:t>In the same week, it was reported that Chevron employee was kidnapped. In a renewed orgy of inter-ethnic conflict in Warri on Sunday 3 August 2003, about 72 persons were reportedly killed.</w:t>
      </w:r>
      <w:r>
        <w:rPr>
          <w:spacing w:val="80"/>
        </w:rPr>
        <w:t> </w:t>
      </w:r>
      <w:r>
        <w:rPr/>
        <w:t>As typical of militant activities, during the disturbance, property and oil installations worth of mil1ions of Naira were destroyed.</w:t>
      </w:r>
      <w:r>
        <w:rPr>
          <w:spacing w:val="40"/>
        </w:rPr>
        <w:t> </w:t>
      </w:r>
      <w:r>
        <w:rPr/>
        <w:t>Thus, one form of lawlessness or the other has always been observed to be going on in the Niger Delta region.</w:t>
      </w:r>
    </w:p>
    <w:p>
      <w:pPr>
        <w:pStyle w:val="BodyText"/>
        <w:spacing w:line="360" w:lineRule="auto" w:before="1"/>
        <w:ind w:right="1256" w:firstLine="720"/>
        <w:jc w:val="both"/>
        <w:rPr>
          <w:b/>
        </w:rPr>
      </w:pPr>
      <w:r>
        <w:rPr/>
        <w:t>The civil disturbance led to massive relocation of law-abiding citizens and operators of the oil and gas industries from Warri to Benin and Port Harcourt.</w:t>
      </w:r>
      <w:r>
        <w:rPr>
          <w:spacing w:val="40"/>
        </w:rPr>
        <w:t> </w:t>
      </w:r>
      <w:r>
        <w:rPr/>
        <w:t>The Federal Government of Nigeria loses about $3.6 billion annually as a result of this conflict.</w:t>
      </w:r>
      <w:r>
        <w:rPr>
          <w:spacing w:val="-3"/>
        </w:rPr>
        <w:t> </w:t>
      </w:r>
      <w:r>
        <w:rPr/>
        <w:t>There</w:t>
      </w:r>
      <w:r>
        <w:rPr>
          <w:spacing w:val="-5"/>
        </w:rPr>
        <w:t> </w:t>
      </w:r>
      <w:r>
        <w:rPr/>
        <w:t>is</w:t>
      </w:r>
      <w:r>
        <w:rPr>
          <w:spacing w:val="-1"/>
        </w:rPr>
        <w:t> </w:t>
      </w:r>
      <w:r>
        <w:rPr/>
        <w:t>also</w:t>
      </w:r>
      <w:r>
        <w:rPr>
          <w:spacing w:val="-3"/>
        </w:rPr>
        <w:t> </w:t>
      </w:r>
      <w:r>
        <w:rPr/>
        <w:t>its</w:t>
      </w:r>
      <w:r>
        <w:rPr>
          <w:spacing w:val="-1"/>
        </w:rPr>
        <w:t> </w:t>
      </w:r>
      <w:r>
        <w:rPr/>
        <w:t>attendant</w:t>
      </w:r>
      <w:r>
        <w:rPr>
          <w:spacing w:val="-3"/>
        </w:rPr>
        <w:t> </w:t>
      </w:r>
      <w:r>
        <w:rPr/>
        <w:t>disruption</w:t>
      </w:r>
      <w:r>
        <w:rPr>
          <w:spacing w:val="-3"/>
        </w:rPr>
        <w:t> </w:t>
      </w:r>
      <w:r>
        <w:rPr/>
        <w:t>of</w:t>
      </w:r>
      <w:r>
        <w:rPr>
          <w:spacing w:val="-2"/>
        </w:rPr>
        <w:t> </w:t>
      </w:r>
      <w:r>
        <w:rPr/>
        <w:t>peace</w:t>
      </w:r>
      <w:r>
        <w:rPr>
          <w:spacing w:val="-4"/>
        </w:rPr>
        <w:t> </w:t>
      </w:r>
      <w:r>
        <w:rPr/>
        <w:t>and</w:t>
      </w:r>
      <w:r>
        <w:rPr>
          <w:spacing w:val="-1"/>
        </w:rPr>
        <w:t> </w:t>
      </w:r>
      <w:r>
        <w:rPr/>
        <w:t>sustainable</w:t>
      </w:r>
      <w:r>
        <w:rPr>
          <w:spacing w:val="-2"/>
        </w:rPr>
        <w:t> </w:t>
      </w:r>
      <w:r>
        <w:rPr/>
        <w:t>development</w:t>
      </w:r>
      <w:r>
        <w:rPr>
          <w:spacing w:val="-3"/>
        </w:rPr>
        <w:t> </w:t>
      </w:r>
      <w:r>
        <w:rPr/>
        <w:t>of the Niger Delta.</w:t>
      </w:r>
      <w:r>
        <w:rPr>
          <w:spacing w:val="40"/>
        </w:rPr>
        <w:t> </w:t>
      </w:r>
      <w:r>
        <w:rPr/>
        <w:t>No responsible government will allow reprisal attacks by militant ethnic group in any part of the country, especially in the Niger Delta region, nor tolerate any damage to the nation's oil wealth and also peace and security in the land. This made the President and Commander-in-Chief to direct the activation of contingency plan for the security in Niger Delta through military operations by a " Joint Task Force" code named Operation </w:t>
      </w:r>
      <w:r>
        <w:rPr>
          <w:b/>
        </w:rPr>
        <w:t>RESTORE HOPE.</w:t>
      </w:r>
    </w:p>
    <w:p>
      <w:pPr>
        <w:pStyle w:val="BodyText"/>
        <w:spacing w:before="144"/>
        <w:ind w:left="0"/>
        <w:rPr>
          <w:b/>
        </w:rPr>
      </w:pPr>
    </w:p>
    <w:p>
      <w:pPr>
        <w:pStyle w:val="Heading1"/>
        <w:numPr>
          <w:ilvl w:val="1"/>
          <w:numId w:val="6"/>
        </w:numPr>
        <w:tabs>
          <w:tab w:pos="2160" w:val="left" w:leader="none"/>
        </w:tabs>
        <w:spacing w:line="240" w:lineRule="auto" w:before="0" w:after="0"/>
        <w:ind w:left="2160" w:right="0" w:hanging="720"/>
        <w:jc w:val="left"/>
      </w:pPr>
      <w:bookmarkStart w:name="_TOC_250025" w:id="17"/>
      <w:r>
        <w:rPr/>
        <w:t>STATEMENT</w:t>
      </w:r>
      <w:r>
        <w:rPr>
          <w:spacing w:val="-2"/>
        </w:rPr>
        <w:t> </w:t>
      </w:r>
      <w:r>
        <w:rPr/>
        <w:t>OF</w:t>
      </w:r>
      <w:r>
        <w:rPr>
          <w:spacing w:val="-3"/>
        </w:rPr>
        <w:t> </w:t>
      </w:r>
      <w:r>
        <w:rPr/>
        <w:t>THE</w:t>
      </w:r>
      <w:r>
        <w:rPr>
          <w:spacing w:val="-1"/>
        </w:rPr>
        <w:t> </w:t>
      </w:r>
      <w:r>
        <w:rPr/>
        <w:t>RESEARCH</w:t>
      </w:r>
      <w:r>
        <w:rPr>
          <w:spacing w:val="-1"/>
        </w:rPr>
        <w:t> </w:t>
      </w:r>
      <w:bookmarkEnd w:id="17"/>
      <w:r>
        <w:rPr>
          <w:spacing w:val="-2"/>
        </w:rPr>
        <w:t>PROBLEM</w:t>
      </w:r>
    </w:p>
    <w:p>
      <w:pPr>
        <w:pStyle w:val="BodyText"/>
        <w:spacing w:line="360" w:lineRule="auto" w:before="108"/>
        <w:ind w:right="1261" w:firstLine="720"/>
        <w:jc w:val="both"/>
      </w:pPr>
      <w:r>
        <w:rPr/>
        <w:t>The Niger Delta region, especially Bayelsa, Delta and Rivers States, have</w:t>
      </w:r>
      <w:r>
        <w:rPr>
          <w:spacing w:val="40"/>
        </w:rPr>
        <w:t> </w:t>
      </w:r>
      <w:r>
        <w:rPr/>
        <w:t>since remained key flashpoints of political violence and crime in Nigeria.</w:t>
      </w:r>
      <w:r>
        <w:rPr>
          <w:spacing w:val="40"/>
        </w:rPr>
        <w:t> </w:t>
      </w:r>
      <w:r>
        <w:rPr/>
        <w:t>General insecurity occasioned by ethno-communal crises and widespread cult and criminal activities by restive youths abound. Militant gangs grow at an alarming rate in the area.</w:t>
      </w:r>
      <w:r>
        <w:rPr>
          <w:spacing w:val="40"/>
        </w:rPr>
        <w:t> </w:t>
      </w:r>
      <w:r>
        <w:rPr/>
        <w:t>They blow up oil installations, kidnap oil and gas workers, and also provide security for illegal oil bunkerers.</w:t>
      </w:r>
      <w:r>
        <w:rPr>
          <w:spacing w:val="40"/>
        </w:rPr>
        <w:t> </w:t>
      </w:r>
      <w:r>
        <w:rPr/>
        <w:t>These activities pose Internal Security (IS) threat which, if not contained, could severely hamper Nigeria's monocultural (oil) economy. Figure</w:t>
      </w:r>
      <w:r>
        <w:rPr>
          <w:spacing w:val="45"/>
        </w:rPr>
        <w:t> </w:t>
      </w:r>
      <w:r>
        <w:rPr/>
        <w:t>2</w:t>
      </w:r>
      <w:r>
        <w:rPr>
          <w:spacing w:val="46"/>
        </w:rPr>
        <w:t> </w:t>
      </w:r>
      <w:r>
        <w:rPr/>
        <w:t>shows</w:t>
      </w:r>
      <w:r>
        <w:rPr>
          <w:spacing w:val="46"/>
        </w:rPr>
        <w:t> </w:t>
      </w:r>
      <w:r>
        <w:rPr/>
        <w:t>the</w:t>
      </w:r>
      <w:r>
        <w:rPr>
          <w:spacing w:val="46"/>
        </w:rPr>
        <w:t> </w:t>
      </w:r>
      <w:r>
        <w:rPr/>
        <w:t>theft</w:t>
      </w:r>
      <w:r>
        <w:rPr>
          <w:spacing w:val="48"/>
        </w:rPr>
        <w:t> </w:t>
      </w:r>
      <w:r>
        <w:rPr/>
        <w:t>of</w:t>
      </w:r>
      <w:r>
        <w:rPr>
          <w:spacing w:val="46"/>
        </w:rPr>
        <w:t> </w:t>
      </w:r>
      <w:r>
        <w:rPr/>
        <w:t>oil</w:t>
      </w:r>
      <w:r>
        <w:rPr>
          <w:spacing w:val="45"/>
        </w:rPr>
        <w:t> </w:t>
      </w:r>
      <w:r>
        <w:rPr/>
        <w:t>while</w:t>
      </w:r>
      <w:r>
        <w:rPr>
          <w:spacing w:val="46"/>
        </w:rPr>
        <w:t> </w:t>
      </w:r>
      <w:r>
        <w:rPr/>
        <w:t>Figure</w:t>
      </w:r>
      <w:r>
        <w:rPr>
          <w:spacing w:val="45"/>
        </w:rPr>
        <w:t> </w:t>
      </w:r>
      <w:r>
        <w:rPr/>
        <w:t>3</w:t>
      </w:r>
      <w:r>
        <w:rPr>
          <w:spacing w:val="47"/>
        </w:rPr>
        <w:t> </w:t>
      </w:r>
      <w:r>
        <w:rPr/>
        <w:t>shows</w:t>
      </w:r>
      <w:r>
        <w:rPr>
          <w:spacing w:val="46"/>
        </w:rPr>
        <w:t> </w:t>
      </w:r>
      <w:r>
        <w:rPr/>
        <w:t>the</w:t>
      </w:r>
      <w:r>
        <w:rPr>
          <w:spacing w:val="46"/>
        </w:rPr>
        <w:t> </w:t>
      </w:r>
      <w:r>
        <w:rPr/>
        <w:t>number</w:t>
      </w:r>
      <w:r>
        <w:rPr>
          <w:spacing w:val="45"/>
        </w:rPr>
        <w:t> </w:t>
      </w:r>
      <w:r>
        <w:rPr/>
        <w:t>of</w:t>
      </w:r>
      <w:r>
        <w:rPr>
          <w:spacing w:val="46"/>
        </w:rPr>
        <w:t> </w:t>
      </w:r>
      <w:r>
        <w:rPr/>
        <w:t>incidents</w:t>
      </w:r>
      <w:r>
        <w:rPr>
          <w:spacing w:val="48"/>
        </w:rPr>
        <w:t> </w:t>
      </w:r>
      <w:r>
        <w:rPr>
          <w:spacing w:val="-5"/>
        </w:rPr>
        <w:t>of</w:t>
      </w:r>
    </w:p>
    <w:p>
      <w:pPr>
        <w:spacing w:after="0" w:line="360" w:lineRule="auto"/>
        <w:jc w:val="both"/>
        <w:sectPr>
          <w:pgSz w:w="11910" w:h="16840"/>
          <w:pgMar w:header="0" w:footer="1561" w:top="1360" w:bottom="1760" w:left="720" w:right="180"/>
        </w:sectPr>
      </w:pPr>
    </w:p>
    <w:p>
      <w:pPr>
        <w:pStyle w:val="BodyText"/>
        <w:spacing w:before="60"/>
        <w:jc w:val="both"/>
      </w:pPr>
      <w:r>
        <w:rPr/>
        <mc:AlternateContent>
          <mc:Choice Requires="wps">
            <w:drawing>
              <wp:anchor distT="0" distB="0" distL="0" distR="0" allowOverlap="1" layoutInCell="1" locked="0" behindDoc="1" simplePos="0" relativeHeight="480602112">
                <wp:simplePos x="0" y="0"/>
                <wp:positionH relativeFrom="page">
                  <wp:posOffset>-1537026</wp:posOffset>
                </wp:positionH>
                <wp:positionV relativeFrom="page">
                  <wp:posOffset>4900424</wp:posOffset>
                </wp:positionV>
                <wp:extent cx="10669905" cy="914400"/>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14368;rotation:306" type="#_x0000_t136" fillcolor="#ff5400" stroked="f">
                <o:extrusion v:ext="view" autorotationcenter="t"/>
                <v:textpath style="font-family:&quot;Arial MT&quot;;font-size:72pt;v-text-kern:t;mso-text-shadow:auto" string="UNIVERSITY OF IBADAN"/>
                <w10:wrap type="none"/>
              </v:shape>
            </w:pict>
          </mc:Fallback>
        </mc:AlternateContent>
      </w:r>
      <w:r>
        <w:rPr/>
        <w:drawing>
          <wp:anchor distT="0" distB="0" distL="0" distR="0" allowOverlap="1" layoutInCell="1" locked="0" behindDoc="0" simplePos="0" relativeHeight="15773184">
            <wp:simplePos x="0" y="0"/>
            <wp:positionH relativeFrom="page">
              <wp:posOffset>1499870</wp:posOffset>
            </wp:positionH>
            <wp:positionV relativeFrom="paragraph">
              <wp:posOffset>508889</wp:posOffset>
            </wp:positionV>
            <wp:extent cx="5645785" cy="4100829"/>
            <wp:effectExtent l="0" t="0" r="0" b="0"/>
            <wp:wrapNone/>
            <wp:docPr id="146" name="Image 146"/>
            <wp:cNvGraphicFramePr>
              <a:graphicFrameLocks/>
            </wp:cNvGraphicFramePr>
            <a:graphic>
              <a:graphicData uri="http://schemas.openxmlformats.org/drawingml/2006/picture">
                <pic:pic>
                  <pic:nvPicPr>
                    <pic:cNvPr id="146" name="Image 146"/>
                    <pic:cNvPicPr/>
                  </pic:nvPicPr>
                  <pic:blipFill>
                    <a:blip r:embed="rId52" cstate="print"/>
                    <a:stretch>
                      <a:fillRect/>
                    </a:stretch>
                  </pic:blipFill>
                  <pic:spPr>
                    <a:xfrm>
                      <a:off x="0" y="0"/>
                      <a:ext cx="5645785" cy="4100829"/>
                    </a:xfrm>
                    <a:prstGeom prst="rect">
                      <a:avLst/>
                    </a:prstGeom>
                  </pic:spPr>
                </pic:pic>
              </a:graphicData>
            </a:graphic>
          </wp:anchor>
        </w:drawing>
      </w:r>
      <w:r>
        <w:rPr/>
        <w:t>hostage</w:t>
      </w:r>
      <w:r>
        <w:rPr>
          <w:spacing w:val="-2"/>
        </w:rPr>
        <w:t> </w:t>
      </w:r>
      <w:r>
        <w:rPr/>
        <w:t>taking</w:t>
      </w:r>
      <w:r>
        <w:rPr>
          <w:spacing w:val="-2"/>
        </w:rPr>
        <w:t> </w:t>
      </w:r>
      <w:r>
        <w:rPr/>
        <w:t>in 2008</w:t>
      </w:r>
      <w:r>
        <w:rPr>
          <w:spacing w:val="-1"/>
        </w:rPr>
        <w:t> </w:t>
      </w:r>
      <w:r>
        <w:rPr/>
        <w:t>in</w:t>
      </w:r>
      <w:r>
        <w:rPr>
          <w:spacing w:val="2"/>
        </w:rPr>
        <w:t> </w:t>
      </w:r>
      <w:r>
        <w:rPr/>
        <w:t>the </w:t>
      </w:r>
      <w:r>
        <w:rPr>
          <w:spacing w:val="-2"/>
        </w:rPr>
        <w:t>region.</w: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23"/>
        <w:ind w:left="0"/>
      </w:pPr>
    </w:p>
    <w:p>
      <w:pPr>
        <w:pStyle w:val="Heading2"/>
        <w:spacing w:before="1"/>
        <w:jc w:val="both"/>
      </w:pPr>
      <w:r>
        <w:rPr/>
        <w:t>Figure</w:t>
      </w:r>
      <w:r>
        <w:rPr>
          <w:spacing w:val="-4"/>
        </w:rPr>
        <w:t> </w:t>
      </w:r>
      <w:r>
        <w:rPr/>
        <w:t>3</w:t>
      </w:r>
      <w:r>
        <w:rPr>
          <w:spacing w:val="-1"/>
        </w:rPr>
        <w:t> </w:t>
      </w:r>
      <w:r>
        <w:rPr/>
        <w:t>–</w:t>
      </w:r>
      <w:r>
        <w:rPr>
          <w:spacing w:val="2"/>
        </w:rPr>
        <w:t> </w:t>
      </w:r>
      <w:r>
        <w:rPr/>
        <w:t>Crude</w:t>
      </w:r>
      <w:r>
        <w:rPr>
          <w:spacing w:val="-2"/>
        </w:rPr>
        <w:t> </w:t>
      </w:r>
      <w:r>
        <w:rPr/>
        <w:t>Oil</w:t>
      </w:r>
      <w:r>
        <w:rPr>
          <w:spacing w:val="-1"/>
        </w:rPr>
        <w:t> </w:t>
      </w:r>
      <w:r>
        <w:rPr/>
        <w:t>Theft in</w:t>
      </w:r>
      <w:r>
        <w:rPr>
          <w:spacing w:val="-1"/>
        </w:rPr>
        <w:t> </w:t>
      </w:r>
      <w:r>
        <w:rPr/>
        <w:t>the</w:t>
      </w:r>
      <w:r>
        <w:rPr>
          <w:spacing w:val="-2"/>
        </w:rPr>
        <w:t> </w:t>
      </w:r>
      <w:r>
        <w:rPr/>
        <w:t>Niger</w:t>
      </w:r>
      <w:r>
        <w:rPr>
          <w:spacing w:val="-1"/>
        </w:rPr>
        <w:t> </w:t>
      </w:r>
      <w:r>
        <w:rPr/>
        <w:t>Delta 2003</w:t>
      </w:r>
      <w:r>
        <w:rPr>
          <w:spacing w:val="2"/>
        </w:rPr>
        <w:t> </w:t>
      </w:r>
      <w:r>
        <w:rPr/>
        <w:t>– </w:t>
      </w:r>
      <w:r>
        <w:rPr>
          <w:spacing w:val="-4"/>
        </w:rPr>
        <w:t>2008</w:t>
      </w:r>
    </w:p>
    <w:p>
      <w:pPr>
        <w:spacing w:line="360" w:lineRule="auto" w:before="139"/>
        <w:ind w:left="1440" w:right="1253" w:firstLine="0"/>
        <w:jc w:val="both"/>
        <w:rPr>
          <w:sz w:val="23"/>
        </w:rPr>
      </w:pPr>
      <w:r>
        <w:rPr>
          <w:b/>
          <w:sz w:val="24"/>
        </w:rPr>
        <w:t>Source:</w:t>
      </w:r>
      <w:r>
        <w:rPr>
          <w:b/>
          <w:spacing w:val="80"/>
          <w:sz w:val="24"/>
        </w:rPr>
        <w:t>   </w:t>
      </w:r>
      <w:r>
        <w:rPr>
          <w:b/>
          <w:sz w:val="24"/>
        </w:rPr>
        <w:t>Shell</w:t>
      </w:r>
      <w:r>
        <w:rPr>
          <w:b/>
          <w:spacing w:val="80"/>
          <w:sz w:val="24"/>
        </w:rPr>
        <w:t> </w:t>
      </w:r>
      <w:r>
        <w:rPr>
          <w:b/>
          <w:sz w:val="24"/>
        </w:rPr>
        <w:t>Petroleum</w:t>
      </w:r>
      <w:r>
        <w:rPr>
          <w:b/>
          <w:spacing w:val="80"/>
          <w:sz w:val="24"/>
        </w:rPr>
        <w:t> </w:t>
      </w:r>
      <w:r>
        <w:rPr>
          <w:b/>
          <w:sz w:val="24"/>
        </w:rPr>
        <w:t>Development</w:t>
      </w:r>
      <w:r>
        <w:rPr>
          <w:b/>
          <w:spacing w:val="80"/>
          <w:sz w:val="24"/>
        </w:rPr>
        <w:t> </w:t>
      </w:r>
      <w:r>
        <w:rPr>
          <w:b/>
          <w:sz w:val="24"/>
        </w:rPr>
        <w:t>Corporation,</w:t>
      </w:r>
      <w:r>
        <w:rPr>
          <w:b/>
          <w:spacing w:val="80"/>
          <w:sz w:val="24"/>
        </w:rPr>
        <w:t> </w:t>
      </w:r>
      <w:r>
        <w:rPr>
          <w:b/>
          <w:sz w:val="24"/>
        </w:rPr>
        <w:t>Security</w:t>
      </w:r>
      <w:r>
        <w:rPr>
          <w:b/>
          <w:spacing w:val="80"/>
          <w:sz w:val="24"/>
        </w:rPr>
        <w:t> </w:t>
      </w:r>
      <w:r>
        <w:rPr>
          <w:b/>
          <w:sz w:val="24"/>
        </w:rPr>
        <w:t>Division.</w:t>
      </w:r>
      <w:r>
        <w:rPr>
          <w:b/>
          <w:spacing w:val="40"/>
          <w:sz w:val="24"/>
        </w:rPr>
        <w:t> </w:t>
      </w:r>
      <w:r>
        <w:rPr>
          <w:sz w:val="23"/>
        </w:rPr>
        <w:t>The measures taken so far by the government and various stakeholders to address</w:t>
      </w:r>
      <w:r>
        <w:rPr>
          <w:spacing w:val="80"/>
          <w:sz w:val="23"/>
        </w:rPr>
        <w:t> </w:t>
      </w:r>
      <w:r>
        <w:rPr>
          <w:sz w:val="23"/>
        </w:rPr>
        <w:t>poverty, socio-economic and human security problems in the Niger Delta appear not to have succeeded in dealing with the insecurity situation of the region. Consequently, the escalating</w:t>
      </w:r>
      <w:r>
        <w:rPr>
          <w:spacing w:val="-2"/>
          <w:sz w:val="23"/>
        </w:rPr>
        <w:t> </w:t>
      </w:r>
      <w:r>
        <w:rPr>
          <w:sz w:val="23"/>
        </w:rPr>
        <w:t>level of</w:t>
      </w:r>
      <w:r>
        <w:rPr>
          <w:spacing w:val="-2"/>
          <w:sz w:val="23"/>
        </w:rPr>
        <w:t> </w:t>
      </w:r>
      <w:r>
        <w:rPr>
          <w:sz w:val="23"/>
        </w:rPr>
        <w:t>insecurity</w:t>
      </w:r>
      <w:r>
        <w:rPr>
          <w:spacing w:val="-2"/>
          <w:sz w:val="23"/>
        </w:rPr>
        <w:t> </w:t>
      </w:r>
      <w:r>
        <w:rPr>
          <w:sz w:val="23"/>
        </w:rPr>
        <w:t>in the area has continued unabated. This has necessitated the deployment of the military Joint Task force (JTF) Operation RESTORE HOPE in 2003. Eight years after the deployment, the conflict still lingers. The study, therefore, seeks to assess the conduct of the JTF with a view to determining the extent to which it has impacted on the resolution of the Niger Delta conflict.</w:t>
      </w:r>
    </w:p>
    <w:p>
      <w:pPr>
        <w:spacing w:line="258" w:lineRule="exact" w:before="0"/>
        <w:ind w:left="2160" w:right="0" w:firstLine="0"/>
        <w:jc w:val="both"/>
        <w:rPr>
          <w:sz w:val="23"/>
        </w:rPr>
      </w:pPr>
      <w:r>
        <w:rPr>
          <w:sz w:val="23"/>
        </w:rPr>
        <w:t>It</w:t>
      </w:r>
      <w:r>
        <w:rPr>
          <w:spacing w:val="-4"/>
          <w:sz w:val="23"/>
        </w:rPr>
        <w:t> </w:t>
      </w:r>
      <w:r>
        <w:rPr>
          <w:sz w:val="23"/>
        </w:rPr>
        <w:t>is</w:t>
      </w:r>
      <w:r>
        <w:rPr>
          <w:spacing w:val="-3"/>
          <w:sz w:val="23"/>
        </w:rPr>
        <w:t> </w:t>
      </w:r>
      <w:r>
        <w:rPr>
          <w:sz w:val="23"/>
        </w:rPr>
        <w:t>against</w:t>
      </w:r>
      <w:r>
        <w:rPr>
          <w:spacing w:val="-2"/>
          <w:sz w:val="23"/>
        </w:rPr>
        <w:t> </w:t>
      </w:r>
      <w:r>
        <w:rPr>
          <w:sz w:val="23"/>
        </w:rPr>
        <w:t>this</w:t>
      </w:r>
      <w:r>
        <w:rPr>
          <w:spacing w:val="-3"/>
          <w:sz w:val="23"/>
        </w:rPr>
        <w:t> </w:t>
      </w:r>
      <w:r>
        <w:rPr>
          <w:sz w:val="23"/>
        </w:rPr>
        <w:t>backdrop</w:t>
      </w:r>
      <w:r>
        <w:rPr>
          <w:spacing w:val="-5"/>
          <w:sz w:val="23"/>
        </w:rPr>
        <w:t> </w:t>
      </w:r>
      <w:r>
        <w:rPr>
          <w:sz w:val="23"/>
        </w:rPr>
        <w:t>that</w:t>
      </w:r>
      <w:r>
        <w:rPr>
          <w:spacing w:val="-4"/>
          <w:sz w:val="23"/>
        </w:rPr>
        <w:t> </w:t>
      </w:r>
      <w:r>
        <w:rPr>
          <w:sz w:val="23"/>
        </w:rPr>
        <w:t>the</w:t>
      </w:r>
      <w:r>
        <w:rPr>
          <w:spacing w:val="-2"/>
          <w:sz w:val="23"/>
        </w:rPr>
        <w:t> </w:t>
      </w:r>
      <w:r>
        <w:rPr>
          <w:sz w:val="23"/>
        </w:rPr>
        <w:t>study</w:t>
      </w:r>
      <w:r>
        <w:rPr>
          <w:spacing w:val="-5"/>
          <w:sz w:val="23"/>
        </w:rPr>
        <w:t> </w:t>
      </w:r>
      <w:r>
        <w:rPr>
          <w:sz w:val="23"/>
        </w:rPr>
        <w:t>seeks</w:t>
      </w:r>
      <w:r>
        <w:rPr>
          <w:spacing w:val="-3"/>
          <w:sz w:val="23"/>
        </w:rPr>
        <w:t> </w:t>
      </w:r>
      <w:r>
        <w:rPr>
          <w:sz w:val="23"/>
        </w:rPr>
        <w:t>to</w:t>
      </w:r>
      <w:r>
        <w:rPr>
          <w:spacing w:val="-2"/>
          <w:sz w:val="23"/>
        </w:rPr>
        <w:t> </w:t>
      </w:r>
      <w:r>
        <w:rPr>
          <w:sz w:val="23"/>
        </w:rPr>
        <w:t>answer</w:t>
      </w:r>
      <w:r>
        <w:rPr>
          <w:spacing w:val="-2"/>
          <w:sz w:val="23"/>
        </w:rPr>
        <w:t> </w:t>
      </w:r>
      <w:r>
        <w:rPr>
          <w:sz w:val="23"/>
        </w:rPr>
        <w:t>the</w:t>
      </w:r>
      <w:r>
        <w:rPr>
          <w:spacing w:val="-2"/>
          <w:sz w:val="23"/>
        </w:rPr>
        <w:t> </w:t>
      </w:r>
      <w:r>
        <w:rPr>
          <w:sz w:val="23"/>
        </w:rPr>
        <w:t>following</w:t>
      </w:r>
      <w:r>
        <w:rPr>
          <w:spacing w:val="-4"/>
          <w:sz w:val="23"/>
        </w:rPr>
        <w:t> </w:t>
      </w:r>
      <w:r>
        <w:rPr>
          <w:spacing w:val="-2"/>
          <w:sz w:val="23"/>
        </w:rPr>
        <w:t>questions:</w:t>
      </w:r>
    </w:p>
    <w:p>
      <w:pPr>
        <w:pStyle w:val="ListParagraph"/>
        <w:numPr>
          <w:ilvl w:val="0"/>
          <w:numId w:val="7"/>
        </w:numPr>
        <w:tabs>
          <w:tab w:pos="2160" w:val="left" w:leader="none"/>
        </w:tabs>
        <w:spacing w:line="240" w:lineRule="auto" w:before="134" w:after="0"/>
        <w:ind w:left="2160" w:right="0" w:hanging="720"/>
        <w:jc w:val="left"/>
        <w:rPr>
          <w:sz w:val="23"/>
        </w:rPr>
      </w:pPr>
      <w:r>
        <w:rPr>
          <w:sz w:val="23"/>
        </w:rPr>
        <w:t>What</w:t>
      </w:r>
      <w:r>
        <w:rPr>
          <w:spacing w:val="-5"/>
          <w:sz w:val="23"/>
        </w:rPr>
        <w:t> </w:t>
      </w:r>
      <w:r>
        <w:rPr>
          <w:sz w:val="23"/>
        </w:rPr>
        <w:t>are</w:t>
      </w:r>
      <w:r>
        <w:rPr>
          <w:spacing w:val="-2"/>
          <w:sz w:val="23"/>
        </w:rPr>
        <w:t> </w:t>
      </w:r>
      <w:r>
        <w:rPr>
          <w:sz w:val="23"/>
        </w:rPr>
        <w:t>the</w:t>
      </w:r>
      <w:r>
        <w:rPr>
          <w:spacing w:val="-3"/>
          <w:sz w:val="23"/>
        </w:rPr>
        <w:t> </w:t>
      </w:r>
      <w:r>
        <w:rPr>
          <w:sz w:val="23"/>
        </w:rPr>
        <w:t>security</w:t>
      </w:r>
      <w:r>
        <w:rPr>
          <w:spacing w:val="-7"/>
          <w:sz w:val="23"/>
        </w:rPr>
        <w:t> </w:t>
      </w:r>
      <w:r>
        <w:rPr>
          <w:sz w:val="23"/>
        </w:rPr>
        <w:t>challenges</w:t>
      </w:r>
      <w:r>
        <w:rPr>
          <w:spacing w:val="-4"/>
          <w:sz w:val="23"/>
        </w:rPr>
        <w:t> </w:t>
      </w:r>
      <w:r>
        <w:rPr>
          <w:sz w:val="23"/>
        </w:rPr>
        <w:t>of</w:t>
      </w:r>
      <w:r>
        <w:rPr>
          <w:spacing w:val="-5"/>
          <w:sz w:val="23"/>
        </w:rPr>
        <w:t> </w:t>
      </w:r>
      <w:r>
        <w:rPr>
          <w:sz w:val="23"/>
        </w:rPr>
        <w:t>the</w:t>
      </w:r>
      <w:r>
        <w:rPr>
          <w:spacing w:val="-3"/>
          <w:sz w:val="23"/>
        </w:rPr>
        <w:t> </w:t>
      </w:r>
      <w:r>
        <w:rPr>
          <w:sz w:val="23"/>
        </w:rPr>
        <w:t>Niger</w:t>
      </w:r>
      <w:r>
        <w:rPr>
          <w:spacing w:val="-2"/>
          <w:sz w:val="23"/>
        </w:rPr>
        <w:t> </w:t>
      </w:r>
      <w:r>
        <w:rPr>
          <w:sz w:val="23"/>
        </w:rPr>
        <w:t>Delta</w:t>
      </w:r>
      <w:r>
        <w:rPr>
          <w:spacing w:val="-4"/>
          <w:sz w:val="23"/>
        </w:rPr>
        <w:t> </w:t>
      </w:r>
      <w:r>
        <w:rPr>
          <w:spacing w:val="-2"/>
          <w:sz w:val="23"/>
        </w:rPr>
        <w:t>conflict?</w:t>
      </w:r>
    </w:p>
    <w:p>
      <w:pPr>
        <w:pStyle w:val="ListParagraph"/>
        <w:numPr>
          <w:ilvl w:val="0"/>
          <w:numId w:val="7"/>
        </w:numPr>
        <w:tabs>
          <w:tab w:pos="2160" w:val="left" w:leader="none"/>
        </w:tabs>
        <w:spacing w:line="360" w:lineRule="auto" w:before="132" w:after="0"/>
        <w:ind w:left="2160" w:right="1258" w:hanging="720"/>
        <w:jc w:val="left"/>
        <w:rPr>
          <w:sz w:val="23"/>
        </w:rPr>
      </w:pPr>
      <w:r>
        <w:rPr>
          <w:sz w:val="23"/>
        </w:rPr>
        <w:t>Under what contexts did the Federal Government resort to the military option in dealing with the security challenges in the Niger Delta?</w:t>
      </w:r>
    </w:p>
    <w:p>
      <w:pPr>
        <w:pStyle w:val="ListParagraph"/>
        <w:numPr>
          <w:ilvl w:val="0"/>
          <w:numId w:val="7"/>
        </w:numPr>
        <w:tabs>
          <w:tab w:pos="2160" w:val="left" w:leader="none"/>
        </w:tabs>
        <w:spacing w:line="240" w:lineRule="auto" w:before="1" w:after="0"/>
        <w:ind w:left="2160" w:right="0" w:hanging="720"/>
        <w:jc w:val="left"/>
        <w:rPr>
          <w:sz w:val="23"/>
        </w:rPr>
      </w:pPr>
      <w:r>
        <w:rPr>
          <w:sz w:val="23"/>
        </w:rPr>
        <w:t>What</w:t>
      </w:r>
      <w:r>
        <w:rPr>
          <w:spacing w:val="-5"/>
          <w:sz w:val="23"/>
        </w:rPr>
        <w:t> </w:t>
      </w:r>
      <w:r>
        <w:rPr>
          <w:sz w:val="23"/>
        </w:rPr>
        <w:t>is</w:t>
      </w:r>
      <w:r>
        <w:rPr>
          <w:spacing w:val="-3"/>
          <w:sz w:val="23"/>
        </w:rPr>
        <w:t> </w:t>
      </w:r>
      <w:r>
        <w:rPr>
          <w:sz w:val="23"/>
        </w:rPr>
        <w:t>the</w:t>
      </w:r>
      <w:r>
        <w:rPr>
          <w:spacing w:val="-2"/>
          <w:sz w:val="23"/>
        </w:rPr>
        <w:t> </w:t>
      </w:r>
      <w:r>
        <w:rPr>
          <w:sz w:val="23"/>
        </w:rPr>
        <w:t>mandate</w:t>
      </w:r>
      <w:r>
        <w:rPr>
          <w:spacing w:val="-2"/>
          <w:sz w:val="23"/>
        </w:rPr>
        <w:t> </w:t>
      </w:r>
      <w:r>
        <w:rPr>
          <w:sz w:val="23"/>
        </w:rPr>
        <w:t>of</w:t>
      </w:r>
      <w:r>
        <w:rPr>
          <w:spacing w:val="-5"/>
          <w:sz w:val="23"/>
        </w:rPr>
        <w:t> </w:t>
      </w:r>
      <w:r>
        <w:rPr>
          <w:sz w:val="23"/>
        </w:rPr>
        <w:t>the</w:t>
      </w:r>
      <w:r>
        <w:rPr>
          <w:spacing w:val="-2"/>
          <w:sz w:val="23"/>
        </w:rPr>
        <w:t> </w:t>
      </w:r>
      <w:r>
        <w:rPr>
          <w:sz w:val="23"/>
        </w:rPr>
        <w:t>Joint</w:t>
      </w:r>
      <w:r>
        <w:rPr>
          <w:spacing w:val="-4"/>
          <w:sz w:val="23"/>
        </w:rPr>
        <w:t> </w:t>
      </w:r>
      <w:r>
        <w:rPr>
          <w:sz w:val="23"/>
        </w:rPr>
        <w:t>Task</w:t>
      </w:r>
      <w:r>
        <w:rPr>
          <w:spacing w:val="-2"/>
          <w:sz w:val="23"/>
        </w:rPr>
        <w:t> </w:t>
      </w:r>
      <w:r>
        <w:rPr>
          <w:sz w:val="23"/>
        </w:rPr>
        <w:t>Force</w:t>
      </w:r>
      <w:r>
        <w:rPr>
          <w:spacing w:val="-2"/>
          <w:sz w:val="23"/>
        </w:rPr>
        <w:t> </w:t>
      </w:r>
      <w:r>
        <w:rPr>
          <w:sz w:val="23"/>
        </w:rPr>
        <w:t>(JTF)</w:t>
      </w:r>
      <w:r>
        <w:rPr>
          <w:spacing w:val="-2"/>
          <w:sz w:val="23"/>
        </w:rPr>
        <w:t> </w:t>
      </w:r>
      <w:r>
        <w:rPr>
          <w:sz w:val="23"/>
        </w:rPr>
        <w:t>in</w:t>
      </w:r>
      <w:r>
        <w:rPr>
          <w:spacing w:val="-2"/>
          <w:sz w:val="23"/>
        </w:rPr>
        <w:t> </w:t>
      </w:r>
      <w:r>
        <w:rPr>
          <w:sz w:val="23"/>
        </w:rPr>
        <w:t>the</w:t>
      </w:r>
      <w:r>
        <w:rPr>
          <w:spacing w:val="-4"/>
          <w:sz w:val="23"/>
        </w:rPr>
        <w:t> </w:t>
      </w:r>
      <w:r>
        <w:rPr>
          <w:sz w:val="23"/>
        </w:rPr>
        <w:t>management</w:t>
      </w:r>
      <w:r>
        <w:rPr>
          <w:spacing w:val="-4"/>
          <w:sz w:val="23"/>
        </w:rPr>
        <w:t> </w:t>
      </w:r>
      <w:r>
        <w:rPr>
          <w:sz w:val="23"/>
        </w:rPr>
        <w:t>of</w:t>
      </w:r>
      <w:r>
        <w:rPr>
          <w:spacing w:val="-5"/>
          <w:sz w:val="23"/>
        </w:rPr>
        <w:t> the</w:t>
      </w:r>
    </w:p>
    <w:p>
      <w:pPr>
        <w:spacing w:after="0" w:line="240" w:lineRule="auto"/>
        <w:jc w:val="left"/>
        <w:rPr>
          <w:sz w:val="23"/>
        </w:rPr>
        <w:sectPr>
          <w:pgSz w:w="11910" w:h="16840"/>
          <w:pgMar w:header="0" w:footer="1561" w:top="1360" w:bottom="1760" w:left="720" w:right="180"/>
        </w:sectPr>
      </w:pPr>
    </w:p>
    <w:p>
      <w:pPr>
        <w:pStyle w:val="BodyText"/>
        <w:spacing w:before="60"/>
      </w:pPr>
      <w:r>
        <w:rPr/>
        <mc:AlternateContent>
          <mc:Choice Requires="wps">
            <w:drawing>
              <wp:anchor distT="0" distB="0" distL="0" distR="0" allowOverlap="1" layoutInCell="1" locked="0" behindDoc="1" simplePos="0" relativeHeight="480603136">
                <wp:simplePos x="0" y="0"/>
                <wp:positionH relativeFrom="page">
                  <wp:posOffset>-1537026</wp:posOffset>
                </wp:positionH>
                <wp:positionV relativeFrom="page">
                  <wp:posOffset>4900424</wp:posOffset>
                </wp:positionV>
                <wp:extent cx="10669905" cy="914400"/>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13344;rotation:306" type="#_x0000_t136" fillcolor="#ff5400" stroked="f">
                <o:extrusion v:ext="view" autorotationcenter="t"/>
                <v:textpath style="font-family:&quot;Arial MT&quot;;font-size:72pt;v-text-kern:t;mso-text-shadow:auto" string="UNIVERSITY OF IBADAN"/>
                <w10:wrap type="none"/>
              </v:shape>
            </w:pict>
          </mc:Fallback>
        </mc:AlternateContent>
      </w:r>
      <w:r>
        <w:rPr/>
        <w:t>Niger</w:t>
      </w:r>
      <w:r>
        <w:rPr>
          <w:spacing w:val="-3"/>
        </w:rPr>
        <w:t> </w:t>
      </w:r>
      <w:r>
        <w:rPr/>
        <w:t>Delta</w:t>
      </w:r>
      <w:r>
        <w:rPr>
          <w:spacing w:val="-1"/>
        </w:rPr>
        <w:t> </w:t>
      </w:r>
      <w:r>
        <w:rPr>
          <w:spacing w:val="-2"/>
        </w:rPr>
        <w:t>conflict?</w:t>
      </w:r>
    </w:p>
    <w:p>
      <w:pPr>
        <w:pStyle w:val="ListParagraph"/>
        <w:numPr>
          <w:ilvl w:val="0"/>
          <w:numId w:val="7"/>
        </w:numPr>
        <w:tabs>
          <w:tab w:pos="2160" w:val="left" w:leader="none"/>
        </w:tabs>
        <w:spacing w:line="360" w:lineRule="auto" w:before="138" w:after="0"/>
        <w:ind w:left="2160" w:right="1263" w:hanging="720"/>
        <w:jc w:val="left"/>
        <w:rPr>
          <w:sz w:val="24"/>
        </w:rPr>
      </w:pPr>
      <w:r>
        <w:rPr>
          <w:sz w:val="24"/>
        </w:rPr>
        <w:t>What are the approaches adopted by the JTF in dealing with the Niger Delta</w:t>
      </w:r>
      <w:r>
        <w:rPr>
          <w:spacing w:val="40"/>
          <w:sz w:val="24"/>
        </w:rPr>
        <w:t> </w:t>
      </w:r>
      <w:r>
        <w:rPr>
          <w:spacing w:val="-2"/>
          <w:sz w:val="24"/>
        </w:rPr>
        <w:t>crisis?</w:t>
      </w:r>
    </w:p>
    <w:p>
      <w:pPr>
        <w:pStyle w:val="ListParagraph"/>
        <w:numPr>
          <w:ilvl w:val="0"/>
          <w:numId w:val="7"/>
        </w:numPr>
        <w:tabs>
          <w:tab w:pos="2160" w:val="left" w:leader="none"/>
        </w:tabs>
        <w:spacing w:line="360" w:lineRule="auto" w:before="0" w:after="0"/>
        <w:ind w:left="2160" w:right="1265" w:hanging="720"/>
        <w:jc w:val="left"/>
        <w:rPr>
          <w:sz w:val="24"/>
        </w:rPr>
      </w:pPr>
      <w:r>
        <w:rPr>
          <w:sz w:val="24"/>
        </w:rPr>
        <w:t>What</w:t>
      </w:r>
      <w:r>
        <w:rPr>
          <w:spacing w:val="-1"/>
          <w:sz w:val="24"/>
        </w:rPr>
        <w:t> </w:t>
      </w:r>
      <w:r>
        <w:rPr>
          <w:sz w:val="24"/>
        </w:rPr>
        <w:t>are</w:t>
      </w:r>
      <w:r>
        <w:rPr>
          <w:spacing w:val="-3"/>
          <w:sz w:val="24"/>
        </w:rPr>
        <w:t> </w:t>
      </w:r>
      <w:r>
        <w:rPr>
          <w:sz w:val="24"/>
        </w:rPr>
        <w:t>the challenges and</w:t>
      </w:r>
      <w:r>
        <w:rPr>
          <w:spacing w:val="-1"/>
          <w:sz w:val="24"/>
        </w:rPr>
        <w:t> </w:t>
      </w:r>
      <w:r>
        <w:rPr>
          <w:sz w:val="24"/>
        </w:rPr>
        <w:t>achievements</w:t>
      </w:r>
      <w:r>
        <w:rPr>
          <w:spacing w:val="-1"/>
          <w:sz w:val="24"/>
        </w:rPr>
        <w:t> </w:t>
      </w:r>
      <w:r>
        <w:rPr>
          <w:sz w:val="24"/>
        </w:rPr>
        <w:t>of the Joint</w:t>
      </w:r>
      <w:r>
        <w:rPr>
          <w:spacing w:val="-1"/>
          <w:sz w:val="24"/>
        </w:rPr>
        <w:t> </w:t>
      </w:r>
      <w:r>
        <w:rPr>
          <w:sz w:val="24"/>
        </w:rPr>
        <w:t>Task</w:t>
      </w:r>
      <w:r>
        <w:rPr>
          <w:spacing w:val="-1"/>
          <w:sz w:val="24"/>
        </w:rPr>
        <w:t> </w:t>
      </w:r>
      <w:r>
        <w:rPr>
          <w:sz w:val="24"/>
        </w:rPr>
        <w:t>Force</w:t>
      </w:r>
      <w:r>
        <w:rPr>
          <w:spacing w:val="-2"/>
          <w:sz w:val="24"/>
        </w:rPr>
        <w:t> </w:t>
      </w:r>
      <w:r>
        <w:rPr>
          <w:sz w:val="24"/>
        </w:rPr>
        <w:t>in</w:t>
      </w:r>
      <w:r>
        <w:rPr>
          <w:spacing w:val="-1"/>
          <w:sz w:val="24"/>
        </w:rPr>
        <w:t> </w:t>
      </w:r>
      <w:r>
        <w:rPr>
          <w:sz w:val="24"/>
        </w:rPr>
        <w:t>the</w:t>
      </w:r>
      <w:r>
        <w:rPr>
          <w:spacing w:val="-2"/>
          <w:sz w:val="24"/>
        </w:rPr>
        <w:t> </w:t>
      </w:r>
      <w:r>
        <w:rPr>
          <w:sz w:val="24"/>
        </w:rPr>
        <w:t>Niger </w:t>
      </w:r>
      <w:r>
        <w:rPr>
          <w:spacing w:val="-2"/>
          <w:sz w:val="24"/>
        </w:rPr>
        <w:t>Delta?</w:t>
      </w:r>
    </w:p>
    <w:p>
      <w:pPr>
        <w:pStyle w:val="ListParagraph"/>
        <w:numPr>
          <w:ilvl w:val="0"/>
          <w:numId w:val="7"/>
        </w:numPr>
        <w:tabs>
          <w:tab w:pos="2160" w:val="left" w:leader="none"/>
        </w:tabs>
        <w:spacing w:line="240" w:lineRule="auto" w:before="0" w:after="0"/>
        <w:ind w:left="2160" w:right="0" w:hanging="720"/>
        <w:jc w:val="left"/>
        <w:rPr>
          <w:sz w:val="24"/>
        </w:rPr>
      </w:pPr>
      <w:r>
        <w:rPr>
          <w:sz w:val="24"/>
        </w:rPr>
        <w:t>How</w:t>
      </w:r>
      <w:r>
        <w:rPr>
          <w:spacing w:val="-2"/>
          <w:sz w:val="24"/>
        </w:rPr>
        <w:t> </w:t>
      </w:r>
      <w:r>
        <w:rPr>
          <w:sz w:val="24"/>
        </w:rPr>
        <w:t>can the mission</w:t>
      </w:r>
      <w:r>
        <w:rPr>
          <w:spacing w:val="-1"/>
          <w:sz w:val="24"/>
        </w:rPr>
        <w:t> </w:t>
      </w:r>
      <w:r>
        <w:rPr>
          <w:sz w:val="24"/>
        </w:rPr>
        <w:t>be</w:t>
      </w:r>
      <w:r>
        <w:rPr>
          <w:spacing w:val="1"/>
          <w:sz w:val="24"/>
        </w:rPr>
        <w:t> </w:t>
      </w:r>
      <w:r>
        <w:rPr>
          <w:sz w:val="24"/>
        </w:rPr>
        <w:t>made</w:t>
      </w:r>
      <w:r>
        <w:rPr>
          <w:spacing w:val="-2"/>
          <w:sz w:val="24"/>
        </w:rPr>
        <w:t> </w:t>
      </w:r>
      <w:r>
        <w:rPr>
          <w:sz w:val="24"/>
        </w:rPr>
        <w:t>more</w:t>
      </w:r>
      <w:r>
        <w:rPr>
          <w:spacing w:val="-2"/>
          <w:sz w:val="24"/>
        </w:rPr>
        <w:t> effective?</w:t>
      </w:r>
    </w:p>
    <w:p>
      <w:pPr>
        <w:pStyle w:val="BodyText"/>
        <w:spacing w:before="144"/>
        <w:ind w:left="0"/>
      </w:pPr>
    </w:p>
    <w:p>
      <w:pPr>
        <w:pStyle w:val="Heading1"/>
        <w:numPr>
          <w:ilvl w:val="1"/>
          <w:numId w:val="6"/>
        </w:numPr>
        <w:tabs>
          <w:tab w:pos="2160" w:val="left" w:leader="none"/>
        </w:tabs>
        <w:spacing w:line="240" w:lineRule="auto" w:before="0" w:after="0"/>
        <w:ind w:left="2160" w:right="0" w:hanging="720"/>
        <w:jc w:val="left"/>
      </w:pPr>
      <w:bookmarkStart w:name="_TOC_250024" w:id="18"/>
      <w:r>
        <w:rPr/>
        <w:t>RESEARCH</w:t>
      </w:r>
      <w:r>
        <w:rPr>
          <w:spacing w:val="-1"/>
        </w:rPr>
        <w:t> </w:t>
      </w:r>
      <w:bookmarkEnd w:id="18"/>
      <w:r>
        <w:rPr>
          <w:spacing w:val="-2"/>
        </w:rPr>
        <w:t>OBJECTIVES</w:t>
      </w:r>
    </w:p>
    <w:p>
      <w:pPr>
        <w:pStyle w:val="BodyText"/>
        <w:spacing w:line="360" w:lineRule="auto" w:before="132"/>
        <w:ind w:right="1260" w:firstLine="720"/>
        <w:jc w:val="both"/>
      </w:pPr>
      <w:r>
        <w:rPr/>
        <w:t>The main objective of the study is to conduct a strategic assessment of the Joint Task Force (JTF) in combating/solving the Niger Delta conflict/crisis.</w:t>
      </w:r>
      <w:r>
        <w:rPr>
          <w:spacing w:val="40"/>
        </w:rPr>
        <w:t> </w:t>
      </w:r>
      <w:r>
        <w:rPr/>
        <w:t>The specific objectives are:</w:t>
      </w:r>
    </w:p>
    <w:p>
      <w:pPr>
        <w:pStyle w:val="ListParagraph"/>
        <w:numPr>
          <w:ilvl w:val="0"/>
          <w:numId w:val="8"/>
        </w:numPr>
        <w:tabs>
          <w:tab w:pos="2160" w:val="left" w:leader="none"/>
        </w:tabs>
        <w:spacing w:line="360" w:lineRule="auto" w:before="2" w:after="0"/>
        <w:ind w:left="2160" w:right="1261" w:hanging="720"/>
        <w:jc w:val="both"/>
        <w:rPr>
          <w:sz w:val="24"/>
        </w:rPr>
      </w:pPr>
      <w:r>
        <w:rPr>
          <w:sz w:val="24"/>
        </w:rPr>
        <w:t>To review the mandate of the JTF in the Niger Delta and evaluate its appropriateness for the attainment of sustainable peace in the region.</w:t>
      </w:r>
    </w:p>
    <w:p>
      <w:pPr>
        <w:pStyle w:val="ListParagraph"/>
        <w:numPr>
          <w:ilvl w:val="0"/>
          <w:numId w:val="8"/>
        </w:numPr>
        <w:tabs>
          <w:tab w:pos="2160" w:val="left" w:leader="none"/>
        </w:tabs>
        <w:spacing w:line="360" w:lineRule="auto" w:before="0" w:after="0"/>
        <w:ind w:left="2160" w:right="1260" w:hanging="720"/>
        <w:jc w:val="both"/>
        <w:rPr>
          <w:sz w:val="24"/>
        </w:rPr>
      </w:pPr>
      <w:r>
        <w:rPr>
          <w:sz w:val="24"/>
        </w:rPr>
        <w:t>To assess the strategies adopted by the JTF towards the achievement of its vision and goals.</w:t>
      </w:r>
    </w:p>
    <w:p>
      <w:pPr>
        <w:pStyle w:val="ListParagraph"/>
        <w:numPr>
          <w:ilvl w:val="0"/>
          <w:numId w:val="8"/>
        </w:numPr>
        <w:tabs>
          <w:tab w:pos="2160" w:val="left" w:leader="none"/>
        </w:tabs>
        <w:spacing w:line="360" w:lineRule="auto" w:before="0" w:after="0"/>
        <w:ind w:left="2160" w:right="1264" w:hanging="720"/>
        <w:jc w:val="both"/>
        <w:rPr>
          <w:sz w:val="24"/>
        </w:rPr>
      </w:pPr>
      <w:r>
        <w:rPr>
          <w:sz w:val="24"/>
        </w:rPr>
        <w:t>To conduct a perception survey of the JTF operational activities in the Niger Delta region.</w:t>
      </w:r>
    </w:p>
    <w:p>
      <w:pPr>
        <w:pStyle w:val="ListParagraph"/>
        <w:numPr>
          <w:ilvl w:val="0"/>
          <w:numId w:val="8"/>
        </w:numPr>
        <w:tabs>
          <w:tab w:pos="2160" w:val="left" w:leader="none"/>
        </w:tabs>
        <w:spacing w:line="360" w:lineRule="auto" w:before="0" w:after="0"/>
        <w:ind w:left="2160" w:right="1260" w:hanging="720"/>
        <w:jc w:val="both"/>
        <w:rPr>
          <w:sz w:val="24"/>
        </w:rPr>
      </w:pPr>
      <w:r>
        <w:rPr>
          <w:sz w:val="24"/>
        </w:rPr>
        <w:t>To conduct a stakeholders analysis with a view to identifying gaps occasioned by</w:t>
      </w:r>
      <w:r>
        <w:rPr>
          <w:spacing w:val="-4"/>
          <w:sz w:val="24"/>
        </w:rPr>
        <w:t> </w:t>
      </w:r>
      <w:r>
        <w:rPr>
          <w:sz w:val="24"/>
        </w:rPr>
        <w:t>the non-inclusion of some parties who are</w:t>
      </w:r>
      <w:r>
        <w:rPr>
          <w:spacing w:val="-1"/>
          <w:sz w:val="24"/>
        </w:rPr>
        <w:t> </w:t>
      </w:r>
      <w:r>
        <w:rPr>
          <w:sz w:val="24"/>
        </w:rPr>
        <w:t>sine qua non to the attainment of sustainable peace in the region.</w:t>
      </w:r>
    </w:p>
    <w:p>
      <w:pPr>
        <w:pStyle w:val="ListParagraph"/>
        <w:numPr>
          <w:ilvl w:val="0"/>
          <w:numId w:val="8"/>
        </w:numPr>
        <w:tabs>
          <w:tab w:pos="2160" w:val="left" w:leader="none"/>
        </w:tabs>
        <w:spacing w:line="360" w:lineRule="auto" w:before="0" w:after="0"/>
        <w:ind w:left="2160" w:right="1254" w:hanging="720"/>
        <w:jc w:val="both"/>
        <w:rPr>
          <w:sz w:val="24"/>
        </w:rPr>
      </w:pPr>
      <w:r>
        <w:rPr>
          <w:sz w:val="24"/>
        </w:rPr>
        <w:t>To identify the multi dimensional risk factors that are germane to the successful attainment of the JTF mandate.</w:t>
      </w:r>
    </w:p>
    <w:p>
      <w:pPr>
        <w:pStyle w:val="ListParagraph"/>
        <w:numPr>
          <w:ilvl w:val="0"/>
          <w:numId w:val="8"/>
        </w:numPr>
        <w:tabs>
          <w:tab w:pos="2158" w:val="left" w:leader="none"/>
          <w:tab w:pos="2160" w:val="left" w:leader="none"/>
        </w:tabs>
        <w:spacing w:line="360" w:lineRule="auto" w:before="0" w:after="0"/>
        <w:ind w:left="2160" w:right="1259" w:hanging="720"/>
        <w:jc w:val="both"/>
        <w:rPr>
          <w:sz w:val="24"/>
        </w:rPr>
      </w:pPr>
      <w:r>
        <w:rPr>
          <w:sz w:val="24"/>
        </w:rPr>
        <w:t>To establish a correlation between the adopted JTF strategies and the ensuing actions adopted by the JTF towards the desirable results or otherwise in the quest for sustainable peace in the region.</w:t>
      </w:r>
    </w:p>
    <w:p>
      <w:pPr>
        <w:pStyle w:val="ListParagraph"/>
        <w:numPr>
          <w:ilvl w:val="0"/>
          <w:numId w:val="8"/>
        </w:numPr>
        <w:tabs>
          <w:tab w:pos="2160" w:val="left" w:leader="none"/>
        </w:tabs>
        <w:spacing w:line="360" w:lineRule="auto" w:before="1" w:after="0"/>
        <w:ind w:left="2160" w:right="1261" w:hanging="720"/>
        <w:jc w:val="both"/>
        <w:rPr>
          <w:sz w:val="24"/>
        </w:rPr>
      </w:pPr>
      <w:r>
        <w:rPr>
          <w:sz w:val="24"/>
        </w:rPr>
        <w:t>To make recommendations to the government and other related agencies that may be involved in the conflict mitigation programmes in the Niger Delta.</w:t>
      </w:r>
    </w:p>
    <w:p>
      <w:pPr>
        <w:spacing w:after="0" w:line="360" w:lineRule="auto"/>
        <w:jc w:val="both"/>
        <w:rPr>
          <w:sz w:val="24"/>
        </w:rPr>
        <w:sectPr>
          <w:pgSz w:w="11910" w:h="16840"/>
          <w:pgMar w:header="0" w:footer="1561" w:top="1360" w:bottom="1760" w:left="720" w:right="180"/>
        </w:sectPr>
      </w:pPr>
    </w:p>
    <w:p>
      <w:pPr>
        <w:pStyle w:val="Heading1"/>
        <w:numPr>
          <w:ilvl w:val="1"/>
          <w:numId w:val="6"/>
        </w:numPr>
        <w:tabs>
          <w:tab w:pos="2160" w:val="left" w:leader="none"/>
        </w:tabs>
        <w:spacing w:line="240" w:lineRule="auto" w:before="65" w:after="0"/>
        <w:ind w:left="2160" w:right="0" w:hanging="720"/>
        <w:jc w:val="both"/>
      </w:pPr>
      <w:r>
        <w:rPr/>
        <mc:AlternateContent>
          <mc:Choice Requires="wps">
            <w:drawing>
              <wp:anchor distT="0" distB="0" distL="0" distR="0" allowOverlap="1" layoutInCell="1" locked="0" behindDoc="1" simplePos="0" relativeHeight="480603648">
                <wp:simplePos x="0" y="0"/>
                <wp:positionH relativeFrom="page">
                  <wp:posOffset>-1537026</wp:posOffset>
                </wp:positionH>
                <wp:positionV relativeFrom="page">
                  <wp:posOffset>4900424</wp:posOffset>
                </wp:positionV>
                <wp:extent cx="10669905" cy="914400"/>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12832;rotation:306" type="#_x0000_t136" fillcolor="#ff5400" stroked="f">
                <o:extrusion v:ext="view" autorotationcenter="t"/>
                <v:textpath style="font-family:&quot;Arial MT&quot;;font-size:72pt;v-text-kern:t;mso-text-shadow:auto" string="UNIVERSITY OF IBADAN"/>
                <w10:wrap type="none"/>
              </v:shape>
            </w:pict>
          </mc:Fallback>
        </mc:AlternateContent>
      </w:r>
      <w:bookmarkStart w:name="_TOC_250023" w:id="19"/>
      <w:r>
        <w:rPr/>
        <w:t>RESEARCH</w:t>
      </w:r>
      <w:r>
        <w:rPr>
          <w:spacing w:val="-1"/>
        </w:rPr>
        <w:t> </w:t>
      </w:r>
      <w:bookmarkEnd w:id="19"/>
      <w:r>
        <w:rPr>
          <w:spacing w:val="-2"/>
        </w:rPr>
        <w:t>QUESTIONS</w:t>
      </w:r>
    </w:p>
    <w:p>
      <w:pPr>
        <w:pStyle w:val="BodyText"/>
        <w:spacing w:before="133"/>
        <w:jc w:val="both"/>
      </w:pPr>
      <w:r>
        <w:rPr/>
        <w:t>The</w:t>
      </w:r>
      <w:r>
        <w:rPr>
          <w:spacing w:val="-5"/>
        </w:rPr>
        <w:t> </w:t>
      </w:r>
      <w:r>
        <w:rPr/>
        <w:t>following</w:t>
      </w:r>
      <w:r>
        <w:rPr>
          <w:spacing w:val="-2"/>
        </w:rPr>
        <w:t> </w:t>
      </w:r>
      <w:r>
        <w:rPr/>
        <w:t>research</w:t>
      </w:r>
      <w:r>
        <w:rPr>
          <w:spacing w:val="2"/>
        </w:rPr>
        <w:t> </w:t>
      </w:r>
      <w:r>
        <w:rPr/>
        <w:t>guides</w:t>
      </w:r>
      <w:r>
        <w:rPr>
          <w:spacing w:val="-1"/>
        </w:rPr>
        <w:t> </w:t>
      </w:r>
      <w:r>
        <w:rPr/>
        <w:t>were</w:t>
      </w:r>
      <w:r>
        <w:rPr>
          <w:spacing w:val="-2"/>
        </w:rPr>
        <w:t> </w:t>
      </w:r>
      <w:r>
        <w:rPr/>
        <w:t>used</w:t>
      </w:r>
      <w:r>
        <w:rPr>
          <w:spacing w:val="-1"/>
        </w:rPr>
        <w:t> </w:t>
      </w:r>
      <w:r>
        <w:rPr/>
        <w:t>as</w:t>
      </w:r>
      <w:r>
        <w:rPr>
          <w:spacing w:val="-1"/>
        </w:rPr>
        <w:t> </w:t>
      </w:r>
      <w:r>
        <w:rPr/>
        <w:t>checklist during</w:t>
      </w:r>
      <w:r>
        <w:rPr>
          <w:spacing w:val="-3"/>
        </w:rPr>
        <w:t> </w:t>
      </w:r>
      <w:r>
        <w:rPr/>
        <w:t>the </w:t>
      </w:r>
      <w:r>
        <w:rPr>
          <w:spacing w:val="-2"/>
        </w:rPr>
        <w:t>fieldwork:</w:t>
      </w:r>
    </w:p>
    <w:p>
      <w:pPr>
        <w:pStyle w:val="ListParagraph"/>
        <w:numPr>
          <w:ilvl w:val="0"/>
          <w:numId w:val="9"/>
        </w:numPr>
        <w:tabs>
          <w:tab w:pos="2160" w:val="left" w:leader="none"/>
        </w:tabs>
        <w:spacing w:line="340" w:lineRule="auto" w:before="139" w:after="0"/>
        <w:ind w:left="2160" w:right="1263" w:hanging="720"/>
        <w:jc w:val="both"/>
        <w:rPr>
          <w:rFonts w:ascii="Calibri"/>
          <w:sz w:val="24"/>
        </w:rPr>
      </w:pPr>
      <w:r>
        <w:rPr>
          <w:sz w:val="24"/>
        </w:rPr>
        <w:t>What</w:t>
      </w:r>
      <w:r>
        <w:rPr>
          <w:spacing w:val="-2"/>
          <w:sz w:val="24"/>
        </w:rPr>
        <w:t> </w:t>
      </w:r>
      <w:r>
        <w:rPr>
          <w:sz w:val="24"/>
        </w:rPr>
        <w:t>is</w:t>
      </w:r>
      <w:r>
        <w:rPr>
          <w:spacing w:val="-4"/>
          <w:sz w:val="24"/>
        </w:rPr>
        <w:t> </w:t>
      </w:r>
      <w:r>
        <w:rPr>
          <w:sz w:val="24"/>
        </w:rPr>
        <w:t>the</w:t>
      </w:r>
      <w:r>
        <w:rPr>
          <w:spacing w:val="-3"/>
          <w:sz w:val="24"/>
        </w:rPr>
        <w:t> </w:t>
      </w:r>
      <w:r>
        <w:rPr>
          <w:sz w:val="24"/>
        </w:rPr>
        <w:t>mandate</w:t>
      </w:r>
      <w:r>
        <w:rPr>
          <w:spacing w:val="-3"/>
          <w:sz w:val="24"/>
        </w:rPr>
        <w:t> </w:t>
      </w:r>
      <w:r>
        <w:rPr>
          <w:sz w:val="24"/>
        </w:rPr>
        <w:t>and</w:t>
      </w:r>
      <w:r>
        <w:rPr>
          <w:spacing w:val="-4"/>
          <w:sz w:val="24"/>
        </w:rPr>
        <w:t> </w:t>
      </w:r>
      <w:r>
        <w:rPr>
          <w:sz w:val="24"/>
        </w:rPr>
        <w:t>mission</w:t>
      </w:r>
      <w:r>
        <w:rPr>
          <w:spacing w:val="-2"/>
          <w:sz w:val="24"/>
        </w:rPr>
        <w:t> </w:t>
      </w:r>
      <w:r>
        <w:rPr>
          <w:sz w:val="24"/>
        </w:rPr>
        <w:t>of</w:t>
      </w:r>
      <w:r>
        <w:rPr>
          <w:spacing w:val="-5"/>
          <w:sz w:val="24"/>
        </w:rPr>
        <w:t> </w:t>
      </w:r>
      <w:r>
        <w:rPr>
          <w:sz w:val="24"/>
        </w:rPr>
        <w:t>the</w:t>
      </w:r>
      <w:r>
        <w:rPr>
          <w:spacing w:val="-4"/>
          <w:sz w:val="24"/>
        </w:rPr>
        <w:t> </w:t>
      </w:r>
      <w:r>
        <w:rPr>
          <w:sz w:val="24"/>
        </w:rPr>
        <w:t>JTF? Is</w:t>
      </w:r>
      <w:r>
        <w:rPr>
          <w:spacing w:val="-2"/>
          <w:sz w:val="24"/>
        </w:rPr>
        <w:t> </w:t>
      </w:r>
      <w:r>
        <w:rPr>
          <w:sz w:val="24"/>
        </w:rPr>
        <w:t>it</w:t>
      </w:r>
      <w:r>
        <w:rPr>
          <w:spacing w:val="-2"/>
          <w:sz w:val="24"/>
        </w:rPr>
        <w:t> </w:t>
      </w:r>
      <w:r>
        <w:rPr>
          <w:sz w:val="24"/>
        </w:rPr>
        <w:t>conflict</w:t>
      </w:r>
      <w:r>
        <w:rPr>
          <w:spacing w:val="-2"/>
          <w:sz w:val="24"/>
        </w:rPr>
        <w:t> </w:t>
      </w:r>
      <w:r>
        <w:rPr>
          <w:sz w:val="24"/>
        </w:rPr>
        <w:t>termination,</w:t>
      </w:r>
      <w:r>
        <w:rPr>
          <w:spacing w:val="-2"/>
          <w:sz w:val="24"/>
        </w:rPr>
        <w:t> </w:t>
      </w:r>
      <w:r>
        <w:rPr>
          <w:sz w:val="24"/>
        </w:rPr>
        <w:t>conflict prevention or preventive diplomacy or combat operations?</w:t>
      </w:r>
    </w:p>
    <w:p>
      <w:pPr>
        <w:pStyle w:val="ListParagraph"/>
        <w:numPr>
          <w:ilvl w:val="0"/>
          <w:numId w:val="9"/>
        </w:numPr>
        <w:tabs>
          <w:tab w:pos="2160" w:val="left" w:leader="none"/>
        </w:tabs>
        <w:spacing w:line="340" w:lineRule="auto" w:before="25" w:after="0"/>
        <w:ind w:left="2160" w:right="1255" w:hanging="720"/>
        <w:jc w:val="both"/>
        <w:rPr>
          <w:rFonts w:ascii="Calibri"/>
          <w:sz w:val="24"/>
        </w:rPr>
      </w:pPr>
      <w:r>
        <w:rPr>
          <w:sz w:val="24"/>
        </w:rPr>
        <w:t>From the perspective of the component Niger Delta communities, how appropriate is the involvement of the JTF in solving the Niger Delta conflict?</w:t>
      </w:r>
    </w:p>
    <w:p>
      <w:pPr>
        <w:pStyle w:val="ListParagraph"/>
        <w:numPr>
          <w:ilvl w:val="0"/>
          <w:numId w:val="9"/>
        </w:numPr>
        <w:tabs>
          <w:tab w:pos="2160" w:val="left" w:leader="none"/>
        </w:tabs>
        <w:spacing w:line="350" w:lineRule="auto" w:before="25" w:after="0"/>
        <w:ind w:left="2160" w:right="1260" w:hanging="720"/>
        <w:jc w:val="both"/>
        <w:rPr>
          <w:rFonts w:ascii="Calibri"/>
          <w:sz w:val="24"/>
        </w:rPr>
      </w:pPr>
      <w:r>
        <w:rPr>
          <w:sz w:val="24"/>
        </w:rPr>
        <w:t>From the perspective of the other non-state actors (NGOs, oil and gas companies, political elites, media, etc), to what extent, if any, is the JTF involvement in tackling the Niger Delta crisis appropriate?</w:t>
      </w:r>
    </w:p>
    <w:p>
      <w:pPr>
        <w:pStyle w:val="ListParagraph"/>
        <w:numPr>
          <w:ilvl w:val="0"/>
          <w:numId w:val="9"/>
        </w:numPr>
        <w:tabs>
          <w:tab w:pos="2160" w:val="left" w:leader="none"/>
          <w:tab w:pos="2220" w:val="left" w:leader="none"/>
        </w:tabs>
        <w:spacing w:line="360" w:lineRule="auto" w:before="12" w:after="0"/>
        <w:ind w:left="2160" w:right="1263" w:hanging="720"/>
        <w:jc w:val="both"/>
        <w:rPr>
          <w:sz w:val="24"/>
        </w:rPr>
      </w:pPr>
      <w:r>
        <w:rPr>
          <w:sz w:val="24"/>
        </w:rPr>
        <w:tab/>
        <w:t>What are the approaches adopted by the JTF in dealing with the Niger Delta </w:t>
      </w:r>
      <w:r>
        <w:rPr>
          <w:spacing w:val="-2"/>
          <w:sz w:val="24"/>
        </w:rPr>
        <w:t>crisis?</w:t>
      </w:r>
    </w:p>
    <w:p>
      <w:pPr>
        <w:pStyle w:val="ListParagraph"/>
        <w:numPr>
          <w:ilvl w:val="0"/>
          <w:numId w:val="9"/>
        </w:numPr>
        <w:tabs>
          <w:tab w:pos="2160" w:val="left" w:leader="none"/>
          <w:tab w:pos="2219" w:val="left" w:leader="none"/>
        </w:tabs>
        <w:spacing w:line="360" w:lineRule="auto" w:before="0" w:after="0"/>
        <w:ind w:left="2160" w:right="1260" w:hanging="720"/>
        <w:jc w:val="both"/>
        <w:rPr>
          <w:sz w:val="24"/>
        </w:rPr>
      </w:pPr>
      <w:r>
        <w:rPr>
          <w:sz w:val="24"/>
        </w:rPr>
        <w:tab/>
        <w:t>To what extent is the JTF all-inclusive vis-à-vis the non State actors in the Niger</w:t>
      </w:r>
      <w:r>
        <w:rPr>
          <w:spacing w:val="80"/>
          <w:w w:val="150"/>
          <w:sz w:val="24"/>
        </w:rPr>
        <w:t> </w:t>
      </w:r>
      <w:r>
        <w:rPr>
          <w:sz w:val="24"/>
        </w:rPr>
        <w:t>Delta crisis?</w:t>
      </w:r>
    </w:p>
    <w:p>
      <w:pPr>
        <w:pStyle w:val="ListParagraph"/>
        <w:numPr>
          <w:ilvl w:val="0"/>
          <w:numId w:val="9"/>
        </w:numPr>
        <w:tabs>
          <w:tab w:pos="2486" w:val="left" w:leader="none"/>
        </w:tabs>
        <w:spacing w:line="360" w:lineRule="auto" w:before="0" w:after="0"/>
        <w:ind w:left="1440" w:right="1262" w:firstLine="0"/>
        <w:jc w:val="both"/>
        <w:rPr>
          <w:sz w:val="24"/>
        </w:rPr>
      </w:pPr>
      <w:r>
        <w:rPr>
          <w:sz w:val="24"/>
        </w:rPr>
        <w:t>Who are the extant stakeholders the JTF ought to have partnered with towards the management of the Niger Delta crisis?</w:t>
      </w:r>
    </w:p>
    <w:p>
      <w:pPr>
        <w:pStyle w:val="ListParagraph"/>
        <w:numPr>
          <w:ilvl w:val="0"/>
          <w:numId w:val="9"/>
        </w:numPr>
        <w:tabs>
          <w:tab w:pos="2160" w:val="left" w:leader="none"/>
        </w:tabs>
        <w:spacing w:line="360" w:lineRule="auto" w:before="1" w:after="0"/>
        <w:ind w:left="2160" w:right="1259" w:hanging="720"/>
        <w:jc w:val="left"/>
        <w:rPr>
          <w:sz w:val="24"/>
        </w:rPr>
      </w:pPr>
      <w:r>
        <w:rPr>
          <w:sz w:val="24"/>
        </w:rPr>
        <w:t>What</w:t>
      </w:r>
      <w:r>
        <w:rPr>
          <w:spacing w:val="-3"/>
          <w:sz w:val="24"/>
        </w:rPr>
        <w:t> </w:t>
      </w:r>
      <w:r>
        <w:rPr>
          <w:sz w:val="24"/>
        </w:rPr>
        <w:t>are</w:t>
      </w:r>
      <w:r>
        <w:rPr>
          <w:spacing w:val="-2"/>
          <w:sz w:val="24"/>
        </w:rPr>
        <w:t> </w:t>
      </w:r>
      <w:r>
        <w:rPr>
          <w:sz w:val="24"/>
        </w:rPr>
        <w:t>the</w:t>
      </w:r>
      <w:r>
        <w:rPr>
          <w:spacing w:val="-3"/>
          <w:sz w:val="24"/>
        </w:rPr>
        <w:t> </w:t>
      </w:r>
      <w:r>
        <w:rPr>
          <w:sz w:val="24"/>
        </w:rPr>
        <w:t>strategic</w:t>
      </w:r>
      <w:r>
        <w:rPr>
          <w:spacing w:val="-2"/>
          <w:sz w:val="24"/>
        </w:rPr>
        <w:t> </w:t>
      </w:r>
      <w:r>
        <w:rPr>
          <w:sz w:val="24"/>
        </w:rPr>
        <w:t>limitations</w:t>
      </w:r>
      <w:r>
        <w:rPr>
          <w:spacing w:val="-3"/>
          <w:sz w:val="24"/>
        </w:rPr>
        <w:t> </w:t>
      </w:r>
      <w:r>
        <w:rPr>
          <w:sz w:val="24"/>
        </w:rPr>
        <w:t>of</w:t>
      </w:r>
      <w:r>
        <w:rPr>
          <w:spacing w:val="-3"/>
          <w:sz w:val="24"/>
        </w:rPr>
        <w:t> </w:t>
      </w:r>
      <w:r>
        <w:rPr>
          <w:sz w:val="24"/>
        </w:rPr>
        <w:t>current</w:t>
      </w:r>
      <w:r>
        <w:rPr>
          <w:spacing w:val="-3"/>
          <w:sz w:val="24"/>
        </w:rPr>
        <w:t> </w:t>
      </w:r>
      <w:r>
        <w:rPr>
          <w:sz w:val="24"/>
        </w:rPr>
        <w:t>responses,</w:t>
      </w:r>
      <w:r>
        <w:rPr>
          <w:spacing w:val="-3"/>
          <w:sz w:val="24"/>
        </w:rPr>
        <w:t> </w:t>
      </w:r>
      <w:r>
        <w:rPr>
          <w:sz w:val="24"/>
        </w:rPr>
        <w:t>particularly</w:t>
      </w:r>
      <w:r>
        <w:rPr>
          <w:spacing w:val="-8"/>
          <w:sz w:val="24"/>
        </w:rPr>
        <w:t> </w:t>
      </w:r>
      <w:r>
        <w:rPr>
          <w:sz w:val="24"/>
        </w:rPr>
        <w:t>the</w:t>
      </w:r>
      <w:r>
        <w:rPr>
          <w:spacing w:val="-2"/>
          <w:sz w:val="24"/>
        </w:rPr>
        <w:t> </w:t>
      </w:r>
      <w:r>
        <w:rPr>
          <w:sz w:val="24"/>
        </w:rPr>
        <w:t>military (JTFs) response.</w:t>
      </w:r>
    </w:p>
    <w:p>
      <w:pPr>
        <w:pStyle w:val="ListParagraph"/>
        <w:numPr>
          <w:ilvl w:val="0"/>
          <w:numId w:val="9"/>
        </w:numPr>
        <w:tabs>
          <w:tab w:pos="2160" w:val="left" w:leader="none"/>
        </w:tabs>
        <w:spacing w:line="360" w:lineRule="auto" w:before="0" w:after="0"/>
        <w:ind w:left="2160" w:right="1265" w:hanging="720"/>
        <w:jc w:val="left"/>
        <w:rPr>
          <w:sz w:val="24"/>
        </w:rPr>
      </w:pPr>
      <w:r>
        <w:rPr>
          <w:sz w:val="24"/>
        </w:rPr>
        <w:t>To what extent is the JTF successful if at all in restoring peace and Security in the Niger Delta?</w:t>
      </w:r>
    </w:p>
    <w:p>
      <w:pPr>
        <w:pStyle w:val="ListParagraph"/>
        <w:numPr>
          <w:ilvl w:val="0"/>
          <w:numId w:val="9"/>
        </w:numPr>
        <w:tabs>
          <w:tab w:pos="2160" w:val="left" w:leader="none"/>
        </w:tabs>
        <w:spacing w:line="240" w:lineRule="auto" w:before="0" w:after="0"/>
        <w:ind w:left="2160" w:right="0" w:hanging="720"/>
        <w:jc w:val="left"/>
        <w:rPr>
          <w:sz w:val="24"/>
        </w:rPr>
      </w:pPr>
      <w:r>
        <w:rPr>
          <w:sz w:val="24"/>
        </w:rPr>
        <w:t>What</w:t>
      </w:r>
      <w:r>
        <w:rPr>
          <w:spacing w:val="-1"/>
          <w:sz w:val="24"/>
        </w:rPr>
        <w:t> </w:t>
      </w:r>
      <w:r>
        <w:rPr>
          <w:sz w:val="24"/>
        </w:rPr>
        <w:t>are</w:t>
      </w:r>
      <w:r>
        <w:rPr>
          <w:spacing w:val="-2"/>
          <w:sz w:val="24"/>
        </w:rPr>
        <w:t> </w:t>
      </w:r>
      <w:r>
        <w:rPr>
          <w:sz w:val="24"/>
        </w:rPr>
        <w:t>the security</w:t>
      </w:r>
      <w:r>
        <w:rPr>
          <w:spacing w:val="-4"/>
          <w:sz w:val="24"/>
        </w:rPr>
        <w:t> </w:t>
      </w:r>
      <w:r>
        <w:rPr>
          <w:sz w:val="24"/>
        </w:rPr>
        <w:t>challenges of</w:t>
      </w:r>
      <w:r>
        <w:rPr>
          <w:spacing w:val="-1"/>
          <w:sz w:val="24"/>
        </w:rPr>
        <w:t> </w:t>
      </w:r>
      <w:r>
        <w:rPr>
          <w:sz w:val="24"/>
        </w:rPr>
        <w:t>the</w:t>
      </w:r>
      <w:r>
        <w:rPr>
          <w:spacing w:val="-2"/>
          <w:sz w:val="24"/>
        </w:rPr>
        <w:t> </w:t>
      </w:r>
      <w:r>
        <w:rPr>
          <w:sz w:val="24"/>
        </w:rPr>
        <w:t>Niger Delta</w:t>
      </w:r>
      <w:r>
        <w:rPr>
          <w:spacing w:val="-1"/>
          <w:sz w:val="24"/>
        </w:rPr>
        <w:t> </w:t>
      </w:r>
      <w:r>
        <w:rPr>
          <w:spacing w:val="-2"/>
          <w:sz w:val="24"/>
        </w:rPr>
        <w:t>conflict?</w:t>
      </w:r>
    </w:p>
    <w:p>
      <w:pPr>
        <w:pStyle w:val="ListParagraph"/>
        <w:numPr>
          <w:ilvl w:val="0"/>
          <w:numId w:val="9"/>
        </w:numPr>
        <w:tabs>
          <w:tab w:pos="2160" w:val="left" w:leader="none"/>
        </w:tabs>
        <w:spacing w:line="360" w:lineRule="auto" w:before="137" w:after="0"/>
        <w:ind w:left="2160" w:right="1257" w:hanging="720"/>
        <w:jc w:val="left"/>
        <w:rPr>
          <w:sz w:val="24"/>
        </w:rPr>
      </w:pPr>
      <w:r>
        <w:rPr>
          <w:sz w:val="24"/>
        </w:rPr>
        <w:t>What are the challenges of the JTF in its bid to stem the on-going Niger Delta </w:t>
      </w:r>
      <w:r>
        <w:rPr>
          <w:spacing w:val="-2"/>
          <w:sz w:val="24"/>
        </w:rPr>
        <w:t>crisis?</w:t>
      </w:r>
    </w:p>
    <w:p>
      <w:pPr>
        <w:pStyle w:val="BodyText"/>
        <w:spacing w:before="5"/>
        <w:ind w:left="0"/>
      </w:pPr>
    </w:p>
    <w:p>
      <w:pPr>
        <w:pStyle w:val="Heading1"/>
        <w:numPr>
          <w:ilvl w:val="1"/>
          <w:numId w:val="6"/>
        </w:numPr>
        <w:tabs>
          <w:tab w:pos="2160" w:val="left" w:leader="none"/>
        </w:tabs>
        <w:spacing w:line="240" w:lineRule="auto" w:before="0" w:after="0"/>
        <w:ind w:left="2160" w:right="0" w:hanging="720"/>
        <w:jc w:val="left"/>
      </w:pPr>
      <w:bookmarkStart w:name="_TOC_250022" w:id="20"/>
      <w:r>
        <w:rPr/>
        <w:t>JUSTIFICATION</w:t>
      </w:r>
      <w:r>
        <w:rPr>
          <w:spacing w:val="-3"/>
        </w:rPr>
        <w:t> </w:t>
      </w:r>
      <w:r>
        <w:rPr/>
        <w:t>FOR THE</w:t>
      </w:r>
      <w:bookmarkEnd w:id="20"/>
      <w:r>
        <w:rPr>
          <w:spacing w:val="-2"/>
        </w:rPr>
        <w:t> STUDY</w:t>
      </w:r>
    </w:p>
    <w:p>
      <w:pPr>
        <w:pStyle w:val="BodyText"/>
        <w:spacing w:line="360" w:lineRule="auto" w:before="134"/>
        <w:ind w:right="1252" w:firstLine="720"/>
        <w:jc w:val="both"/>
      </w:pPr>
      <w:r>
        <w:rPr/>
        <w:t>The justification for this study is that, it is aimed at measuring the</w:t>
      </w:r>
      <w:r>
        <w:rPr>
          <w:spacing w:val="40"/>
        </w:rPr>
        <w:t> </w:t>
      </w:r>
      <w:r>
        <w:rPr/>
        <w:t>effectiveness of the military approach at addressing the seemingly intractable Niger Delta conflict. The study will, therefore, look into the military response as well as the existing non-military approaches towards proposing policy options for a multi- dimensional and integrated development of the Niger Delta.</w:t>
      </w:r>
    </w:p>
    <w:p>
      <w:pPr>
        <w:pStyle w:val="BodyText"/>
        <w:spacing w:line="360" w:lineRule="auto"/>
        <w:ind w:right="1260" w:firstLine="540"/>
        <w:jc w:val="both"/>
      </w:pPr>
      <w:r>
        <w:rPr/>
        <w:t>Thus, the rationale of the study is for the strengthening of the peace process in Nigeria. The study would also serve as research pedestal for peace workers, development practitioners and academics wishing to carry out further studies on this subject.</w:t>
      </w:r>
      <w:r>
        <w:rPr>
          <w:spacing w:val="22"/>
        </w:rPr>
        <w:t> </w:t>
      </w:r>
      <w:r>
        <w:rPr/>
        <w:t>It</w:t>
      </w:r>
      <w:r>
        <w:rPr>
          <w:spacing w:val="22"/>
        </w:rPr>
        <w:t> </w:t>
      </w:r>
      <w:r>
        <w:rPr/>
        <w:t>will</w:t>
      </w:r>
      <w:r>
        <w:rPr>
          <w:spacing w:val="23"/>
        </w:rPr>
        <w:t> </w:t>
      </w:r>
      <w:r>
        <w:rPr/>
        <w:t>also</w:t>
      </w:r>
      <w:r>
        <w:rPr>
          <w:spacing w:val="22"/>
        </w:rPr>
        <w:t> </w:t>
      </w:r>
      <w:r>
        <w:rPr/>
        <w:t>be</w:t>
      </w:r>
      <w:r>
        <w:rPr>
          <w:spacing w:val="21"/>
        </w:rPr>
        <w:t> </w:t>
      </w:r>
      <w:r>
        <w:rPr/>
        <w:t>beneficial</w:t>
      </w:r>
      <w:r>
        <w:rPr>
          <w:spacing w:val="21"/>
        </w:rPr>
        <w:t> </w:t>
      </w:r>
      <w:r>
        <w:rPr/>
        <w:t>to</w:t>
      </w:r>
      <w:r>
        <w:rPr>
          <w:spacing w:val="23"/>
        </w:rPr>
        <w:t> </w:t>
      </w:r>
      <w:r>
        <w:rPr/>
        <w:t>members</w:t>
      </w:r>
      <w:r>
        <w:rPr>
          <w:spacing w:val="22"/>
        </w:rPr>
        <w:t> </w:t>
      </w:r>
      <w:r>
        <w:rPr/>
        <w:t>of</w:t>
      </w:r>
      <w:r>
        <w:rPr>
          <w:spacing w:val="23"/>
        </w:rPr>
        <w:t> </w:t>
      </w:r>
      <w:r>
        <w:rPr/>
        <w:t>the</w:t>
      </w:r>
      <w:r>
        <w:rPr>
          <w:spacing w:val="21"/>
        </w:rPr>
        <w:t> </w:t>
      </w:r>
      <w:r>
        <w:rPr/>
        <w:t>Nigerian</w:t>
      </w:r>
      <w:r>
        <w:rPr>
          <w:spacing w:val="22"/>
        </w:rPr>
        <w:t> </w:t>
      </w:r>
      <w:r>
        <w:rPr/>
        <w:t>Armed</w:t>
      </w:r>
      <w:r>
        <w:rPr>
          <w:spacing w:val="22"/>
        </w:rPr>
        <w:t> </w:t>
      </w:r>
      <w:r>
        <w:rPr/>
        <w:t>Forces</w:t>
      </w:r>
      <w:r>
        <w:rPr>
          <w:spacing w:val="22"/>
        </w:rPr>
        <w:t> </w:t>
      </w:r>
      <w:r>
        <w:rPr/>
        <w:t>as</w:t>
      </w:r>
      <w:r>
        <w:rPr>
          <w:spacing w:val="23"/>
        </w:rPr>
        <w:t> </w:t>
      </w:r>
      <w:r>
        <w:rPr>
          <w:spacing w:val="-4"/>
        </w:rPr>
        <w:t>they</w:t>
      </w:r>
    </w:p>
    <w:p>
      <w:pPr>
        <w:spacing w:after="0" w:line="360" w:lineRule="auto"/>
        <w:jc w:val="both"/>
        <w:sectPr>
          <w:pgSz w:w="11910" w:h="16840"/>
          <w:pgMar w:header="0" w:footer="1561" w:top="1360" w:bottom="1760" w:left="720" w:right="180"/>
        </w:sectPr>
      </w:pPr>
    </w:p>
    <w:p>
      <w:pPr>
        <w:pStyle w:val="BodyText"/>
        <w:spacing w:line="360" w:lineRule="auto" w:before="60"/>
        <w:ind w:right="1264"/>
        <w:jc w:val="both"/>
      </w:pPr>
      <w:r>
        <w:rPr/>
        <mc:AlternateContent>
          <mc:Choice Requires="wps">
            <w:drawing>
              <wp:anchor distT="0" distB="0" distL="0" distR="0" allowOverlap="1" layoutInCell="1" locked="0" behindDoc="1" simplePos="0" relativeHeight="480604160">
                <wp:simplePos x="0" y="0"/>
                <wp:positionH relativeFrom="page">
                  <wp:posOffset>-1537026</wp:posOffset>
                </wp:positionH>
                <wp:positionV relativeFrom="page">
                  <wp:posOffset>4900424</wp:posOffset>
                </wp:positionV>
                <wp:extent cx="10669905" cy="914400"/>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12320;rotation:306" type="#_x0000_t136" fillcolor="#ff5400" stroked="f">
                <o:extrusion v:ext="view" autorotationcenter="t"/>
                <v:textpath style="font-family:&quot;Arial MT&quot;;font-size:72pt;v-text-kern:t;mso-text-shadow:auto" string="UNIVERSITY OF IBADAN"/>
                <w10:wrap type="none"/>
              </v:shape>
            </w:pict>
          </mc:Fallback>
        </mc:AlternateContent>
      </w:r>
      <w:r>
        <w:rPr/>
        <w:t>may be involved in future MOOTW in Nigeria or elsewhere, defending Nigeria‟s </w:t>
      </w:r>
      <w:r>
        <w:rPr>
          <w:spacing w:val="-2"/>
        </w:rPr>
        <w:t>interest.</w:t>
      </w:r>
    </w:p>
    <w:p>
      <w:pPr>
        <w:pStyle w:val="BodyText"/>
        <w:spacing w:line="360" w:lineRule="auto" w:before="1"/>
        <w:ind w:right="1260" w:firstLine="720"/>
        <w:jc w:val="both"/>
      </w:pPr>
      <w:r>
        <w:rPr/>
        <w:t>Furthermore, this study will assist policy makers at the Ministry of Defence and Defence Headquarters to determine the essence of military JTF Operations as panacea for resolving internal security crisis in Nigeria and especially in the Niger Delta region.</w:t>
      </w:r>
    </w:p>
    <w:p>
      <w:pPr>
        <w:pStyle w:val="BodyText"/>
        <w:spacing w:before="5"/>
        <w:ind w:left="0"/>
      </w:pPr>
    </w:p>
    <w:p>
      <w:pPr>
        <w:pStyle w:val="Heading1"/>
        <w:numPr>
          <w:ilvl w:val="1"/>
          <w:numId w:val="6"/>
        </w:numPr>
        <w:tabs>
          <w:tab w:pos="2160" w:val="left" w:leader="none"/>
        </w:tabs>
        <w:spacing w:line="240" w:lineRule="auto" w:before="0" w:after="0"/>
        <w:ind w:left="2160" w:right="0" w:hanging="720"/>
        <w:jc w:val="left"/>
      </w:pPr>
      <w:r>
        <w:rPr/>
        <w:t>SCOPE</w:t>
      </w:r>
      <w:r>
        <w:rPr>
          <w:spacing w:val="-1"/>
        </w:rPr>
        <w:t> </w:t>
      </w:r>
      <w:r>
        <w:rPr/>
        <w:t>AND</w:t>
      </w:r>
      <w:r>
        <w:rPr>
          <w:spacing w:val="-1"/>
        </w:rPr>
        <w:t> </w:t>
      </w:r>
      <w:r>
        <w:rPr/>
        <w:t>LIMITATIONS</w:t>
      </w:r>
      <w:r>
        <w:rPr>
          <w:spacing w:val="1"/>
        </w:rPr>
        <w:t> </w:t>
      </w:r>
      <w:r>
        <w:rPr/>
        <w:t>OF</w:t>
      </w:r>
      <w:r>
        <w:rPr>
          <w:spacing w:val="-3"/>
        </w:rPr>
        <w:t> </w:t>
      </w:r>
      <w:r>
        <w:rPr/>
        <w:t>THE </w:t>
      </w:r>
      <w:r>
        <w:rPr>
          <w:spacing w:val="-2"/>
        </w:rPr>
        <w:t>STUDY</w:t>
      </w:r>
    </w:p>
    <w:p>
      <w:pPr>
        <w:pStyle w:val="BodyText"/>
        <w:spacing w:line="360" w:lineRule="auto" w:before="132"/>
        <w:ind w:right="1257" w:firstLine="720"/>
        <w:jc w:val="both"/>
      </w:pPr>
      <w:r>
        <w:rPr/>
        <w:t>The study covered military operation in the Niger Delta region within the period</w:t>
      </w:r>
      <w:r>
        <w:rPr>
          <w:spacing w:val="-3"/>
        </w:rPr>
        <w:t> </w:t>
      </w:r>
      <w:r>
        <w:rPr/>
        <w:t>between</w:t>
      </w:r>
      <w:r>
        <w:rPr>
          <w:spacing w:val="-1"/>
        </w:rPr>
        <w:t> </w:t>
      </w:r>
      <w:r>
        <w:rPr/>
        <w:t>1999</w:t>
      </w:r>
      <w:r>
        <w:rPr>
          <w:spacing w:val="-1"/>
        </w:rPr>
        <w:t> </w:t>
      </w:r>
      <w:r>
        <w:rPr/>
        <w:t>and</w:t>
      </w:r>
      <w:r>
        <w:rPr>
          <w:spacing w:val="-1"/>
        </w:rPr>
        <w:t> </w:t>
      </w:r>
      <w:r>
        <w:rPr/>
        <w:t>2011.</w:t>
      </w:r>
      <w:r>
        <w:rPr>
          <w:spacing w:val="40"/>
        </w:rPr>
        <w:t> </w:t>
      </w:r>
      <w:r>
        <w:rPr/>
        <w:t>This</w:t>
      </w:r>
      <w:r>
        <w:rPr>
          <w:spacing w:val="-3"/>
        </w:rPr>
        <w:t> </w:t>
      </w:r>
      <w:r>
        <w:rPr/>
        <w:t>is</w:t>
      </w:r>
      <w:r>
        <w:rPr>
          <w:spacing w:val="-3"/>
        </w:rPr>
        <w:t> </w:t>
      </w:r>
      <w:r>
        <w:rPr/>
        <w:t>when</w:t>
      </w:r>
      <w:r>
        <w:rPr>
          <w:spacing w:val="-3"/>
        </w:rPr>
        <w:t> </w:t>
      </w:r>
      <w:r>
        <w:rPr/>
        <w:t>the people</w:t>
      </w:r>
      <w:r>
        <w:rPr>
          <w:spacing w:val="-3"/>
        </w:rPr>
        <w:t> </w:t>
      </w:r>
      <w:r>
        <w:rPr/>
        <w:t>of</w:t>
      </w:r>
      <w:r>
        <w:rPr>
          <w:spacing w:val="-3"/>
        </w:rPr>
        <w:t> </w:t>
      </w:r>
      <w:r>
        <w:rPr/>
        <w:t>the</w:t>
      </w:r>
      <w:r>
        <w:rPr>
          <w:spacing w:val="-2"/>
        </w:rPr>
        <w:t> </w:t>
      </w:r>
      <w:r>
        <w:rPr/>
        <w:t>Niger</w:t>
      </w:r>
      <w:r>
        <w:rPr>
          <w:spacing w:val="-2"/>
        </w:rPr>
        <w:t> </w:t>
      </w:r>
      <w:r>
        <w:rPr/>
        <w:t>Delta</w:t>
      </w:r>
      <w:r>
        <w:rPr>
          <w:spacing w:val="-2"/>
        </w:rPr>
        <w:t> </w:t>
      </w:r>
      <w:r>
        <w:rPr/>
        <w:t>intensified their agitation for a more meaningful development of the region being the producers</w:t>
      </w:r>
      <w:r>
        <w:rPr>
          <w:spacing w:val="40"/>
        </w:rPr>
        <w:t> </w:t>
      </w:r>
      <w:r>
        <w:rPr/>
        <w:t>of oil, which is the mainstay of the Nigerian economy.</w:t>
      </w:r>
      <w:r>
        <w:rPr>
          <w:spacing w:val="40"/>
        </w:rPr>
        <w:t> </w:t>
      </w:r>
      <w:r>
        <w:rPr/>
        <w:t>It also marked the period of increased militancy by the restive Niger Delta youths after the enthronement of democracy following a protracted military rule in Nigeria.</w:t>
      </w:r>
      <w:r>
        <w:rPr>
          <w:spacing w:val="40"/>
        </w:rPr>
        <w:t> </w:t>
      </w:r>
      <w:r>
        <w:rPr/>
        <w:t>The JTF operations RESTORE HOPE was also established in 2003 and it is therefore the focus of this </w:t>
      </w:r>
      <w:r>
        <w:rPr>
          <w:spacing w:val="-2"/>
        </w:rPr>
        <w:t>study.</w:t>
      </w:r>
    </w:p>
    <w:p>
      <w:pPr>
        <w:pStyle w:val="BodyText"/>
        <w:spacing w:line="360" w:lineRule="auto" w:before="1"/>
        <w:ind w:right="1255" w:firstLine="540"/>
        <w:jc w:val="both"/>
      </w:pPr>
      <w:r>
        <w:rPr/>
        <w:t>The major limitations this study encountered include the difficulty of obtaining audience with some key</w:t>
      </w:r>
      <w:r>
        <w:rPr>
          <w:spacing w:val="-2"/>
        </w:rPr>
        <w:t> </w:t>
      </w:r>
      <w:r>
        <w:rPr/>
        <w:t>actors in the Niger Delta conflict, especially</w:t>
      </w:r>
      <w:r>
        <w:rPr>
          <w:spacing w:val="-4"/>
        </w:rPr>
        <w:t> </w:t>
      </w:r>
      <w:r>
        <w:rPr/>
        <w:t>the militants and having access to classified materials.</w:t>
      </w:r>
      <w:r>
        <w:rPr>
          <w:spacing w:val="80"/>
        </w:rPr>
        <w:t> </w:t>
      </w:r>
      <w:r>
        <w:rPr/>
        <w:t>Another limitation which was encountered in the field was gathering of information that is believed to be classified and sensitive to both the security agencies and officials of the oil and gas companies.</w:t>
      </w:r>
      <w:r>
        <w:rPr>
          <w:spacing w:val="40"/>
        </w:rPr>
        <w:t> </w:t>
      </w:r>
      <w:r>
        <w:rPr/>
        <w:t>Thus, the classified nature of the required data affected the non-willingness of some Service personnel to avail the researcher with all the required information.</w:t>
      </w:r>
      <w:r>
        <w:rPr>
          <w:spacing w:val="40"/>
        </w:rPr>
        <w:t> </w:t>
      </w:r>
      <w:r>
        <w:rPr/>
        <w:t>There were suspicions</w:t>
      </w:r>
      <w:r>
        <w:rPr>
          <w:spacing w:val="-3"/>
        </w:rPr>
        <w:t> </w:t>
      </w:r>
      <w:r>
        <w:rPr/>
        <w:t>especially</w:t>
      </w:r>
      <w:r>
        <w:rPr>
          <w:spacing w:val="-7"/>
        </w:rPr>
        <w:t> </w:t>
      </w:r>
      <w:r>
        <w:rPr/>
        <w:t>from</w:t>
      </w:r>
      <w:r>
        <w:rPr>
          <w:spacing w:val="-3"/>
        </w:rPr>
        <w:t> </w:t>
      </w:r>
      <w:r>
        <w:rPr/>
        <w:t>the</w:t>
      </w:r>
      <w:r>
        <w:rPr>
          <w:spacing w:val="-4"/>
        </w:rPr>
        <w:t> </w:t>
      </w:r>
      <w:r>
        <w:rPr/>
        <w:t>officials</w:t>
      </w:r>
      <w:r>
        <w:rPr>
          <w:spacing w:val="-3"/>
        </w:rPr>
        <w:t> </w:t>
      </w:r>
      <w:r>
        <w:rPr/>
        <w:t>of</w:t>
      </w:r>
      <w:r>
        <w:rPr>
          <w:spacing w:val="-2"/>
        </w:rPr>
        <w:t> </w:t>
      </w:r>
      <w:r>
        <w:rPr/>
        <w:t>these</w:t>
      </w:r>
      <w:r>
        <w:rPr>
          <w:spacing w:val="-5"/>
        </w:rPr>
        <w:t> </w:t>
      </w:r>
      <w:r>
        <w:rPr/>
        <w:t>oil</w:t>
      </w:r>
      <w:r>
        <w:rPr>
          <w:spacing w:val="-3"/>
        </w:rPr>
        <w:t> </w:t>
      </w:r>
      <w:r>
        <w:rPr/>
        <w:t>and</w:t>
      </w:r>
      <w:r>
        <w:rPr>
          <w:spacing w:val="-3"/>
        </w:rPr>
        <w:t> </w:t>
      </w:r>
      <w:r>
        <w:rPr/>
        <w:t>gas</w:t>
      </w:r>
      <w:r>
        <w:rPr>
          <w:spacing w:val="-3"/>
        </w:rPr>
        <w:t> </w:t>
      </w:r>
      <w:r>
        <w:rPr/>
        <w:t>companies</w:t>
      </w:r>
      <w:r>
        <w:rPr>
          <w:spacing w:val="-3"/>
        </w:rPr>
        <w:t> </w:t>
      </w:r>
      <w:r>
        <w:rPr/>
        <w:t>and</w:t>
      </w:r>
      <w:r>
        <w:rPr>
          <w:spacing w:val="-1"/>
        </w:rPr>
        <w:t> </w:t>
      </w:r>
      <w:r>
        <w:rPr/>
        <w:t>community leaders about the purpose of data collection.</w:t>
      </w:r>
    </w:p>
    <w:p>
      <w:pPr>
        <w:pStyle w:val="BodyText"/>
        <w:spacing w:line="360" w:lineRule="auto" w:before="2"/>
        <w:ind w:right="1259" w:firstLine="720"/>
        <w:jc w:val="both"/>
      </w:pPr>
      <w:r>
        <w:rPr/>
        <w:t>To cater for these lapses, the use of newspaper reports on conflict incidents in the Niger Delta vis-a-vis the activities of the JTF was handy in getting data that relate to and reflect the substantive security</w:t>
      </w:r>
      <w:r>
        <w:rPr>
          <w:spacing w:val="-3"/>
        </w:rPr>
        <w:t> </w:t>
      </w:r>
      <w:r>
        <w:rPr/>
        <w:t>issues in the region.</w:t>
      </w:r>
      <w:r>
        <w:rPr>
          <w:spacing w:val="40"/>
        </w:rPr>
        <w:t> </w:t>
      </w:r>
      <w:r>
        <w:rPr/>
        <w:t>However, these limitations did not in any way downgrade the validity of the findings of the study, as adequate secondary materials and some of the stakeholders were consulted to generate the data required to produce the work.</w:t>
      </w:r>
    </w:p>
    <w:p>
      <w:pPr>
        <w:spacing w:after="0" w:line="360" w:lineRule="auto"/>
        <w:jc w:val="both"/>
        <w:sectPr>
          <w:pgSz w:w="11910" w:h="16840"/>
          <w:pgMar w:header="0" w:footer="1561" w:top="1360" w:bottom="1760" w:left="720" w:right="180"/>
        </w:sectPr>
      </w:pPr>
    </w:p>
    <w:p>
      <w:pPr>
        <w:pStyle w:val="Heading1"/>
        <w:numPr>
          <w:ilvl w:val="1"/>
          <w:numId w:val="6"/>
        </w:numPr>
        <w:tabs>
          <w:tab w:pos="2880" w:val="left" w:leader="none"/>
        </w:tabs>
        <w:spacing w:line="240" w:lineRule="auto" w:before="65" w:after="0"/>
        <w:ind w:left="2880" w:right="0" w:hanging="720"/>
        <w:jc w:val="left"/>
      </w:pPr>
      <w:r>
        <w:rPr/>
        <mc:AlternateContent>
          <mc:Choice Requires="wps">
            <w:drawing>
              <wp:anchor distT="0" distB="0" distL="0" distR="0" allowOverlap="1" layoutInCell="1" locked="0" behindDoc="1" simplePos="0" relativeHeight="480604672">
                <wp:simplePos x="0" y="0"/>
                <wp:positionH relativeFrom="page">
                  <wp:posOffset>-1537026</wp:posOffset>
                </wp:positionH>
                <wp:positionV relativeFrom="page">
                  <wp:posOffset>4900424</wp:posOffset>
                </wp:positionV>
                <wp:extent cx="10669905" cy="914400"/>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11808;rotation:306" type="#_x0000_t136" fillcolor="#ff5400" stroked="f">
                <o:extrusion v:ext="view" autorotationcenter="t"/>
                <v:textpath style="font-family:&quot;Arial MT&quot;;font-size:72pt;v-text-kern:t;mso-text-shadow:auto" string="UNIVERSITY OF IBADAN"/>
                <w10:wrap type="none"/>
              </v:shape>
            </w:pict>
          </mc:Fallback>
        </mc:AlternateContent>
      </w:r>
      <w:bookmarkStart w:name="_TOC_250021" w:id="21"/>
      <w:r>
        <w:rPr/>
        <w:t>DEFINITION</w:t>
      </w:r>
      <w:r>
        <w:rPr>
          <w:spacing w:val="-1"/>
        </w:rPr>
        <w:t> </w:t>
      </w:r>
      <w:r>
        <w:rPr/>
        <w:t>OF</w:t>
      </w:r>
      <w:r>
        <w:rPr>
          <w:spacing w:val="-3"/>
        </w:rPr>
        <w:t> </w:t>
      </w:r>
      <w:bookmarkEnd w:id="21"/>
      <w:r>
        <w:rPr>
          <w:spacing w:val="-4"/>
        </w:rPr>
        <w:t>TERMS</w:t>
      </w:r>
    </w:p>
    <w:p>
      <w:pPr>
        <w:pStyle w:val="BodyText"/>
        <w:spacing w:line="360" w:lineRule="auto" w:before="133"/>
        <w:ind w:right="2098"/>
        <w:jc w:val="both"/>
      </w:pPr>
      <w:r>
        <w:rPr/>
        <w:t>Deployed</w:t>
      </w:r>
      <w:r>
        <w:rPr>
          <w:spacing w:val="-5"/>
        </w:rPr>
        <w:t> </w:t>
      </w:r>
      <w:r>
        <w:rPr/>
        <w:t>troops</w:t>
      </w:r>
      <w:r>
        <w:rPr>
          <w:spacing w:val="-5"/>
        </w:rPr>
        <w:t> </w:t>
      </w:r>
      <w:r>
        <w:rPr/>
        <w:t>should</w:t>
      </w:r>
      <w:r>
        <w:rPr>
          <w:spacing w:val="-3"/>
        </w:rPr>
        <w:t> </w:t>
      </w:r>
      <w:r>
        <w:rPr/>
        <w:t>adhere</w:t>
      </w:r>
      <w:r>
        <w:rPr>
          <w:spacing w:val="-7"/>
        </w:rPr>
        <w:t> </w:t>
      </w:r>
      <w:r>
        <w:rPr/>
        <w:t>strictly</w:t>
      </w:r>
      <w:r>
        <w:rPr>
          <w:spacing w:val="-9"/>
        </w:rPr>
        <w:t> </w:t>
      </w:r>
      <w:r>
        <w:rPr/>
        <w:t>to</w:t>
      </w:r>
      <w:r>
        <w:rPr>
          <w:spacing w:val="-5"/>
        </w:rPr>
        <w:t> </w:t>
      </w:r>
      <w:r>
        <w:rPr/>
        <w:t>the</w:t>
      </w:r>
      <w:r>
        <w:rPr>
          <w:spacing w:val="-2"/>
        </w:rPr>
        <w:t> </w:t>
      </w:r>
      <w:r>
        <w:rPr/>
        <w:t>International</w:t>
      </w:r>
      <w:r>
        <w:rPr>
          <w:spacing w:val="-5"/>
        </w:rPr>
        <w:t> </w:t>
      </w:r>
      <w:r>
        <w:rPr/>
        <w:t>Humanitarian</w:t>
      </w:r>
      <w:r>
        <w:rPr>
          <w:spacing w:val="-4"/>
        </w:rPr>
        <w:t> </w:t>
      </w:r>
      <w:r>
        <w:rPr/>
        <w:t>Law and the ROE.</w:t>
      </w:r>
    </w:p>
    <w:p>
      <w:pPr>
        <w:pStyle w:val="BodyText"/>
        <w:spacing w:line="360" w:lineRule="auto"/>
        <w:ind w:right="1258"/>
        <w:jc w:val="both"/>
      </w:pPr>
      <w:r>
        <w:rPr>
          <w:u w:val="single"/>
        </w:rPr>
        <w:t>Qualitative Content Analysis: </w:t>
      </w:r>
      <w:r>
        <w:rPr/>
        <w:t>Qualitative content analysis is a classical method for structuring and categorizing written material of any origin.</w:t>
      </w:r>
      <w:r>
        <w:rPr>
          <w:spacing w:val="80"/>
          <w:w w:val="150"/>
        </w:rPr>
        <w:t> </w:t>
      </w:r>
      <w:r>
        <w:rPr/>
        <w:t>This method is particularly useful when we have to work with a largely unstructured and narrative </w:t>
      </w:r>
      <w:r>
        <w:rPr>
          <w:spacing w:val="-2"/>
        </w:rPr>
        <w:t>text.</w:t>
      </w:r>
    </w:p>
    <w:p>
      <w:pPr>
        <w:pStyle w:val="BodyText"/>
        <w:spacing w:line="360" w:lineRule="auto"/>
        <w:ind w:right="1258" w:firstLine="60"/>
        <w:jc w:val="both"/>
      </w:pPr>
      <w:r>
        <w:rPr>
          <w:u w:val="single"/>
        </w:rPr>
        <w:t>Rules of Engagement (ROE): </w:t>
      </w:r>
      <w:r>
        <w:rPr/>
        <w:t>The principle of the use of minimum force and proportionality</w:t>
      </w:r>
      <w:r>
        <w:rPr>
          <w:spacing w:val="-3"/>
        </w:rPr>
        <w:t> </w:t>
      </w:r>
      <w:r>
        <w:rPr/>
        <w:t>shall be applied</w:t>
      </w:r>
      <w:r>
        <w:rPr>
          <w:spacing w:val="80"/>
        </w:rPr>
        <w:t> </w:t>
      </w:r>
      <w:r>
        <w:rPr/>
        <w:t>at all time throughout the operation.</w:t>
      </w:r>
      <w:r>
        <w:rPr>
          <w:spacing w:val="40"/>
        </w:rPr>
        <w:t> </w:t>
      </w:r>
      <w:r>
        <w:rPr/>
        <w:t>This entails the use of force for self defence and whenever the lives of the troops or other security personnel are in mortal danger or against a hostile acts or intent.</w:t>
      </w:r>
      <w:r>
        <w:rPr>
          <w:spacing w:val="80"/>
        </w:rPr>
        <w:t> </w:t>
      </w:r>
      <w:r>
        <w:rPr/>
        <w:t>The JTF troops are to use force only when absolutely necessary to achieve immediate aim, protect colleagues, other designated personnel, installations, equipment and civilians under imminent threat of physical violence.</w:t>
      </w:r>
    </w:p>
    <w:p>
      <w:pPr>
        <w:pStyle w:val="BodyText"/>
        <w:spacing w:line="360" w:lineRule="auto" w:before="2"/>
        <w:ind w:right="1262"/>
        <w:jc w:val="both"/>
      </w:pPr>
      <w:r>
        <w:rPr>
          <w:u w:val="single"/>
        </w:rPr>
        <w:t>Hostile Act: </w:t>
      </w:r>
      <w:r>
        <w:rPr/>
        <w:t>An action where the intent is to cause death, bodily harm or destruction</w:t>
      </w:r>
      <w:r>
        <w:rPr>
          <w:spacing w:val="40"/>
        </w:rPr>
        <w:t> </w:t>
      </w:r>
      <w:r>
        <w:rPr/>
        <w:t>of designated properties.</w:t>
      </w:r>
    </w:p>
    <w:p>
      <w:pPr>
        <w:pStyle w:val="BodyText"/>
        <w:spacing w:line="360" w:lineRule="auto"/>
        <w:ind w:right="1264"/>
        <w:jc w:val="both"/>
      </w:pPr>
      <w:r>
        <w:rPr>
          <w:u w:val="single"/>
        </w:rPr>
        <w:t>Hostile Intent:</w:t>
      </w:r>
      <w:r>
        <w:rPr>
          <w:spacing w:val="-1"/>
          <w:u w:val="single"/>
        </w:rPr>
        <w:t> </w:t>
      </w:r>
      <w:r>
        <w:rPr>
          <w:spacing w:val="-2"/>
        </w:rPr>
        <w:t> </w:t>
      </w:r>
      <w:r>
        <w:rPr/>
        <w:t>The</w:t>
      </w:r>
      <w:r>
        <w:rPr>
          <w:spacing w:val="-4"/>
        </w:rPr>
        <w:t> </w:t>
      </w:r>
      <w:r>
        <w:rPr/>
        <w:t>threat</w:t>
      </w:r>
      <w:r>
        <w:rPr>
          <w:spacing w:val="-2"/>
        </w:rPr>
        <w:t> </w:t>
      </w:r>
      <w:r>
        <w:rPr/>
        <w:t>of</w:t>
      </w:r>
      <w:r>
        <w:rPr>
          <w:spacing w:val="-3"/>
        </w:rPr>
        <w:t> </w:t>
      </w:r>
      <w:r>
        <w:rPr/>
        <w:t>imminent</w:t>
      </w:r>
      <w:r>
        <w:rPr>
          <w:spacing w:val="-2"/>
        </w:rPr>
        <w:t> </w:t>
      </w:r>
      <w:r>
        <w:rPr/>
        <w:t>use</w:t>
      </w:r>
      <w:r>
        <w:rPr>
          <w:spacing w:val="-3"/>
        </w:rPr>
        <w:t> </w:t>
      </w:r>
      <w:r>
        <w:rPr/>
        <w:t>of</w:t>
      </w:r>
      <w:r>
        <w:rPr>
          <w:spacing w:val="-3"/>
        </w:rPr>
        <w:t> </w:t>
      </w:r>
      <w:r>
        <w:rPr/>
        <w:t>force,</w:t>
      </w:r>
      <w:r>
        <w:rPr>
          <w:spacing w:val="-2"/>
        </w:rPr>
        <w:t> </w:t>
      </w:r>
      <w:r>
        <w:rPr/>
        <w:t>which</w:t>
      </w:r>
      <w:r>
        <w:rPr>
          <w:spacing w:val="-2"/>
        </w:rPr>
        <w:t> </w:t>
      </w:r>
      <w:r>
        <w:rPr/>
        <w:t>is</w:t>
      </w:r>
      <w:r>
        <w:rPr>
          <w:spacing w:val="-2"/>
        </w:rPr>
        <w:t> </w:t>
      </w:r>
      <w:r>
        <w:rPr/>
        <w:t>demonstrated</w:t>
      </w:r>
      <w:r>
        <w:rPr>
          <w:spacing w:val="-3"/>
        </w:rPr>
        <w:t> </w:t>
      </w:r>
      <w:r>
        <w:rPr/>
        <w:t>through</w:t>
      </w:r>
      <w:r>
        <w:rPr>
          <w:spacing w:val="-2"/>
        </w:rPr>
        <w:t> </w:t>
      </w:r>
      <w:r>
        <w:rPr/>
        <w:t>an action, which appears to be preparatory to hostile act.</w:t>
      </w:r>
      <w:r>
        <w:rPr>
          <w:spacing w:val="40"/>
        </w:rPr>
        <w:t> </w:t>
      </w:r>
      <w:r>
        <w:rPr/>
        <w:t>Only a reasonable belief in the hostile intent is required before the use of force is authorized.</w:t>
      </w:r>
    </w:p>
    <w:p>
      <w:pPr>
        <w:pStyle w:val="BodyText"/>
        <w:tabs>
          <w:tab w:pos="3529" w:val="left" w:leader="none"/>
          <w:tab w:pos="4998" w:val="left" w:leader="none"/>
          <w:tab w:pos="6410" w:val="left" w:leader="none"/>
          <w:tab w:pos="7415" w:val="left" w:leader="none"/>
          <w:tab w:pos="8417" w:val="left" w:leader="none"/>
          <w:tab w:pos="9024" w:val="left" w:leader="none"/>
        </w:tabs>
        <w:spacing w:line="360" w:lineRule="auto"/>
        <w:ind w:right="1255"/>
      </w:pPr>
      <w:r>
        <w:rPr>
          <w:u w:val="single"/>
        </w:rPr>
        <w:t>Code</w:t>
      </w:r>
      <w:r>
        <w:rPr>
          <w:spacing w:val="40"/>
          <w:u w:val="single"/>
        </w:rPr>
        <w:t> </w:t>
      </w:r>
      <w:r>
        <w:rPr>
          <w:u w:val="single"/>
        </w:rPr>
        <w:t>of</w:t>
      </w:r>
      <w:r>
        <w:rPr>
          <w:spacing w:val="40"/>
          <w:u w:val="single"/>
        </w:rPr>
        <w:t> </w:t>
      </w:r>
      <w:r>
        <w:rPr>
          <w:u w:val="single"/>
        </w:rPr>
        <w:t>Conduct:</w:t>
      </w:r>
      <w:r>
        <w:rPr>
          <w:spacing w:val="40"/>
          <w:u w:val="single"/>
        </w:rPr>
        <w:t> </w:t>
      </w:r>
      <w:r>
        <w:rPr/>
        <w:t>Troops</w:t>
      </w:r>
      <w:r>
        <w:rPr>
          <w:spacing w:val="40"/>
        </w:rPr>
        <w:t> </w:t>
      </w:r>
      <w:r>
        <w:rPr/>
        <w:t>are</w:t>
      </w:r>
      <w:r>
        <w:rPr>
          <w:spacing w:val="40"/>
        </w:rPr>
        <w:t> </w:t>
      </w:r>
      <w:r>
        <w:rPr/>
        <w:t>to</w:t>
      </w:r>
      <w:r>
        <w:rPr>
          <w:spacing w:val="40"/>
        </w:rPr>
        <w:t> </w:t>
      </w:r>
      <w:r>
        <w:rPr/>
        <w:t>maintain</w:t>
      </w:r>
      <w:r>
        <w:rPr>
          <w:spacing w:val="40"/>
        </w:rPr>
        <w:t> </w:t>
      </w:r>
      <w:r>
        <w:rPr/>
        <w:t>strict</w:t>
      </w:r>
      <w:r>
        <w:rPr>
          <w:spacing w:val="40"/>
        </w:rPr>
        <w:t> </w:t>
      </w:r>
      <w:r>
        <w:rPr/>
        <w:t>service</w:t>
      </w:r>
      <w:r>
        <w:rPr>
          <w:spacing w:val="40"/>
        </w:rPr>
        <w:t> </w:t>
      </w:r>
      <w:r>
        <w:rPr/>
        <w:t>discipline.</w:t>
      </w:r>
      <w:r>
        <w:rPr>
          <w:spacing w:val="40"/>
        </w:rPr>
        <w:t> </w:t>
      </w:r>
      <w:r>
        <w:rPr/>
        <w:t>Troops</w:t>
      </w:r>
      <w:r>
        <w:rPr>
          <w:spacing w:val="40"/>
        </w:rPr>
        <w:t> </w:t>
      </w:r>
      <w:r>
        <w:rPr/>
        <w:t>are</w:t>
      </w:r>
      <w:r>
        <w:rPr>
          <w:spacing w:val="40"/>
        </w:rPr>
        <w:t> </w:t>
      </w:r>
      <w:r>
        <w:rPr/>
        <w:t>to establish</w:t>
      </w:r>
      <w:r>
        <w:rPr>
          <w:spacing w:val="80"/>
        </w:rPr>
        <w:t> </w:t>
      </w:r>
      <w:r>
        <w:rPr/>
        <w:t>firm</w:t>
      </w:r>
      <w:r>
        <w:rPr>
          <w:spacing w:val="80"/>
        </w:rPr>
        <w:t> </w:t>
      </w:r>
      <w:r>
        <w:rPr/>
        <w:t>but</w:t>
      </w:r>
      <w:r>
        <w:rPr>
          <w:spacing w:val="80"/>
        </w:rPr>
        <w:t> </w:t>
      </w:r>
      <w:r>
        <w:rPr/>
        <w:t>cordial</w:t>
      </w:r>
      <w:r>
        <w:rPr>
          <w:spacing w:val="80"/>
        </w:rPr>
        <w:t> </w:t>
      </w:r>
      <w:r>
        <w:rPr/>
        <w:t>relationship</w:t>
      </w:r>
      <w:r>
        <w:rPr>
          <w:spacing w:val="80"/>
        </w:rPr>
        <w:t> </w:t>
      </w:r>
      <w:r>
        <w:rPr/>
        <w:t>with</w:t>
      </w:r>
      <w:r>
        <w:rPr>
          <w:spacing w:val="80"/>
        </w:rPr>
        <w:t> </w:t>
      </w:r>
      <w:r>
        <w:rPr/>
        <w:t>law</w:t>
      </w:r>
      <w:r>
        <w:rPr>
          <w:spacing w:val="80"/>
        </w:rPr>
        <w:t> </w:t>
      </w:r>
      <w:r>
        <w:rPr/>
        <w:t>–</w:t>
      </w:r>
      <w:r>
        <w:rPr>
          <w:spacing w:val="80"/>
        </w:rPr>
        <w:t> </w:t>
      </w:r>
      <w:r>
        <w:rPr/>
        <w:t>abiding</w:t>
      </w:r>
      <w:r>
        <w:rPr>
          <w:spacing w:val="80"/>
        </w:rPr>
        <w:t> </w:t>
      </w:r>
      <w:r>
        <w:rPr/>
        <w:t>citizens.</w:t>
      </w:r>
      <w:r>
        <w:rPr>
          <w:spacing w:val="80"/>
        </w:rPr>
        <w:t> </w:t>
      </w:r>
      <w:r>
        <w:rPr/>
        <w:t>Troops</w:t>
      </w:r>
      <w:r>
        <w:rPr>
          <w:spacing w:val="80"/>
        </w:rPr>
        <w:t> </w:t>
      </w:r>
      <w:r>
        <w:rPr/>
        <w:t>on operation are also to respect the right of individuals and supremacy</w:t>
      </w:r>
      <w:r>
        <w:rPr>
          <w:spacing w:val="-2"/>
        </w:rPr>
        <w:t> </w:t>
      </w:r>
      <w:r>
        <w:rPr/>
        <w:t>of the rule of law. </w:t>
      </w:r>
      <w:r>
        <w:rPr>
          <w:u w:val="single"/>
        </w:rPr>
        <w:t>Operational</w:t>
      </w:r>
      <w:r>
        <w:rPr>
          <w:spacing w:val="40"/>
          <w:u w:val="single"/>
        </w:rPr>
        <w:t> </w:t>
      </w:r>
      <w:r>
        <w:rPr>
          <w:u w:val="single"/>
        </w:rPr>
        <w:t>Readiness:</w:t>
      </w:r>
      <w:r>
        <w:rPr>
          <w:spacing w:val="40"/>
          <w:u w:val="single"/>
        </w:rPr>
        <w:t> </w:t>
      </w:r>
      <w:r>
        <w:rPr/>
        <w:t>Operational</w:t>
      </w:r>
      <w:r>
        <w:rPr>
          <w:spacing w:val="40"/>
        </w:rPr>
        <w:t> </w:t>
      </w:r>
      <w:r>
        <w:rPr/>
        <w:t>readiness</w:t>
      </w:r>
      <w:r>
        <w:rPr>
          <w:spacing w:val="40"/>
        </w:rPr>
        <w:t> </w:t>
      </w:r>
      <w:r>
        <w:rPr/>
        <w:t>is</w:t>
      </w:r>
      <w:r>
        <w:rPr>
          <w:spacing w:val="40"/>
        </w:rPr>
        <w:t> </w:t>
      </w:r>
      <w:r>
        <w:rPr/>
        <w:t>rooted</w:t>
      </w:r>
      <w:r>
        <w:rPr>
          <w:spacing w:val="40"/>
        </w:rPr>
        <w:t> </w:t>
      </w:r>
      <w:r>
        <w:rPr/>
        <w:t>in</w:t>
      </w:r>
      <w:r>
        <w:rPr>
          <w:spacing w:val="40"/>
        </w:rPr>
        <w:t> </w:t>
      </w:r>
      <w:r>
        <w:rPr/>
        <w:t>personnel,</w:t>
      </w:r>
      <w:r>
        <w:rPr>
          <w:spacing w:val="40"/>
        </w:rPr>
        <w:t> </w:t>
      </w:r>
      <w:r>
        <w:rPr/>
        <w:t>equipment,</w:t>
      </w:r>
      <w:r>
        <w:rPr>
          <w:spacing w:val="80"/>
        </w:rPr>
        <w:t> </w:t>
      </w:r>
      <w:r>
        <w:rPr>
          <w:spacing w:val="-2"/>
        </w:rPr>
        <w:t>logistics/resources,</w:t>
      </w:r>
      <w:r>
        <w:rPr/>
        <w:tab/>
      </w:r>
      <w:r>
        <w:rPr>
          <w:spacing w:val="-2"/>
        </w:rPr>
        <w:t>maintenance</w:t>
      </w:r>
      <w:r>
        <w:rPr/>
        <w:tab/>
      </w:r>
      <w:r>
        <w:rPr>
          <w:spacing w:val="-2"/>
        </w:rPr>
        <w:t>capabilities,</w:t>
      </w:r>
      <w:r>
        <w:rPr/>
        <w:tab/>
      </w:r>
      <w:r>
        <w:rPr>
          <w:spacing w:val="-2"/>
        </w:rPr>
        <w:t>mission</w:t>
      </w:r>
      <w:r>
        <w:rPr/>
        <w:tab/>
      </w:r>
      <w:r>
        <w:rPr>
          <w:spacing w:val="-2"/>
        </w:rPr>
        <w:t>training</w:t>
      </w:r>
      <w:r>
        <w:rPr/>
        <w:tab/>
      </w:r>
      <w:r>
        <w:rPr>
          <w:spacing w:val="-4"/>
        </w:rPr>
        <w:t>and</w:t>
      </w:r>
      <w:r>
        <w:rPr/>
        <w:tab/>
      </w:r>
      <w:r>
        <w:rPr>
          <w:spacing w:val="-2"/>
        </w:rPr>
        <w:t>welfare </w:t>
      </w:r>
      <w:r>
        <w:rPr/>
        <w:t>arrangement</w:t>
      </w:r>
      <w:r>
        <w:rPr>
          <w:spacing w:val="32"/>
        </w:rPr>
        <w:t> </w:t>
      </w:r>
      <w:r>
        <w:rPr/>
        <w:t>for</w:t>
      </w:r>
      <w:r>
        <w:rPr>
          <w:spacing w:val="33"/>
        </w:rPr>
        <w:t> </w:t>
      </w:r>
      <w:r>
        <w:rPr/>
        <w:t>the</w:t>
      </w:r>
      <w:r>
        <w:rPr>
          <w:spacing w:val="32"/>
        </w:rPr>
        <w:t> </w:t>
      </w:r>
      <w:r>
        <w:rPr/>
        <w:t>troops.</w:t>
      </w:r>
      <w:r>
        <w:rPr>
          <w:spacing w:val="80"/>
        </w:rPr>
        <w:t> </w:t>
      </w:r>
      <w:r>
        <w:rPr/>
        <w:t>Thus,</w:t>
      </w:r>
      <w:r>
        <w:rPr>
          <w:spacing w:val="32"/>
        </w:rPr>
        <w:t> </w:t>
      </w:r>
      <w:r>
        <w:rPr/>
        <w:t>operational</w:t>
      </w:r>
      <w:r>
        <w:rPr>
          <w:spacing w:val="33"/>
        </w:rPr>
        <w:t> </w:t>
      </w:r>
      <w:r>
        <w:rPr/>
        <w:t>readiness</w:t>
      </w:r>
      <w:r>
        <w:rPr>
          <w:spacing w:val="32"/>
        </w:rPr>
        <w:t> </w:t>
      </w:r>
      <w:r>
        <w:rPr/>
        <w:t>is</w:t>
      </w:r>
      <w:r>
        <w:rPr>
          <w:spacing w:val="33"/>
        </w:rPr>
        <w:t> </w:t>
      </w:r>
      <w:r>
        <w:rPr/>
        <w:t>speed</w:t>
      </w:r>
      <w:r>
        <w:rPr>
          <w:spacing w:val="35"/>
        </w:rPr>
        <w:t> </w:t>
      </w:r>
      <w:r>
        <w:rPr/>
        <w:t>and</w:t>
      </w:r>
      <w:r>
        <w:rPr>
          <w:spacing w:val="32"/>
        </w:rPr>
        <w:t> </w:t>
      </w:r>
      <w:r>
        <w:rPr/>
        <w:t>effectiveness which leads to the success of any operation.</w:t>
      </w:r>
    </w:p>
    <w:p>
      <w:pPr>
        <w:pStyle w:val="BodyText"/>
        <w:spacing w:line="360" w:lineRule="auto" w:before="1"/>
        <w:ind w:right="1261"/>
        <w:jc w:val="both"/>
      </w:pPr>
      <w:r>
        <w:rPr>
          <w:u w:val="single"/>
        </w:rPr>
        <w:t>Internal</w:t>
      </w:r>
      <w:r>
        <w:rPr>
          <w:spacing w:val="-2"/>
          <w:u w:val="single"/>
        </w:rPr>
        <w:t> </w:t>
      </w:r>
      <w:r>
        <w:rPr>
          <w:u w:val="single"/>
        </w:rPr>
        <w:t>Security</w:t>
      </w:r>
      <w:r>
        <w:rPr>
          <w:spacing w:val="-6"/>
          <w:u w:val="single"/>
        </w:rPr>
        <w:t> </w:t>
      </w:r>
      <w:r>
        <w:rPr>
          <w:u w:val="single"/>
        </w:rPr>
        <w:t>(IS)</w:t>
      </w:r>
      <w:r>
        <w:rPr>
          <w:spacing w:val="-1"/>
          <w:u w:val="single"/>
        </w:rPr>
        <w:t> </w:t>
      </w:r>
      <w:r>
        <w:rPr>
          <w:u w:val="single"/>
        </w:rPr>
        <w:t>Operations: </w:t>
      </w:r>
      <w:r>
        <w:rPr/>
        <w:t>Internal</w:t>
      </w:r>
      <w:r>
        <w:rPr>
          <w:spacing w:val="-2"/>
        </w:rPr>
        <w:t> </w:t>
      </w:r>
      <w:r>
        <w:rPr/>
        <w:t>Security</w:t>
      </w:r>
      <w:r>
        <w:rPr>
          <w:spacing w:val="-2"/>
        </w:rPr>
        <w:t> </w:t>
      </w:r>
      <w:r>
        <w:rPr/>
        <w:t>IS operations</w:t>
      </w:r>
      <w:r>
        <w:rPr>
          <w:spacing w:val="-2"/>
        </w:rPr>
        <w:t> </w:t>
      </w:r>
      <w:r>
        <w:rPr/>
        <w:t>involve</w:t>
      </w:r>
      <w:r>
        <w:rPr>
          <w:spacing w:val="-3"/>
        </w:rPr>
        <w:t> </w:t>
      </w:r>
      <w:r>
        <w:rPr/>
        <w:t>the</w:t>
      </w:r>
      <w:r>
        <w:rPr>
          <w:spacing w:val="-3"/>
        </w:rPr>
        <w:t> </w:t>
      </w:r>
      <w:r>
        <w:rPr/>
        <w:t>activities geared towards the protection of the citizenry from internally generated threats or </w:t>
      </w:r>
      <w:r>
        <w:rPr>
          <w:spacing w:val="-2"/>
        </w:rPr>
        <w:t>crisis.</w:t>
      </w:r>
    </w:p>
    <w:p>
      <w:pPr>
        <w:pStyle w:val="BodyText"/>
        <w:spacing w:line="360" w:lineRule="auto"/>
        <w:ind w:right="1257"/>
        <w:jc w:val="both"/>
      </w:pPr>
      <w:r>
        <w:rPr>
          <w:u w:val="single"/>
        </w:rPr>
        <w:t>Guerrilla Warfare: </w:t>
      </w:r>
      <w:r>
        <w:rPr/>
        <w:t> A term literally translated “little war”. It generally refers to any non- state, irregular armed force that is engaged in a prolonged conflict at the</w:t>
      </w:r>
      <w:r>
        <w:rPr>
          <w:spacing w:val="40"/>
        </w:rPr>
        <w:t> </w:t>
      </w:r>
      <w:r>
        <w:rPr/>
        <w:t>domestic</w:t>
      </w:r>
      <w:r>
        <w:rPr>
          <w:spacing w:val="-2"/>
        </w:rPr>
        <w:t> </w:t>
      </w:r>
      <w:r>
        <w:rPr/>
        <w:t>level</w:t>
      </w:r>
      <w:r>
        <w:rPr>
          <w:spacing w:val="-1"/>
        </w:rPr>
        <w:t> </w:t>
      </w:r>
      <w:r>
        <w:rPr/>
        <w:t>against an incumbent government. The</w:t>
      </w:r>
      <w:r>
        <w:rPr>
          <w:spacing w:val="-3"/>
        </w:rPr>
        <w:t> </w:t>
      </w:r>
      <w:r>
        <w:rPr/>
        <w:t>term was first</w:t>
      </w:r>
      <w:r>
        <w:rPr>
          <w:spacing w:val="-1"/>
        </w:rPr>
        <w:t> </w:t>
      </w:r>
      <w:r>
        <w:rPr/>
        <w:t>used</w:t>
      </w:r>
      <w:r>
        <w:rPr>
          <w:spacing w:val="-2"/>
        </w:rPr>
        <w:t> </w:t>
      </w:r>
      <w:r>
        <w:rPr/>
        <w:t>in</w:t>
      </w:r>
      <w:r>
        <w:rPr>
          <w:spacing w:val="-1"/>
        </w:rPr>
        <w:t> </w:t>
      </w:r>
      <w:r>
        <w:rPr/>
        <w:t>reference to</w:t>
      </w:r>
      <w:r>
        <w:rPr>
          <w:spacing w:val="12"/>
        </w:rPr>
        <w:t> </w:t>
      </w:r>
      <w:r>
        <w:rPr/>
        <w:t>the</w:t>
      </w:r>
      <w:r>
        <w:rPr>
          <w:spacing w:val="13"/>
        </w:rPr>
        <w:t> </w:t>
      </w:r>
      <w:r>
        <w:rPr/>
        <w:t>Peninsular</w:t>
      </w:r>
      <w:r>
        <w:rPr>
          <w:spacing w:val="12"/>
        </w:rPr>
        <w:t> </w:t>
      </w:r>
      <w:r>
        <w:rPr/>
        <w:t>war</w:t>
      </w:r>
      <w:r>
        <w:rPr>
          <w:spacing w:val="13"/>
        </w:rPr>
        <w:t> </w:t>
      </w:r>
      <w:r>
        <w:rPr/>
        <w:t>of</w:t>
      </w:r>
      <w:r>
        <w:rPr>
          <w:spacing w:val="15"/>
        </w:rPr>
        <w:t> </w:t>
      </w:r>
      <w:r>
        <w:rPr/>
        <w:t>1808</w:t>
      </w:r>
      <w:r>
        <w:rPr>
          <w:spacing w:val="14"/>
        </w:rPr>
        <w:t> </w:t>
      </w:r>
      <w:r>
        <w:rPr/>
        <w:t>to</w:t>
      </w:r>
      <w:r>
        <w:rPr>
          <w:spacing w:val="14"/>
        </w:rPr>
        <w:t> </w:t>
      </w:r>
      <w:r>
        <w:rPr/>
        <w:t>1814,</w:t>
      </w:r>
      <w:r>
        <w:rPr>
          <w:spacing w:val="14"/>
        </w:rPr>
        <w:t> </w:t>
      </w:r>
      <w:r>
        <w:rPr/>
        <w:t>to</w:t>
      </w:r>
      <w:r>
        <w:rPr>
          <w:spacing w:val="14"/>
        </w:rPr>
        <w:t> </w:t>
      </w:r>
      <w:r>
        <w:rPr/>
        <w:t>describe</w:t>
      </w:r>
      <w:r>
        <w:rPr>
          <w:spacing w:val="13"/>
        </w:rPr>
        <w:t> </w:t>
      </w:r>
      <w:r>
        <w:rPr/>
        <w:t>the</w:t>
      </w:r>
      <w:r>
        <w:rPr>
          <w:spacing w:val="13"/>
        </w:rPr>
        <w:t> </w:t>
      </w:r>
      <w:r>
        <w:rPr/>
        <w:t>hit-and-run</w:t>
      </w:r>
      <w:r>
        <w:rPr>
          <w:spacing w:val="13"/>
        </w:rPr>
        <w:t> </w:t>
      </w:r>
      <w:r>
        <w:rPr/>
        <w:t>tactics</w:t>
      </w:r>
      <w:r>
        <w:rPr>
          <w:spacing w:val="16"/>
        </w:rPr>
        <w:t> </w:t>
      </w:r>
      <w:r>
        <w:rPr/>
        <w:t>of</w:t>
      </w:r>
      <w:r>
        <w:rPr>
          <w:spacing w:val="13"/>
        </w:rPr>
        <w:t> </w:t>
      </w:r>
      <w:r>
        <w:rPr/>
        <w:t>the</w:t>
      </w:r>
      <w:r>
        <w:rPr>
          <w:spacing w:val="13"/>
        </w:rPr>
        <w:t> </w:t>
      </w:r>
      <w:r>
        <w:rPr>
          <w:spacing w:val="-2"/>
        </w:rPr>
        <w:t>local</w:t>
      </w:r>
    </w:p>
    <w:p>
      <w:pPr>
        <w:spacing w:after="0" w:line="360" w:lineRule="auto"/>
        <w:jc w:val="both"/>
        <w:sectPr>
          <w:pgSz w:w="11910" w:h="16840"/>
          <w:pgMar w:header="0" w:footer="1561" w:top="1360" w:bottom="1760" w:left="720" w:right="180"/>
        </w:sectPr>
      </w:pPr>
    </w:p>
    <w:p>
      <w:pPr>
        <w:pStyle w:val="BodyText"/>
        <w:spacing w:line="360" w:lineRule="auto" w:before="60"/>
        <w:ind w:right="1254"/>
        <w:jc w:val="both"/>
      </w:pPr>
      <w:r>
        <w:rPr/>
        <mc:AlternateContent>
          <mc:Choice Requires="wps">
            <w:drawing>
              <wp:anchor distT="0" distB="0" distL="0" distR="0" allowOverlap="1" layoutInCell="1" locked="0" behindDoc="1" simplePos="0" relativeHeight="480605184">
                <wp:simplePos x="0" y="0"/>
                <wp:positionH relativeFrom="page">
                  <wp:posOffset>-1537026</wp:posOffset>
                </wp:positionH>
                <wp:positionV relativeFrom="page">
                  <wp:posOffset>4900424</wp:posOffset>
                </wp:positionV>
                <wp:extent cx="10669905" cy="914400"/>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11296;rotation:306" type="#_x0000_t136" fillcolor="#ff5400" stroked="f">
                <o:extrusion v:ext="view" autorotationcenter="t"/>
                <v:textpath style="font-family:&quot;Arial MT&quot;;font-size:72pt;v-text-kern:t;mso-text-shadow:auto" string="UNIVERSITY OF IBADAN"/>
                <w10:wrap type="none"/>
              </v:shape>
            </w:pict>
          </mc:Fallback>
        </mc:AlternateContent>
      </w:r>
      <w:r>
        <w:rPr/>
        <w:t>Spanish forces opposing Napoleon‟s effort to extend his rule over Spain. Emphasis is placed on fighting quickly and winning.</w:t>
      </w:r>
      <w:r>
        <w:rPr>
          <w:spacing w:val="40"/>
        </w:rPr>
        <w:t> </w:t>
      </w:r>
      <w:r>
        <w:rPr/>
        <w:t>It is viewed as a war of Survival and others sees it as a terrorist attacks.</w:t>
      </w:r>
    </w:p>
    <w:p>
      <w:pPr>
        <w:pStyle w:val="BodyText"/>
        <w:spacing w:line="275" w:lineRule="exact"/>
        <w:ind w:left="1500"/>
        <w:jc w:val="both"/>
      </w:pPr>
      <w:r>
        <w:rPr>
          <w:u w:val="single"/>
        </w:rPr>
        <w:t>Relative</w:t>
      </w:r>
      <w:r>
        <w:rPr>
          <w:spacing w:val="-3"/>
          <w:u w:val="single"/>
        </w:rPr>
        <w:t> </w:t>
      </w:r>
      <w:r>
        <w:rPr>
          <w:u w:val="single"/>
        </w:rPr>
        <w:t>Deprivation:</w:t>
      </w:r>
      <w:r>
        <w:rPr/>
        <w:t> The</w:t>
      </w:r>
      <w:r>
        <w:rPr>
          <w:spacing w:val="-2"/>
        </w:rPr>
        <w:t> </w:t>
      </w:r>
      <w:r>
        <w:rPr/>
        <w:t>feeling</w:t>
      </w:r>
      <w:r>
        <w:rPr>
          <w:spacing w:val="-3"/>
        </w:rPr>
        <w:t> </w:t>
      </w:r>
      <w:r>
        <w:rPr/>
        <w:t>of perception</w:t>
      </w:r>
      <w:r>
        <w:rPr>
          <w:spacing w:val="-1"/>
        </w:rPr>
        <w:t> </w:t>
      </w:r>
      <w:r>
        <w:rPr/>
        <w:t>of</w:t>
      </w:r>
      <w:r>
        <w:rPr>
          <w:spacing w:val="-1"/>
        </w:rPr>
        <w:t> </w:t>
      </w:r>
      <w:r>
        <w:rPr/>
        <w:t>a</w:t>
      </w:r>
      <w:r>
        <w:rPr>
          <w:spacing w:val="1"/>
        </w:rPr>
        <w:t> </w:t>
      </w:r>
      <w:r>
        <w:rPr/>
        <w:t>gap</w:t>
      </w:r>
      <w:r>
        <w:rPr>
          <w:spacing w:val="-1"/>
        </w:rPr>
        <w:t> </w:t>
      </w:r>
      <w:r>
        <w:rPr/>
        <w:t>or discrepancy</w:t>
      </w:r>
      <w:r>
        <w:rPr>
          <w:spacing w:val="-5"/>
        </w:rPr>
        <w:t> </w:t>
      </w:r>
      <w:r>
        <w:rPr>
          <w:spacing w:val="-2"/>
        </w:rPr>
        <w:t>between</w:t>
      </w:r>
    </w:p>
    <w:p>
      <w:pPr>
        <w:pStyle w:val="BodyText"/>
        <w:spacing w:line="360" w:lineRule="auto" w:before="140"/>
        <w:ind w:right="1251"/>
        <w:jc w:val="both"/>
      </w:pPr>
      <w:r>
        <w:rPr/>
        <w:t>what one considers one‟s rights, dues, or expectations, and what one has actually attained. The feeling of deprivation is theorized to produce frustration and anger, and is therefore linked to the onset of rebellion.</w:t>
      </w:r>
    </w:p>
    <w:p>
      <w:pPr>
        <w:spacing w:after="0" w:line="360" w:lineRule="auto"/>
        <w:jc w:val="both"/>
        <w:sectPr>
          <w:pgSz w:w="11910" w:h="16840"/>
          <w:pgMar w:header="0" w:footer="1561" w:top="1360" w:bottom="1760" w:left="720" w:right="180"/>
        </w:sectPr>
      </w:pPr>
    </w:p>
    <w:p>
      <w:pPr>
        <w:spacing w:before="65"/>
        <w:ind w:left="1480" w:right="1300" w:firstLine="0"/>
        <w:jc w:val="center"/>
        <w:rPr>
          <w:b/>
          <w:sz w:val="24"/>
        </w:rPr>
      </w:pPr>
      <w:r>
        <w:rPr/>
        <mc:AlternateContent>
          <mc:Choice Requires="wps">
            <w:drawing>
              <wp:anchor distT="0" distB="0" distL="0" distR="0" allowOverlap="1" layoutInCell="1" locked="0" behindDoc="1" simplePos="0" relativeHeight="480605696">
                <wp:simplePos x="0" y="0"/>
                <wp:positionH relativeFrom="page">
                  <wp:posOffset>-1537026</wp:posOffset>
                </wp:positionH>
                <wp:positionV relativeFrom="page">
                  <wp:posOffset>4900424</wp:posOffset>
                </wp:positionV>
                <wp:extent cx="10669905" cy="914400"/>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10784;rotation:306" type="#_x0000_t136" fillcolor="#ff5400" stroked="f">
                <o:extrusion v:ext="view" autorotationcenter="t"/>
                <v:textpath style="font-family:&quot;Arial MT&quot;;font-size:72pt;v-text-kern:t;mso-text-shadow:auto" string="UNIVERSITY OF IBADAN"/>
                <w10:wrap type="none"/>
              </v:shape>
            </w:pict>
          </mc:Fallback>
        </mc:AlternateContent>
      </w:r>
      <w:r>
        <w:rPr>
          <w:b/>
          <w:sz w:val="24"/>
        </w:rPr>
        <w:t>CHAPTER</w:t>
      </w:r>
      <w:r>
        <w:rPr>
          <w:b/>
          <w:spacing w:val="-4"/>
          <w:sz w:val="24"/>
        </w:rPr>
        <w:t> </w:t>
      </w:r>
      <w:r>
        <w:rPr>
          <w:b/>
          <w:spacing w:val="-5"/>
          <w:sz w:val="24"/>
        </w:rPr>
        <w:t>TWO</w:t>
      </w:r>
    </w:p>
    <w:p>
      <w:pPr>
        <w:spacing w:before="137"/>
        <w:ind w:left="1480" w:right="1303" w:firstLine="0"/>
        <w:jc w:val="center"/>
        <w:rPr>
          <w:b/>
          <w:sz w:val="24"/>
        </w:rPr>
      </w:pPr>
      <w:r>
        <w:rPr>
          <w:b/>
          <w:sz w:val="24"/>
        </w:rPr>
        <w:t>LITERATURE</w:t>
      </w:r>
      <w:r>
        <w:rPr>
          <w:b/>
          <w:spacing w:val="-4"/>
          <w:sz w:val="24"/>
        </w:rPr>
        <w:t> </w:t>
      </w:r>
      <w:r>
        <w:rPr>
          <w:b/>
          <w:sz w:val="24"/>
        </w:rPr>
        <w:t>REVIEW</w:t>
      </w:r>
      <w:r>
        <w:rPr>
          <w:b/>
          <w:spacing w:val="-2"/>
          <w:sz w:val="24"/>
        </w:rPr>
        <w:t> </w:t>
      </w:r>
      <w:r>
        <w:rPr>
          <w:b/>
          <w:sz w:val="24"/>
        </w:rPr>
        <w:t>AND</w:t>
      </w:r>
      <w:r>
        <w:rPr>
          <w:b/>
          <w:spacing w:val="-1"/>
          <w:sz w:val="24"/>
        </w:rPr>
        <w:t> </w:t>
      </w:r>
      <w:r>
        <w:rPr>
          <w:b/>
          <w:sz w:val="24"/>
        </w:rPr>
        <w:t>THEORETICAL</w:t>
      </w:r>
      <w:r>
        <w:rPr>
          <w:b/>
          <w:spacing w:val="-2"/>
          <w:sz w:val="24"/>
        </w:rPr>
        <w:t> FRAMEWORK</w:t>
      </w:r>
    </w:p>
    <w:p>
      <w:pPr>
        <w:pStyle w:val="Heading1"/>
        <w:numPr>
          <w:ilvl w:val="1"/>
          <w:numId w:val="10"/>
        </w:numPr>
        <w:tabs>
          <w:tab w:pos="1800" w:val="left" w:leader="none"/>
        </w:tabs>
        <w:spacing w:line="240" w:lineRule="auto" w:before="140" w:after="0"/>
        <w:ind w:left="1800" w:right="0" w:hanging="360"/>
        <w:jc w:val="both"/>
      </w:pPr>
      <w:bookmarkStart w:name="_TOC_250020" w:id="22"/>
      <w:r>
        <w:rPr/>
        <w:t>CONCEPTUAL</w:t>
      </w:r>
      <w:r>
        <w:rPr>
          <w:spacing w:val="-5"/>
        </w:rPr>
        <w:t> </w:t>
      </w:r>
      <w:bookmarkEnd w:id="22"/>
      <w:r>
        <w:rPr>
          <w:spacing w:val="-2"/>
        </w:rPr>
        <w:t>DISCOURSE</w:t>
      </w:r>
    </w:p>
    <w:p>
      <w:pPr>
        <w:pStyle w:val="Heading2"/>
        <w:numPr>
          <w:ilvl w:val="2"/>
          <w:numId w:val="10"/>
        </w:numPr>
        <w:tabs>
          <w:tab w:pos="1980" w:val="left" w:leader="none"/>
        </w:tabs>
        <w:spacing w:line="240" w:lineRule="auto" w:before="137" w:after="0"/>
        <w:ind w:left="1980" w:right="0" w:hanging="540"/>
        <w:jc w:val="both"/>
      </w:pPr>
      <w:bookmarkStart w:name="_TOC_250019" w:id="23"/>
      <w:r>
        <w:rPr/>
        <w:t>Military</w:t>
      </w:r>
      <w:r>
        <w:rPr>
          <w:spacing w:val="-2"/>
        </w:rPr>
        <w:t> </w:t>
      </w:r>
      <w:r>
        <w:rPr/>
        <w:t>Task</w:t>
      </w:r>
      <w:r>
        <w:rPr>
          <w:spacing w:val="-1"/>
        </w:rPr>
        <w:t> </w:t>
      </w:r>
      <w:r>
        <w:rPr/>
        <w:t>Force</w:t>
      </w:r>
      <w:r>
        <w:rPr>
          <w:spacing w:val="-3"/>
        </w:rPr>
        <w:t> </w:t>
      </w:r>
      <w:r>
        <w:rPr/>
        <w:t>in Global</w:t>
      </w:r>
      <w:r>
        <w:rPr>
          <w:spacing w:val="-1"/>
        </w:rPr>
        <w:t> </w:t>
      </w:r>
      <w:bookmarkEnd w:id="23"/>
      <w:r>
        <w:rPr>
          <w:spacing w:val="-2"/>
        </w:rPr>
        <w:t>Perspectives</w:t>
      </w:r>
    </w:p>
    <w:p>
      <w:pPr>
        <w:pStyle w:val="BodyText"/>
        <w:spacing w:line="360" w:lineRule="auto" w:before="134"/>
        <w:ind w:right="1258" w:firstLine="676"/>
        <w:jc w:val="both"/>
      </w:pPr>
      <w:r>
        <w:rPr/>
        <w:t>The American Heritage Dictionary</w:t>
      </w:r>
      <w:r>
        <w:rPr>
          <w:spacing w:val="-4"/>
        </w:rPr>
        <w:t> </w:t>
      </w:r>
      <w:r>
        <w:rPr/>
        <w:t>of English language defines a "Task Force" (TF) as a temporary grouping of military</w:t>
      </w:r>
      <w:r>
        <w:rPr>
          <w:spacing w:val="-3"/>
        </w:rPr>
        <w:t> </w:t>
      </w:r>
      <w:r>
        <w:rPr/>
        <w:t>units or forces under one commander for the specific operations or assignment.</w:t>
      </w:r>
      <w:r>
        <w:rPr>
          <w:spacing w:val="40"/>
        </w:rPr>
        <w:t> </w:t>
      </w:r>
      <w:r>
        <w:rPr/>
        <w:t>It is also a grouping of individuals and resources for the accomplishment of a specific objective.</w:t>
      </w:r>
      <w:r>
        <w:rPr>
          <w:spacing w:val="40"/>
        </w:rPr>
        <w:t> </w:t>
      </w:r>
      <w:r>
        <w:rPr/>
        <w:t>While the Collins English Dictionary defined it as a temporary grouping of military units formed to undertake a specific mission.</w:t>
      </w:r>
      <w:r>
        <w:rPr>
          <w:spacing w:val="40"/>
        </w:rPr>
        <w:t> </w:t>
      </w:r>
      <w:r>
        <w:rPr/>
        <w:t>It could also be a semi permanent organization set up to carry out a continuing task.</w:t>
      </w:r>
      <w:r>
        <w:rPr>
          <w:spacing w:val="40"/>
        </w:rPr>
        <w:t> </w:t>
      </w:r>
      <w:r>
        <w:rPr/>
        <w:t>A closer look at these definitions suggests that a "TF" is a unit or formation established to work on a single defined task or activity.</w:t>
      </w:r>
      <w:r>
        <w:rPr>
          <w:spacing w:val="40"/>
        </w:rPr>
        <w:t> </w:t>
      </w:r>
      <w:r>
        <w:rPr/>
        <w:t>In addition, a task force could be broken into several task groups and finally task units and elements.</w:t>
      </w:r>
    </w:p>
    <w:p>
      <w:pPr>
        <w:pStyle w:val="BodyText"/>
        <w:spacing w:line="360" w:lineRule="auto"/>
        <w:ind w:right="1252" w:firstLine="720"/>
        <w:jc w:val="both"/>
      </w:pPr>
      <w:r>
        <w:rPr/>
        <w:t>The term was originally introduced by the United States Navy but has now caught on for general usage and is a standard part of</w:t>
      </w:r>
      <w:r>
        <w:rPr>
          <w:spacing w:val="40"/>
        </w:rPr>
        <w:t> </w:t>
      </w:r>
      <w:r>
        <w:rPr/>
        <w:t>North Atlantic Treaty Organisation (NATO) terminology.</w:t>
      </w:r>
      <w:r>
        <w:rPr>
          <w:spacing w:val="40"/>
        </w:rPr>
        <w:t> </w:t>
      </w:r>
      <w:r>
        <w:rPr/>
        <w:t>Many non-military organizations now create</w:t>
      </w:r>
      <w:r>
        <w:rPr>
          <w:spacing w:val="40"/>
        </w:rPr>
        <w:t> </w:t>
      </w:r>
      <w:r>
        <w:rPr/>
        <w:t>"task force" or task groups for temporary activities that might have once been performed by an ad hoc committee.</w:t>
      </w:r>
    </w:p>
    <w:p>
      <w:pPr>
        <w:pStyle w:val="BodyText"/>
        <w:spacing w:line="360" w:lineRule="auto" w:before="1"/>
        <w:ind w:right="1257" w:firstLine="681"/>
        <w:jc w:val="both"/>
      </w:pPr>
      <w:r>
        <w:rPr/>
        <w:t>In the United States Army, a task force is a battalion-sized (usually, although there are variations in size) ad hoc unit formed by attaching smaller elements of other units.</w:t>
      </w:r>
      <w:r>
        <w:rPr>
          <w:spacing w:val="40"/>
        </w:rPr>
        <w:t> </w:t>
      </w:r>
      <w:r>
        <w:rPr/>
        <w:t>In the British Army and armies of other Commonwealth countries, such units are known as battle groups.</w:t>
      </w:r>
      <w:r>
        <w:rPr>
          <w:spacing w:val="80"/>
        </w:rPr>
        <w:t> </w:t>
      </w:r>
      <w:r>
        <w:rPr/>
        <w:t>In this definition, the timeframe that would be allowed for a task force to accomplish its mission is missing, although there is a lot that is suggested by the use of the word "temporary".</w:t>
      </w:r>
      <w:r>
        <w:rPr>
          <w:spacing w:val="80"/>
        </w:rPr>
        <w:t> </w:t>
      </w:r>
      <w:r>
        <w:rPr/>
        <w:t>To attempt a more precise definition</w:t>
      </w:r>
      <w:r>
        <w:rPr>
          <w:spacing w:val="40"/>
        </w:rPr>
        <w:t> </w:t>
      </w:r>
      <w:r>
        <w:rPr/>
        <w:t>of a "Task Force" would mean an ad hoc force mandated for, specific objectives within a given time-frame.</w:t>
      </w:r>
      <w:r>
        <w:rPr>
          <w:spacing w:val="40"/>
        </w:rPr>
        <w:t> </w:t>
      </w:r>
      <w:r>
        <w:rPr/>
        <w:t>On accomplishment of its task, the force is dissolved to pave way for an established formation in the area of operation to continue with the mission. However, there are many types of task forces.</w:t>
      </w:r>
      <w:r>
        <w:rPr>
          <w:spacing w:val="40"/>
        </w:rPr>
        <w:t> </w:t>
      </w:r>
      <w:r>
        <w:rPr/>
        <w:t>These include, Joint Task Force, Combined Task Force and Combined Joint Task Force.</w:t>
      </w:r>
    </w:p>
    <w:p>
      <w:pPr>
        <w:pStyle w:val="BodyText"/>
        <w:spacing w:line="360" w:lineRule="auto"/>
        <w:ind w:right="1258" w:firstLine="720"/>
        <w:jc w:val="both"/>
      </w:pPr>
      <w:r>
        <w:rPr/>
        <w:t>Apart from constitutional constraints on the military, it is obvious that theirs is a profession which in the modern complex and dynamic world cannot bear the</w:t>
      </w:r>
      <w:r>
        <w:rPr>
          <w:spacing w:val="40"/>
        </w:rPr>
        <w:t> </w:t>
      </w:r>
      <w:r>
        <w:rPr/>
        <w:t>stresses of Nigeria precarious political practices.</w:t>
      </w:r>
      <w:r>
        <w:rPr>
          <w:spacing w:val="40"/>
        </w:rPr>
        <w:t> </w:t>
      </w:r>
      <w:r>
        <w:rPr/>
        <w:t>One or two things of grave consequences</w:t>
      </w:r>
      <w:r>
        <w:rPr>
          <w:spacing w:val="22"/>
        </w:rPr>
        <w:t> </w:t>
      </w:r>
      <w:r>
        <w:rPr/>
        <w:t>may</w:t>
      </w:r>
      <w:r>
        <w:rPr>
          <w:spacing w:val="18"/>
        </w:rPr>
        <w:t> </w:t>
      </w:r>
      <w:r>
        <w:rPr/>
        <w:t>happen</w:t>
      </w:r>
      <w:r>
        <w:rPr>
          <w:spacing w:val="23"/>
        </w:rPr>
        <w:t> </w:t>
      </w:r>
      <w:r>
        <w:rPr/>
        <w:t>and</w:t>
      </w:r>
      <w:r>
        <w:rPr>
          <w:spacing w:val="23"/>
        </w:rPr>
        <w:t> </w:t>
      </w:r>
      <w:r>
        <w:rPr/>
        <w:t>had</w:t>
      </w:r>
      <w:r>
        <w:rPr>
          <w:spacing w:val="23"/>
        </w:rPr>
        <w:t> </w:t>
      </w:r>
      <w:r>
        <w:rPr/>
        <w:t>happened,</w:t>
      </w:r>
      <w:r>
        <w:rPr>
          <w:spacing w:val="24"/>
        </w:rPr>
        <w:t> </w:t>
      </w:r>
      <w:r>
        <w:rPr/>
        <w:t>either</w:t>
      </w:r>
      <w:r>
        <w:rPr>
          <w:spacing w:val="22"/>
        </w:rPr>
        <w:t> </w:t>
      </w:r>
      <w:r>
        <w:rPr/>
        <w:t>the</w:t>
      </w:r>
      <w:r>
        <w:rPr>
          <w:spacing w:val="23"/>
        </w:rPr>
        <w:t> </w:t>
      </w:r>
      <w:r>
        <w:rPr/>
        <w:t>nation</w:t>
      </w:r>
      <w:r>
        <w:rPr>
          <w:spacing w:val="23"/>
        </w:rPr>
        <w:t> </w:t>
      </w:r>
      <w:r>
        <w:rPr/>
        <w:t>is</w:t>
      </w:r>
      <w:r>
        <w:rPr>
          <w:spacing w:val="24"/>
        </w:rPr>
        <w:t> </w:t>
      </w:r>
      <w:r>
        <w:rPr/>
        <w:t>unduly</w:t>
      </w:r>
      <w:r>
        <w:rPr>
          <w:spacing w:val="19"/>
        </w:rPr>
        <w:t> </w:t>
      </w:r>
      <w:r>
        <w:rPr>
          <w:spacing w:val="-2"/>
        </w:rPr>
        <w:t>militarised</w:t>
      </w:r>
    </w:p>
    <w:p>
      <w:pPr>
        <w:spacing w:after="0" w:line="360" w:lineRule="auto"/>
        <w:jc w:val="both"/>
        <w:sectPr>
          <w:pgSz w:w="11910" w:h="16840"/>
          <w:pgMar w:header="0" w:footer="1561" w:top="1360" w:bottom="1760" w:left="720" w:right="180"/>
        </w:sectPr>
      </w:pPr>
    </w:p>
    <w:p>
      <w:pPr>
        <w:pStyle w:val="BodyText"/>
        <w:spacing w:line="360" w:lineRule="auto" w:before="60"/>
        <w:ind w:right="1257"/>
        <w:jc w:val="both"/>
      </w:pPr>
      <w:r>
        <w:rPr/>
        <mc:AlternateContent>
          <mc:Choice Requires="wps">
            <w:drawing>
              <wp:anchor distT="0" distB="0" distL="0" distR="0" allowOverlap="1" layoutInCell="1" locked="0" behindDoc="1" simplePos="0" relativeHeight="480606208">
                <wp:simplePos x="0" y="0"/>
                <wp:positionH relativeFrom="page">
                  <wp:posOffset>-1537026</wp:posOffset>
                </wp:positionH>
                <wp:positionV relativeFrom="page">
                  <wp:posOffset>4900424</wp:posOffset>
                </wp:positionV>
                <wp:extent cx="10669905" cy="914400"/>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10272;rotation:306" type="#_x0000_t136" fillcolor="#ff5400" stroked="f">
                <o:extrusion v:ext="view" autorotationcenter="t"/>
                <v:textpath style="font-family:&quot;Arial MT&quot;;font-size:72pt;v-text-kern:t;mso-text-shadow:auto" string="UNIVERSITY OF IBADAN"/>
                <w10:wrap type="none"/>
              </v:shape>
            </w:pict>
          </mc:Fallback>
        </mc:AlternateContent>
      </w:r>
      <w:r>
        <w:rPr/>
        <w:t>or the military is dangerously politicised.</w:t>
      </w:r>
      <w:r>
        <w:rPr>
          <w:spacing w:val="40"/>
        </w:rPr>
        <w:t> </w:t>
      </w:r>
      <w:r>
        <w:rPr/>
        <w:t>Nigeria has witnessed both in telling proportions.</w:t>
      </w:r>
      <w:r>
        <w:rPr>
          <w:spacing w:val="40"/>
        </w:rPr>
        <w:t> </w:t>
      </w:r>
      <w:r>
        <w:rPr/>
        <w:t>By the imperatives of the military organisation, its nationalistic profile, and roles defined by the constitution, the question may be what profile professional pre-occupation is proper that they remained consigned to and maintained in the polity vis-à-vis its role and place within Constitutional provisions?</w:t>
      </w:r>
      <w:r>
        <w:rPr>
          <w:spacing w:val="40"/>
        </w:rPr>
        <w:t> </w:t>
      </w:r>
      <w:r>
        <w:rPr/>
        <w:t>All Nigerian constitutions have provided for direct access to the President and Commander-in- Chief for the Chief of Defence Staff and the Service Chiefs. As it were, the military hierarchy has officially, and through social and non- official avenues, direct access to the highest executive in the land.</w:t>
      </w:r>
      <w:r>
        <w:rPr>
          <w:spacing w:val="76"/>
        </w:rPr>
        <w:t> </w:t>
      </w:r>
      <w:r>
        <w:rPr/>
        <w:t>They would in war be members of the war Council or in peacetime, members of the National Defence Council by invitation.</w:t>
      </w:r>
    </w:p>
    <w:p>
      <w:pPr>
        <w:pStyle w:val="BodyText"/>
        <w:spacing w:line="360" w:lineRule="auto" w:before="2"/>
        <w:ind w:right="1256" w:firstLine="720"/>
        <w:jc w:val="both"/>
      </w:pPr>
      <w:r>
        <w:rPr/>
        <w:t>The synthesis of my postulation therefore is that, the conceptualization of a role for the military must begin and end with the dictates of the peoples constitution and not at the convenience of circumstances and, or expediencies of the military organization or national crisis or peace situation.</w:t>
      </w:r>
      <w:r>
        <w:rPr>
          <w:spacing w:val="40"/>
        </w:rPr>
        <w:t> </w:t>
      </w:r>
      <w:r>
        <w:rPr/>
        <w:t>Not even entirely a matter of roles, but of military historical relevance in nation building process, as the question of application.</w:t>
      </w:r>
      <w:r>
        <w:rPr>
          <w:spacing w:val="40"/>
        </w:rPr>
        <w:t> </w:t>
      </w:r>
      <w:r>
        <w:rPr/>
        <w:t>This relates to applying the abundant, skilled manpower and resources warehoused by the military to national development in peace time.</w:t>
      </w:r>
    </w:p>
    <w:p>
      <w:pPr>
        <w:pStyle w:val="BodyText"/>
        <w:spacing w:line="360" w:lineRule="auto"/>
        <w:ind w:right="1253" w:firstLine="540"/>
        <w:jc w:val="both"/>
      </w:pPr>
      <w:r>
        <w:rPr/>
        <w:t>The aforementioned notion gave credence to the Military Task Force which is primarily organized to undertake Low Intensity Operation (LIO) Other Than War (Jordan, 1964).Others critically examine military task force as a sub-unit of the military</w:t>
      </w:r>
      <w:r>
        <w:rPr>
          <w:spacing w:val="-8"/>
        </w:rPr>
        <w:t> </w:t>
      </w:r>
      <w:r>
        <w:rPr/>
        <w:t>which</w:t>
      </w:r>
      <w:r>
        <w:rPr>
          <w:spacing w:val="-1"/>
        </w:rPr>
        <w:t> </w:t>
      </w:r>
      <w:r>
        <w:rPr/>
        <w:t>undertakes</w:t>
      </w:r>
      <w:r>
        <w:rPr>
          <w:spacing w:val="-1"/>
        </w:rPr>
        <w:t> </w:t>
      </w:r>
      <w:r>
        <w:rPr/>
        <w:t>specific</w:t>
      </w:r>
      <w:r>
        <w:rPr>
          <w:spacing w:val="-2"/>
        </w:rPr>
        <w:t> </w:t>
      </w:r>
      <w:r>
        <w:rPr/>
        <w:t>operations.</w:t>
      </w:r>
      <w:r>
        <w:rPr>
          <w:spacing w:val="80"/>
        </w:rPr>
        <w:t> </w:t>
      </w:r>
      <w:r>
        <w:rPr/>
        <w:t>In some</w:t>
      </w:r>
      <w:r>
        <w:rPr>
          <w:spacing w:val="-2"/>
        </w:rPr>
        <w:t> </w:t>
      </w:r>
      <w:r>
        <w:rPr/>
        <w:t>countries,</w:t>
      </w:r>
      <w:r>
        <w:rPr>
          <w:spacing w:val="-1"/>
        </w:rPr>
        <w:t> </w:t>
      </w:r>
      <w:r>
        <w:rPr/>
        <w:t>military</w:t>
      </w:r>
      <w:r>
        <w:rPr>
          <w:spacing w:val="-6"/>
        </w:rPr>
        <w:t> </w:t>
      </w:r>
      <w:r>
        <w:rPr/>
        <w:t>task</w:t>
      </w:r>
      <w:r>
        <w:rPr>
          <w:spacing w:val="-2"/>
        </w:rPr>
        <w:t> </w:t>
      </w:r>
      <w:r>
        <w:rPr/>
        <w:t>forces are permanent, like USA- the NAVY SEAL Special Forces that carried out the operation</w:t>
      </w:r>
      <w:r>
        <w:rPr>
          <w:spacing w:val="-2"/>
        </w:rPr>
        <w:t> </w:t>
      </w:r>
      <w:r>
        <w:rPr/>
        <w:t>at</w:t>
      </w:r>
      <w:r>
        <w:rPr>
          <w:spacing w:val="-2"/>
        </w:rPr>
        <w:t> </w:t>
      </w:r>
      <w:r>
        <w:rPr/>
        <w:t>ABBOTTABAD</w:t>
      </w:r>
      <w:r>
        <w:rPr>
          <w:spacing w:val="-2"/>
        </w:rPr>
        <w:t> </w:t>
      </w:r>
      <w:r>
        <w:rPr/>
        <w:t>in</w:t>
      </w:r>
      <w:r>
        <w:rPr>
          <w:spacing w:val="-2"/>
        </w:rPr>
        <w:t> </w:t>
      </w:r>
      <w:r>
        <w:rPr/>
        <w:t>PAKISTAN</w:t>
      </w:r>
      <w:r>
        <w:rPr>
          <w:spacing w:val="-2"/>
        </w:rPr>
        <w:t> </w:t>
      </w:r>
      <w:r>
        <w:rPr/>
        <w:t>that</w:t>
      </w:r>
      <w:r>
        <w:rPr>
          <w:spacing w:val="-2"/>
        </w:rPr>
        <w:t> </w:t>
      </w:r>
      <w:r>
        <w:rPr/>
        <w:t>killed</w:t>
      </w:r>
      <w:r>
        <w:rPr>
          <w:spacing w:val="-2"/>
        </w:rPr>
        <w:t> </w:t>
      </w:r>
      <w:r>
        <w:rPr/>
        <w:t>Osama</w:t>
      </w:r>
      <w:r>
        <w:rPr>
          <w:spacing w:val="-2"/>
        </w:rPr>
        <w:t> </w:t>
      </w:r>
      <w:r>
        <w:rPr/>
        <w:t>Bin</w:t>
      </w:r>
      <w:r>
        <w:rPr>
          <w:spacing w:val="-2"/>
        </w:rPr>
        <w:t> </w:t>
      </w:r>
      <w:r>
        <w:rPr/>
        <w:t>Laden on</w:t>
      </w:r>
      <w:r>
        <w:rPr>
          <w:spacing w:val="-2"/>
        </w:rPr>
        <w:t> </w:t>
      </w:r>
      <w:r>
        <w:rPr/>
        <w:t>2</w:t>
      </w:r>
      <w:r>
        <w:rPr>
          <w:vertAlign w:val="superscript"/>
        </w:rPr>
        <w:t>nd</w:t>
      </w:r>
      <w:r>
        <w:rPr>
          <w:spacing w:val="-2"/>
          <w:vertAlign w:val="baseline"/>
        </w:rPr>
        <w:t> </w:t>
      </w:r>
      <w:r>
        <w:rPr>
          <w:vertAlign w:val="baseline"/>
        </w:rPr>
        <w:t>May 2011.</w:t>
      </w:r>
      <w:r>
        <w:rPr>
          <w:spacing w:val="80"/>
          <w:vertAlign w:val="baseline"/>
        </w:rPr>
        <w:t> </w:t>
      </w:r>
      <w:r>
        <w:rPr>
          <w:vertAlign w:val="baseline"/>
        </w:rPr>
        <w:t>Indeed, the pride of any nation is solely depended on the versatility of her armed forces and it responsibility to nation building.</w:t>
      </w:r>
    </w:p>
    <w:p>
      <w:pPr>
        <w:pStyle w:val="BodyText"/>
        <w:spacing w:line="360" w:lineRule="auto"/>
        <w:ind w:right="1256" w:firstLine="720"/>
        <w:jc w:val="both"/>
      </w:pPr>
      <w:r>
        <w:rPr/>
        <w:t>Woodrow (1969) warned that, in setting up military task forces, it has to be within the ambit of the constitutional role of the armed forces as enshrined in the nation‟s constitutions.</w:t>
      </w:r>
      <w:r>
        <w:rPr>
          <w:spacing w:val="40"/>
        </w:rPr>
        <w:t> </w:t>
      </w:r>
      <w:r>
        <w:rPr/>
        <w:t>He further stated that military task force should have a Time– frame, whilst the community within the area of operation should be adequately enlightened about the objectives and operational reference of the task force to enable them develop a co-operative instance within the task force for successful operations.</w:t>
      </w:r>
    </w:p>
    <w:p>
      <w:pPr>
        <w:pStyle w:val="BodyText"/>
        <w:spacing w:line="360" w:lineRule="auto"/>
        <w:ind w:right="1258" w:firstLine="720"/>
        <w:jc w:val="both"/>
      </w:pPr>
      <w:r>
        <w:rPr/>
        <w:t>Clark (2007) posited that military task force can only be seen as cosmetic solution;</w:t>
      </w:r>
      <w:r>
        <w:rPr>
          <w:spacing w:val="11"/>
        </w:rPr>
        <w:t> </w:t>
      </w:r>
      <w:r>
        <w:rPr/>
        <w:t>thus</w:t>
      </w:r>
      <w:r>
        <w:rPr>
          <w:spacing w:val="11"/>
        </w:rPr>
        <w:t> </w:t>
      </w:r>
      <w:r>
        <w:rPr/>
        <w:t>he,</w:t>
      </w:r>
      <w:r>
        <w:rPr>
          <w:spacing w:val="13"/>
        </w:rPr>
        <w:t> </w:t>
      </w:r>
      <w:r>
        <w:rPr/>
        <w:t>contended</w:t>
      </w:r>
      <w:r>
        <w:rPr>
          <w:spacing w:val="13"/>
        </w:rPr>
        <w:t> </w:t>
      </w:r>
      <w:r>
        <w:rPr/>
        <w:t>that</w:t>
      </w:r>
      <w:r>
        <w:rPr>
          <w:spacing w:val="13"/>
        </w:rPr>
        <w:t> </w:t>
      </w:r>
      <w:r>
        <w:rPr/>
        <w:t>meaningful</w:t>
      </w:r>
      <w:r>
        <w:rPr>
          <w:spacing w:val="12"/>
        </w:rPr>
        <w:t> </w:t>
      </w:r>
      <w:r>
        <w:rPr/>
        <w:t>solution</w:t>
      </w:r>
      <w:r>
        <w:rPr>
          <w:spacing w:val="13"/>
        </w:rPr>
        <w:t> </w:t>
      </w:r>
      <w:r>
        <w:rPr/>
        <w:t>cannot</w:t>
      </w:r>
      <w:r>
        <w:rPr>
          <w:spacing w:val="13"/>
        </w:rPr>
        <w:t> </w:t>
      </w:r>
      <w:r>
        <w:rPr/>
        <w:t>be</w:t>
      </w:r>
      <w:r>
        <w:rPr>
          <w:spacing w:val="12"/>
        </w:rPr>
        <w:t> </w:t>
      </w:r>
      <w:r>
        <w:rPr/>
        <w:t>achieved</w:t>
      </w:r>
      <w:r>
        <w:rPr>
          <w:spacing w:val="13"/>
        </w:rPr>
        <w:t> </w:t>
      </w:r>
      <w:r>
        <w:rPr/>
        <w:t>through</w:t>
      </w:r>
      <w:r>
        <w:rPr>
          <w:spacing w:val="13"/>
        </w:rPr>
        <w:t> </w:t>
      </w:r>
      <w:r>
        <w:rPr>
          <w:spacing w:val="-5"/>
        </w:rPr>
        <w:t>the</w:t>
      </w:r>
    </w:p>
    <w:p>
      <w:pPr>
        <w:spacing w:after="0" w:line="360" w:lineRule="auto"/>
        <w:jc w:val="both"/>
        <w:sectPr>
          <w:pgSz w:w="11910" w:h="16840"/>
          <w:pgMar w:header="0" w:footer="1561" w:top="1360" w:bottom="1760" w:left="720" w:right="180"/>
        </w:sectPr>
      </w:pPr>
    </w:p>
    <w:p>
      <w:pPr>
        <w:pStyle w:val="BodyText"/>
        <w:spacing w:line="360" w:lineRule="auto" w:before="60"/>
        <w:ind w:right="1257"/>
        <w:jc w:val="both"/>
      </w:pPr>
      <w:r>
        <w:rPr/>
        <mc:AlternateContent>
          <mc:Choice Requires="wps">
            <w:drawing>
              <wp:anchor distT="0" distB="0" distL="0" distR="0" allowOverlap="1" layoutInCell="1" locked="0" behindDoc="1" simplePos="0" relativeHeight="480606720">
                <wp:simplePos x="0" y="0"/>
                <wp:positionH relativeFrom="page">
                  <wp:posOffset>-1537026</wp:posOffset>
                </wp:positionH>
                <wp:positionV relativeFrom="page">
                  <wp:posOffset>4900424</wp:posOffset>
                </wp:positionV>
                <wp:extent cx="10669905" cy="914400"/>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09760;rotation:306" type="#_x0000_t136" fillcolor="#ff5400" stroked="f">
                <o:extrusion v:ext="view" autorotationcenter="t"/>
                <v:textpath style="font-family:&quot;Arial MT&quot;;font-size:72pt;v-text-kern:t;mso-text-shadow:auto" string="UNIVERSITY OF IBADAN"/>
                <w10:wrap type="none"/>
              </v:shape>
            </w:pict>
          </mc:Fallback>
        </mc:AlternateContent>
      </w:r>
      <w:r>
        <w:rPr/>
        <w:t>use of task force.</w:t>
      </w:r>
      <w:r>
        <w:rPr>
          <w:spacing w:val="80"/>
        </w:rPr>
        <w:t> </w:t>
      </w:r>
      <w:r>
        <w:rPr/>
        <w:t>He described the military task force as a group of soldiers</w:t>
      </w:r>
      <w:r>
        <w:rPr>
          <w:spacing w:val="40"/>
        </w:rPr>
        <w:t> </w:t>
      </w:r>
      <w:r>
        <w:rPr/>
        <w:t>organized to liquidate and annihilate the unarmed civilians who are involved in a “legitimate” demand. Indeed, his definitions lack the real reasons for involvement of military task force in an area.</w:t>
      </w:r>
      <w:r>
        <w:rPr>
          <w:spacing w:val="79"/>
        </w:rPr>
        <w:t> </w:t>
      </w:r>
      <w:r>
        <w:rPr/>
        <w:t>That is, in a place where there is a civil disturbance, it</w:t>
      </w:r>
      <w:r>
        <w:rPr>
          <w:spacing w:val="40"/>
        </w:rPr>
        <w:t> </w:t>
      </w:r>
      <w:r>
        <w:rPr/>
        <w:t>is the police that will first be involved, but where it involves armed conflict that goes beyond the power of the police, and then it will be the decision of Government to deploy</w:t>
      </w:r>
      <w:r>
        <w:rPr>
          <w:spacing w:val="-3"/>
        </w:rPr>
        <w:t> </w:t>
      </w:r>
      <w:r>
        <w:rPr/>
        <w:t>the military</w:t>
      </w:r>
      <w:r>
        <w:rPr>
          <w:spacing w:val="-3"/>
        </w:rPr>
        <w:t> </w:t>
      </w:r>
      <w:r>
        <w:rPr/>
        <w:t>for such task.</w:t>
      </w:r>
      <w:r>
        <w:rPr>
          <w:spacing w:val="40"/>
        </w:rPr>
        <w:t> </w:t>
      </w:r>
      <w:r>
        <w:rPr/>
        <w:t>In other words, task force may</w:t>
      </w:r>
      <w:r>
        <w:rPr>
          <w:spacing w:val="-5"/>
        </w:rPr>
        <w:t> </w:t>
      </w:r>
      <w:r>
        <w:rPr/>
        <w:t>be involved to avoid further breakdown of law and order, but on the contrary, if the disturbance is overss there would be no need for military task force to operate in such an area.</w:t>
      </w:r>
    </w:p>
    <w:p>
      <w:pPr>
        <w:pStyle w:val="BodyText"/>
        <w:spacing w:line="360" w:lineRule="auto"/>
        <w:ind w:right="1253" w:firstLine="720"/>
        <w:jc w:val="both"/>
      </w:pPr>
      <w:r>
        <w:rPr/>
        <w:t>One interesting aspect of task forces is that, they are code–named.</w:t>
      </w:r>
      <w:r>
        <w:rPr>
          <w:spacing w:val="40"/>
        </w:rPr>
        <w:t> </w:t>
      </w:r>
      <w:r>
        <w:rPr/>
        <w:t>For instance,</w:t>
      </w:r>
      <w:r>
        <w:rPr>
          <w:spacing w:val="-1"/>
        </w:rPr>
        <w:t> </w:t>
      </w:r>
      <w:r>
        <w:rPr/>
        <w:t>the</w:t>
      </w:r>
      <w:r>
        <w:rPr>
          <w:spacing w:val="-2"/>
        </w:rPr>
        <w:t> </w:t>
      </w:r>
      <w:r>
        <w:rPr/>
        <w:t>Joint</w:t>
      </w:r>
      <w:r>
        <w:rPr>
          <w:spacing w:val="-1"/>
        </w:rPr>
        <w:t> </w:t>
      </w:r>
      <w:r>
        <w:rPr/>
        <w:t>Task</w:t>
      </w:r>
      <w:r>
        <w:rPr>
          <w:spacing w:val="-1"/>
        </w:rPr>
        <w:t> </w:t>
      </w:r>
      <w:r>
        <w:rPr/>
        <w:t>Force</w:t>
      </w:r>
      <w:r>
        <w:rPr>
          <w:spacing w:val="-2"/>
        </w:rPr>
        <w:t> </w:t>
      </w:r>
      <w:r>
        <w:rPr/>
        <w:t>in</w:t>
      </w:r>
      <w:r>
        <w:rPr>
          <w:spacing w:val="-1"/>
        </w:rPr>
        <w:t> </w:t>
      </w:r>
      <w:r>
        <w:rPr/>
        <w:t>the</w:t>
      </w:r>
      <w:r>
        <w:rPr>
          <w:spacing w:val="-2"/>
        </w:rPr>
        <w:t> </w:t>
      </w:r>
      <w:r>
        <w:rPr/>
        <w:t>Niger</w:t>
      </w:r>
      <w:r>
        <w:rPr>
          <w:spacing w:val="-2"/>
        </w:rPr>
        <w:t> </w:t>
      </w:r>
      <w:r>
        <w:rPr/>
        <w:t>Delta</w:t>
      </w:r>
      <w:r>
        <w:rPr>
          <w:spacing w:val="-2"/>
        </w:rPr>
        <w:t> </w:t>
      </w:r>
      <w:r>
        <w:rPr/>
        <w:t>is</w:t>
      </w:r>
      <w:r>
        <w:rPr>
          <w:spacing w:val="-1"/>
        </w:rPr>
        <w:t> </w:t>
      </w:r>
      <w:r>
        <w:rPr/>
        <w:t>Operation</w:t>
      </w:r>
      <w:r>
        <w:rPr>
          <w:spacing w:val="-1"/>
        </w:rPr>
        <w:t> </w:t>
      </w:r>
      <w:r>
        <w:rPr/>
        <w:t>RESTORE</w:t>
      </w:r>
      <w:r>
        <w:rPr>
          <w:spacing w:val="-2"/>
        </w:rPr>
        <w:t> </w:t>
      </w:r>
      <w:r>
        <w:rPr/>
        <w:t>HOPE</w:t>
      </w:r>
      <w:r>
        <w:rPr>
          <w:spacing w:val="-1"/>
        </w:rPr>
        <w:t> </w:t>
      </w:r>
      <w:r>
        <w:rPr/>
        <w:t>while that of Abia State is Operation JUBILEE 1, to give it the true objective of the </w:t>
      </w:r>
      <w:r>
        <w:rPr>
          <w:spacing w:val="-2"/>
        </w:rPr>
        <w:t>operations.</w:t>
      </w:r>
    </w:p>
    <w:p>
      <w:pPr>
        <w:pStyle w:val="Heading2"/>
        <w:numPr>
          <w:ilvl w:val="3"/>
          <w:numId w:val="10"/>
        </w:numPr>
        <w:tabs>
          <w:tab w:pos="2160" w:val="left" w:leader="none"/>
        </w:tabs>
        <w:spacing w:line="240" w:lineRule="auto" w:before="5" w:after="0"/>
        <w:ind w:left="2160" w:right="0" w:hanging="720"/>
        <w:jc w:val="both"/>
      </w:pPr>
      <w:bookmarkStart w:name="_TOC_250018" w:id="24"/>
      <w:r>
        <w:rPr/>
        <w:t>Joint Task</w:t>
      </w:r>
      <w:r>
        <w:rPr>
          <w:spacing w:val="1"/>
        </w:rPr>
        <w:t> </w:t>
      </w:r>
      <w:bookmarkEnd w:id="24"/>
      <w:r>
        <w:rPr>
          <w:spacing w:val="-2"/>
        </w:rPr>
        <w:t>Force</w:t>
      </w:r>
    </w:p>
    <w:p>
      <w:pPr>
        <w:pStyle w:val="BodyText"/>
        <w:spacing w:line="360" w:lineRule="auto" w:before="135"/>
        <w:ind w:right="1258" w:firstLine="393"/>
        <w:jc w:val="both"/>
      </w:pPr>
      <w:r>
        <w:rPr/>
        <w:t>The term Joint Task Force as used by the US including NATO, implies the combination of more than one military service. That is, some combination of army, naval and/or air forces. Therefore, a Joint Task Force (JTF) is a Task Force (TF) which includes more than one service.</w:t>
      </w:r>
    </w:p>
    <w:p>
      <w:pPr>
        <w:pStyle w:val="BodyText"/>
        <w:spacing w:line="360" w:lineRule="auto"/>
        <w:ind w:right="1259" w:firstLine="720"/>
        <w:jc w:val="both"/>
      </w:pPr>
      <w:r>
        <w:rPr/>
        <w:t>In the US Department of Defence, a JTF is a Joint Task Force that is constituted and so designated by a JTF establishing authority.</w:t>
      </w:r>
      <w:r>
        <w:rPr>
          <w:spacing w:val="40"/>
        </w:rPr>
        <w:t> </w:t>
      </w:r>
      <w:r>
        <w:rPr/>
        <w:t>A JTF establishing authority may be the Secretary of Defence or the Commander of a combatant command, subordinate unified command, or existing</w:t>
      </w:r>
      <w:r>
        <w:rPr>
          <w:spacing w:val="-1"/>
        </w:rPr>
        <w:t> </w:t>
      </w:r>
      <w:r>
        <w:rPr/>
        <w:t>JTF.</w:t>
      </w:r>
      <w:r>
        <w:rPr>
          <w:spacing w:val="40"/>
        </w:rPr>
        <w:t> </w:t>
      </w:r>
      <w:r>
        <w:rPr/>
        <w:t>In most situations, the JTF establishing authority will be a combatant commander.</w:t>
      </w:r>
      <w:r>
        <w:rPr>
          <w:spacing w:val="40"/>
        </w:rPr>
        <w:t> </w:t>
      </w:r>
      <w:r>
        <w:rPr/>
        <w:t>JTF's are established on a geographical</w:t>
      </w:r>
      <w:r>
        <w:rPr>
          <w:spacing w:val="-3"/>
        </w:rPr>
        <w:t> </w:t>
      </w:r>
      <w:r>
        <w:rPr/>
        <w:t>area</w:t>
      </w:r>
      <w:r>
        <w:rPr>
          <w:spacing w:val="-4"/>
        </w:rPr>
        <w:t> </w:t>
      </w:r>
      <w:r>
        <w:rPr/>
        <w:t>or</w:t>
      </w:r>
      <w:r>
        <w:rPr>
          <w:spacing w:val="-3"/>
        </w:rPr>
        <w:t> </w:t>
      </w:r>
      <w:r>
        <w:rPr/>
        <w:t>functional</w:t>
      </w:r>
      <w:r>
        <w:rPr>
          <w:spacing w:val="-3"/>
        </w:rPr>
        <w:t> </w:t>
      </w:r>
      <w:r>
        <w:rPr/>
        <w:t>basis</w:t>
      </w:r>
      <w:r>
        <w:rPr>
          <w:spacing w:val="-3"/>
        </w:rPr>
        <w:t> </w:t>
      </w:r>
      <w:r>
        <w:rPr/>
        <w:t>when</w:t>
      </w:r>
      <w:r>
        <w:rPr>
          <w:spacing w:val="-3"/>
        </w:rPr>
        <w:t> </w:t>
      </w:r>
      <w:r>
        <w:rPr/>
        <w:t>the</w:t>
      </w:r>
      <w:r>
        <w:rPr>
          <w:spacing w:val="-3"/>
        </w:rPr>
        <w:t> </w:t>
      </w:r>
      <w:r>
        <w:rPr/>
        <w:t>mission</w:t>
      </w:r>
      <w:r>
        <w:rPr>
          <w:spacing w:val="-3"/>
        </w:rPr>
        <w:t> </w:t>
      </w:r>
      <w:r>
        <w:rPr/>
        <w:t>has</w:t>
      </w:r>
      <w:r>
        <w:rPr>
          <w:spacing w:val="-3"/>
        </w:rPr>
        <w:t> </w:t>
      </w:r>
      <w:r>
        <w:rPr/>
        <w:t>a</w:t>
      </w:r>
      <w:r>
        <w:rPr>
          <w:spacing w:val="-5"/>
        </w:rPr>
        <w:t> </w:t>
      </w:r>
      <w:r>
        <w:rPr/>
        <w:t>specific</w:t>
      </w:r>
      <w:r>
        <w:rPr>
          <w:spacing w:val="-3"/>
        </w:rPr>
        <w:t> </w:t>
      </w:r>
      <w:r>
        <w:rPr/>
        <w:t>limited</w:t>
      </w:r>
      <w:r>
        <w:rPr>
          <w:spacing w:val="-3"/>
        </w:rPr>
        <w:t> </w:t>
      </w:r>
      <w:r>
        <w:rPr/>
        <w:t>objective and does not require overall centralized control of logistics.</w:t>
      </w:r>
      <w:r>
        <w:rPr>
          <w:spacing w:val="40"/>
        </w:rPr>
        <w:t> </w:t>
      </w:r>
      <w:r>
        <w:rPr/>
        <w:t>Examples include Joint Task Force Bravo, Joint Task Force Guantanamo and Joint Task Force Lebanon.</w:t>
      </w:r>
    </w:p>
    <w:p>
      <w:pPr>
        <w:pStyle w:val="BodyText"/>
        <w:spacing w:line="360" w:lineRule="auto" w:before="1"/>
        <w:ind w:right="1257" w:firstLine="720"/>
        <w:jc w:val="both"/>
      </w:pPr>
      <w:r>
        <w:rPr/>
        <w:t>For Canada, the JTF concept is not temporary but permanent.</w:t>
      </w:r>
      <w:r>
        <w:rPr>
          <w:spacing w:val="40"/>
        </w:rPr>
        <w:t> </w:t>
      </w:r>
      <w:r>
        <w:rPr/>
        <w:t>For instance, Joint Task Force 2 (JTF2) is the Canadian Forces Elite Special Forces unit.</w:t>
      </w:r>
      <w:r>
        <w:rPr>
          <w:spacing w:val="40"/>
        </w:rPr>
        <w:t> </w:t>
      </w:r>
      <w:r>
        <w:rPr/>
        <w:t>The TF involve personnel from all three services (Army, Navy, and Air Force, therefore Joint") but not temporary and hence not a "Task Force" by the US definition.</w:t>
      </w:r>
      <w:r>
        <w:rPr>
          <w:spacing w:val="40"/>
        </w:rPr>
        <w:t> </w:t>
      </w:r>
      <w:r>
        <w:rPr/>
        <w:t>It is known to have fought in Afghanistan and was part of the United Nations</w:t>
      </w:r>
      <w:r>
        <w:rPr>
          <w:spacing w:val="-1"/>
        </w:rPr>
        <w:t> </w:t>
      </w:r>
      <w:r>
        <w:rPr/>
        <w:t>Stabilization Mission in Haiti.</w:t>
      </w:r>
    </w:p>
    <w:p>
      <w:pPr>
        <w:spacing w:after="0" w:line="360" w:lineRule="auto"/>
        <w:jc w:val="both"/>
        <w:sectPr>
          <w:pgSz w:w="11910" w:h="16840"/>
          <w:pgMar w:header="0" w:footer="1561" w:top="1360" w:bottom="1760" w:left="720" w:right="180"/>
        </w:sectPr>
      </w:pPr>
    </w:p>
    <w:p>
      <w:pPr>
        <w:pStyle w:val="Heading2"/>
        <w:numPr>
          <w:ilvl w:val="3"/>
          <w:numId w:val="10"/>
        </w:numPr>
        <w:tabs>
          <w:tab w:pos="2160" w:val="left" w:leader="none"/>
        </w:tabs>
        <w:spacing w:line="240" w:lineRule="auto" w:before="65" w:after="0"/>
        <w:ind w:left="2160" w:right="0" w:hanging="720"/>
        <w:jc w:val="both"/>
      </w:pPr>
      <w:r>
        <w:rPr/>
        <mc:AlternateContent>
          <mc:Choice Requires="wps">
            <w:drawing>
              <wp:anchor distT="0" distB="0" distL="0" distR="0" allowOverlap="1" layoutInCell="1" locked="0" behindDoc="1" simplePos="0" relativeHeight="480607232">
                <wp:simplePos x="0" y="0"/>
                <wp:positionH relativeFrom="page">
                  <wp:posOffset>-1537026</wp:posOffset>
                </wp:positionH>
                <wp:positionV relativeFrom="page">
                  <wp:posOffset>4900424</wp:posOffset>
                </wp:positionV>
                <wp:extent cx="10669905" cy="914400"/>
                <wp:effectExtent l="0" t="0" r="0" b="0"/>
                <wp:wrapNone/>
                <wp:docPr id="155" name="Textbox 155"/>
                <wp:cNvGraphicFramePr>
                  <a:graphicFrameLocks/>
                </wp:cNvGraphicFramePr>
                <a:graphic>
                  <a:graphicData uri="http://schemas.microsoft.com/office/word/2010/wordprocessingShape">
                    <wps:wsp>
                      <wps:cNvPr id="155" name="Textbox 155"/>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09248;rotation:306" type="#_x0000_t136" fillcolor="#ff5400" stroked="f">
                <o:extrusion v:ext="view" autorotationcenter="t"/>
                <v:textpath style="font-family:&quot;Arial MT&quot;;font-size:72pt;v-text-kern:t;mso-text-shadow:auto" string="UNIVERSITY OF IBADAN"/>
                <w10:wrap type="none"/>
              </v:shape>
            </w:pict>
          </mc:Fallback>
        </mc:AlternateContent>
      </w:r>
      <w:bookmarkStart w:name="_TOC_250017" w:id="25"/>
      <w:r>
        <w:rPr/>
        <w:t>Combined</w:t>
      </w:r>
      <w:r>
        <w:rPr>
          <w:spacing w:val="-4"/>
        </w:rPr>
        <w:t> </w:t>
      </w:r>
      <w:r>
        <w:rPr/>
        <w:t>Task</w:t>
      </w:r>
      <w:r>
        <w:rPr>
          <w:spacing w:val="-3"/>
        </w:rPr>
        <w:t> </w:t>
      </w:r>
      <w:bookmarkEnd w:id="25"/>
      <w:r>
        <w:rPr>
          <w:spacing w:val="-4"/>
        </w:rPr>
        <w:t>Force</w:t>
      </w:r>
    </w:p>
    <w:p>
      <w:pPr>
        <w:pStyle w:val="BodyText"/>
        <w:spacing w:line="360" w:lineRule="auto" w:before="133"/>
        <w:ind w:right="1262" w:firstLine="720"/>
        <w:jc w:val="both"/>
      </w:pPr>
      <w:r>
        <w:rPr/>
        <w:t>In US military terminology, including NATO, the term combined implies</w:t>
      </w:r>
      <w:r>
        <w:rPr>
          <w:spacing w:val="40"/>
        </w:rPr>
        <w:t> </w:t>
      </w:r>
      <w:r>
        <w:rPr/>
        <w:t>more than one nation.</w:t>
      </w:r>
      <w:r>
        <w:rPr>
          <w:spacing w:val="80"/>
        </w:rPr>
        <w:t> </w:t>
      </w:r>
      <w:r>
        <w:rPr/>
        <w:t>At the start of World War 2 the UK used "Combined" to</w:t>
      </w:r>
      <w:r>
        <w:rPr>
          <w:spacing w:val="40"/>
        </w:rPr>
        <w:t> </w:t>
      </w:r>
      <w:r>
        <w:rPr/>
        <w:t>denote forces composed of more than one service, which is how the Combined Operations term originated. Presently, a combined Task Force is a task force which includes sub-elements of more than a nation.</w:t>
      </w:r>
    </w:p>
    <w:p>
      <w:pPr>
        <w:pStyle w:val="Heading2"/>
        <w:numPr>
          <w:ilvl w:val="3"/>
          <w:numId w:val="10"/>
        </w:numPr>
        <w:tabs>
          <w:tab w:pos="2160" w:val="left" w:leader="none"/>
        </w:tabs>
        <w:spacing w:line="240" w:lineRule="auto" w:before="6" w:after="0"/>
        <w:ind w:left="2160" w:right="0" w:hanging="720"/>
        <w:jc w:val="both"/>
      </w:pPr>
      <w:bookmarkStart w:name="_TOC_250016" w:id="26"/>
      <w:r>
        <w:rPr/>
        <w:t>Combined</w:t>
      </w:r>
      <w:r>
        <w:rPr>
          <w:spacing w:val="-1"/>
        </w:rPr>
        <w:t> </w:t>
      </w:r>
      <w:r>
        <w:rPr/>
        <w:t>Joint</w:t>
      </w:r>
      <w:r>
        <w:rPr>
          <w:spacing w:val="-5"/>
        </w:rPr>
        <w:t> </w:t>
      </w:r>
      <w:r>
        <w:rPr/>
        <w:t>Task </w:t>
      </w:r>
      <w:bookmarkEnd w:id="26"/>
      <w:r>
        <w:rPr>
          <w:spacing w:val="-4"/>
        </w:rPr>
        <w:t>Force</w:t>
      </w:r>
    </w:p>
    <w:p>
      <w:pPr>
        <w:pStyle w:val="BodyText"/>
        <w:spacing w:line="360" w:lineRule="auto" w:before="132"/>
        <w:ind w:right="1258" w:firstLine="720"/>
        <w:jc w:val="both"/>
      </w:pPr>
      <w:r>
        <w:rPr/>
        <w:t>A Combined Joint Task Force is a task force which includes elements of more than one service and elements of more than one nation.</w:t>
      </w:r>
      <w:r>
        <w:rPr>
          <w:spacing w:val="40"/>
        </w:rPr>
        <w:t> </w:t>
      </w:r>
      <w:r>
        <w:rPr/>
        <w:t>Examples include Combined Joint Task Force 76 and Task Force Viking.</w:t>
      </w:r>
    </w:p>
    <w:p>
      <w:pPr>
        <w:pStyle w:val="BodyText"/>
        <w:spacing w:line="360" w:lineRule="auto" w:before="2"/>
        <w:ind w:right="1256" w:firstLine="720"/>
        <w:jc w:val="both"/>
      </w:pPr>
      <w:r>
        <w:rPr/>
        <w:t>In this study, JTF</w:t>
      </w:r>
      <w:r>
        <w:rPr>
          <w:spacing w:val="-2"/>
        </w:rPr>
        <w:t> </w:t>
      </w:r>
      <w:r>
        <w:rPr/>
        <w:t>means an ad hoc</w:t>
      </w:r>
      <w:r>
        <w:rPr>
          <w:spacing w:val="-1"/>
        </w:rPr>
        <w:t> </w:t>
      </w:r>
      <w:r>
        <w:rPr/>
        <w:t>or</w:t>
      </w:r>
      <w:r>
        <w:rPr>
          <w:spacing w:val="-1"/>
        </w:rPr>
        <w:t> </w:t>
      </w:r>
      <w:r>
        <w:rPr/>
        <w:t>temporary</w:t>
      </w:r>
      <w:r>
        <w:rPr>
          <w:spacing w:val="-3"/>
        </w:rPr>
        <w:t> </w:t>
      </w:r>
      <w:r>
        <w:rPr/>
        <w:t>force</w:t>
      </w:r>
      <w:r>
        <w:rPr>
          <w:spacing w:val="-1"/>
        </w:rPr>
        <w:t> </w:t>
      </w:r>
      <w:r>
        <w:rPr/>
        <w:t>comprising</w:t>
      </w:r>
      <w:r>
        <w:rPr>
          <w:spacing w:val="-2"/>
        </w:rPr>
        <w:t> </w:t>
      </w:r>
      <w:r>
        <w:rPr/>
        <w:t>military</w:t>
      </w:r>
      <w:r>
        <w:rPr>
          <w:spacing w:val="-3"/>
        </w:rPr>
        <w:t> </w:t>
      </w:r>
      <w:r>
        <w:rPr/>
        <w:t>and Para-military agencies mandated for specific objectives within a given timeframe. In the Niger Delta the JTF comprises the Army, Navy and Air Force.</w:t>
      </w:r>
      <w:r>
        <w:rPr>
          <w:spacing w:val="40"/>
        </w:rPr>
        <w:t> </w:t>
      </w:r>
      <w:r>
        <w:rPr/>
        <w:t>Others are the Police, EFCC and the State Security Service (SSS).</w:t>
      </w:r>
    </w:p>
    <w:p>
      <w:pPr>
        <w:pStyle w:val="BodyText"/>
        <w:spacing w:before="5"/>
        <w:ind w:left="0"/>
      </w:pPr>
    </w:p>
    <w:p>
      <w:pPr>
        <w:pStyle w:val="Heading1"/>
        <w:numPr>
          <w:ilvl w:val="1"/>
          <w:numId w:val="10"/>
        </w:numPr>
        <w:tabs>
          <w:tab w:pos="2160" w:val="left" w:leader="none"/>
        </w:tabs>
        <w:spacing w:line="240" w:lineRule="auto" w:before="0" w:after="0"/>
        <w:ind w:left="2160" w:right="0" w:hanging="720"/>
        <w:jc w:val="both"/>
      </w:pPr>
      <w:bookmarkStart w:name="_TOC_250015" w:id="27"/>
      <w:r>
        <w:rPr/>
        <w:t>CONCEPTUAL</w:t>
      </w:r>
      <w:r>
        <w:rPr>
          <w:spacing w:val="-1"/>
        </w:rPr>
        <w:t> </w:t>
      </w:r>
      <w:bookmarkEnd w:id="27"/>
      <w:r>
        <w:rPr>
          <w:spacing w:val="-2"/>
        </w:rPr>
        <w:t>FRAMEWORK</w:t>
      </w:r>
    </w:p>
    <w:p>
      <w:pPr>
        <w:pStyle w:val="Heading2"/>
        <w:numPr>
          <w:ilvl w:val="2"/>
          <w:numId w:val="10"/>
        </w:numPr>
        <w:tabs>
          <w:tab w:pos="2160" w:val="left" w:leader="none"/>
        </w:tabs>
        <w:spacing w:line="240" w:lineRule="auto" w:before="137" w:after="0"/>
        <w:ind w:left="2160" w:right="0" w:hanging="720"/>
        <w:jc w:val="both"/>
      </w:pPr>
      <w:r>
        <w:rPr/>
        <w:t>Peace</w:t>
      </w:r>
      <w:r>
        <w:rPr>
          <w:spacing w:val="-3"/>
        </w:rPr>
        <w:t> </w:t>
      </w:r>
      <w:r>
        <w:rPr/>
        <w:t>Support</w:t>
      </w:r>
      <w:r>
        <w:rPr>
          <w:spacing w:val="-2"/>
        </w:rPr>
        <w:t> Operation</w:t>
      </w:r>
    </w:p>
    <w:p>
      <w:pPr>
        <w:pStyle w:val="BodyText"/>
        <w:spacing w:line="360" w:lineRule="auto" w:before="134"/>
        <w:ind w:right="1258" w:firstLine="720"/>
        <w:jc w:val="both"/>
      </w:pPr>
      <w:r>
        <w:rPr/>
        <w:t>While a detailed conceptual definition of all the operating terms applicable to Peace Support Operation (PSO) might not be possible now, it is important to note</w:t>
      </w:r>
      <w:r>
        <w:rPr>
          <w:spacing w:val="40"/>
        </w:rPr>
        <w:t> </w:t>
      </w:r>
      <w:r>
        <w:rPr/>
        <w:t>that, the full range of operations classified as PSOs are very broad, each with its terminologies that need to be understood in its contextual usage.</w:t>
      </w:r>
      <w:r>
        <w:rPr>
          <w:spacing w:val="40"/>
        </w:rPr>
        <w:t> </w:t>
      </w:r>
      <w:r>
        <w:rPr/>
        <w:t>The Nigerian Army Peace Operations' Doctrine manual defined PSO as an operation that impartially makes use of diplomatic, civil and military means, normally in pursuit of United Nations Charter, purpose and principles, to restore or maintain peace.</w:t>
      </w:r>
      <w:r>
        <w:rPr>
          <w:spacing w:val="80"/>
        </w:rPr>
        <w:t> </w:t>
      </w:r>
      <w:r>
        <w:rPr/>
        <w:t>Thus, the aim of PSOs is to contain and de-escalate conflict as well as addressing the root cause of the conflict.</w:t>
      </w:r>
    </w:p>
    <w:p>
      <w:pPr>
        <w:pStyle w:val="BodyText"/>
        <w:spacing w:line="360" w:lineRule="auto"/>
        <w:ind w:right="1259" w:firstLine="696"/>
        <w:jc w:val="both"/>
      </w:pPr>
      <w:r>
        <w:rPr/>
        <w:t>According to Albert (2007: 164), the term Peace Support Operation's (PSO) is collectively used to characterize the different intervention mechanism for restoring peace to war torn societies".</w:t>
      </w:r>
      <w:r>
        <w:rPr>
          <w:spacing w:val="40"/>
        </w:rPr>
        <w:t> </w:t>
      </w:r>
      <w:r>
        <w:rPr/>
        <w:t>He also identifies three core functions in the conduct of PSOs</w:t>
      </w:r>
      <w:r>
        <w:rPr>
          <w:spacing w:val="-5"/>
        </w:rPr>
        <w:t> </w:t>
      </w:r>
      <w:r>
        <w:rPr/>
        <w:t>to</w:t>
      </w:r>
      <w:r>
        <w:rPr>
          <w:spacing w:val="-5"/>
        </w:rPr>
        <w:t> </w:t>
      </w:r>
      <w:r>
        <w:rPr/>
        <w:t>include:</w:t>
      </w:r>
      <w:r>
        <w:rPr>
          <w:spacing w:val="-5"/>
        </w:rPr>
        <w:t> </w:t>
      </w:r>
      <w:r>
        <w:rPr/>
        <w:t>intelligence</w:t>
      </w:r>
      <w:r>
        <w:rPr>
          <w:spacing w:val="-4"/>
        </w:rPr>
        <w:t> </w:t>
      </w:r>
      <w:r>
        <w:rPr/>
        <w:t>gathering;</w:t>
      </w:r>
      <w:r>
        <w:rPr>
          <w:spacing w:val="-3"/>
        </w:rPr>
        <w:t> </w:t>
      </w:r>
      <w:r>
        <w:rPr/>
        <w:t>"shaping,</w:t>
      </w:r>
      <w:r>
        <w:rPr>
          <w:spacing w:val="-3"/>
        </w:rPr>
        <w:t> </w:t>
      </w:r>
      <w:r>
        <w:rPr/>
        <w:t>controlling</w:t>
      </w:r>
      <w:r>
        <w:rPr>
          <w:spacing w:val="-7"/>
        </w:rPr>
        <w:t> </w:t>
      </w:r>
      <w:r>
        <w:rPr/>
        <w:t>and</w:t>
      </w:r>
      <w:r>
        <w:rPr>
          <w:spacing w:val="-3"/>
        </w:rPr>
        <w:t> </w:t>
      </w:r>
      <w:r>
        <w:rPr/>
        <w:t>fixing;</w:t>
      </w:r>
      <w:r>
        <w:rPr>
          <w:spacing w:val="-5"/>
        </w:rPr>
        <w:t> </w:t>
      </w:r>
      <w:r>
        <w:rPr/>
        <w:t>and</w:t>
      </w:r>
      <w:r>
        <w:rPr>
          <w:spacing w:val="-5"/>
        </w:rPr>
        <w:t> </w:t>
      </w:r>
      <w:r>
        <w:rPr/>
        <w:t>"conflict resolution".</w:t>
      </w:r>
      <w:r>
        <w:rPr>
          <w:spacing w:val="40"/>
        </w:rPr>
        <w:t> </w:t>
      </w:r>
      <w:r>
        <w:rPr/>
        <w:t>He went further to observe that the participation of Nigeria in international PSOs has to do with the first two.</w:t>
      </w:r>
    </w:p>
    <w:p>
      <w:pPr>
        <w:pStyle w:val="BodyText"/>
        <w:ind w:left="2160"/>
        <w:jc w:val="both"/>
      </w:pPr>
      <w:r>
        <w:rPr/>
        <w:t>Approached</w:t>
      </w:r>
      <w:r>
        <w:rPr>
          <w:spacing w:val="32"/>
        </w:rPr>
        <w:t> </w:t>
      </w:r>
      <w:r>
        <w:rPr/>
        <w:t>from</w:t>
      </w:r>
      <w:r>
        <w:rPr>
          <w:spacing w:val="33"/>
        </w:rPr>
        <w:t> </w:t>
      </w:r>
      <w:r>
        <w:rPr/>
        <w:t>the</w:t>
      </w:r>
      <w:r>
        <w:rPr>
          <w:spacing w:val="31"/>
        </w:rPr>
        <w:t> </w:t>
      </w:r>
      <w:r>
        <w:rPr/>
        <w:t>mirror</w:t>
      </w:r>
      <w:r>
        <w:rPr>
          <w:spacing w:val="32"/>
        </w:rPr>
        <w:t> </w:t>
      </w:r>
      <w:r>
        <w:rPr/>
        <w:t>of</w:t>
      </w:r>
      <w:r>
        <w:rPr>
          <w:spacing w:val="31"/>
        </w:rPr>
        <w:t> </w:t>
      </w:r>
      <w:r>
        <w:rPr/>
        <w:t>military</w:t>
      </w:r>
      <w:r>
        <w:rPr>
          <w:spacing w:val="26"/>
        </w:rPr>
        <w:t> </w:t>
      </w:r>
      <w:r>
        <w:rPr/>
        <w:t>peace-keeping</w:t>
      </w:r>
      <w:r>
        <w:rPr>
          <w:spacing w:val="30"/>
        </w:rPr>
        <w:t> </w:t>
      </w:r>
      <w:r>
        <w:rPr/>
        <w:t>and</w:t>
      </w:r>
      <w:r>
        <w:rPr>
          <w:spacing w:val="32"/>
        </w:rPr>
        <w:t> </w:t>
      </w:r>
      <w:r>
        <w:rPr/>
        <w:t>according</w:t>
      </w:r>
      <w:r>
        <w:rPr>
          <w:spacing w:val="30"/>
        </w:rPr>
        <w:t> </w:t>
      </w:r>
      <w:r>
        <w:rPr/>
        <w:t>to</w:t>
      </w:r>
      <w:r>
        <w:rPr>
          <w:spacing w:val="36"/>
        </w:rPr>
        <w:t> </w:t>
      </w:r>
      <w:r>
        <w:rPr>
          <w:spacing w:val="-5"/>
        </w:rPr>
        <w:t>the</w:t>
      </w:r>
    </w:p>
    <w:p>
      <w:pPr>
        <w:spacing w:after="0"/>
        <w:jc w:val="both"/>
        <w:sectPr>
          <w:pgSz w:w="11910" w:h="16840"/>
          <w:pgMar w:header="0" w:footer="1561" w:top="1360" w:bottom="1760" w:left="720" w:right="180"/>
        </w:sectPr>
      </w:pPr>
    </w:p>
    <w:p>
      <w:pPr>
        <w:pStyle w:val="BodyText"/>
        <w:spacing w:line="360" w:lineRule="auto" w:before="60"/>
        <w:ind w:right="1255"/>
        <w:jc w:val="both"/>
      </w:pPr>
      <w:r>
        <w:rPr/>
        <mc:AlternateContent>
          <mc:Choice Requires="wps">
            <w:drawing>
              <wp:anchor distT="0" distB="0" distL="0" distR="0" allowOverlap="1" layoutInCell="1" locked="0" behindDoc="1" simplePos="0" relativeHeight="480607744">
                <wp:simplePos x="0" y="0"/>
                <wp:positionH relativeFrom="page">
                  <wp:posOffset>-1537026</wp:posOffset>
                </wp:positionH>
                <wp:positionV relativeFrom="page">
                  <wp:posOffset>4900424</wp:posOffset>
                </wp:positionV>
                <wp:extent cx="10669905" cy="914400"/>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08736;rotation:306" type="#_x0000_t136" fillcolor="#ff5400" stroked="f">
                <o:extrusion v:ext="view" autorotationcenter="t"/>
                <v:textpath style="font-family:&quot;Arial MT&quot;;font-size:72pt;v-text-kern:t;mso-text-shadow:auto" string="UNIVERSITY OF IBADAN"/>
                <w10:wrap type="none"/>
              </v:shape>
            </w:pict>
          </mc:Fallback>
        </mc:AlternateContent>
      </w:r>
      <w:r>
        <w:rPr/>
        <w:t>United Nations Charter, we have the classical or Chapter VI peace-keeping operation; the chapter VII peace-keeping or "peace enforcement" and the Chapter VIII peace- keeping.</w:t>
      </w:r>
      <w:r>
        <w:rPr>
          <w:spacing w:val="40"/>
        </w:rPr>
        <w:t> </w:t>
      </w:r>
      <w:r>
        <w:rPr/>
        <w:t>The Chapter VI PSO involves the deployment of an interposition force between the parties to the conflict and Chapter VII PSO in which the "peacekeepers" have the authority to use minimal force to enforce a peace enforcement plan which a party or some parties to the conflict attempt to violate. In the Chapter VIII peace- keeping, the peacekeepers are authorized to use force to defeat a completely recalcitrant conflict party.</w:t>
      </w:r>
    </w:p>
    <w:p>
      <w:pPr>
        <w:pStyle w:val="BodyText"/>
        <w:spacing w:line="360" w:lineRule="auto" w:before="1"/>
        <w:ind w:right="1255" w:firstLine="720"/>
        <w:jc w:val="both"/>
      </w:pPr>
      <w:r>
        <w:rPr/>
        <w:t>Peace support operations may include; peace-keeping, peace enforcement, conflict prevention and peace building. Peace-keeping operations following an agreement or ceasefire that has established a permissive environment where the level of consent and compliance is high, and the threat of disruption is low.</w:t>
      </w:r>
      <w:r>
        <w:rPr>
          <w:spacing w:val="80"/>
        </w:rPr>
        <w:t> </w:t>
      </w:r>
      <w:r>
        <w:rPr/>
        <w:t>The use of force by peacekeepers is usually limited to self defence.</w:t>
      </w:r>
    </w:p>
    <w:p>
      <w:pPr>
        <w:pStyle w:val="BodyText"/>
        <w:spacing w:line="360" w:lineRule="auto"/>
        <w:ind w:right="1258" w:firstLine="720"/>
        <w:jc w:val="both"/>
      </w:pPr>
      <w:r>
        <w:rPr/>
        <w:t>Peace Making is a PSO conducted after the initiation of conflict to secure a ceasefire or peaceful settlement that involves primary diplomatic action supported when necessary by direct or indirect use of military assets. Lastly, we have the</w:t>
      </w:r>
      <w:r>
        <w:rPr>
          <w:spacing w:val="40"/>
        </w:rPr>
        <w:t> </w:t>
      </w:r>
      <w:r>
        <w:rPr/>
        <w:t>concept of peace building.</w:t>
      </w:r>
    </w:p>
    <w:p>
      <w:pPr>
        <w:pStyle w:val="BodyText"/>
        <w:spacing w:line="360" w:lineRule="auto"/>
        <w:ind w:right="1264" w:firstLine="720"/>
        <w:jc w:val="both"/>
      </w:pPr>
      <w:r>
        <w:rPr/>
        <w:t>On the other hand, Peace Enforcement is a PSO conducted to maintain a ceasefire or a peace agreement where the level of disruption is high. A Peace Support Force (PSF) must be capable of applying some credible force and must apply the provisions of peace agreement impartially.</w:t>
      </w:r>
    </w:p>
    <w:p>
      <w:pPr>
        <w:pStyle w:val="BodyText"/>
        <w:spacing w:line="360" w:lineRule="auto"/>
        <w:ind w:right="1256" w:firstLine="720"/>
        <w:jc w:val="both"/>
      </w:pPr>
      <w:r>
        <w:rPr/>
        <w:t>According to International Alert, Peace-Building includes "measures designed to consolidate peaceful relations and strengthen viable political, socio-economic and cultural institutions capable of mediating conflict, as well as strengthen other mechanisms that will either create or support the creation of condition for sustained </w:t>
      </w:r>
      <w:r>
        <w:rPr>
          <w:spacing w:val="-2"/>
        </w:rPr>
        <w:t>peace”.</w:t>
      </w:r>
    </w:p>
    <w:p>
      <w:pPr>
        <w:pStyle w:val="BodyText"/>
        <w:spacing w:line="360" w:lineRule="auto" w:before="2"/>
        <w:ind w:right="1258" w:firstLine="720"/>
        <w:jc w:val="both"/>
      </w:pPr>
      <w:r>
        <w:rPr/>
        <w:t>The effectiveness or otherwise of PSOs depends to a large extent on the mandate.</w:t>
      </w:r>
      <w:r>
        <w:rPr>
          <w:spacing w:val="40"/>
        </w:rPr>
        <w:t> </w:t>
      </w:r>
      <w:r>
        <w:rPr/>
        <w:t>The "mandate" is the legal document which authorizes the establishment of a mission.</w:t>
      </w:r>
      <w:r>
        <w:rPr>
          <w:spacing w:val="40"/>
        </w:rPr>
        <w:t> </w:t>
      </w:r>
      <w:r>
        <w:rPr/>
        <w:t>Thus, it specifies the details of the structure, command and scope of operations as well as duration of the mission.</w:t>
      </w:r>
    </w:p>
    <w:p>
      <w:pPr>
        <w:pStyle w:val="BodyText"/>
        <w:spacing w:line="360" w:lineRule="auto"/>
        <w:ind w:right="1259" w:firstLine="720"/>
        <w:jc w:val="both"/>
      </w:pPr>
      <w:r>
        <w:rPr/>
        <w:t>Today's PSO are likely to occur in environment that bears the characteristics</w:t>
      </w:r>
      <w:r>
        <w:rPr>
          <w:spacing w:val="40"/>
        </w:rPr>
        <w:t> </w:t>
      </w:r>
      <w:r>
        <w:rPr/>
        <w:t>of civil war or insurgences of parties to the conflict may have origins that are barely comprehensible</w:t>
      </w:r>
      <w:r>
        <w:rPr>
          <w:spacing w:val="67"/>
        </w:rPr>
        <w:t> </w:t>
      </w:r>
      <w:r>
        <w:rPr/>
        <w:t>to</w:t>
      </w:r>
      <w:r>
        <w:rPr>
          <w:spacing w:val="73"/>
        </w:rPr>
        <w:t> </w:t>
      </w:r>
      <w:r>
        <w:rPr/>
        <w:t>outsiders.</w:t>
      </w:r>
      <w:r>
        <w:rPr>
          <w:spacing w:val="71"/>
        </w:rPr>
        <w:t>  </w:t>
      </w:r>
      <w:r>
        <w:rPr/>
        <w:t>Belligerent's</w:t>
      </w:r>
      <w:r>
        <w:rPr>
          <w:spacing w:val="72"/>
        </w:rPr>
        <w:t> </w:t>
      </w:r>
      <w:r>
        <w:rPr/>
        <w:t>tactics</w:t>
      </w:r>
      <w:r>
        <w:rPr>
          <w:spacing w:val="70"/>
        </w:rPr>
        <w:t> </w:t>
      </w:r>
      <w:r>
        <w:rPr/>
        <w:t>may</w:t>
      </w:r>
      <w:r>
        <w:rPr>
          <w:spacing w:val="65"/>
        </w:rPr>
        <w:t> </w:t>
      </w:r>
      <w:r>
        <w:rPr/>
        <w:t>be</w:t>
      </w:r>
      <w:r>
        <w:rPr>
          <w:spacing w:val="71"/>
        </w:rPr>
        <w:t> </w:t>
      </w:r>
      <w:r>
        <w:rPr/>
        <w:t>improvised,</w:t>
      </w:r>
      <w:r>
        <w:rPr>
          <w:spacing w:val="73"/>
        </w:rPr>
        <w:t> </w:t>
      </w:r>
      <w:r>
        <w:rPr>
          <w:spacing w:val="-2"/>
        </w:rPr>
        <w:t>irregular,</w:t>
      </w:r>
    </w:p>
    <w:p>
      <w:pPr>
        <w:spacing w:after="0" w:line="360" w:lineRule="auto"/>
        <w:jc w:val="both"/>
        <w:sectPr>
          <w:pgSz w:w="11910" w:h="16840"/>
          <w:pgMar w:header="0" w:footer="1561" w:top="1360" w:bottom="1760" w:left="720" w:right="180"/>
        </w:sectPr>
      </w:pPr>
    </w:p>
    <w:p>
      <w:pPr>
        <w:pStyle w:val="BodyText"/>
        <w:spacing w:line="360" w:lineRule="auto" w:before="60"/>
        <w:ind w:right="1257"/>
        <w:jc w:val="right"/>
      </w:pPr>
      <w:r>
        <w:rPr/>
        <mc:AlternateContent>
          <mc:Choice Requires="wps">
            <w:drawing>
              <wp:anchor distT="0" distB="0" distL="0" distR="0" allowOverlap="1" layoutInCell="1" locked="0" behindDoc="1" simplePos="0" relativeHeight="480608256">
                <wp:simplePos x="0" y="0"/>
                <wp:positionH relativeFrom="page">
                  <wp:posOffset>-1537026</wp:posOffset>
                </wp:positionH>
                <wp:positionV relativeFrom="page">
                  <wp:posOffset>4900424</wp:posOffset>
                </wp:positionV>
                <wp:extent cx="10669905" cy="914400"/>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08224;rotation:306" type="#_x0000_t136" fillcolor="#ff5400" stroked="f">
                <o:extrusion v:ext="view" autorotationcenter="t"/>
                <v:textpath style="font-family:&quot;Arial MT&quot;;font-size:72pt;v-text-kern:t;mso-text-shadow:auto" string="UNIVERSITY OF IBADAN"/>
                <w10:wrap type="none"/>
              </v:shape>
            </w:pict>
          </mc:Fallback>
        </mc:AlternateContent>
      </w:r>
      <w:r>
        <w:rPr/>
        <w:t>irrational, and bizarre including the use</w:t>
      </w:r>
      <w:r>
        <w:rPr>
          <w:spacing w:val="29"/>
        </w:rPr>
        <w:t> </w:t>
      </w:r>
      <w:r>
        <w:rPr/>
        <w:t>of environmental warfare. Random atrocity</w:t>
      </w:r>
      <w:r>
        <w:rPr>
          <w:spacing w:val="80"/>
        </w:rPr>
        <w:t> </w:t>
      </w:r>
      <w:r>
        <w:rPr/>
        <w:t>and</w:t>
      </w:r>
      <w:r>
        <w:rPr>
          <w:spacing w:val="28"/>
        </w:rPr>
        <w:t> </w:t>
      </w:r>
      <w:r>
        <w:rPr/>
        <w:t>large</w:t>
      </w:r>
      <w:r>
        <w:rPr>
          <w:spacing w:val="30"/>
        </w:rPr>
        <w:t> </w:t>
      </w:r>
      <w:r>
        <w:rPr/>
        <w:t>scale</w:t>
      </w:r>
      <w:r>
        <w:rPr>
          <w:spacing w:val="30"/>
        </w:rPr>
        <w:t> </w:t>
      </w:r>
      <w:r>
        <w:rPr/>
        <w:t>human</w:t>
      </w:r>
      <w:r>
        <w:rPr>
          <w:spacing w:val="33"/>
        </w:rPr>
        <w:t> </w:t>
      </w:r>
      <w:r>
        <w:rPr/>
        <w:t>suffering</w:t>
      </w:r>
      <w:r>
        <w:rPr>
          <w:spacing w:val="28"/>
        </w:rPr>
        <w:t> </w:t>
      </w:r>
      <w:r>
        <w:rPr/>
        <w:t>may</w:t>
      </w:r>
      <w:r>
        <w:rPr>
          <w:spacing w:val="26"/>
        </w:rPr>
        <w:t> </w:t>
      </w:r>
      <w:r>
        <w:rPr/>
        <w:t>characterize</w:t>
      </w:r>
      <w:r>
        <w:rPr>
          <w:spacing w:val="31"/>
        </w:rPr>
        <w:t> </w:t>
      </w:r>
      <w:r>
        <w:rPr/>
        <w:t>the</w:t>
      </w:r>
      <w:r>
        <w:rPr>
          <w:spacing w:val="30"/>
        </w:rPr>
        <w:t> </w:t>
      </w:r>
      <w:r>
        <w:rPr/>
        <w:t>overall</w:t>
      </w:r>
      <w:r>
        <w:rPr>
          <w:spacing w:val="31"/>
        </w:rPr>
        <w:t> </w:t>
      </w:r>
      <w:r>
        <w:rPr/>
        <w:t>security</w:t>
      </w:r>
      <w:r>
        <w:rPr>
          <w:spacing w:val="27"/>
        </w:rPr>
        <w:t> </w:t>
      </w:r>
      <w:r>
        <w:rPr>
          <w:spacing w:val="-2"/>
        </w:rPr>
        <w:t>environment.</w:t>
      </w:r>
    </w:p>
    <w:p>
      <w:pPr>
        <w:pStyle w:val="BodyText"/>
        <w:spacing w:line="360" w:lineRule="auto" w:before="1"/>
        <w:ind w:right="1258" w:firstLine="720"/>
        <w:jc w:val="both"/>
      </w:pPr>
      <w:r>
        <w:rPr/>
        <w:t>The</w:t>
      </w:r>
      <w:r>
        <w:rPr>
          <w:spacing w:val="-3"/>
        </w:rPr>
        <w:t> </w:t>
      </w:r>
      <w:r>
        <w:rPr/>
        <w:t>modern</w:t>
      </w:r>
      <w:r>
        <w:rPr>
          <w:spacing w:val="-1"/>
        </w:rPr>
        <w:t> </w:t>
      </w:r>
      <w:r>
        <w:rPr/>
        <w:t>PSO</w:t>
      </w:r>
      <w:r>
        <w:rPr>
          <w:spacing w:val="-2"/>
        </w:rPr>
        <w:t> </w:t>
      </w:r>
      <w:r>
        <w:rPr/>
        <w:t>is</w:t>
      </w:r>
      <w:r>
        <w:rPr>
          <w:spacing w:val="-1"/>
        </w:rPr>
        <w:t> </w:t>
      </w:r>
      <w:r>
        <w:rPr/>
        <w:t>a</w:t>
      </w:r>
      <w:r>
        <w:rPr>
          <w:spacing w:val="-2"/>
        </w:rPr>
        <w:t> </w:t>
      </w:r>
      <w:r>
        <w:rPr/>
        <w:t>complex battle</w:t>
      </w:r>
      <w:r>
        <w:rPr>
          <w:spacing w:val="-2"/>
        </w:rPr>
        <w:t> </w:t>
      </w:r>
      <w:r>
        <w:rPr/>
        <w:t>space</w:t>
      </w:r>
      <w:r>
        <w:rPr>
          <w:spacing w:val="-2"/>
        </w:rPr>
        <w:t> </w:t>
      </w:r>
      <w:r>
        <w:rPr/>
        <w:t>with</w:t>
      </w:r>
      <w:r>
        <w:rPr>
          <w:spacing w:val="-1"/>
        </w:rPr>
        <w:t> </w:t>
      </w:r>
      <w:r>
        <w:rPr/>
        <w:t>belligerents</w:t>
      </w:r>
      <w:r>
        <w:rPr>
          <w:spacing w:val="-1"/>
        </w:rPr>
        <w:t> </w:t>
      </w:r>
      <w:r>
        <w:rPr/>
        <w:t>on</w:t>
      </w:r>
      <w:r>
        <w:rPr>
          <w:spacing w:val="-1"/>
        </w:rPr>
        <w:t> </w:t>
      </w:r>
      <w:r>
        <w:rPr/>
        <w:t>one</w:t>
      </w:r>
      <w:r>
        <w:rPr>
          <w:spacing w:val="-2"/>
        </w:rPr>
        <w:t> </w:t>
      </w:r>
      <w:r>
        <w:rPr/>
        <w:t>side of</w:t>
      </w:r>
      <w:r>
        <w:rPr>
          <w:spacing w:val="-2"/>
        </w:rPr>
        <w:t> </w:t>
      </w:r>
      <w:r>
        <w:rPr/>
        <w:t>the divide and complex actors pursuing peace on behalf of national and international communities on the other.</w:t>
      </w:r>
      <w:r>
        <w:rPr>
          <w:spacing w:val="40"/>
        </w:rPr>
        <w:t> </w:t>
      </w:r>
      <w:r>
        <w:rPr/>
        <w:t>The belligerents may have created a chaotic environment which requires a team with high mental capacity and professional prowess to contain it.</w:t>
      </w:r>
      <w:r>
        <w:rPr>
          <w:spacing w:val="40"/>
        </w:rPr>
        <w:t> </w:t>
      </w:r>
      <w:r>
        <w:rPr/>
        <w:t>For effective conduct of any PSO, all commanders must understand the characteristics of PSOs which are likely to influence the conduct of such operations. The</w:t>
      </w:r>
      <w:r>
        <w:rPr>
          <w:spacing w:val="-1"/>
        </w:rPr>
        <w:t> </w:t>
      </w:r>
      <w:r>
        <w:rPr/>
        <w:t>characteristics include</w:t>
      </w:r>
      <w:r>
        <w:rPr>
          <w:spacing w:val="-1"/>
        </w:rPr>
        <w:t> </w:t>
      </w:r>
      <w:r>
        <w:rPr/>
        <w:t>the numerous parties to a</w:t>
      </w:r>
      <w:r>
        <w:rPr>
          <w:spacing w:val="-1"/>
        </w:rPr>
        <w:t> </w:t>
      </w:r>
      <w:r>
        <w:rPr/>
        <w:t>conflict, "undisciplined"</w:t>
      </w:r>
      <w:r>
        <w:rPr>
          <w:spacing w:val="-2"/>
        </w:rPr>
        <w:t> </w:t>
      </w:r>
      <w:r>
        <w:rPr/>
        <w:t>factions who are not responsive to their own authorities, ineffective ceasefire, absence of law and order and risk of local armed opposition to the government, UN or AU forces. Other characteristics include; the presence and involvement of large number of civilians including refugees and displaced persons, collapse of civil infrastructure and undefined area of operations.</w:t>
      </w:r>
    </w:p>
    <w:p>
      <w:pPr>
        <w:pStyle w:val="BodyText"/>
        <w:spacing w:line="360" w:lineRule="auto" w:before="1"/>
        <w:ind w:right="1255" w:firstLine="720"/>
        <w:jc w:val="both"/>
      </w:pPr>
      <w:r>
        <w:rPr/>
        <w:t>The principles guiding the conduct of PSOs must also be comprehended by commanders.</w:t>
      </w:r>
      <w:r>
        <w:rPr>
          <w:spacing w:val="40"/>
        </w:rPr>
        <w:t> </w:t>
      </w:r>
      <w:r>
        <w:rPr/>
        <w:t>In the same vein, while the principles of war are generic to all military operations, in PSOs, restraint and primacy of political considerations modify the relevance and application of some of the principles of war. In PSOs, there are the consent- promotion principles which are most relevant in peace-keeping but may be only of limited use in peace enforcement. There is also the issue of strategic consent- driving principle which guides the selection and application of appropriate PSO principles. The consent-promotion principles include; minimum necessary force, impartiality, legitimacy, transparency and mutual respect. However, the general principles of PSOs include unity of efforts, perseverance and freedom of movement. Others are flexibility and security. Recently, PSO have come to be grouped along</w:t>
      </w:r>
      <w:r>
        <w:rPr>
          <w:spacing w:val="80"/>
        </w:rPr>
        <w:t> </w:t>
      </w:r>
      <w:r>
        <w:rPr/>
        <w:t>with other "lesser military operations" as Military Operation Other Than War </w:t>
      </w:r>
      <w:r>
        <w:rPr>
          <w:spacing w:val="-2"/>
        </w:rPr>
        <w:t>(MOOTW).</w:t>
      </w:r>
    </w:p>
    <w:p>
      <w:pPr>
        <w:pStyle w:val="Heading2"/>
        <w:numPr>
          <w:ilvl w:val="2"/>
          <w:numId w:val="10"/>
        </w:numPr>
        <w:tabs>
          <w:tab w:pos="2160" w:val="left" w:leader="none"/>
        </w:tabs>
        <w:spacing w:line="240" w:lineRule="auto" w:before="5" w:after="0"/>
        <w:ind w:left="2160" w:right="0" w:hanging="720"/>
        <w:jc w:val="both"/>
      </w:pPr>
      <w:bookmarkStart w:name="_TOC_250014" w:id="28"/>
      <w:r>
        <w:rPr/>
        <w:t>Internal</w:t>
      </w:r>
      <w:r>
        <w:rPr>
          <w:spacing w:val="-3"/>
        </w:rPr>
        <w:t> </w:t>
      </w:r>
      <w:r>
        <w:rPr/>
        <w:t>Security</w:t>
      </w:r>
      <w:bookmarkEnd w:id="28"/>
      <w:r>
        <w:rPr>
          <w:spacing w:val="-2"/>
        </w:rPr>
        <w:t> Operations</w:t>
      </w:r>
    </w:p>
    <w:p>
      <w:pPr>
        <w:pStyle w:val="BodyText"/>
        <w:spacing w:line="360" w:lineRule="auto" w:before="134"/>
        <w:ind w:right="1259" w:firstLine="720"/>
        <w:jc w:val="both"/>
      </w:pPr>
      <w:r>
        <w:rPr/>
        <w:t>The role of the military in Internal Security (IS) operations is the subject of attention because it is located within a certain framework that may generally be misunderstood, much less accepted, by the larger society. What then is Internal Security Operations? The Nigerian Army defines IS as:</w:t>
      </w:r>
    </w:p>
    <w:p>
      <w:pPr>
        <w:spacing w:after="0" w:line="360" w:lineRule="auto"/>
        <w:jc w:val="both"/>
        <w:sectPr>
          <w:pgSz w:w="11910" w:h="16840"/>
          <w:pgMar w:header="0" w:footer="1561" w:top="1360" w:bottom="1760" w:left="720" w:right="180"/>
        </w:sectPr>
      </w:pPr>
    </w:p>
    <w:p>
      <w:pPr>
        <w:pStyle w:val="BodyText"/>
        <w:spacing w:before="78"/>
        <w:ind w:left="2880" w:right="3085"/>
        <w:jc w:val="both"/>
      </w:pPr>
      <w:r>
        <w:rPr/>
        <mc:AlternateContent>
          <mc:Choice Requires="wps">
            <w:drawing>
              <wp:anchor distT="0" distB="0" distL="0" distR="0" allowOverlap="1" layoutInCell="1" locked="0" behindDoc="1" simplePos="0" relativeHeight="480608768">
                <wp:simplePos x="0" y="0"/>
                <wp:positionH relativeFrom="page">
                  <wp:posOffset>-1537026</wp:posOffset>
                </wp:positionH>
                <wp:positionV relativeFrom="page">
                  <wp:posOffset>4900424</wp:posOffset>
                </wp:positionV>
                <wp:extent cx="10669905" cy="914400"/>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07712;rotation:306" type="#_x0000_t136" fillcolor="#ff5400" stroked="f">
                <o:extrusion v:ext="view" autorotationcenter="t"/>
                <v:textpath style="font-family:&quot;Arial MT&quot;;font-size:72pt;v-text-kern:t;mso-text-shadow:auto" string="UNIVERSITY OF IBADAN"/>
                <w10:wrap type="none"/>
              </v:shape>
            </w:pict>
          </mc:Fallback>
        </mc:AlternateContent>
      </w:r>
      <w:r>
        <w:rPr/>
        <w:t>Any military role which involves primarily the maintenance, restoration of law and order as well as essential</w:t>
      </w:r>
      <w:r>
        <w:rPr>
          <w:spacing w:val="-4"/>
        </w:rPr>
        <w:t> </w:t>
      </w:r>
      <w:r>
        <w:rPr/>
        <w:t>services</w:t>
      </w:r>
      <w:r>
        <w:rPr>
          <w:spacing w:val="-4"/>
        </w:rPr>
        <w:t> </w:t>
      </w:r>
      <w:r>
        <w:rPr/>
        <w:t>in</w:t>
      </w:r>
      <w:r>
        <w:rPr>
          <w:spacing w:val="-4"/>
        </w:rPr>
        <w:t> </w:t>
      </w:r>
      <w:r>
        <w:rPr/>
        <w:t>the</w:t>
      </w:r>
      <w:r>
        <w:rPr>
          <w:spacing w:val="-5"/>
        </w:rPr>
        <w:t> </w:t>
      </w:r>
      <w:r>
        <w:rPr/>
        <w:t>face</w:t>
      </w:r>
      <w:r>
        <w:rPr>
          <w:spacing w:val="-5"/>
        </w:rPr>
        <w:t> </w:t>
      </w:r>
      <w:r>
        <w:rPr/>
        <w:t>of</w:t>
      </w:r>
      <w:r>
        <w:rPr>
          <w:spacing w:val="-4"/>
        </w:rPr>
        <w:t> </w:t>
      </w:r>
      <w:r>
        <w:rPr/>
        <w:t>civil</w:t>
      </w:r>
      <w:r>
        <w:rPr>
          <w:spacing w:val="-4"/>
        </w:rPr>
        <w:t> </w:t>
      </w:r>
      <w:r>
        <w:rPr/>
        <w:t>disturbance</w:t>
      </w:r>
      <w:r>
        <w:rPr>
          <w:spacing w:val="-5"/>
        </w:rPr>
        <w:t> </w:t>
      </w:r>
      <w:r>
        <w:rPr/>
        <w:t>and disobedience using minimum force. It includes revolt and even the early stages of rebellion (Military Precise, 1981:A-1).</w:t>
      </w:r>
    </w:p>
    <w:p>
      <w:pPr>
        <w:pStyle w:val="BodyText"/>
        <w:spacing w:before="3"/>
        <w:ind w:left="0"/>
      </w:pPr>
    </w:p>
    <w:p>
      <w:pPr>
        <w:pStyle w:val="BodyText"/>
        <w:spacing w:line="360" w:lineRule="auto"/>
        <w:ind w:right="1253" w:firstLine="720"/>
        <w:jc w:val="both"/>
      </w:pPr>
      <w:r>
        <w:rPr/>
        <w:t>This Nigerian Army definition is primarily concerned with the military aspect in any IS situation, as it is addressed, roles in IS operation that are purely of military </w:t>
      </w:r>
      <w:r>
        <w:rPr>
          <w:spacing w:val="-2"/>
        </w:rPr>
        <w:t>concern.</w:t>
      </w:r>
    </w:p>
    <w:p>
      <w:pPr>
        <w:pStyle w:val="BodyText"/>
        <w:spacing w:line="360" w:lineRule="auto"/>
        <w:ind w:right="1253" w:firstLine="720"/>
        <w:jc w:val="both"/>
      </w:pPr>
      <w:r>
        <w:rPr/>
        <w:t>To Nwolise, IS has to do with the activities and services of the police and</w:t>
      </w:r>
      <w:r>
        <w:rPr>
          <w:spacing w:val="40"/>
        </w:rPr>
        <w:t> </w:t>
      </w:r>
      <w:r>
        <w:rPr/>
        <w:t>other security agencies in ensuring the maintenance of peace, law and order, as well</w:t>
      </w:r>
      <w:r>
        <w:rPr>
          <w:spacing w:val="80"/>
        </w:rPr>
        <w:t> </w:t>
      </w:r>
      <w:r>
        <w:rPr/>
        <w:t>as security of lives and properties. These include combating smuggling, armed robbery, religious and ethnic riots, communal and community clashes, armed insurrection, rebellion and others including natural disaster, (Nwolise, 1999: 7). From Nwolise's</w:t>
      </w:r>
      <w:r>
        <w:rPr>
          <w:spacing w:val="-1"/>
        </w:rPr>
        <w:t> </w:t>
      </w:r>
      <w:r>
        <w:rPr/>
        <w:t>concept,</w:t>
      </w:r>
      <w:r>
        <w:rPr>
          <w:spacing w:val="-3"/>
        </w:rPr>
        <w:t> </w:t>
      </w:r>
      <w:r>
        <w:rPr/>
        <w:t>the</w:t>
      </w:r>
      <w:r>
        <w:rPr>
          <w:spacing w:val="-4"/>
        </w:rPr>
        <w:t> </w:t>
      </w:r>
      <w:r>
        <w:rPr/>
        <w:t>activities</w:t>
      </w:r>
      <w:r>
        <w:rPr>
          <w:spacing w:val="-3"/>
        </w:rPr>
        <w:t> </w:t>
      </w:r>
      <w:r>
        <w:rPr/>
        <w:t>and</w:t>
      </w:r>
      <w:r>
        <w:rPr>
          <w:spacing w:val="-3"/>
        </w:rPr>
        <w:t> </w:t>
      </w:r>
      <w:r>
        <w:rPr/>
        <w:t>services</w:t>
      </w:r>
      <w:r>
        <w:rPr>
          <w:spacing w:val="-3"/>
        </w:rPr>
        <w:t> </w:t>
      </w:r>
      <w:r>
        <w:rPr/>
        <w:t>of</w:t>
      </w:r>
      <w:r>
        <w:rPr>
          <w:spacing w:val="-3"/>
        </w:rPr>
        <w:t> </w:t>
      </w:r>
      <w:r>
        <w:rPr/>
        <w:t>the</w:t>
      </w:r>
      <w:r>
        <w:rPr>
          <w:spacing w:val="-4"/>
        </w:rPr>
        <w:t> </w:t>
      </w:r>
      <w:r>
        <w:rPr/>
        <w:t>police</w:t>
      </w:r>
      <w:r>
        <w:rPr>
          <w:spacing w:val="-4"/>
        </w:rPr>
        <w:t> </w:t>
      </w:r>
      <w:r>
        <w:rPr/>
        <w:t>and</w:t>
      </w:r>
      <w:r>
        <w:rPr>
          <w:spacing w:val="-3"/>
        </w:rPr>
        <w:t> </w:t>
      </w:r>
      <w:r>
        <w:rPr/>
        <w:t>other</w:t>
      </w:r>
      <w:r>
        <w:rPr>
          <w:spacing w:val="-3"/>
        </w:rPr>
        <w:t> </w:t>
      </w:r>
      <w:r>
        <w:rPr/>
        <w:t>security,</w:t>
      </w:r>
      <w:r>
        <w:rPr>
          <w:spacing w:val="-1"/>
        </w:rPr>
        <w:t> </w:t>
      </w:r>
      <w:r>
        <w:rPr/>
        <w:t>agencies suggest that Internal Security is a venture that calls for the integration of the police</w:t>
      </w:r>
      <w:r>
        <w:rPr>
          <w:spacing w:val="40"/>
        </w:rPr>
        <w:t> </w:t>
      </w:r>
      <w:r>
        <w:rPr/>
        <w:t>and other security agencies to achieve common goal(s). The prominence given to the police in this definition justifies the primary</w:t>
      </w:r>
      <w:r>
        <w:rPr>
          <w:spacing w:val="-4"/>
        </w:rPr>
        <w:t> </w:t>
      </w:r>
      <w:r>
        <w:rPr/>
        <w:t>responsibility</w:t>
      </w:r>
      <w:r>
        <w:rPr>
          <w:spacing w:val="-7"/>
        </w:rPr>
        <w:t> </w:t>
      </w:r>
      <w:r>
        <w:rPr/>
        <w:t>for maintenance of law and order while other services assist. Thus, the collectivity of effort of the police, the armed forces and other security agencies are to ensure desired national security objective by ensuring the maintenance of peace, law and order as well as lives and </w:t>
      </w:r>
      <w:r>
        <w:rPr>
          <w:spacing w:val="-2"/>
        </w:rPr>
        <w:t>property.</w:t>
      </w:r>
    </w:p>
    <w:p>
      <w:pPr>
        <w:pStyle w:val="BodyText"/>
        <w:spacing w:line="360" w:lineRule="auto" w:before="2"/>
        <w:ind w:right="1257" w:firstLine="720"/>
        <w:jc w:val="both"/>
      </w:pPr>
      <w:r>
        <w:rPr/>
        <w:t>A number of studies have been done on IS and conflict management in Nigeria.</w:t>
      </w:r>
      <w:r>
        <w:rPr>
          <w:spacing w:val="-2"/>
        </w:rPr>
        <w:t> </w:t>
      </w:r>
      <w:r>
        <w:rPr/>
        <w:t>Balogun</w:t>
      </w:r>
      <w:r>
        <w:rPr>
          <w:spacing w:val="-2"/>
        </w:rPr>
        <w:t> </w:t>
      </w:r>
      <w:r>
        <w:rPr/>
        <w:t>(1999)</w:t>
      </w:r>
      <w:r>
        <w:rPr>
          <w:spacing w:val="-1"/>
        </w:rPr>
        <w:t> </w:t>
      </w:r>
      <w:r>
        <w:rPr/>
        <w:t>in</w:t>
      </w:r>
      <w:r>
        <w:rPr>
          <w:spacing w:val="-4"/>
        </w:rPr>
        <w:t> </w:t>
      </w:r>
      <w:r>
        <w:rPr/>
        <w:t>his</w:t>
      </w:r>
      <w:r>
        <w:rPr>
          <w:spacing w:val="-4"/>
        </w:rPr>
        <w:t> </w:t>
      </w:r>
      <w:r>
        <w:rPr/>
        <w:t>work,</w:t>
      </w:r>
      <w:r>
        <w:rPr>
          <w:spacing w:val="-2"/>
        </w:rPr>
        <w:t> </w:t>
      </w:r>
      <w:r>
        <w:rPr/>
        <w:t>"An</w:t>
      </w:r>
      <w:r>
        <w:rPr>
          <w:spacing w:val="-3"/>
        </w:rPr>
        <w:t> </w:t>
      </w:r>
      <w:r>
        <w:rPr/>
        <w:t>Appraisal</w:t>
      </w:r>
      <w:r>
        <w:rPr>
          <w:spacing w:val="-4"/>
        </w:rPr>
        <w:t> </w:t>
      </w:r>
      <w:r>
        <w:rPr/>
        <w:t>of</w:t>
      </w:r>
      <w:r>
        <w:rPr>
          <w:spacing w:val="-4"/>
        </w:rPr>
        <w:t> </w:t>
      </w:r>
      <w:r>
        <w:rPr/>
        <w:t>Police</w:t>
      </w:r>
      <w:r>
        <w:rPr>
          <w:spacing w:val="-3"/>
        </w:rPr>
        <w:t> </w:t>
      </w:r>
      <w:r>
        <w:rPr/>
        <w:t>Management</w:t>
      </w:r>
      <w:r>
        <w:rPr>
          <w:spacing w:val="-2"/>
        </w:rPr>
        <w:t> </w:t>
      </w:r>
      <w:r>
        <w:rPr/>
        <w:t>of</w:t>
      </w:r>
      <w:r>
        <w:rPr>
          <w:spacing w:val="-1"/>
        </w:rPr>
        <w:t> </w:t>
      </w:r>
      <w:r>
        <w:rPr/>
        <w:t>Internal security in Nigeria" posits that a quadrilateral approach involving the Nigerian Police Force (NPF), Government, other security agencies and the Nigerian Public was an essential option in his work. He, however, did not discuss the military and other related agencies.</w:t>
      </w:r>
    </w:p>
    <w:p>
      <w:pPr>
        <w:pStyle w:val="BodyText"/>
        <w:spacing w:line="360" w:lineRule="auto"/>
        <w:ind w:right="1255" w:firstLine="720"/>
        <w:jc w:val="both"/>
      </w:pPr>
      <w:r>
        <w:rPr/>
        <w:t>Akoma (2004), in his work, "The State Security Service and Management of Internal Security in Nigeria" focused on the relevance of proactive and preventive aspects of IS.</w:t>
      </w:r>
      <w:r>
        <w:rPr>
          <w:spacing w:val="40"/>
        </w:rPr>
        <w:t> </w:t>
      </w:r>
      <w:r>
        <w:rPr/>
        <w:t>His concern was on effective use of intelligence for the proative management of crisis before their manifestation. However, he did not make proper linkage of the usage of intelligence in proactive manner by the military as well as highlighting</w:t>
      </w:r>
      <w:r>
        <w:rPr>
          <w:spacing w:val="3"/>
        </w:rPr>
        <w:t> </w:t>
      </w:r>
      <w:r>
        <w:rPr/>
        <w:t>the</w:t>
      </w:r>
      <w:r>
        <w:rPr>
          <w:spacing w:val="7"/>
        </w:rPr>
        <w:t> </w:t>
      </w:r>
      <w:r>
        <w:rPr/>
        <w:t>ways</w:t>
      </w:r>
      <w:r>
        <w:rPr>
          <w:spacing w:val="9"/>
        </w:rPr>
        <w:t> </w:t>
      </w:r>
      <w:r>
        <w:rPr/>
        <w:t>the</w:t>
      </w:r>
      <w:r>
        <w:rPr>
          <w:spacing w:val="7"/>
        </w:rPr>
        <w:t> </w:t>
      </w:r>
      <w:r>
        <w:rPr/>
        <w:t>military</w:t>
      </w:r>
      <w:r>
        <w:rPr>
          <w:spacing w:val="4"/>
        </w:rPr>
        <w:t> </w:t>
      </w:r>
      <w:r>
        <w:rPr/>
        <w:t>could</w:t>
      </w:r>
      <w:r>
        <w:rPr>
          <w:spacing w:val="11"/>
        </w:rPr>
        <w:t> </w:t>
      </w:r>
      <w:r>
        <w:rPr/>
        <w:t>ensure</w:t>
      </w:r>
      <w:r>
        <w:rPr>
          <w:spacing w:val="7"/>
        </w:rPr>
        <w:t> </w:t>
      </w:r>
      <w:r>
        <w:rPr/>
        <w:t>the</w:t>
      </w:r>
      <w:r>
        <w:rPr>
          <w:spacing w:val="7"/>
        </w:rPr>
        <w:t> </w:t>
      </w:r>
      <w:r>
        <w:rPr/>
        <w:t>gathering</w:t>
      </w:r>
      <w:r>
        <w:rPr>
          <w:spacing w:val="6"/>
        </w:rPr>
        <w:t> </w:t>
      </w:r>
      <w:r>
        <w:rPr/>
        <w:t>of</w:t>
      </w:r>
      <w:r>
        <w:rPr>
          <w:spacing w:val="10"/>
        </w:rPr>
        <w:t> </w:t>
      </w:r>
      <w:r>
        <w:rPr/>
        <w:t>adequate</w:t>
      </w:r>
      <w:r>
        <w:rPr>
          <w:spacing w:val="10"/>
        </w:rPr>
        <w:t> </w:t>
      </w:r>
      <w:r>
        <w:rPr>
          <w:spacing w:val="-2"/>
        </w:rPr>
        <w:t>intelligence</w:t>
      </w:r>
    </w:p>
    <w:p>
      <w:pPr>
        <w:spacing w:after="0" w:line="360" w:lineRule="auto"/>
        <w:jc w:val="both"/>
        <w:sectPr>
          <w:pgSz w:w="11910" w:h="16840"/>
          <w:pgMar w:header="0" w:footer="1561" w:top="1340" w:bottom="1760" w:left="720" w:right="180"/>
        </w:sectPr>
      </w:pPr>
    </w:p>
    <w:p>
      <w:pPr>
        <w:pStyle w:val="BodyText"/>
        <w:spacing w:line="360" w:lineRule="auto" w:before="60"/>
        <w:ind w:right="1260"/>
        <w:jc w:val="both"/>
      </w:pPr>
      <w:r>
        <w:rPr/>
        <mc:AlternateContent>
          <mc:Choice Requires="wps">
            <w:drawing>
              <wp:anchor distT="0" distB="0" distL="0" distR="0" allowOverlap="1" layoutInCell="1" locked="0" behindDoc="1" simplePos="0" relativeHeight="480609280">
                <wp:simplePos x="0" y="0"/>
                <wp:positionH relativeFrom="page">
                  <wp:posOffset>-1537026</wp:posOffset>
                </wp:positionH>
                <wp:positionV relativeFrom="page">
                  <wp:posOffset>4900424</wp:posOffset>
                </wp:positionV>
                <wp:extent cx="10669905" cy="914400"/>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07200;rotation:306" type="#_x0000_t136" fillcolor="#ff5400" stroked="f">
                <o:extrusion v:ext="view" autorotationcenter="t"/>
                <v:textpath style="font-family:&quot;Arial MT&quot;;font-size:72pt;v-text-kern:t;mso-text-shadow:auto" string="UNIVERSITY OF IBADAN"/>
                <w10:wrap type="none"/>
              </v:shape>
            </w:pict>
          </mc:Fallback>
        </mc:AlternateContent>
      </w:r>
      <w:r>
        <w:rPr/>
        <w:t>for</w:t>
      </w:r>
      <w:r>
        <w:rPr>
          <w:spacing w:val="-4"/>
        </w:rPr>
        <w:t> </w:t>
      </w:r>
      <w:r>
        <w:rPr/>
        <w:t>their</w:t>
      </w:r>
      <w:r>
        <w:rPr>
          <w:spacing w:val="-3"/>
        </w:rPr>
        <w:t> </w:t>
      </w:r>
      <w:r>
        <w:rPr/>
        <w:t>operational</w:t>
      </w:r>
      <w:r>
        <w:rPr>
          <w:spacing w:val="-2"/>
        </w:rPr>
        <w:t> </w:t>
      </w:r>
      <w:r>
        <w:rPr/>
        <w:t>use.</w:t>
      </w:r>
      <w:r>
        <w:rPr>
          <w:spacing w:val="-1"/>
        </w:rPr>
        <w:t> </w:t>
      </w:r>
      <w:r>
        <w:rPr/>
        <w:t>Additionally, IS</w:t>
      </w:r>
      <w:r>
        <w:rPr>
          <w:spacing w:val="-2"/>
        </w:rPr>
        <w:t> </w:t>
      </w:r>
      <w:r>
        <w:rPr/>
        <w:t>operation</w:t>
      </w:r>
      <w:r>
        <w:rPr>
          <w:spacing w:val="-2"/>
        </w:rPr>
        <w:t> </w:t>
      </w:r>
      <w:r>
        <w:rPr/>
        <w:t>information</w:t>
      </w:r>
      <w:r>
        <w:rPr>
          <w:spacing w:val="-2"/>
        </w:rPr>
        <w:t> </w:t>
      </w:r>
      <w:r>
        <w:rPr/>
        <w:t>management</w:t>
      </w:r>
      <w:r>
        <w:rPr>
          <w:spacing w:val="-2"/>
        </w:rPr>
        <w:t> </w:t>
      </w:r>
      <w:r>
        <w:rPr/>
        <w:t>is</w:t>
      </w:r>
      <w:r>
        <w:rPr>
          <w:spacing w:val="-2"/>
        </w:rPr>
        <w:t> </w:t>
      </w:r>
      <w:r>
        <w:rPr/>
        <w:t>a</w:t>
      </w:r>
      <w:r>
        <w:rPr>
          <w:spacing w:val="-3"/>
        </w:rPr>
        <w:t> </w:t>
      </w:r>
      <w:r>
        <w:rPr/>
        <w:t>twin concept encompassing operation intelligence and information management with the media in IS. Akoma's study concentrated on the first aspect of intelligence management of information with the media and other stakeholders which the military need for successful IS operation.</w:t>
      </w:r>
    </w:p>
    <w:p>
      <w:pPr>
        <w:pStyle w:val="BodyText"/>
        <w:spacing w:line="360" w:lineRule="auto"/>
        <w:ind w:right="1265" w:firstLine="720"/>
        <w:jc w:val="both"/>
      </w:pPr>
      <w:r>
        <w:rPr/>
        <w:t>From</w:t>
      </w:r>
      <w:r>
        <w:rPr>
          <w:spacing w:val="-2"/>
        </w:rPr>
        <w:t> </w:t>
      </w:r>
      <w:r>
        <w:rPr/>
        <w:t>the foregoing, the</w:t>
      </w:r>
      <w:r>
        <w:rPr>
          <w:spacing w:val="-2"/>
        </w:rPr>
        <w:t> </w:t>
      </w:r>
      <w:r>
        <w:rPr/>
        <w:t>literature</w:t>
      </w:r>
      <w:r>
        <w:rPr>
          <w:spacing w:val="-3"/>
        </w:rPr>
        <w:t> </w:t>
      </w:r>
      <w:r>
        <w:rPr/>
        <w:t>sought on IS</w:t>
      </w:r>
      <w:r>
        <w:rPr>
          <w:spacing w:val="-1"/>
        </w:rPr>
        <w:t> </w:t>
      </w:r>
      <w:r>
        <w:rPr/>
        <w:t>are</w:t>
      </w:r>
      <w:r>
        <w:rPr>
          <w:spacing w:val="-1"/>
        </w:rPr>
        <w:t> </w:t>
      </w:r>
      <w:r>
        <w:rPr/>
        <w:t>relevant</w:t>
      </w:r>
      <w:r>
        <w:rPr>
          <w:spacing w:val="-1"/>
        </w:rPr>
        <w:t> </w:t>
      </w:r>
      <w:r>
        <w:rPr/>
        <w:t>to</w:t>
      </w:r>
      <w:r>
        <w:rPr>
          <w:spacing w:val="-1"/>
        </w:rPr>
        <w:t> </w:t>
      </w:r>
      <w:r>
        <w:rPr/>
        <w:t>the</w:t>
      </w:r>
      <w:r>
        <w:rPr>
          <w:spacing w:val="-2"/>
        </w:rPr>
        <w:t> </w:t>
      </w:r>
      <w:r>
        <w:rPr/>
        <w:t>management of internal security operations in Nigeria.</w:t>
      </w:r>
      <w:r>
        <w:rPr>
          <w:spacing w:val="80"/>
        </w:rPr>
        <w:t> </w:t>
      </w:r>
      <w:r>
        <w:rPr/>
        <w:t>Nonetheless, more look into IS management from the collective effort of the Armed Forces in conjunction with other security agencies becomes imperative.</w:t>
      </w:r>
    </w:p>
    <w:p>
      <w:pPr>
        <w:pStyle w:val="BodyText"/>
        <w:spacing w:line="360" w:lineRule="auto"/>
        <w:ind w:right="1252" w:firstLine="602"/>
        <w:jc w:val="both"/>
      </w:pPr>
      <w:r>
        <w:rPr/>
        <w:t>It should be noted also, that the legal provisions regulating the employment of the Nigerian Armed Forces in the management of internal conflicts are found in the 1999 Constitution of the Federal Republic of Nigeria and related subsidiary legislations.</w:t>
      </w:r>
      <w:r>
        <w:rPr>
          <w:spacing w:val="40"/>
        </w:rPr>
        <w:t> </w:t>
      </w:r>
      <w:r>
        <w:rPr/>
        <w:t>This legal provision is often resorted to when the police cannot cope, especially in a complex and difficult IS threat situation.</w:t>
      </w:r>
      <w:r>
        <w:rPr>
          <w:spacing w:val="40"/>
        </w:rPr>
        <w:t> </w:t>
      </w:r>
      <w:r>
        <w:rPr/>
        <w:t>Section 217 of the Constitution established the armed forces and specified their responsibilities in Sub- Section 2 as follows:</w:t>
      </w:r>
    </w:p>
    <w:p>
      <w:pPr>
        <w:pStyle w:val="ListParagraph"/>
        <w:numPr>
          <w:ilvl w:val="0"/>
          <w:numId w:val="11"/>
        </w:numPr>
        <w:tabs>
          <w:tab w:pos="2159" w:val="left" w:leader="none"/>
        </w:tabs>
        <w:spacing w:line="240" w:lineRule="auto" w:before="2" w:after="0"/>
        <w:ind w:left="2159" w:right="0" w:hanging="719"/>
        <w:jc w:val="both"/>
        <w:rPr>
          <w:sz w:val="24"/>
        </w:rPr>
      </w:pPr>
      <w:r>
        <w:rPr>
          <w:sz w:val="24"/>
        </w:rPr>
        <w:t>Defending</w:t>
      </w:r>
      <w:r>
        <w:rPr>
          <w:spacing w:val="-4"/>
          <w:sz w:val="24"/>
        </w:rPr>
        <w:t> </w:t>
      </w:r>
      <w:r>
        <w:rPr>
          <w:sz w:val="24"/>
        </w:rPr>
        <w:t>Nigeria</w:t>
      </w:r>
      <w:r>
        <w:rPr>
          <w:spacing w:val="-3"/>
          <w:sz w:val="24"/>
        </w:rPr>
        <w:t> </w:t>
      </w:r>
      <w:r>
        <w:rPr>
          <w:sz w:val="24"/>
        </w:rPr>
        <w:t>from</w:t>
      </w:r>
      <w:r>
        <w:rPr>
          <w:spacing w:val="-1"/>
          <w:sz w:val="24"/>
        </w:rPr>
        <w:t> </w:t>
      </w:r>
      <w:r>
        <w:rPr>
          <w:sz w:val="24"/>
        </w:rPr>
        <w:t>external </w:t>
      </w:r>
      <w:r>
        <w:rPr>
          <w:spacing w:val="-2"/>
          <w:sz w:val="24"/>
        </w:rPr>
        <w:t>aggression.</w:t>
      </w:r>
    </w:p>
    <w:p>
      <w:pPr>
        <w:pStyle w:val="ListParagraph"/>
        <w:numPr>
          <w:ilvl w:val="0"/>
          <w:numId w:val="11"/>
        </w:numPr>
        <w:tabs>
          <w:tab w:pos="2160" w:val="left" w:leader="none"/>
        </w:tabs>
        <w:spacing w:line="360" w:lineRule="auto" w:before="137" w:after="0"/>
        <w:ind w:left="2160" w:right="1264" w:hanging="720"/>
        <w:jc w:val="both"/>
        <w:rPr>
          <w:sz w:val="24"/>
        </w:rPr>
      </w:pPr>
      <w:r>
        <w:rPr>
          <w:sz w:val="24"/>
        </w:rPr>
        <w:t>Maintaining its territorial integrity and securing its borders from violation on land, sea and air.</w:t>
      </w:r>
    </w:p>
    <w:p>
      <w:pPr>
        <w:pStyle w:val="ListParagraph"/>
        <w:numPr>
          <w:ilvl w:val="0"/>
          <w:numId w:val="11"/>
        </w:numPr>
        <w:tabs>
          <w:tab w:pos="2159" w:val="left" w:leader="none"/>
        </w:tabs>
        <w:spacing w:line="360" w:lineRule="auto" w:before="0" w:after="0"/>
        <w:ind w:left="1440" w:right="1256" w:firstLine="0"/>
        <w:jc w:val="both"/>
        <w:rPr>
          <w:sz w:val="24"/>
        </w:rPr>
      </w:pPr>
      <w:r>
        <w:rPr>
          <w:sz w:val="24"/>
        </w:rPr>
        <w:t>Suppressing insurrection and acting in aid of civil authorities to restore order when called upon to do so by the President, but to such condition as may be</w:t>
      </w:r>
      <w:r>
        <w:rPr>
          <w:spacing w:val="40"/>
          <w:sz w:val="24"/>
        </w:rPr>
        <w:t> </w:t>
      </w:r>
      <w:r>
        <w:rPr>
          <w:sz w:val="24"/>
        </w:rPr>
        <w:t>prescribed by an act of the National Assembly; and d. Performing such functions as may be prescribed by the National Assembly.</w:t>
      </w:r>
      <w:r>
        <w:rPr>
          <w:spacing w:val="40"/>
          <w:sz w:val="24"/>
        </w:rPr>
        <w:t> </w:t>
      </w:r>
      <w:r>
        <w:rPr>
          <w:sz w:val="24"/>
        </w:rPr>
        <w:t>Thus, the justification for the deployment of the Nigerian Military in IS situation is to be found in Section 217 (2) (c),</w:t>
      </w:r>
      <w:r>
        <w:rPr>
          <w:spacing w:val="-3"/>
          <w:sz w:val="24"/>
        </w:rPr>
        <w:t> </w:t>
      </w:r>
      <w:r>
        <w:rPr>
          <w:sz w:val="24"/>
        </w:rPr>
        <w:t>to</w:t>
      </w:r>
      <w:r>
        <w:rPr>
          <w:spacing w:val="-2"/>
          <w:sz w:val="24"/>
        </w:rPr>
        <w:t> </w:t>
      </w:r>
      <w:r>
        <w:rPr>
          <w:sz w:val="24"/>
        </w:rPr>
        <w:t>wit,</w:t>
      </w:r>
      <w:r>
        <w:rPr>
          <w:spacing w:val="-2"/>
          <w:sz w:val="24"/>
        </w:rPr>
        <w:t> </w:t>
      </w:r>
      <w:r>
        <w:rPr>
          <w:sz w:val="24"/>
        </w:rPr>
        <w:t>„acting</w:t>
      </w:r>
      <w:r>
        <w:rPr>
          <w:spacing w:val="-5"/>
          <w:sz w:val="24"/>
        </w:rPr>
        <w:t> </w:t>
      </w:r>
      <w:r>
        <w:rPr>
          <w:sz w:val="24"/>
        </w:rPr>
        <w:t>in</w:t>
      </w:r>
      <w:r>
        <w:rPr>
          <w:spacing w:val="-2"/>
          <w:sz w:val="24"/>
        </w:rPr>
        <w:t> </w:t>
      </w:r>
      <w:r>
        <w:rPr>
          <w:sz w:val="24"/>
        </w:rPr>
        <w:t>aid</w:t>
      </w:r>
      <w:r>
        <w:rPr>
          <w:spacing w:val="-2"/>
          <w:sz w:val="24"/>
        </w:rPr>
        <w:t> </w:t>
      </w:r>
      <w:r>
        <w:rPr>
          <w:sz w:val="24"/>
        </w:rPr>
        <w:t>to</w:t>
      </w:r>
      <w:r>
        <w:rPr>
          <w:spacing w:val="-2"/>
          <w:sz w:val="24"/>
        </w:rPr>
        <w:t> </w:t>
      </w:r>
      <w:r>
        <w:rPr>
          <w:sz w:val="24"/>
        </w:rPr>
        <w:t>civil</w:t>
      </w:r>
      <w:r>
        <w:rPr>
          <w:spacing w:val="-2"/>
          <w:sz w:val="24"/>
        </w:rPr>
        <w:t> </w:t>
      </w:r>
      <w:r>
        <w:rPr>
          <w:sz w:val="24"/>
        </w:rPr>
        <w:t>authorities,</w:t>
      </w:r>
      <w:r>
        <w:rPr>
          <w:spacing w:val="-4"/>
          <w:sz w:val="24"/>
        </w:rPr>
        <w:t> </w:t>
      </w:r>
      <w:r>
        <w:rPr>
          <w:sz w:val="24"/>
        </w:rPr>
        <w:t>to</w:t>
      </w:r>
      <w:r>
        <w:rPr>
          <w:spacing w:val="-2"/>
          <w:sz w:val="24"/>
        </w:rPr>
        <w:t> </w:t>
      </w:r>
      <w:r>
        <w:rPr>
          <w:sz w:val="24"/>
        </w:rPr>
        <w:t>restore</w:t>
      </w:r>
      <w:r>
        <w:rPr>
          <w:spacing w:val="-3"/>
          <w:sz w:val="24"/>
        </w:rPr>
        <w:t> </w:t>
      </w:r>
      <w:r>
        <w:rPr>
          <w:sz w:val="24"/>
        </w:rPr>
        <w:t>law</w:t>
      </w:r>
      <w:r>
        <w:rPr>
          <w:spacing w:val="-3"/>
          <w:sz w:val="24"/>
        </w:rPr>
        <w:t> </w:t>
      </w:r>
      <w:r>
        <w:rPr>
          <w:sz w:val="24"/>
        </w:rPr>
        <w:t>and</w:t>
      </w:r>
      <w:r>
        <w:rPr>
          <w:spacing w:val="-2"/>
          <w:sz w:val="24"/>
        </w:rPr>
        <w:t> </w:t>
      </w:r>
      <w:r>
        <w:rPr>
          <w:sz w:val="24"/>
        </w:rPr>
        <w:t>order</w:t>
      </w:r>
      <w:r>
        <w:rPr>
          <w:spacing w:val="-3"/>
          <w:sz w:val="24"/>
        </w:rPr>
        <w:t> </w:t>
      </w:r>
      <w:r>
        <w:rPr>
          <w:sz w:val="24"/>
        </w:rPr>
        <w:t>when</w:t>
      </w:r>
      <w:r>
        <w:rPr>
          <w:spacing w:val="-1"/>
          <w:sz w:val="24"/>
        </w:rPr>
        <w:t> </w:t>
      </w:r>
      <w:r>
        <w:rPr>
          <w:sz w:val="24"/>
        </w:rPr>
        <w:t>called</w:t>
      </w:r>
      <w:r>
        <w:rPr>
          <w:spacing w:val="-2"/>
          <w:sz w:val="24"/>
        </w:rPr>
        <w:t> </w:t>
      </w:r>
      <w:r>
        <w:rPr>
          <w:sz w:val="24"/>
        </w:rPr>
        <w:t>upon to do so by the President‟.</w:t>
      </w:r>
      <w:r>
        <w:rPr>
          <w:spacing w:val="40"/>
          <w:sz w:val="24"/>
        </w:rPr>
        <w:t> </w:t>
      </w:r>
      <w:r>
        <w:rPr>
          <w:sz w:val="24"/>
        </w:rPr>
        <w:t>In the same vein, due to perverseness of violence in Nigeria, the Federal Government has had to deploy the military to complement the action of the police in several parts of the country, especially since 1999.</w:t>
      </w:r>
    </w:p>
    <w:p>
      <w:pPr>
        <w:pStyle w:val="Heading2"/>
        <w:numPr>
          <w:ilvl w:val="2"/>
          <w:numId w:val="10"/>
        </w:numPr>
        <w:tabs>
          <w:tab w:pos="2160" w:val="left" w:leader="none"/>
        </w:tabs>
        <w:spacing w:line="240" w:lineRule="auto" w:before="7" w:after="0"/>
        <w:ind w:left="2160" w:right="0" w:hanging="720"/>
        <w:jc w:val="both"/>
      </w:pPr>
      <w:r>
        <w:rPr/>
        <w:t>Military</w:t>
      </w:r>
      <w:r>
        <w:rPr>
          <w:spacing w:val="-2"/>
        </w:rPr>
        <w:t> </w:t>
      </w:r>
      <w:r>
        <w:rPr/>
        <w:t>Operation Other</w:t>
      </w:r>
      <w:r>
        <w:rPr>
          <w:spacing w:val="-3"/>
        </w:rPr>
        <w:t> </w:t>
      </w:r>
      <w:r>
        <w:rPr/>
        <w:t>Than</w:t>
      </w:r>
      <w:r>
        <w:rPr>
          <w:spacing w:val="-1"/>
        </w:rPr>
        <w:t> </w:t>
      </w:r>
      <w:r>
        <w:rPr>
          <w:spacing w:val="-5"/>
        </w:rPr>
        <w:t>War</w:t>
      </w:r>
    </w:p>
    <w:p>
      <w:pPr>
        <w:pStyle w:val="BodyText"/>
        <w:spacing w:line="360" w:lineRule="auto" w:before="107"/>
        <w:ind w:right="1262" w:firstLine="720"/>
        <w:jc w:val="both"/>
      </w:pPr>
      <w:r>
        <w:rPr/>
        <w:t>According</w:t>
      </w:r>
      <w:r>
        <w:rPr>
          <w:spacing w:val="-5"/>
        </w:rPr>
        <w:t> </w:t>
      </w:r>
      <w:r>
        <w:rPr/>
        <w:t>to Ihekire</w:t>
      </w:r>
      <w:r>
        <w:rPr>
          <w:spacing w:val="-1"/>
        </w:rPr>
        <w:t> </w:t>
      </w:r>
      <w:r>
        <w:rPr/>
        <w:t>(2008),</w:t>
      </w:r>
      <w:r>
        <w:rPr>
          <w:spacing w:val="-3"/>
        </w:rPr>
        <w:t> </w:t>
      </w:r>
      <w:r>
        <w:rPr/>
        <w:t>Military</w:t>
      </w:r>
      <w:r>
        <w:rPr>
          <w:spacing w:val="-5"/>
        </w:rPr>
        <w:t> </w:t>
      </w:r>
      <w:r>
        <w:rPr/>
        <w:t>Operations</w:t>
      </w:r>
      <w:r>
        <w:rPr>
          <w:spacing w:val="-2"/>
        </w:rPr>
        <w:t> </w:t>
      </w:r>
      <w:r>
        <w:rPr/>
        <w:t>Other</w:t>
      </w:r>
      <w:r>
        <w:rPr>
          <w:spacing w:val="-3"/>
        </w:rPr>
        <w:t> </w:t>
      </w:r>
      <w:r>
        <w:rPr/>
        <w:t>Than</w:t>
      </w:r>
      <w:r>
        <w:rPr>
          <w:spacing w:val="-2"/>
        </w:rPr>
        <w:t> </w:t>
      </w:r>
      <w:r>
        <w:rPr/>
        <w:t>War</w:t>
      </w:r>
      <w:r>
        <w:rPr>
          <w:spacing w:val="-3"/>
        </w:rPr>
        <w:t> </w:t>
      </w:r>
      <w:r>
        <w:rPr/>
        <w:t>(MOOTW), is a concept in the United States military that refers to the use of military capabilities across</w:t>
      </w:r>
      <w:r>
        <w:rPr>
          <w:spacing w:val="-2"/>
        </w:rPr>
        <w:t> </w:t>
      </w:r>
      <w:r>
        <w:rPr/>
        <w:t>a range</w:t>
      </w:r>
      <w:r>
        <w:rPr>
          <w:spacing w:val="-2"/>
        </w:rPr>
        <w:t> </w:t>
      </w:r>
      <w:r>
        <w:rPr/>
        <w:t>of</w:t>
      </w:r>
      <w:r>
        <w:rPr>
          <w:spacing w:val="-2"/>
        </w:rPr>
        <w:t> </w:t>
      </w:r>
      <w:r>
        <w:rPr/>
        <w:t>operations</w:t>
      </w:r>
      <w:r>
        <w:rPr>
          <w:spacing w:val="-1"/>
        </w:rPr>
        <w:t> </w:t>
      </w:r>
      <w:r>
        <w:rPr/>
        <w:t>that</w:t>
      </w:r>
      <w:r>
        <w:rPr>
          <w:spacing w:val="-1"/>
        </w:rPr>
        <w:t> </w:t>
      </w:r>
      <w:r>
        <w:rPr/>
        <w:t>fall</w:t>
      </w:r>
      <w:r>
        <w:rPr>
          <w:spacing w:val="-1"/>
        </w:rPr>
        <w:t> </w:t>
      </w:r>
      <w:r>
        <w:rPr/>
        <w:t>short</w:t>
      </w:r>
      <w:r>
        <w:rPr>
          <w:spacing w:val="-1"/>
        </w:rPr>
        <w:t> </w:t>
      </w:r>
      <w:r>
        <w:rPr/>
        <w:t>of</w:t>
      </w:r>
      <w:r>
        <w:rPr>
          <w:spacing w:val="-2"/>
        </w:rPr>
        <w:t> </w:t>
      </w:r>
      <w:r>
        <w:rPr/>
        <w:t>outright</w:t>
      </w:r>
      <w:r>
        <w:rPr>
          <w:spacing w:val="-1"/>
        </w:rPr>
        <w:t> </w:t>
      </w:r>
      <w:r>
        <w:rPr/>
        <w:t>war.</w:t>
      </w:r>
      <w:r>
        <w:rPr>
          <w:spacing w:val="40"/>
        </w:rPr>
        <w:t> </w:t>
      </w:r>
      <w:r>
        <w:rPr/>
        <w:t>He</w:t>
      </w:r>
      <w:r>
        <w:rPr>
          <w:spacing w:val="-3"/>
        </w:rPr>
        <w:t> </w:t>
      </w:r>
      <w:r>
        <w:rPr/>
        <w:t>enumerated its</w:t>
      </w:r>
      <w:r>
        <w:rPr>
          <w:spacing w:val="-1"/>
        </w:rPr>
        <w:t> </w:t>
      </w:r>
      <w:r>
        <w:rPr/>
        <w:t>focus</w:t>
      </w:r>
      <w:r>
        <w:rPr>
          <w:spacing w:val="-1"/>
        </w:rPr>
        <w:t> </w:t>
      </w:r>
      <w:r>
        <w:rPr/>
        <w:t>to include;</w:t>
      </w:r>
      <w:r>
        <w:rPr>
          <w:spacing w:val="54"/>
        </w:rPr>
        <w:t> </w:t>
      </w:r>
      <w:r>
        <w:rPr/>
        <w:t>deterring</w:t>
      </w:r>
      <w:r>
        <w:rPr>
          <w:spacing w:val="53"/>
        </w:rPr>
        <w:t> </w:t>
      </w:r>
      <w:r>
        <w:rPr/>
        <w:t>war,</w:t>
      </w:r>
      <w:r>
        <w:rPr>
          <w:spacing w:val="59"/>
        </w:rPr>
        <w:t> </w:t>
      </w:r>
      <w:r>
        <w:rPr/>
        <w:t>arms</w:t>
      </w:r>
      <w:r>
        <w:rPr>
          <w:spacing w:val="56"/>
        </w:rPr>
        <w:t> </w:t>
      </w:r>
      <w:r>
        <w:rPr/>
        <w:t>control,</w:t>
      </w:r>
      <w:r>
        <w:rPr>
          <w:spacing w:val="57"/>
        </w:rPr>
        <w:t> </w:t>
      </w:r>
      <w:r>
        <w:rPr/>
        <w:t>disaster</w:t>
      </w:r>
      <w:r>
        <w:rPr>
          <w:spacing w:val="55"/>
        </w:rPr>
        <w:t> </w:t>
      </w:r>
      <w:r>
        <w:rPr/>
        <w:t>relief,</w:t>
      </w:r>
      <w:r>
        <w:rPr>
          <w:spacing w:val="56"/>
        </w:rPr>
        <w:t> </w:t>
      </w:r>
      <w:r>
        <w:rPr/>
        <w:t>resolving</w:t>
      </w:r>
      <w:r>
        <w:rPr>
          <w:spacing w:val="53"/>
        </w:rPr>
        <w:t> </w:t>
      </w:r>
      <w:r>
        <w:rPr/>
        <w:t>conflict,</w:t>
      </w:r>
      <w:r>
        <w:rPr>
          <w:spacing w:val="57"/>
        </w:rPr>
        <w:t> </w:t>
      </w:r>
      <w:r>
        <w:rPr>
          <w:spacing w:val="-2"/>
        </w:rPr>
        <w:t>promoting</w:t>
      </w:r>
    </w:p>
    <w:p>
      <w:pPr>
        <w:spacing w:after="0" w:line="360" w:lineRule="auto"/>
        <w:jc w:val="both"/>
        <w:sectPr>
          <w:pgSz w:w="11910" w:h="16840"/>
          <w:pgMar w:header="0" w:footer="1561" w:top="1360" w:bottom="1760" w:left="720" w:right="180"/>
        </w:sectPr>
      </w:pPr>
    </w:p>
    <w:p>
      <w:pPr>
        <w:pStyle w:val="BodyText"/>
        <w:spacing w:line="360" w:lineRule="auto" w:before="60"/>
        <w:ind w:right="1258"/>
        <w:jc w:val="both"/>
      </w:pPr>
      <w:r>
        <w:rPr/>
        <mc:AlternateContent>
          <mc:Choice Requires="wps">
            <w:drawing>
              <wp:anchor distT="0" distB="0" distL="0" distR="0" allowOverlap="1" layoutInCell="1" locked="0" behindDoc="1" simplePos="0" relativeHeight="480609792">
                <wp:simplePos x="0" y="0"/>
                <wp:positionH relativeFrom="page">
                  <wp:posOffset>-1537026</wp:posOffset>
                </wp:positionH>
                <wp:positionV relativeFrom="page">
                  <wp:posOffset>4900424</wp:posOffset>
                </wp:positionV>
                <wp:extent cx="10669905" cy="914400"/>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06688;rotation:306" type="#_x0000_t136" fillcolor="#ff5400" stroked="f">
                <o:extrusion v:ext="view" autorotationcenter="t"/>
                <v:textpath style="font-family:&quot;Arial MT&quot;;font-size:72pt;v-text-kern:t;mso-text-shadow:auto" string="UNIVERSITY OF IBADAN"/>
                <w10:wrap type="none"/>
              </v:shape>
            </w:pict>
          </mc:Fallback>
        </mc:AlternateContent>
      </w:r>
      <w:r>
        <w:rPr/>
        <w:t>peace and supporting civil authorities in response to domestic crises.</w:t>
      </w:r>
      <w:r>
        <w:rPr>
          <w:spacing w:val="40"/>
        </w:rPr>
        <w:t> </w:t>
      </w:r>
      <w:r>
        <w:rPr/>
        <w:t>Thus, the types of activities that can be undertaken under MOOTW include, but not limited to arms control, combating terrorism, enforcement of sanctions and humanitarian assistance operations.</w:t>
      </w:r>
      <w:r>
        <w:rPr>
          <w:spacing w:val="40"/>
        </w:rPr>
        <w:t> </w:t>
      </w:r>
      <w:r>
        <w:rPr/>
        <w:t>Others are peacekeeping operations, peace-enforcement operations and recovery operations, show of force operations, strikes and raids, policing duties amongst others.</w:t>
      </w:r>
    </w:p>
    <w:p>
      <w:pPr>
        <w:pStyle w:val="BodyText"/>
        <w:spacing w:line="360" w:lineRule="auto" w:before="1"/>
        <w:ind w:right="1255" w:firstLine="720"/>
        <w:jc w:val="both"/>
      </w:pPr>
      <w:r>
        <w:rPr>
          <w:b/>
        </w:rPr>
        <w:t>MOOTW </w:t>
      </w:r>
      <w:r>
        <w:rPr/>
        <w:t>may involve elements of both combat and non-combat military operations in peacetime, conflict, and war situations.</w:t>
      </w:r>
      <w:r>
        <w:rPr>
          <w:spacing w:val="40"/>
        </w:rPr>
        <w:t> </w:t>
      </w:r>
      <w:r>
        <w:rPr/>
        <w:t>That is, </w:t>
      </w:r>
      <w:r>
        <w:rPr>
          <w:b/>
        </w:rPr>
        <w:t>MOOTW </w:t>
      </w:r>
      <w:r>
        <w:rPr/>
        <w:t>can take place in peacetime or in wartime. If it is in peacetime, proper procedures must be followed to mount it and conclude it.</w:t>
      </w:r>
      <w:r>
        <w:rPr>
          <w:spacing w:val="40"/>
        </w:rPr>
        <w:t> </w:t>
      </w:r>
      <w:r>
        <w:rPr/>
        <w:t>However, because of political considerations, </w:t>
      </w:r>
      <w:r>
        <w:rPr>
          <w:b/>
        </w:rPr>
        <w:t>MOOTW </w:t>
      </w:r>
      <w:r>
        <w:rPr/>
        <w:t>operations normally have more restrictive Rules of Engagement (ROE) than in war and they follow some basic principles.</w:t>
      </w:r>
    </w:p>
    <w:p>
      <w:pPr>
        <w:pStyle w:val="BodyText"/>
        <w:spacing w:line="360" w:lineRule="auto" w:before="1"/>
        <w:ind w:right="1253" w:firstLine="720"/>
        <w:jc w:val="both"/>
      </w:pPr>
      <w:r>
        <w:rPr/>
        <w:t>There are six </w:t>
      </w:r>
      <w:r>
        <w:rPr>
          <w:b/>
        </w:rPr>
        <w:t>MOOTW </w:t>
      </w:r>
      <w:r>
        <w:rPr/>
        <w:t>principles: "objectives, unity of effort, security, restraint, perseverance" and "legitimacy".</w:t>
      </w:r>
      <w:r>
        <w:rPr>
          <w:spacing w:val="40"/>
        </w:rPr>
        <w:t> </w:t>
      </w:r>
      <w:r>
        <w:rPr/>
        <w:t>The</w:t>
      </w:r>
      <w:r>
        <w:rPr>
          <w:spacing w:val="-1"/>
        </w:rPr>
        <w:t> </w:t>
      </w:r>
      <w:r>
        <w:rPr/>
        <w:t>first three</w:t>
      </w:r>
      <w:r>
        <w:rPr>
          <w:spacing w:val="-1"/>
        </w:rPr>
        <w:t> </w:t>
      </w:r>
      <w:r>
        <w:rPr/>
        <w:t>derive</w:t>
      </w:r>
      <w:r>
        <w:rPr>
          <w:spacing w:val="-2"/>
        </w:rPr>
        <w:t> </w:t>
      </w:r>
      <w:r>
        <w:rPr/>
        <w:t>from the</w:t>
      </w:r>
      <w:r>
        <w:rPr>
          <w:spacing w:val="-1"/>
        </w:rPr>
        <w:t> </w:t>
      </w:r>
      <w:r>
        <w:rPr/>
        <w:t>principles</w:t>
      </w:r>
      <w:r>
        <w:rPr>
          <w:spacing w:val="-1"/>
        </w:rPr>
        <w:t> </w:t>
      </w:r>
      <w:r>
        <w:rPr/>
        <w:t>of war, and the remaining three are MOOTW-specific.</w:t>
      </w:r>
      <w:r>
        <w:rPr>
          <w:spacing w:val="40"/>
        </w:rPr>
        <w:t> </w:t>
      </w:r>
      <w:r>
        <w:rPr/>
        <w:t>This paper will examine the last three MOOTW principles. For restraint, judicious use of force if necessary, carefully balancing the need for security, the conduct of operations, and the political objective. Commanders at all levels must take proactive steps to ensure their personnel know</w:t>
      </w:r>
      <w:r>
        <w:rPr>
          <w:spacing w:val="40"/>
        </w:rPr>
        <w:t> </w:t>
      </w:r>
      <w:r>
        <w:rPr/>
        <w:t>and understand the ROE and are quickly informed of changes; otherwise it can result in fratricide, mission failure, and national embarrassment.</w:t>
      </w:r>
      <w:r>
        <w:rPr>
          <w:spacing w:val="40"/>
        </w:rPr>
        <w:t> </w:t>
      </w:r>
      <w:r>
        <w:rPr/>
        <w:t>Thus, ROE in </w:t>
      </w:r>
      <w:r>
        <w:rPr>
          <w:b/>
        </w:rPr>
        <w:t>MOOTW </w:t>
      </w:r>
      <w:r>
        <w:rPr/>
        <w:t>are generally</w:t>
      </w:r>
      <w:r>
        <w:rPr>
          <w:spacing w:val="-3"/>
        </w:rPr>
        <w:t> </w:t>
      </w:r>
      <w:r>
        <w:rPr/>
        <w:t>more restrictive, detailed, and sensitive</w:t>
      </w:r>
      <w:r>
        <w:rPr>
          <w:spacing w:val="-1"/>
        </w:rPr>
        <w:t> </w:t>
      </w:r>
      <w:r>
        <w:rPr/>
        <w:t>to political concerns</w:t>
      </w:r>
      <w:r>
        <w:rPr>
          <w:spacing w:val="-1"/>
        </w:rPr>
        <w:t> </w:t>
      </w:r>
      <w:r>
        <w:rPr/>
        <w:t>than in war. In</w:t>
      </w:r>
      <w:r>
        <w:rPr>
          <w:spacing w:val="-1"/>
        </w:rPr>
        <w:t> </w:t>
      </w:r>
      <w:r>
        <w:rPr/>
        <w:t>the</w:t>
      </w:r>
      <w:r>
        <w:rPr>
          <w:spacing w:val="-2"/>
        </w:rPr>
        <w:t> </w:t>
      </w:r>
      <w:r>
        <w:rPr/>
        <w:t>same</w:t>
      </w:r>
      <w:r>
        <w:rPr>
          <w:spacing w:val="-2"/>
        </w:rPr>
        <w:t> </w:t>
      </w:r>
      <w:r>
        <w:rPr/>
        <w:t>vein,</w:t>
      </w:r>
      <w:r>
        <w:rPr>
          <w:spacing w:val="-1"/>
        </w:rPr>
        <w:t> </w:t>
      </w:r>
      <w:r>
        <w:rPr/>
        <w:t>some </w:t>
      </w:r>
      <w:r>
        <w:rPr>
          <w:b/>
        </w:rPr>
        <w:t>MOOTW </w:t>
      </w:r>
      <w:r>
        <w:rPr/>
        <w:t>may</w:t>
      </w:r>
      <w:r>
        <w:rPr>
          <w:spacing w:val="-5"/>
        </w:rPr>
        <w:t> </w:t>
      </w:r>
      <w:r>
        <w:rPr/>
        <w:t>require years</w:t>
      </w:r>
      <w:r>
        <w:rPr>
          <w:spacing w:val="-2"/>
        </w:rPr>
        <w:t> </w:t>
      </w:r>
      <w:r>
        <w:rPr/>
        <w:t>to</w:t>
      </w:r>
      <w:r>
        <w:rPr>
          <w:spacing w:val="-1"/>
        </w:rPr>
        <w:t> </w:t>
      </w:r>
      <w:r>
        <w:rPr/>
        <w:t>achieve</w:t>
      </w:r>
      <w:r>
        <w:rPr>
          <w:spacing w:val="-2"/>
        </w:rPr>
        <w:t> </w:t>
      </w:r>
      <w:r>
        <w:rPr/>
        <w:t>the</w:t>
      </w:r>
      <w:r>
        <w:rPr>
          <w:spacing w:val="-2"/>
        </w:rPr>
        <w:t> </w:t>
      </w:r>
      <w:r>
        <w:rPr/>
        <w:t>desired</w:t>
      </w:r>
      <w:r>
        <w:rPr>
          <w:spacing w:val="-1"/>
        </w:rPr>
        <w:t> </w:t>
      </w:r>
      <w:r>
        <w:rPr/>
        <w:t>results</w:t>
      </w:r>
      <w:r>
        <w:rPr>
          <w:spacing w:val="-1"/>
        </w:rPr>
        <w:t> </w:t>
      </w:r>
      <w:r>
        <w:rPr/>
        <w:t>and hence, element of perseverance is required.</w:t>
      </w:r>
    </w:p>
    <w:p>
      <w:pPr>
        <w:pStyle w:val="BodyText"/>
        <w:spacing w:line="360" w:lineRule="auto"/>
        <w:ind w:right="1261" w:firstLine="720"/>
        <w:jc w:val="both"/>
      </w:pPr>
      <w:r>
        <w:rPr/>
        <w:t>Lastly, for legitimacy, the goal here is to have committed forces sustain the legitimacy</w:t>
      </w:r>
      <w:r>
        <w:rPr>
          <w:spacing w:val="-3"/>
        </w:rPr>
        <w:t> </w:t>
      </w:r>
      <w:r>
        <w:rPr/>
        <w:t>of the operation and of the host government or community</w:t>
      </w:r>
      <w:r>
        <w:rPr>
          <w:spacing w:val="-5"/>
        </w:rPr>
        <w:t> </w:t>
      </w:r>
      <w:r>
        <w:rPr/>
        <w:t>as the case may be.</w:t>
      </w:r>
      <w:r>
        <w:rPr>
          <w:spacing w:val="40"/>
        </w:rPr>
        <w:t> </w:t>
      </w:r>
      <w:r>
        <w:rPr/>
        <w:t>In </w:t>
      </w:r>
      <w:r>
        <w:rPr>
          <w:b/>
        </w:rPr>
        <w:t>MOOTW, </w:t>
      </w:r>
      <w:r>
        <w:rPr/>
        <w:t>legitimacy is a condition based on the perception by a specific audience of the legality, morality, or rightness of a set of actions.</w:t>
      </w:r>
    </w:p>
    <w:p>
      <w:pPr>
        <w:pStyle w:val="BodyText"/>
        <w:spacing w:line="360" w:lineRule="auto"/>
        <w:ind w:right="1258" w:firstLine="720"/>
        <w:jc w:val="both"/>
      </w:pPr>
      <w:r>
        <w:rPr/>
        <w:t>In looking at command in </w:t>
      </w:r>
      <w:r>
        <w:rPr>
          <w:b/>
        </w:rPr>
        <w:t>MOOTW, </w:t>
      </w:r>
      <w:r>
        <w:rPr/>
        <w:t>Obiakor (2007) commented that, "an enduring feature of military operations other than war is the importance of the</w:t>
      </w:r>
      <w:r>
        <w:rPr>
          <w:spacing w:val="40"/>
        </w:rPr>
        <w:t> </w:t>
      </w:r>
      <w:r>
        <w:rPr/>
        <w:t>political dimension. Military commanders are unlikely to have primacy of command, as military activity may form only one component of an integrated campaign plan in which economic, political, humanitarian or legal achievement can be as important as military success".</w:t>
      </w:r>
    </w:p>
    <w:p>
      <w:pPr>
        <w:spacing w:after="0" w:line="360" w:lineRule="auto"/>
        <w:jc w:val="both"/>
        <w:sectPr>
          <w:pgSz w:w="11910" w:h="16840"/>
          <w:pgMar w:header="0" w:footer="1561" w:top="1360" w:bottom="1760" w:left="720" w:right="180"/>
        </w:sectPr>
      </w:pPr>
    </w:p>
    <w:p>
      <w:pPr>
        <w:pStyle w:val="BodyText"/>
        <w:spacing w:line="360" w:lineRule="auto" w:before="60"/>
        <w:ind w:right="1254" w:firstLine="720"/>
        <w:jc w:val="both"/>
      </w:pPr>
      <w:r>
        <w:rPr/>
        <mc:AlternateContent>
          <mc:Choice Requires="wps">
            <w:drawing>
              <wp:anchor distT="0" distB="0" distL="0" distR="0" allowOverlap="1" layoutInCell="1" locked="0" behindDoc="1" simplePos="0" relativeHeight="480610304">
                <wp:simplePos x="0" y="0"/>
                <wp:positionH relativeFrom="page">
                  <wp:posOffset>-1537026</wp:posOffset>
                </wp:positionH>
                <wp:positionV relativeFrom="page">
                  <wp:posOffset>4900424</wp:posOffset>
                </wp:positionV>
                <wp:extent cx="10669905" cy="914400"/>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06176;rotation:306" type="#_x0000_t136" fillcolor="#ff5400" stroked="f">
                <o:extrusion v:ext="view" autorotationcenter="t"/>
                <v:textpath style="font-family:&quot;Arial MT&quot;;font-size:72pt;v-text-kern:t;mso-text-shadow:auto" string="UNIVERSITY OF IBADAN"/>
                <w10:wrap type="none"/>
              </v:shape>
            </w:pict>
          </mc:Fallback>
        </mc:AlternateContent>
      </w:r>
      <w:r>
        <w:rPr/>
        <w:t>Thus, political consideration may influence decision-making down to the tactical level and constrain the freedom of action of military commanders.</w:t>
      </w:r>
      <w:r>
        <w:rPr>
          <w:spacing w:val="80"/>
        </w:rPr>
        <w:t> </w:t>
      </w:r>
      <w:r>
        <w:rPr/>
        <w:t>To</w:t>
      </w:r>
      <w:r>
        <w:rPr>
          <w:spacing w:val="40"/>
        </w:rPr>
        <w:t> </w:t>
      </w:r>
      <w:r>
        <w:rPr/>
        <w:t>succeed in </w:t>
      </w:r>
      <w:r>
        <w:rPr>
          <w:b/>
        </w:rPr>
        <w:t>MOOTW, </w:t>
      </w:r>
      <w:r>
        <w:rPr/>
        <w:t>one requires consultation with political advisers and joint</w:t>
      </w:r>
      <w:r>
        <w:rPr>
          <w:spacing w:val="40"/>
        </w:rPr>
        <w:t> </w:t>
      </w:r>
      <w:r>
        <w:rPr/>
        <w:t>action with other agencies.</w:t>
      </w:r>
      <w:r>
        <w:rPr>
          <w:spacing w:val="40"/>
        </w:rPr>
        <w:t> </w:t>
      </w:r>
      <w:r>
        <w:rPr/>
        <w:t>Commanders must be aware from onset that speedy solutions in </w:t>
      </w:r>
      <w:r>
        <w:rPr>
          <w:b/>
        </w:rPr>
        <w:t>MOOTW </w:t>
      </w:r>
      <w:r>
        <w:rPr/>
        <w:t>are difficult to achieve and must therefore initiate long-term plans.</w:t>
      </w:r>
      <w:r>
        <w:rPr>
          <w:spacing w:val="80"/>
        </w:rPr>
        <w:t> </w:t>
      </w:r>
      <w:r>
        <w:rPr/>
        <w:t>The application of force will be restricted to the minimum, necessary to achieve the mission at hand.</w:t>
      </w:r>
      <w:r>
        <w:rPr>
          <w:spacing w:val="40"/>
        </w:rPr>
        <w:t> </w:t>
      </w:r>
      <w:r>
        <w:rPr/>
        <w:t>Minimum force must remain appropriate, demonstrably reasonable and confined in effort, to the specific and legitimate target intended. </w:t>
      </w:r>
      <w:r>
        <w:rPr>
          <w:b/>
        </w:rPr>
        <w:t>MOOTW </w:t>
      </w:r>
      <w:r>
        <w:rPr/>
        <w:t>are characterized by heavy media attention, so dealing with the media should be a constant theme for commanders.</w:t>
      </w:r>
    </w:p>
    <w:p>
      <w:pPr>
        <w:pStyle w:val="BodyText"/>
        <w:spacing w:line="360" w:lineRule="auto" w:before="2"/>
        <w:ind w:right="1257" w:firstLine="720"/>
        <w:jc w:val="both"/>
      </w:pPr>
      <w:r>
        <w:rPr/>
        <w:t>In</w:t>
      </w:r>
      <w:r>
        <w:rPr>
          <w:spacing w:val="-1"/>
        </w:rPr>
        <w:t> </w:t>
      </w:r>
      <w:r>
        <w:rPr/>
        <w:t>sum,</w:t>
      </w:r>
      <w:r>
        <w:rPr>
          <w:spacing w:val="-1"/>
        </w:rPr>
        <w:t> </w:t>
      </w:r>
      <w:r>
        <w:rPr/>
        <w:t>the</w:t>
      </w:r>
      <w:r>
        <w:rPr>
          <w:spacing w:val="-2"/>
        </w:rPr>
        <w:t> </w:t>
      </w:r>
      <w:r>
        <w:rPr/>
        <w:t>term </w:t>
      </w:r>
      <w:r>
        <w:rPr>
          <w:b/>
        </w:rPr>
        <w:t>MOOTW </w:t>
      </w:r>
      <w:r>
        <w:rPr/>
        <w:t>would</w:t>
      </w:r>
      <w:r>
        <w:rPr>
          <w:spacing w:val="-1"/>
        </w:rPr>
        <w:t> </w:t>
      </w:r>
      <w:r>
        <w:rPr/>
        <w:t>generally</w:t>
      </w:r>
      <w:r>
        <w:rPr>
          <w:spacing w:val="-4"/>
        </w:rPr>
        <w:t> </w:t>
      </w:r>
      <w:r>
        <w:rPr/>
        <w:t>be classified</w:t>
      </w:r>
      <w:r>
        <w:rPr>
          <w:spacing w:val="-1"/>
        </w:rPr>
        <w:t> </w:t>
      </w:r>
      <w:r>
        <w:rPr/>
        <w:t>under either</w:t>
      </w:r>
      <w:r>
        <w:rPr>
          <w:spacing w:val="-2"/>
        </w:rPr>
        <w:t> </w:t>
      </w:r>
      <w:r>
        <w:rPr/>
        <w:t>Military Aid to Civil Authority (MACA) or Internal Security (IS) duties.</w:t>
      </w:r>
      <w:r>
        <w:rPr>
          <w:spacing w:val="80"/>
        </w:rPr>
        <w:t> </w:t>
      </w:r>
      <w:r>
        <w:rPr/>
        <w:t>They are therefore not to be called core military tasks and traditionally the military does not specifically train or organize for many aspects of MOOTW.</w:t>
      </w:r>
      <w:r>
        <w:rPr>
          <w:spacing w:val="40"/>
        </w:rPr>
        <w:t> </w:t>
      </w:r>
      <w:r>
        <w:rPr/>
        <w:t>However, the military</w:t>
      </w:r>
      <w:r>
        <w:rPr>
          <w:spacing w:val="-3"/>
        </w:rPr>
        <w:t> </w:t>
      </w:r>
      <w:r>
        <w:rPr/>
        <w:t>can always be called out to provide support in emergency when a bad situation assumes national </w:t>
      </w:r>
      <w:r>
        <w:rPr>
          <w:spacing w:val="-2"/>
        </w:rPr>
        <w:t>significance.</w:t>
      </w:r>
    </w:p>
    <w:p>
      <w:pPr>
        <w:pStyle w:val="BodyText"/>
        <w:spacing w:line="360" w:lineRule="auto"/>
        <w:ind w:right="1255" w:firstLine="720"/>
        <w:jc w:val="both"/>
      </w:pPr>
      <w:r>
        <w:rPr/>
        <w:t>When this happens, military units that are called out have to adapt the capabilities of such units to meet civilian needs.</w:t>
      </w:r>
      <w:r>
        <w:rPr>
          <w:spacing w:val="40"/>
        </w:rPr>
        <w:t> </w:t>
      </w:r>
      <w:r>
        <w:rPr/>
        <w:t>The jobs are essentially civilian jobs (civil police) and are meant to be so, but what is unique to the military is the speed with which they can be brought to bear on an emergency.</w:t>
      </w:r>
    </w:p>
    <w:p>
      <w:pPr>
        <w:pStyle w:val="BodyText"/>
        <w:spacing w:line="360" w:lineRule="auto" w:before="1"/>
        <w:ind w:right="1259" w:firstLine="720"/>
        <w:jc w:val="both"/>
      </w:pPr>
      <w:r>
        <w:rPr/>
        <w:t>From the foregoing, it can be deduced that MOOTW forms part of a continuum of military operations and it oscillates between PSOs and IS duties. By implication, the Joint military Task Force (JTF) Operation in the Niger Delta of Nigeria falls under MOOTW.</w:t>
      </w:r>
    </w:p>
    <w:p>
      <w:pPr>
        <w:pStyle w:val="BodyText"/>
        <w:spacing w:before="4"/>
        <w:ind w:left="0"/>
      </w:pPr>
    </w:p>
    <w:p>
      <w:pPr>
        <w:pStyle w:val="Heading1"/>
        <w:numPr>
          <w:ilvl w:val="1"/>
          <w:numId w:val="10"/>
        </w:numPr>
        <w:tabs>
          <w:tab w:pos="2160" w:val="left" w:leader="none"/>
        </w:tabs>
        <w:spacing w:line="240" w:lineRule="auto" w:before="1" w:after="0"/>
        <w:ind w:left="2160" w:right="0" w:hanging="720"/>
        <w:jc w:val="left"/>
      </w:pPr>
      <w:bookmarkStart w:name="_TOC_250013" w:id="29"/>
      <w:r>
        <w:rPr/>
        <w:t>LITERATURE</w:t>
      </w:r>
      <w:bookmarkEnd w:id="29"/>
      <w:r>
        <w:rPr>
          <w:spacing w:val="-2"/>
        </w:rPr>
        <w:t> REVIEW</w:t>
      </w:r>
    </w:p>
    <w:p>
      <w:pPr>
        <w:pStyle w:val="BodyText"/>
        <w:spacing w:line="360" w:lineRule="auto" w:before="132"/>
        <w:ind w:right="1259" w:firstLine="720"/>
        <w:jc w:val="both"/>
      </w:pPr>
      <w:r>
        <w:rPr/>
        <w:t>In the Niger Delta region, the context (geographic or social environment), the parties, the government, oil companies and the communities are involved at different levels in the degenerating conflict profile of the area.</w:t>
      </w:r>
      <w:r>
        <w:rPr>
          <w:spacing w:val="40"/>
        </w:rPr>
        <w:t> </w:t>
      </w:r>
      <w:r>
        <w:rPr/>
        <w:t>For the purpose of this study, context means a geographical or social environment where conflict exists and is composed of actors, causes, profile and dynamics.</w:t>
      </w:r>
    </w:p>
    <w:p>
      <w:pPr>
        <w:pStyle w:val="BodyText"/>
        <w:spacing w:line="360" w:lineRule="auto" w:before="2"/>
        <w:ind w:right="1260" w:firstLine="720"/>
        <w:jc w:val="both"/>
      </w:pPr>
      <w:r>
        <w:rPr/>
        <w:t>Environmental degradation, poverty and neglect, created the fault line for perennial</w:t>
      </w:r>
      <w:r>
        <w:rPr>
          <w:spacing w:val="51"/>
        </w:rPr>
        <w:t> </w:t>
      </w:r>
      <w:r>
        <w:rPr/>
        <w:t>conflict</w:t>
      </w:r>
      <w:r>
        <w:rPr>
          <w:spacing w:val="52"/>
        </w:rPr>
        <w:t> </w:t>
      </w:r>
      <w:r>
        <w:rPr/>
        <w:t>over</w:t>
      </w:r>
      <w:r>
        <w:rPr>
          <w:spacing w:val="53"/>
        </w:rPr>
        <w:t> </w:t>
      </w:r>
      <w:r>
        <w:rPr/>
        <w:t>oil</w:t>
      </w:r>
      <w:r>
        <w:rPr>
          <w:spacing w:val="52"/>
        </w:rPr>
        <w:t> </w:t>
      </w:r>
      <w:r>
        <w:rPr/>
        <w:t>in</w:t>
      </w:r>
      <w:r>
        <w:rPr>
          <w:spacing w:val="52"/>
        </w:rPr>
        <w:t> </w:t>
      </w:r>
      <w:r>
        <w:rPr/>
        <w:t>the</w:t>
      </w:r>
      <w:r>
        <w:rPr>
          <w:spacing w:val="51"/>
        </w:rPr>
        <w:t> </w:t>
      </w:r>
      <w:r>
        <w:rPr/>
        <w:t>Niger</w:t>
      </w:r>
      <w:r>
        <w:rPr>
          <w:spacing w:val="54"/>
        </w:rPr>
        <w:t> </w:t>
      </w:r>
      <w:r>
        <w:rPr/>
        <w:t>Delta.</w:t>
      </w:r>
      <w:r>
        <w:rPr>
          <w:spacing w:val="53"/>
        </w:rPr>
        <w:t>  </w:t>
      </w:r>
      <w:r>
        <w:rPr/>
        <w:t>The</w:t>
      </w:r>
      <w:r>
        <w:rPr>
          <w:spacing w:val="53"/>
        </w:rPr>
        <w:t> </w:t>
      </w:r>
      <w:r>
        <w:rPr/>
        <w:t>conflict</w:t>
      </w:r>
      <w:r>
        <w:rPr>
          <w:spacing w:val="52"/>
        </w:rPr>
        <w:t> </w:t>
      </w:r>
      <w:r>
        <w:rPr/>
        <w:t>has</w:t>
      </w:r>
      <w:r>
        <w:rPr>
          <w:spacing w:val="51"/>
        </w:rPr>
        <w:t> </w:t>
      </w:r>
      <w:r>
        <w:rPr/>
        <w:t>also</w:t>
      </w:r>
      <w:r>
        <w:rPr>
          <w:spacing w:val="55"/>
        </w:rPr>
        <w:t> </w:t>
      </w:r>
      <w:r>
        <w:rPr>
          <w:spacing w:val="-2"/>
        </w:rPr>
        <w:t>engendered</w:t>
      </w:r>
    </w:p>
    <w:p>
      <w:pPr>
        <w:spacing w:after="0" w:line="360" w:lineRule="auto"/>
        <w:jc w:val="both"/>
        <w:sectPr>
          <w:pgSz w:w="11910" w:h="16840"/>
          <w:pgMar w:header="0" w:footer="1561" w:top="1360" w:bottom="1760" w:left="720" w:right="180"/>
        </w:sectPr>
      </w:pPr>
    </w:p>
    <w:p>
      <w:pPr>
        <w:pStyle w:val="BodyText"/>
        <w:spacing w:line="360" w:lineRule="auto" w:before="60"/>
        <w:ind w:right="1261"/>
        <w:jc w:val="both"/>
      </w:pPr>
      <w:r>
        <w:rPr/>
        <mc:AlternateContent>
          <mc:Choice Requires="wps">
            <w:drawing>
              <wp:anchor distT="0" distB="0" distL="0" distR="0" allowOverlap="1" layoutInCell="1" locked="0" behindDoc="1" simplePos="0" relativeHeight="480610816">
                <wp:simplePos x="0" y="0"/>
                <wp:positionH relativeFrom="page">
                  <wp:posOffset>-1537026</wp:posOffset>
                </wp:positionH>
                <wp:positionV relativeFrom="page">
                  <wp:posOffset>4900424</wp:posOffset>
                </wp:positionV>
                <wp:extent cx="10669905" cy="914400"/>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05664;rotation:306" type="#_x0000_t136" fillcolor="#ff5400" stroked="f">
                <o:extrusion v:ext="view" autorotationcenter="t"/>
                <v:textpath style="font-family:&quot;Arial MT&quot;;font-size:72pt;v-text-kern:t;mso-text-shadow:auto" string="UNIVERSITY OF IBADAN"/>
                <w10:wrap type="none"/>
              </v:shape>
            </w:pict>
          </mc:Fallback>
        </mc:AlternateContent>
      </w:r>
      <w:r>
        <w:rPr/>
        <w:t>polarization within and between communities, dilating the conflict and occasioning cyclical violence. According</w:t>
      </w:r>
      <w:r>
        <w:rPr>
          <w:spacing w:val="-1"/>
        </w:rPr>
        <w:t> </w:t>
      </w:r>
      <w:r>
        <w:rPr/>
        <w:t>to Oshita (2005:95) "the conflict in Niger Delta could be linked to be a denial of the ontological needs of the people and complicated by the communal content, governance of the state, and international linkages".</w:t>
      </w:r>
    </w:p>
    <w:p>
      <w:pPr>
        <w:pStyle w:val="BodyText"/>
        <w:spacing w:line="360" w:lineRule="auto" w:before="1"/>
        <w:ind w:right="1255" w:firstLine="720"/>
        <w:jc w:val="both"/>
      </w:pPr>
      <w:r>
        <w:rPr/>
        <w:t>Azar (1990 :7), also observes that "a single communal group or coalition of a few communal groups that are unresponsive to the needs of other groups in the</w:t>
      </w:r>
      <w:r>
        <w:rPr>
          <w:spacing w:val="40"/>
        </w:rPr>
        <w:t> </w:t>
      </w:r>
      <w:r>
        <w:rPr/>
        <w:t>society strains the social fabric and eventually breeds fragmentation and protracted social conflicts".</w:t>
      </w:r>
      <w:r>
        <w:rPr>
          <w:spacing w:val="40"/>
        </w:rPr>
        <w:t> </w:t>
      </w:r>
      <w:r>
        <w:rPr/>
        <w:t>Thus, Azar argues that the need-based grievances of communities cultivate the niches for protracted social conflict. Oshita (2005:95) argues that "this mirror of neglect underscores the relevance of Azars notion of protracted social conflict and diminishes Collier's subordination of grievance to greed.</w:t>
      </w:r>
      <w:r>
        <w:rPr>
          <w:spacing w:val="40"/>
        </w:rPr>
        <w:t> </w:t>
      </w:r>
      <w:r>
        <w:rPr/>
        <w:t>He asserts that Collier (2001) was wrong in believing that greed was, more prominent than grievance in resource-based conflicts.</w:t>
      </w:r>
      <w:r>
        <w:rPr>
          <w:spacing w:val="80"/>
        </w:rPr>
        <w:t> </w:t>
      </w:r>
      <w:r>
        <w:rPr/>
        <w:t>The argument that abundance or lack, therefore, of natural resources in Africa is a major cause of intra-state conflicts is well documented (Collier, 2001; kaldor, 2001; Dufield, 2001; Stewart and FitzGerald, 2001).</w:t>
      </w:r>
    </w:p>
    <w:p>
      <w:pPr>
        <w:pStyle w:val="BodyText"/>
        <w:spacing w:line="360" w:lineRule="auto"/>
        <w:ind w:right="1258" w:firstLine="720"/>
        <w:jc w:val="both"/>
      </w:pPr>
      <w:r>
        <w:rPr/>
        <w:t>Conflict can benefit certain sector of the society, thus creating vested interests in perpetuating conflict and impeding a lasting peace.</w:t>
      </w:r>
      <w:r>
        <w:rPr>
          <w:spacing w:val="40"/>
        </w:rPr>
        <w:t> </w:t>
      </w:r>
      <w:r>
        <w:rPr/>
        <w:t>The political economy of conflict is thus an important consideration in analyzing the Niger Delta conflict. According to Le Billion (2001), the oil sector in Nigeria operates 'enclave economy', based on selective patronage.</w:t>
      </w:r>
      <w:r>
        <w:rPr>
          <w:spacing w:val="40"/>
        </w:rPr>
        <w:t> </w:t>
      </w:r>
      <w:r>
        <w:rPr/>
        <w:t>The state-centric nature of oil exploration concentrates oil wealth in the hands of the ruling elite, their foreign partners and the multinational oil companies, where they most probably maintained interest (Oshita, 2007).</w:t>
      </w:r>
    </w:p>
    <w:p>
      <w:pPr>
        <w:pStyle w:val="BodyText"/>
        <w:spacing w:line="360" w:lineRule="auto"/>
        <w:ind w:right="1259" w:firstLine="780"/>
        <w:jc w:val="both"/>
      </w:pPr>
      <w:r>
        <w:rPr/>
        <w:t>Many conflicts for example are understood to have their origin in an unaddressed ethnic or religious discrimination, horizontally unequal distribution of resources and dramatic increase in unemployment.</w:t>
      </w:r>
      <w:r>
        <w:rPr>
          <w:spacing w:val="40"/>
        </w:rPr>
        <w:t> </w:t>
      </w:r>
      <w:r>
        <w:rPr/>
        <w:t>Researchers, like Collier and Hoeffler (1998) have recently begun to emphasise the role of "greed" in conflicts and draw attention to the benefits that accrue</w:t>
      </w:r>
      <w:r>
        <w:rPr>
          <w:spacing w:val="-1"/>
        </w:rPr>
        <w:t> </w:t>
      </w:r>
      <w:r>
        <w:rPr/>
        <w:t>from participation in conflict employment in militancy, access to scarce resources and power. Rarely is the political economy of conflict clearly delineated as simply "greed" or "grievance". Often, one can observe a shift over time from "grievance" to "greed" (Collier, 1998).</w:t>
      </w:r>
      <w:r>
        <w:rPr>
          <w:spacing w:val="40"/>
        </w:rPr>
        <w:t> </w:t>
      </w:r>
      <w:r>
        <w:rPr/>
        <w:t>For example, insurgents need funds for food and supplies which they</w:t>
      </w:r>
      <w:r>
        <w:rPr>
          <w:spacing w:val="-3"/>
        </w:rPr>
        <w:t> </w:t>
      </w:r>
      <w:r>
        <w:rPr/>
        <w:t>often have to raise by</w:t>
      </w:r>
      <w:r>
        <w:rPr>
          <w:spacing w:val="-3"/>
        </w:rPr>
        <w:t> </w:t>
      </w:r>
      <w:r>
        <w:rPr/>
        <w:t>illegal commercial activity or "taxes" (such as ransoms from kidnapping and illegal oil bunkering). However,</w:t>
      </w:r>
      <w:r>
        <w:rPr>
          <w:spacing w:val="20"/>
        </w:rPr>
        <w:t> </w:t>
      </w:r>
      <w:r>
        <w:rPr/>
        <w:t>this</w:t>
      </w:r>
      <w:r>
        <w:rPr>
          <w:spacing w:val="23"/>
        </w:rPr>
        <w:t> </w:t>
      </w:r>
      <w:r>
        <w:rPr/>
        <w:t>fundraising</w:t>
      </w:r>
      <w:r>
        <w:rPr>
          <w:spacing w:val="20"/>
        </w:rPr>
        <w:t> </w:t>
      </w:r>
      <w:r>
        <w:rPr/>
        <w:t>can</w:t>
      </w:r>
      <w:r>
        <w:rPr>
          <w:spacing w:val="25"/>
        </w:rPr>
        <w:t> </w:t>
      </w:r>
      <w:r>
        <w:rPr/>
        <w:t>cease</w:t>
      </w:r>
      <w:r>
        <w:rPr>
          <w:spacing w:val="21"/>
        </w:rPr>
        <w:t> </w:t>
      </w:r>
      <w:r>
        <w:rPr/>
        <w:t>to</w:t>
      </w:r>
      <w:r>
        <w:rPr>
          <w:spacing w:val="24"/>
        </w:rPr>
        <w:t> </w:t>
      </w:r>
      <w:r>
        <w:rPr/>
        <w:t>be</w:t>
      </w:r>
      <w:r>
        <w:rPr>
          <w:spacing w:val="21"/>
        </w:rPr>
        <w:t> </w:t>
      </w:r>
      <w:r>
        <w:rPr/>
        <w:t>a</w:t>
      </w:r>
      <w:r>
        <w:rPr>
          <w:spacing w:val="21"/>
        </w:rPr>
        <w:t> </w:t>
      </w:r>
      <w:r>
        <w:rPr/>
        <w:t>means</w:t>
      </w:r>
      <w:r>
        <w:rPr>
          <w:spacing w:val="23"/>
        </w:rPr>
        <w:t> </w:t>
      </w:r>
      <w:r>
        <w:rPr/>
        <w:t>to</w:t>
      </w:r>
      <w:r>
        <w:rPr>
          <w:spacing w:val="23"/>
        </w:rPr>
        <w:t> </w:t>
      </w:r>
      <w:r>
        <w:rPr/>
        <w:t>an</w:t>
      </w:r>
      <w:r>
        <w:rPr>
          <w:spacing w:val="23"/>
        </w:rPr>
        <w:t> </w:t>
      </w:r>
      <w:r>
        <w:rPr/>
        <w:t>end</w:t>
      </w:r>
      <w:r>
        <w:rPr>
          <w:spacing w:val="22"/>
        </w:rPr>
        <w:t> </w:t>
      </w:r>
      <w:r>
        <w:rPr/>
        <w:t>and</w:t>
      </w:r>
      <w:r>
        <w:rPr>
          <w:spacing w:val="22"/>
        </w:rPr>
        <w:t> </w:t>
      </w:r>
      <w:r>
        <w:rPr/>
        <w:t>become</w:t>
      </w:r>
      <w:r>
        <w:rPr>
          <w:spacing w:val="22"/>
        </w:rPr>
        <w:t> </w:t>
      </w:r>
      <w:r>
        <w:rPr/>
        <w:t>an</w:t>
      </w:r>
      <w:r>
        <w:rPr>
          <w:spacing w:val="22"/>
        </w:rPr>
        <w:t> </w:t>
      </w:r>
      <w:r>
        <w:rPr/>
        <w:t>end</w:t>
      </w:r>
      <w:r>
        <w:rPr>
          <w:spacing w:val="23"/>
        </w:rPr>
        <w:t> </w:t>
      </w:r>
      <w:r>
        <w:rPr>
          <w:spacing w:val="-5"/>
        </w:rPr>
        <w:t>in</w:t>
      </w:r>
    </w:p>
    <w:p>
      <w:pPr>
        <w:spacing w:after="0" w:line="360" w:lineRule="auto"/>
        <w:jc w:val="both"/>
        <w:sectPr>
          <w:pgSz w:w="11910" w:h="16840"/>
          <w:pgMar w:header="0" w:footer="1561" w:top="1360" w:bottom="1760" w:left="720" w:right="180"/>
        </w:sectPr>
      </w:pPr>
    </w:p>
    <w:p>
      <w:pPr>
        <w:pStyle w:val="BodyText"/>
        <w:spacing w:before="60"/>
      </w:pPr>
      <w:r>
        <w:rPr/>
        <mc:AlternateContent>
          <mc:Choice Requires="wps">
            <w:drawing>
              <wp:anchor distT="0" distB="0" distL="0" distR="0" allowOverlap="1" layoutInCell="1" locked="0" behindDoc="1" simplePos="0" relativeHeight="480611328">
                <wp:simplePos x="0" y="0"/>
                <wp:positionH relativeFrom="page">
                  <wp:posOffset>-1537026</wp:posOffset>
                </wp:positionH>
                <wp:positionV relativeFrom="page">
                  <wp:posOffset>4900424</wp:posOffset>
                </wp:positionV>
                <wp:extent cx="10669905" cy="914400"/>
                <wp:effectExtent l="0" t="0" r="0" b="0"/>
                <wp:wrapNone/>
                <wp:docPr id="163" name="Textbox 163"/>
                <wp:cNvGraphicFramePr>
                  <a:graphicFrameLocks/>
                </wp:cNvGraphicFramePr>
                <a:graphic>
                  <a:graphicData uri="http://schemas.microsoft.com/office/word/2010/wordprocessingShape">
                    <wps:wsp>
                      <wps:cNvPr id="163" name="Textbox 163"/>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05152;rotation:306" type="#_x0000_t136" fillcolor="#ff5400" stroked="f">
                <o:extrusion v:ext="view" autorotationcenter="t"/>
                <v:textpath style="font-family:&quot;Arial MT&quot;;font-size:72pt;v-text-kern:t;mso-text-shadow:auto" string="UNIVERSITY OF IBADAN"/>
                <w10:wrap type="none"/>
              </v:shape>
            </w:pict>
          </mc:Fallback>
        </mc:AlternateContent>
      </w:r>
      <w:r>
        <w:rPr>
          <w:spacing w:val="-2"/>
        </w:rPr>
        <w:t>itself.</w:t>
      </w:r>
    </w:p>
    <w:p>
      <w:pPr>
        <w:pStyle w:val="BodyText"/>
        <w:spacing w:before="138"/>
        <w:ind w:left="2160"/>
      </w:pPr>
      <w:r>
        <w:rPr/>
        <w:t>Many</w:t>
      </w:r>
      <w:r>
        <w:rPr>
          <w:spacing w:val="20"/>
        </w:rPr>
        <w:t> </w:t>
      </w:r>
      <w:r>
        <w:rPr/>
        <w:t>observers</w:t>
      </w:r>
      <w:r>
        <w:rPr>
          <w:spacing w:val="27"/>
        </w:rPr>
        <w:t> </w:t>
      </w:r>
      <w:r>
        <w:rPr/>
        <w:t>argue</w:t>
      </w:r>
      <w:r>
        <w:rPr>
          <w:spacing w:val="26"/>
        </w:rPr>
        <w:t> </w:t>
      </w:r>
      <w:r>
        <w:rPr/>
        <w:t>that</w:t>
      </w:r>
      <w:r>
        <w:rPr>
          <w:spacing w:val="29"/>
        </w:rPr>
        <w:t> </w:t>
      </w:r>
      <w:r>
        <w:rPr/>
        <w:t>in</w:t>
      </w:r>
      <w:r>
        <w:rPr>
          <w:spacing w:val="28"/>
        </w:rPr>
        <w:t> </w:t>
      </w:r>
      <w:r>
        <w:rPr/>
        <w:t>the</w:t>
      </w:r>
      <w:r>
        <w:rPr>
          <w:spacing w:val="27"/>
        </w:rPr>
        <w:t> </w:t>
      </w:r>
      <w:r>
        <w:rPr/>
        <w:t>Niger</w:t>
      </w:r>
      <w:r>
        <w:rPr>
          <w:spacing w:val="26"/>
        </w:rPr>
        <w:t> </w:t>
      </w:r>
      <w:r>
        <w:rPr/>
        <w:t>Delta,</w:t>
      </w:r>
      <w:r>
        <w:rPr>
          <w:spacing w:val="28"/>
        </w:rPr>
        <w:t> </w:t>
      </w:r>
      <w:r>
        <w:rPr/>
        <w:t>for</w:t>
      </w:r>
      <w:r>
        <w:rPr>
          <w:spacing w:val="26"/>
        </w:rPr>
        <w:t> </w:t>
      </w:r>
      <w:r>
        <w:rPr/>
        <w:t>instance,</w:t>
      </w:r>
      <w:r>
        <w:rPr>
          <w:spacing w:val="27"/>
        </w:rPr>
        <w:t> </w:t>
      </w:r>
      <w:r>
        <w:rPr/>
        <w:t>the</w:t>
      </w:r>
      <w:r>
        <w:rPr>
          <w:spacing w:val="27"/>
        </w:rPr>
        <w:t> </w:t>
      </w:r>
      <w:r>
        <w:rPr/>
        <w:t>militants</w:t>
      </w:r>
      <w:r>
        <w:rPr>
          <w:spacing w:val="26"/>
        </w:rPr>
        <w:t> </w:t>
      </w:r>
      <w:r>
        <w:rPr>
          <w:spacing w:val="-5"/>
        </w:rPr>
        <w:t>are</w:t>
      </w:r>
    </w:p>
    <w:p>
      <w:pPr>
        <w:pStyle w:val="BodyText"/>
        <w:spacing w:line="360" w:lineRule="auto" w:before="139"/>
        <w:ind w:right="1256"/>
        <w:jc w:val="both"/>
      </w:pPr>
      <w:r>
        <w:rPr/>
        <w:t>now less concerned with addressing outstanding grievances than with controlling the illegal oil bunkering. According to Keen (1998), over time, violent conflict</w:t>
      </w:r>
      <w:r>
        <w:rPr>
          <w:spacing w:val="40"/>
        </w:rPr>
        <w:t> </w:t>
      </w:r>
      <w:r>
        <w:rPr/>
        <w:t>encourages the emergence of a war economy dominated by politicians, 'elites', commanders "of irregular armies" and fighters whose interests are to generate new forms of profit, power and protection.</w:t>
      </w:r>
      <w:r>
        <w:rPr>
          <w:spacing w:val="80"/>
        </w:rPr>
        <w:t> </w:t>
      </w:r>
      <w:r>
        <w:rPr/>
        <w:t>Key activities he contended include the taxation of legitimate and illicit economic activities, asset stripping and looting as</w:t>
      </w:r>
      <w:r>
        <w:rPr>
          <w:spacing w:val="40"/>
        </w:rPr>
        <w:t> </w:t>
      </w:r>
      <w:r>
        <w:rPr/>
        <w:t>well as the economic blockage of dissenting areas.</w:t>
      </w:r>
      <w:r>
        <w:rPr>
          <w:spacing w:val="40"/>
        </w:rPr>
        <w:t> </w:t>
      </w:r>
      <w:r>
        <w:rPr/>
        <w:t>At the same time, a shadow economy</w:t>
      </w:r>
      <w:r>
        <w:rPr>
          <w:spacing w:val="-3"/>
        </w:rPr>
        <w:t> </w:t>
      </w:r>
      <w:r>
        <w:rPr/>
        <w:t>may</w:t>
      </w:r>
      <w:r>
        <w:rPr>
          <w:spacing w:val="-3"/>
        </w:rPr>
        <w:t> </w:t>
      </w:r>
      <w:r>
        <w:rPr/>
        <w:t>emerge to make high profits at the margin of the conflict.</w:t>
      </w:r>
      <w:r>
        <w:rPr>
          <w:spacing w:val="40"/>
        </w:rPr>
        <w:t> </w:t>
      </w:r>
      <w:r>
        <w:rPr/>
        <w:t>Political and other entrepreneurs benefit from the general insecurity and lack of adherence to rule</w:t>
      </w:r>
      <w:r>
        <w:rPr>
          <w:spacing w:val="40"/>
        </w:rPr>
        <w:t> </w:t>
      </w:r>
      <w:r>
        <w:rPr/>
        <w:t>of</w:t>
      </w:r>
      <w:r>
        <w:rPr>
          <w:spacing w:val="-1"/>
        </w:rPr>
        <w:t> </w:t>
      </w:r>
      <w:r>
        <w:rPr/>
        <w:t>law</w:t>
      </w:r>
      <w:r>
        <w:rPr>
          <w:spacing w:val="-1"/>
        </w:rPr>
        <w:t> </w:t>
      </w:r>
      <w:r>
        <w:rPr/>
        <w:t>to extract precious natural resources, illegal oil bunkering</w:t>
      </w:r>
      <w:r>
        <w:rPr>
          <w:spacing w:val="-3"/>
        </w:rPr>
        <w:t> </w:t>
      </w:r>
      <w:r>
        <w:rPr/>
        <w:t>and criminality.</w:t>
      </w:r>
      <w:r>
        <w:rPr>
          <w:spacing w:val="40"/>
        </w:rPr>
        <w:t> </w:t>
      </w:r>
      <w:r>
        <w:rPr/>
        <w:t>The results of</w:t>
      </w:r>
      <w:r>
        <w:rPr>
          <w:spacing w:val="-1"/>
        </w:rPr>
        <w:t> </w:t>
      </w:r>
      <w:r>
        <w:rPr/>
        <w:t>all these</w:t>
      </w:r>
      <w:r>
        <w:rPr>
          <w:spacing w:val="-2"/>
        </w:rPr>
        <w:t> </w:t>
      </w:r>
      <w:r>
        <w:rPr/>
        <w:t>are</w:t>
      </w:r>
      <w:r>
        <w:rPr>
          <w:spacing w:val="-2"/>
        </w:rPr>
        <w:t> </w:t>
      </w:r>
      <w:r>
        <w:rPr/>
        <w:t>concentration of</w:t>
      </w:r>
      <w:r>
        <w:rPr>
          <w:spacing w:val="-1"/>
        </w:rPr>
        <w:t> </w:t>
      </w:r>
      <w:r>
        <w:rPr/>
        <w:t>power and wealth, the</w:t>
      </w:r>
      <w:r>
        <w:rPr>
          <w:spacing w:val="-1"/>
        </w:rPr>
        <w:t> </w:t>
      </w:r>
      <w:r>
        <w:rPr/>
        <w:t>destruction of</w:t>
      </w:r>
      <w:r>
        <w:rPr>
          <w:spacing w:val="-1"/>
        </w:rPr>
        <w:t> </w:t>
      </w:r>
      <w:r>
        <w:rPr/>
        <w:t>economic assets, and impoverishment of vulnerable groups especially youths and women. Development agencies, including State actors, then need to factor that political economy of conflict into their strategies and approaches to ensure they do not fuel existing conflicts through boosting war economies.</w:t>
      </w:r>
    </w:p>
    <w:p>
      <w:pPr>
        <w:pStyle w:val="BodyText"/>
        <w:spacing w:line="360" w:lineRule="auto"/>
        <w:ind w:right="1255" w:firstLine="720"/>
        <w:jc w:val="both"/>
      </w:pPr>
      <w:r>
        <w:rPr/>
        <w:t>The Niger Delta area is bedeviled by two major social vices which are mutually</w:t>
      </w:r>
      <w:r>
        <w:rPr>
          <w:spacing w:val="-2"/>
        </w:rPr>
        <w:t> </w:t>
      </w:r>
      <w:r>
        <w:rPr/>
        <w:t>reinforcing. These are socially</w:t>
      </w:r>
      <w:r>
        <w:rPr>
          <w:spacing w:val="-2"/>
        </w:rPr>
        <w:t> </w:t>
      </w:r>
      <w:r>
        <w:rPr/>
        <w:t>debilitating poverty</w:t>
      </w:r>
      <w:r>
        <w:rPr>
          <w:spacing w:val="-2"/>
        </w:rPr>
        <w:t> </w:t>
      </w:r>
      <w:r>
        <w:rPr/>
        <w:t>occasioned by long years of unemployment and the recent seemingly intractable communal militant youth‟s insurgencies mostly against the government and the oil companies' interests in the</w:t>
      </w:r>
      <w:r>
        <w:rPr>
          <w:spacing w:val="40"/>
        </w:rPr>
        <w:t> </w:t>
      </w:r>
      <w:r>
        <w:rPr/>
        <w:t>area over their apparent failure to meet the expected social responsibilities to the oil bearing communities.</w:t>
      </w:r>
    </w:p>
    <w:p>
      <w:pPr>
        <w:pStyle w:val="BodyText"/>
        <w:spacing w:line="360" w:lineRule="auto"/>
        <w:ind w:right="1257" w:firstLine="720"/>
        <w:jc w:val="both"/>
      </w:pPr>
      <w:r>
        <w:rPr/>
        <w:t>As observed by Nying'uro, (2005:40) one of the major factors causing and sustaining violence and civil wars in Africa is related to mineral resources politics. Thus, the Niger Delta crisis is seen as an environmental driven crisis. The major causes</w:t>
      </w:r>
      <w:r>
        <w:rPr>
          <w:spacing w:val="-2"/>
        </w:rPr>
        <w:t> </w:t>
      </w:r>
      <w:r>
        <w:rPr/>
        <w:t>of</w:t>
      </w:r>
      <w:r>
        <w:rPr>
          <w:spacing w:val="-2"/>
        </w:rPr>
        <w:t> </w:t>
      </w:r>
      <w:r>
        <w:rPr/>
        <w:t>the</w:t>
      </w:r>
      <w:r>
        <w:rPr>
          <w:spacing w:val="-2"/>
        </w:rPr>
        <w:t> </w:t>
      </w:r>
      <w:r>
        <w:rPr/>
        <w:t>conflict</w:t>
      </w:r>
      <w:r>
        <w:rPr>
          <w:spacing w:val="-1"/>
        </w:rPr>
        <w:t> </w:t>
      </w:r>
      <w:r>
        <w:rPr/>
        <w:t>include</w:t>
      </w:r>
      <w:r>
        <w:rPr>
          <w:spacing w:val="-2"/>
        </w:rPr>
        <w:t> </w:t>
      </w:r>
      <w:r>
        <w:rPr/>
        <w:t>perceived</w:t>
      </w:r>
      <w:r>
        <w:rPr>
          <w:spacing w:val="-2"/>
        </w:rPr>
        <w:t> </w:t>
      </w:r>
      <w:r>
        <w:rPr/>
        <w:t>deprivation</w:t>
      </w:r>
      <w:r>
        <w:rPr>
          <w:spacing w:val="-1"/>
        </w:rPr>
        <w:t> </w:t>
      </w:r>
      <w:r>
        <w:rPr/>
        <w:t>of</w:t>
      </w:r>
      <w:r>
        <w:rPr>
          <w:spacing w:val="-2"/>
        </w:rPr>
        <w:t> </w:t>
      </w:r>
      <w:r>
        <w:rPr/>
        <w:t>the</w:t>
      </w:r>
      <w:r>
        <w:rPr>
          <w:spacing w:val="-2"/>
        </w:rPr>
        <w:t> </w:t>
      </w:r>
      <w:r>
        <w:rPr/>
        <w:t>Niger</w:t>
      </w:r>
      <w:r>
        <w:rPr>
          <w:spacing w:val="-2"/>
        </w:rPr>
        <w:t> </w:t>
      </w:r>
      <w:r>
        <w:rPr/>
        <w:t>Delta</w:t>
      </w:r>
      <w:r>
        <w:rPr>
          <w:spacing w:val="-2"/>
        </w:rPr>
        <w:t> </w:t>
      </w:r>
      <w:r>
        <w:rPr/>
        <w:t>communities</w:t>
      </w:r>
      <w:r>
        <w:rPr>
          <w:spacing w:val="-1"/>
        </w:rPr>
        <w:t> </w:t>
      </w:r>
      <w:r>
        <w:rPr/>
        <w:t>in terms of development. This is coupled with the environmental degradation caused by the activities of the transitional oil and gas companies. Hence, the insurgency of the militant youths in the Niger Delta. It should be noted that Guerrilla Warfare is a very difficult operation to embark upon by any regular or legitimate force considering especially</w:t>
      </w:r>
      <w:r>
        <w:rPr>
          <w:spacing w:val="-6"/>
        </w:rPr>
        <w:t> </w:t>
      </w:r>
      <w:r>
        <w:rPr/>
        <w:t>the</w:t>
      </w:r>
      <w:r>
        <w:rPr>
          <w:spacing w:val="-2"/>
        </w:rPr>
        <w:t> </w:t>
      </w:r>
      <w:r>
        <w:rPr/>
        <w:t>terrain</w:t>
      </w:r>
      <w:r>
        <w:rPr>
          <w:spacing w:val="-1"/>
        </w:rPr>
        <w:t> </w:t>
      </w:r>
      <w:r>
        <w:rPr/>
        <w:t>of</w:t>
      </w:r>
      <w:r>
        <w:rPr>
          <w:spacing w:val="-2"/>
        </w:rPr>
        <w:t> </w:t>
      </w:r>
      <w:r>
        <w:rPr/>
        <w:t>operations</w:t>
      </w:r>
      <w:r>
        <w:rPr>
          <w:spacing w:val="-1"/>
        </w:rPr>
        <w:t> </w:t>
      </w:r>
      <w:r>
        <w:rPr/>
        <w:t>in</w:t>
      </w:r>
      <w:r>
        <w:rPr>
          <w:spacing w:val="-1"/>
        </w:rPr>
        <w:t> </w:t>
      </w:r>
      <w:r>
        <w:rPr/>
        <w:t>the</w:t>
      </w:r>
      <w:r>
        <w:rPr>
          <w:spacing w:val="-2"/>
        </w:rPr>
        <w:t> </w:t>
      </w:r>
      <w:r>
        <w:rPr/>
        <w:t>Niger</w:t>
      </w:r>
      <w:r>
        <w:rPr>
          <w:spacing w:val="-2"/>
        </w:rPr>
        <w:t> </w:t>
      </w:r>
      <w:r>
        <w:rPr/>
        <w:t>Delta.</w:t>
      </w:r>
      <w:r>
        <w:rPr>
          <w:spacing w:val="-1"/>
        </w:rPr>
        <w:t> </w:t>
      </w:r>
      <w:r>
        <w:rPr/>
        <w:t>Thus, there</w:t>
      </w:r>
      <w:r>
        <w:rPr>
          <w:spacing w:val="-2"/>
        </w:rPr>
        <w:t> </w:t>
      </w:r>
      <w:r>
        <w:rPr/>
        <w:t>is</w:t>
      </w:r>
      <w:r>
        <w:rPr>
          <w:spacing w:val="-1"/>
        </w:rPr>
        <w:t> </w:t>
      </w:r>
      <w:r>
        <w:rPr/>
        <w:t>ubiquitous</w:t>
      </w:r>
      <w:r>
        <w:rPr>
          <w:spacing w:val="-1"/>
        </w:rPr>
        <w:t> </w:t>
      </w:r>
      <w:r>
        <w:rPr/>
        <w:t>killing of</w:t>
      </w:r>
      <w:r>
        <w:rPr>
          <w:spacing w:val="15"/>
        </w:rPr>
        <w:t> </w:t>
      </w:r>
      <w:r>
        <w:rPr/>
        <w:t>innocent</w:t>
      </w:r>
      <w:r>
        <w:rPr>
          <w:spacing w:val="18"/>
        </w:rPr>
        <w:t> </w:t>
      </w:r>
      <w:r>
        <w:rPr/>
        <w:t>civilians</w:t>
      </w:r>
      <w:r>
        <w:rPr>
          <w:spacing w:val="19"/>
        </w:rPr>
        <w:t> </w:t>
      </w:r>
      <w:r>
        <w:rPr/>
        <w:t>in</w:t>
      </w:r>
      <w:r>
        <w:rPr>
          <w:spacing w:val="18"/>
        </w:rPr>
        <w:t> </w:t>
      </w:r>
      <w:r>
        <w:rPr/>
        <w:t>an</w:t>
      </w:r>
      <w:r>
        <w:rPr>
          <w:spacing w:val="18"/>
        </w:rPr>
        <w:t> </w:t>
      </w:r>
      <w:r>
        <w:rPr/>
        <w:t>attempt</w:t>
      </w:r>
      <w:r>
        <w:rPr>
          <w:spacing w:val="18"/>
        </w:rPr>
        <w:t> </w:t>
      </w:r>
      <w:r>
        <w:rPr/>
        <w:t>to</w:t>
      </w:r>
      <w:r>
        <w:rPr>
          <w:spacing w:val="19"/>
        </w:rPr>
        <w:t> </w:t>
      </w:r>
      <w:r>
        <w:rPr/>
        <w:t>fish</w:t>
      </w:r>
      <w:r>
        <w:rPr>
          <w:spacing w:val="17"/>
        </w:rPr>
        <w:t> </w:t>
      </w:r>
      <w:r>
        <w:rPr/>
        <w:t>out</w:t>
      </w:r>
      <w:r>
        <w:rPr>
          <w:spacing w:val="19"/>
        </w:rPr>
        <w:t> </w:t>
      </w:r>
      <w:r>
        <w:rPr/>
        <w:t>the</w:t>
      </w:r>
      <w:r>
        <w:rPr>
          <w:spacing w:val="17"/>
        </w:rPr>
        <w:t> </w:t>
      </w:r>
      <w:r>
        <w:rPr/>
        <w:t>militants</w:t>
      </w:r>
      <w:r>
        <w:rPr>
          <w:spacing w:val="19"/>
        </w:rPr>
        <w:t> </w:t>
      </w:r>
      <w:r>
        <w:rPr/>
        <w:t>resulting</w:t>
      </w:r>
      <w:r>
        <w:rPr>
          <w:spacing w:val="16"/>
        </w:rPr>
        <w:t> </w:t>
      </w:r>
      <w:r>
        <w:rPr/>
        <w:t>into</w:t>
      </w:r>
      <w:r>
        <w:rPr>
          <w:spacing w:val="18"/>
        </w:rPr>
        <w:t> </w:t>
      </w:r>
      <w:r>
        <w:rPr>
          <w:spacing w:val="-2"/>
        </w:rPr>
        <w:t>undesirable</w:t>
      </w:r>
    </w:p>
    <w:p>
      <w:pPr>
        <w:spacing w:after="0" w:line="360" w:lineRule="auto"/>
        <w:jc w:val="both"/>
        <w:sectPr>
          <w:pgSz w:w="11910" w:h="16840"/>
          <w:pgMar w:header="0" w:footer="1561" w:top="1360" w:bottom="1760" w:left="720" w:right="180"/>
        </w:sectPr>
      </w:pPr>
    </w:p>
    <w:p>
      <w:pPr>
        <w:pStyle w:val="BodyText"/>
        <w:spacing w:line="360" w:lineRule="auto" w:before="60"/>
        <w:ind w:right="1256"/>
        <w:jc w:val="both"/>
      </w:pPr>
      <w:r>
        <w:rPr/>
        <mc:AlternateContent>
          <mc:Choice Requires="wps">
            <w:drawing>
              <wp:anchor distT="0" distB="0" distL="0" distR="0" allowOverlap="1" layoutInCell="1" locked="0" behindDoc="1" simplePos="0" relativeHeight="480611840">
                <wp:simplePos x="0" y="0"/>
                <wp:positionH relativeFrom="page">
                  <wp:posOffset>-1537026</wp:posOffset>
                </wp:positionH>
                <wp:positionV relativeFrom="page">
                  <wp:posOffset>4900424</wp:posOffset>
                </wp:positionV>
                <wp:extent cx="10669905" cy="914400"/>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04640;rotation:306" type="#_x0000_t136" fillcolor="#ff5400" stroked="f">
                <o:extrusion v:ext="view" autorotationcenter="t"/>
                <v:textpath style="font-family:&quot;Arial MT&quot;;font-size:72pt;v-text-kern:t;mso-text-shadow:auto" string="UNIVERSITY OF IBADAN"/>
                <w10:wrap type="none"/>
              </v:shape>
            </w:pict>
          </mc:Fallback>
        </mc:AlternateContent>
      </w:r>
      <w:r>
        <w:rPr/>
        <w:t>consequences (collateral damages). As rightly pointed out, Clapham (1998:9), "the inaccessibility of the areas in which they usually arise and the exceptional levels of violence and social disruption that accompany them, have made guerrilla movement</w:t>
      </w:r>
      <w:r>
        <w:rPr>
          <w:spacing w:val="40"/>
        </w:rPr>
        <w:t> </w:t>
      </w:r>
      <w:r>
        <w:rPr/>
        <w:t>in Africa extremely difficult to study".</w:t>
      </w:r>
      <w:r>
        <w:rPr>
          <w:spacing w:val="40"/>
        </w:rPr>
        <w:t> </w:t>
      </w:r>
      <w:r>
        <w:rPr/>
        <w:t>In analyzing Africa insurgencies, Clapham went further to suggest causes of insurgency.</w:t>
      </w:r>
      <w:r>
        <w:rPr>
          <w:spacing w:val="40"/>
        </w:rPr>
        <w:t> </w:t>
      </w:r>
      <w:r>
        <w:rPr/>
        <w:t>He notes the "insurgencies derive basically from blocked political aspirations and in some case also from reactive desperation" (Clapham 1998:17).</w:t>
      </w:r>
      <w:r>
        <w:rPr>
          <w:spacing w:val="40"/>
        </w:rPr>
        <w:t> </w:t>
      </w:r>
      <w:r>
        <w:rPr/>
        <w:t>The causes of particular insurgencies also derive from different combinations of leadership or elite action on the one hand, or popular resistance on the other.</w:t>
      </w:r>
    </w:p>
    <w:p>
      <w:pPr>
        <w:pStyle w:val="BodyText"/>
        <w:spacing w:line="360" w:lineRule="auto"/>
        <w:ind w:right="1258" w:firstLine="720"/>
        <w:jc w:val="both"/>
      </w:pPr>
      <w:r>
        <w:rPr/>
        <w:t>All of the literature on insurgent warfare places an enormous emphasis on the relationship between the insurgents among whom they operate.</w:t>
      </w:r>
      <w:r>
        <w:rPr>
          <w:spacing w:val="40"/>
        </w:rPr>
        <w:t> </w:t>
      </w:r>
      <w:r>
        <w:rPr/>
        <w:t>Then, what needs to be done in order to tackle the root causes underlying violent conflict in the Niger Delta?</w:t>
      </w:r>
      <w:r>
        <w:rPr>
          <w:spacing w:val="40"/>
        </w:rPr>
        <w:t> </w:t>
      </w:r>
      <w:r>
        <w:rPr/>
        <w:t>There is a complex and multiple interplay of factors contributing to conflict and, by necessity, there needs to be multiple strategies and approaches to tackling them.</w:t>
      </w:r>
      <w:r>
        <w:rPr>
          <w:spacing w:val="40"/>
        </w:rPr>
        <w:t> </w:t>
      </w:r>
      <w:r>
        <w:rPr/>
        <w:t>There</w:t>
      </w:r>
      <w:r>
        <w:rPr>
          <w:spacing w:val="-3"/>
        </w:rPr>
        <w:t> </w:t>
      </w:r>
      <w:r>
        <w:rPr/>
        <w:t>was</w:t>
      </w:r>
      <w:r>
        <w:rPr>
          <w:spacing w:val="-1"/>
        </w:rPr>
        <w:t> </w:t>
      </w:r>
      <w:r>
        <w:rPr/>
        <w:t>existing</w:t>
      </w:r>
      <w:r>
        <w:rPr>
          <w:spacing w:val="-4"/>
        </w:rPr>
        <w:t> </w:t>
      </w:r>
      <w:r>
        <w:rPr/>
        <w:t>knowledge</w:t>
      </w:r>
      <w:r>
        <w:rPr>
          <w:spacing w:val="-2"/>
        </w:rPr>
        <w:t> </w:t>
      </w:r>
      <w:r>
        <w:rPr/>
        <w:t>on</w:t>
      </w:r>
      <w:r>
        <w:rPr>
          <w:spacing w:val="-1"/>
        </w:rPr>
        <w:t> </w:t>
      </w:r>
      <w:r>
        <w:rPr/>
        <w:t>the</w:t>
      </w:r>
      <w:r>
        <w:rPr>
          <w:spacing w:val="-2"/>
        </w:rPr>
        <w:t> </w:t>
      </w:r>
      <w:r>
        <w:rPr/>
        <w:t>state of</w:t>
      </w:r>
      <w:r>
        <w:rPr>
          <w:spacing w:val="-2"/>
        </w:rPr>
        <w:t> </w:t>
      </w:r>
      <w:r>
        <w:rPr/>
        <w:t>conflict</w:t>
      </w:r>
      <w:r>
        <w:rPr>
          <w:spacing w:val="-1"/>
        </w:rPr>
        <w:t> </w:t>
      </w:r>
      <w:r>
        <w:rPr/>
        <w:t>and conflict management in the Niger Delta by governments, transnational oil companies and the civil society organizations.</w:t>
      </w:r>
      <w:r>
        <w:rPr>
          <w:spacing w:val="40"/>
        </w:rPr>
        <w:t> </w:t>
      </w:r>
      <w:r>
        <w:rPr/>
        <w:t>From the literature, these interventions and responses have hitherto been piecemeal, sometimes ad hoc and non strategic.</w:t>
      </w:r>
      <w:r>
        <w:rPr>
          <w:spacing w:val="40"/>
        </w:rPr>
        <w:t> </w:t>
      </w:r>
      <w:r>
        <w:rPr/>
        <w:t>Agencies and actors have not collaborated but rather too often have competed against one another.</w:t>
      </w:r>
    </w:p>
    <w:p>
      <w:pPr>
        <w:pStyle w:val="BodyText"/>
        <w:spacing w:line="360" w:lineRule="auto" w:before="1"/>
        <w:ind w:right="1255" w:firstLine="720"/>
        <w:jc w:val="both"/>
      </w:pPr>
      <w:r>
        <w:rPr/>
        <w:t>Successive governments have put in place different policy instruments to specifically address the Niger Delta issue since the pre-independence era.</w:t>
      </w:r>
      <w:r>
        <w:rPr>
          <w:spacing w:val="40"/>
        </w:rPr>
        <w:t> </w:t>
      </w:r>
      <w:r>
        <w:rPr/>
        <w:t>Thus, the government responded to the militancy emergence with a combination of military force and development programmes.</w:t>
      </w:r>
    </w:p>
    <w:p>
      <w:pPr>
        <w:pStyle w:val="BodyText"/>
        <w:spacing w:line="360" w:lineRule="auto"/>
        <w:ind w:right="1258" w:firstLine="720"/>
        <w:jc w:val="both"/>
      </w:pPr>
      <w:r>
        <w:rPr/>
        <w:t>Imobighe (1989:223-226), made a detailed analysis of the doctrines which inform the conceptualization of internal security of Nigeria and the real internal</w:t>
      </w:r>
      <w:r>
        <w:rPr>
          <w:spacing w:val="40"/>
        </w:rPr>
        <w:t> </w:t>
      </w:r>
      <w:r>
        <w:rPr/>
        <w:t>threats the nation faces.</w:t>
      </w:r>
      <w:r>
        <w:rPr>
          <w:spacing w:val="40"/>
        </w:rPr>
        <w:t> </w:t>
      </w:r>
      <w:r>
        <w:rPr/>
        <w:t>The Military joint Task Force (JTF) is borne out of the Nigerian Defence policy at the operational strategic level.</w:t>
      </w:r>
      <w:r>
        <w:rPr>
          <w:spacing w:val="40"/>
        </w:rPr>
        <w:t> </w:t>
      </w:r>
      <w:r>
        <w:rPr/>
        <w:t>The status of military power and the ability to engage successfully in combat could be the key to restoring peace to a country, region or ethnic group.</w:t>
      </w:r>
      <w:r>
        <w:rPr>
          <w:spacing w:val="40"/>
        </w:rPr>
        <w:t> </w:t>
      </w:r>
      <w:r>
        <w:rPr/>
        <w:t>However, nations must also be conscious of the ability (and of course limitation) of military forces in conflict prevention, including defence diplomacy.</w:t>
      </w:r>
      <w:r>
        <w:rPr>
          <w:spacing w:val="40"/>
        </w:rPr>
        <w:t> </w:t>
      </w:r>
      <w:r>
        <w:rPr/>
        <w:t>The military, in turn, ought to be conscious of the perceived ideas and indeed misperceptions that other actors might have of them.</w:t>
      </w:r>
    </w:p>
    <w:p>
      <w:pPr>
        <w:pStyle w:val="BodyText"/>
        <w:spacing w:before="2"/>
        <w:ind w:left="2160"/>
        <w:jc w:val="both"/>
      </w:pPr>
      <w:r>
        <w:rPr/>
        <w:t>A</w:t>
      </w:r>
      <w:r>
        <w:rPr>
          <w:spacing w:val="59"/>
        </w:rPr>
        <w:t> </w:t>
      </w:r>
      <w:r>
        <w:rPr/>
        <w:t>military</w:t>
      </w:r>
      <w:r>
        <w:rPr>
          <w:spacing w:val="57"/>
        </w:rPr>
        <w:t> </w:t>
      </w:r>
      <w:r>
        <w:rPr/>
        <w:t>intervention</w:t>
      </w:r>
      <w:r>
        <w:rPr>
          <w:spacing w:val="63"/>
        </w:rPr>
        <w:t> </w:t>
      </w:r>
      <w:r>
        <w:rPr/>
        <w:t>by</w:t>
      </w:r>
      <w:r>
        <w:rPr>
          <w:spacing w:val="57"/>
        </w:rPr>
        <w:t> </w:t>
      </w:r>
      <w:r>
        <w:rPr/>
        <w:t>Peace</w:t>
      </w:r>
      <w:r>
        <w:rPr>
          <w:spacing w:val="64"/>
        </w:rPr>
        <w:t> </w:t>
      </w:r>
      <w:r>
        <w:rPr/>
        <w:t>Support</w:t>
      </w:r>
      <w:r>
        <w:rPr>
          <w:spacing w:val="62"/>
        </w:rPr>
        <w:t> </w:t>
      </w:r>
      <w:r>
        <w:rPr/>
        <w:t>force,</w:t>
      </w:r>
      <w:r>
        <w:rPr>
          <w:spacing w:val="63"/>
        </w:rPr>
        <w:t> </w:t>
      </w:r>
      <w:r>
        <w:rPr/>
        <w:t>within</w:t>
      </w:r>
      <w:r>
        <w:rPr>
          <w:spacing w:val="62"/>
        </w:rPr>
        <w:t> </w:t>
      </w:r>
      <w:r>
        <w:rPr/>
        <w:t>a</w:t>
      </w:r>
      <w:r>
        <w:rPr>
          <w:spacing w:val="62"/>
        </w:rPr>
        <w:t> </w:t>
      </w:r>
      <w:r>
        <w:rPr/>
        <w:t>multi-</w:t>
      </w:r>
      <w:r>
        <w:rPr>
          <w:spacing w:val="-2"/>
        </w:rPr>
        <w:t>functional</w:t>
      </w:r>
    </w:p>
    <w:p>
      <w:pPr>
        <w:spacing w:after="0"/>
        <w:jc w:val="both"/>
        <w:sectPr>
          <w:pgSz w:w="11910" w:h="16840"/>
          <w:pgMar w:header="0" w:footer="1561" w:top="1360" w:bottom="1760" w:left="720" w:right="180"/>
        </w:sectPr>
      </w:pPr>
    </w:p>
    <w:p>
      <w:pPr>
        <w:pStyle w:val="BodyText"/>
        <w:spacing w:line="360" w:lineRule="auto" w:before="60"/>
        <w:ind w:right="1262"/>
        <w:jc w:val="both"/>
      </w:pPr>
      <w:r>
        <w:rPr/>
        <mc:AlternateContent>
          <mc:Choice Requires="wps">
            <w:drawing>
              <wp:anchor distT="0" distB="0" distL="0" distR="0" allowOverlap="1" layoutInCell="1" locked="0" behindDoc="1" simplePos="0" relativeHeight="480612352">
                <wp:simplePos x="0" y="0"/>
                <wp:positionH relativeFrom="page">
                  <wp:posOffset>-1537026</wp:posOffset>
                </wp:positionH>
                <wp:positionV relativeFrom="page">
                  <wp:posOffset>4900424</wp:posOffset>
                </wp:positionV>
                <wp:extent cx="10669905" cy="914400"/>
                <wp:effectExtent l="0" t="0" r="0" b="0"/>
                <wp:wrapNone/>
                <wp:docPr id="165" name="Textbox 165"/>
                <wp:cNvGraphicFramePr>
                  <a:graphicFrameLocks/>
                </wp:cNvGraphicFramePr>
                <a:graphic>
                  <a:graphicData uri="http://schemas.microsoft.com/office/word/2010/wordprocessingShape">
                    <wps:wsp>
                      <wps:cNvPr id="165" name="Textbox 165"/>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04128;rotation:306" type="#_x0000_t136" fillcolor="#ff5400" stroked="f">
                <o:extrusion v:ext="view" autorotationcenter="t"/>
                <v:textpath style="font-family:&quot;Arial MT&quot;;font-size:72pt;v-text-kern:t;mso-text-shadow:auto" string="UNIVERSITY OF IBADAN"/>
                <w10:wrap type="none"/>
              </v:shape>
            </w:pict>
          </mc:Fallback>
        </mc:AlternateContent>
      </w:r>
      <w:r>
        <w:rPr/>
        <w:t>peace support operations, is usually required where restoration or maintenance of peace cannot be successfully achieved by States' political and economic instruments. In general, peace support forces are used to promote, create and maintain a safe and secure environment where short and long-term solutions can be put in place.</w:t>
      </w:r>
    </w:p>
    <w:p>
      <w:pPr>
        <w:pStyle w:val="BodyText"/>
        <w:spacing w:line="360" w:lineRule="auto" w:before="1"/>
        <w:ind w:right="1258" w:firstLine="720"/>
        <w:jc w:val="both"/>
      </w:pPr>
      <w:r>
        <w:rPr/>
        <w:t>It is imperative for policy makers and all those working in a peace support operations environment to have an understanding of the strategic context within</w:t>
      </w:r>
      <w:r>
        <w:rPr>
          <w:spacing w:val="80"/>
        </w:rPr>
        <w:t> </w:t>
      </w:r>
      <w:r>
        <w:rPr/>
        <w:t>which such military</w:t>
      </w:r>
      <w:r>
        <w:rPr>
          <w:spacing w:val="-4"/>
        </w:rPr>
        <w:t> </w:t>
      </w:r>
      <w:r>
        <w:rPr/>
        <w:t>operation is conducted.</w:t>
      </w:r>
      <w:r>
        <w:rPr>
          <w:spacing w:val="40"/>
        </w:rPr>
        <w:t> </w:t>
      </w:r>
      <w:r>
        <w:rPr/>
        <w:t>An appreciation of the strategic goal, the desired end-state, or any interim outcomes to be achieved, will shape the way in</w:t>
      </w:r>
      <w:r>
        <w:rPr>
          <w:spacing w:val="40"/>
        </w:rPr>
        <w:t> </w:t>
      </w:r>
      <w:r>
        <w:rPr/>
        <w:t>which the operation is conducted and the means that are used.</w:t>
      </w:r>
      <w:r>
        <w:rPr>
          <w:spacing w:val="40"/>
        </w:rPr>
        <w:t> </w:t>
      </w:r>
      <w:r>
        <w:rPr/>
        <w:t>It is against this backdrop that the activities of the JTF in the Niger Delta are going to be strategically assessed.</w:t>
      </w:r>
      <w:r>
        <w:rPr>
          <w:spacing w:val="40"/>
        </w:rPr>
        <w:t> </w:t>
      </w:r>
      <w:r>
        <w:rPr/>
        <w:t>The existing gaps in the existing non-military approaches towards a sustainable development and conflict reduction in the Niger Delta will be brought out with a view to proffering a workable solution to the conflicts in the Niger Delta.</w:t>
      </w:r>
    </w:p>
    <w:p>
      <w:pPr>
        <w:pStyle w:val="BodyText"/>
        <w:spacing w:line="360" w:lineRule="auto"/>
        <w:ind w:right="1252" w:firstLine="720"/>
        <w:jc w:val="both"/>
      </w:pPr>
      <w:r>
        <w:rPr/>
        <w:t>Some studies have been done on conflict in Nigeria in general and the Niger Delta in particular. Ogbogbo (2004, 2005) made an assessment of the conflict</w:t>
      </w:r>
      <w:r>
        <w:rPr>
          <w:spacing w:val="40"/>
        </w:rPr>
        <w:t> </w:t>
      </w:r>
      <w:r>
        <w:rPr/>
        <w:t>handling</w:t>
      </w:r>
      <w:r>
        <w:rPr>
          <w:spacing w:val="-5"/>
        </w:rPr>
        <w:t> </w:t>
      </w:r>
      <w:r>
        <w:rPr/>
        <w:t>styles</w:t>
      </w:r>
      <w:r>
        <w:rPr>
          <w:spacing w:val="-3"/>
        </w:rPr>
        <w:t> </w:t>
      </w:r>
      <w:r>
        <w:rPr/>
        <w:t>while</w:t>
      </w:r>
      <w:r>
        <w:rPr>
          <w:spacing w:val="-2"/>
        </w:rPr>
        <w:t> </w:t>
      </w:r>
      <w:r>
        <w:rPr/>
        <w:t>researching</w:t>
      </w:r>
      <w:r>
        <w:rPr>
          <w:spacing w:val="-5"/>
        </w:rPr>
        <w:t> </w:t>
      </w:r>
      <w:r>
        <w:rPr/>
        <w:t>into</w:t>
      </w:r>
      <w:r>
        <w:rPr>
          <w:spacing w:val="-3"/>
        </w:rPr>
        <w:t> </w:t>
      </w:r>
      <w:r>
        <w:rPr/>
        <w:t>the</w:t>
      </w:r>
      <w:r>
        <w:rPr>
          <w:spacing w:val="-2"/>
        </w:rPr>
        <w:t> </w:t>
      </w:r>
      <w:r>
        <w:rPr/>
        <w:t>Niger</w:t>
      </w:r>
      <w:r>
        <w:rPr>
          <w:spacing w:val="-2"/>
        </w:rPr>
        <w:t> </w:t>
      </w:r>
      <w:r>
        <w:rPr/>
        <w:t>Delta</w:t>
      </w:r>
      <w:r>
        <w:rPr>
          <w:spacing w:val="-4"/>
        </w:rPr>
        <w:t> </w:t>
      </w:r>
      <w:r>
        <w:rPr/>
        <w:t>people</w:t>
      </w:r>
      <w:r>
        <w:rPr>
          <w:spacing w:val="-2"/>
        </w:rPr>
        <w:t> </w:t>
      </w:r>
      <w:r>
        <w:rPr/>
        <w:t>and</w:t>
      </w:r>
      <w:r>
        <w:rPr>
          <w:spacing w:val="-3"/>
        </w:rPr>
        <w:t> </w:t>
      </w:r>
      <w:r>
        <w:rPr/>
        <w:t>the</w:t>
      </w:r>
      <w:r>
        <w:rPr>
          <w:spacing w:val="-2"/>
        </w:rPr>
        <w:t> </w:t>
      </w:r>
      <w:r>
        <w:rPr/>
        <w:t>resource</w:t>
      </w:r>
      <w:r>
        <w:rPr>
          <w:spacing w:val="-2"/>
        </w:rPr>
        <w:t> </w:t>
      </w:r>
      <w:r>
        <w:rPr/>
        <w:t>conflict from 1960 - 1995.</w:t>
      </w:r>
      <w:r>
        <w:rPr>
          <w:spacing w:val="40"/>
        </w:rPr>
        <w:t> </w:t>
      </w:r>
      <w:r>
        <w:rPr/>
        <w:t>By "handling styles", he referred to the various responses of the Niger Delta peoples to the challenge they faced while striving to achieve their</w:t>
      </w:r>
      <w:r>
        <w:rPr>
          <w:spacing w:val="40"/>
        </w:rPr>
        <w:t> </w:t>
      </w:r>
      <w:r>
        <w:rPr/>
        <w:t>resource control goal.</w:t>
      </w:r>
      <w:r>
        <w:rPr>
          <w:spacing w:val="40"/>
        </w:rPr>
        <w:t> </w:t>
      </w:r>
      <w:r>
        <w:rPr/>
        <w:t>Furthermore, for the Niger Delta communities, he opined that, "the resource control struggle is about the use and management of their resources without external control or direction.</w:t>
      </w:r>
      <w:r>
        <w:rPr>
          <w:spacing w:val="40"/>
        </w:rPr>
        <w:t> </w:t>
      </w:r>
      <w:r>
        <w:rPr/>
        <w:t>He further asserts that "resource control for the Niger Delta people means ownership, management and exercise of authority over oil, gas, land, forest, water and any other identifiable resources within the region" (Ogbogbo, 2005:169-170).</w:t>
      </w:r>
      <w:r>
        <w:rPr>
          <w:spacing w:val="40"/>
        </w:rPr>
        <w:t> </w:t>
      </w:r>
      <w:r>
        <w:rPr/>
        <w:t>According to Ogbogbo (2005), the handling styles</w:t>
      </w:r>
      <w:r>
        <w:rPr>
          <w:spacing w:val="40"/>
        </w:rPr>
        <w:t> </w:t>
      </w:r>
      <w:r>
        <w:rPr/>
        <w:t>adopted by the Niger Delta peoples in the conflict between 1960-1995 were largely conditioned</w:t>
      </w:r>
      <w:r>
        <w:rPr>
          <w:spacing w:val="-2"/>
        </w:rPr>
        <w:t> </w:t>
      </w:r>
      <w:r>
        <w:rPr/>
        <w:t>by</w:t>
      </w:r>
      <w:r>
        <w:rPr>
          <w:spacing w:val="-7"/>
        </w:rPr>
        <w:t> </w:t>
      </w:r>
      <w:r>
        <w:rPr/>
        <w:t>the</w:t>
      </w:r>
      <w:r>
        <w:rPr>
          <w:spacing w:val="-3"/>
        </w:rPr>
        <w:t> </w:t>
      </w:r>
      <w:r>
        <w:rPr/>
        <w:t>responses</w:t>
      </w:r>
      <w:r>
        <w:rPr>
          <w:spacing w:val="-2"/>
        </w:rPr>
        <w:t> </w:t>
      </w:r>
      <w:r>
        <w:rPr/>
        <w:t>of</w:t>
      </w:r>
      <w:r>
        <w:rPr>
          <w:spacing w:val="-3"/>
        </w:rPr>
        <w:t> </w:t>
      </w:r>
      <w:r>
        <w:rPr/>
        <w:t>the</w:t>
      </w:r>
      <w:r>
        <w:rPr>
          <w:spacing w:val="-2"/>
        </w:rPr>
        <w:t> </w:t>
      </w:r>
      <w:r>
        <w:rPr/>
        <w:t>stakeholders, the</w:t>
      </w:r>
      <w:r>
        <w:rPr>
          <w:spacing w:val="-2"/>
        </w:rPr>
        <w:t> </w:t>
      </w:r>
      <w:r>
        <w:rPr/>
        <w:t>oil/gas</w:t>
      </w:r>
      <w:r>
        <w:rPr>
          <w:spacing w:val="-2"/>
        </w:rPr>
        <w:t> </w:t>
      </w:r>
      <w:r>
        <w:rPr/>
        <w:t>industry</w:t>
      </w:r>
      <w:r>
        <w:rPr>
          <w:spacing w:val="-7"/>
        </w:rPr>
        <w:t> </w:t>
      </w:r>
      <w:r>
        <w:rPr/>
        <w:t>(government</w:t>
      </w:r>
      <w:r>
        <w:rPr>
          <w:spacing w:val="-2"/>
        </w:rPr>
        <w:t> </w:t>
      </w:r>
      <w:r>
        <w:rPr/>
        <w:t>and transnational oil companies).</w:t>
      </w:r>
      <w:r>
        <w:rPr>
          <w:spacing w:val="40"/>
        </w:rPr>
        <w:t> </w:t>
      </w:r>
      <w:r>
        <w:rPr/>
        <w:t>He evaluated these handling styles to include the dialogue option, protest option, litigation option, recourse to violence and other reactions such as incidence of sabotage including pipeline canalization, rig blockages and hostage taking. Ogbogbo's study dwell extensively on the history, nature and causes of the Niger Delta conflict but did not provide the much needed panacea to the seemingly</w:t>
      </w:r>
      <w:r>
        <w:rPr>
          <w:spacing w:val="-6"/>
        </w:rPr>
        <w:t> </w:t>
      </w:r>
      <w:r>
        <w:rPr/>
        <w:t>intractable</w:t>
      </w:r>
      <w:r>
        <w:rPr>
          <w:spacing w:val="-2"/>
        </w:rPr>
        <w:t> </w:t>
      </w:r>
      <w:r>
        <w:rPr/>
        <w:t>problems</w:t>
      </w:r>
      <w:r>
        <w:rPr>
          <w:spacing w:val="-1"/>
        </w:rPr>
        <w:t> </w:t>
      </w:r>
      <w:r>
        <w:rPr/>
        <w:t>of</w:t>
      </w:r>
      <w:r>
        <w:rPr>
          <w:spacing w:val="-2"/>
        </w:rPr>
        <w:t> </w:t>
      </w:r>
      <w:r>
        <w:rPr/>
        <w:t>the</w:t>
      </w:r>
      <w:r>
        <w:rPr>
          <w:spacing w:val="-2"/>
        </w:rPr>
        <w:t> </w:t>
      </w:r>
      <w:r>
        <w:rPr/>
        <w:t>Niger</w:t>
      </w:r>
      <w:r>
        <w:rPr>
          <w:spacing w:val="-2"/>
        </w:rPr>
        <w:t> </w:t>
      </w:r>
      <w:r>
        <w:rPr/>
        <w:t>Delta.</w:t>
      </w:r>
      <w:r>
        <w:rPr>
          <w:spacing w:val="40"/>
        </w:rPr>
        <w:t> </w:t>
      </w:r>
      <w:r>
        <w:rPr/>
        <w:t>Similarly,</w:t>
      </w:r>
      <w:r>
        <w:rPr>
          <w:spacing w:val="-1"/>
        </w:rPr>
        <w:t> </w:t>
      </w:r>
      <w:r>
        <w:rPr/>
        <w:t>his</w:t>
      </w:r>
      <w:r>
        <w:rPr>
          <w:spacing w:val="-1"/>
        </w:rPr>
        <w:t> </w:t>
      </w:r>
      <w:r>
        <w:rPr/>
        <w:t>work</w:t>
      </w:r>
      <w:r>
        <w:rPr>
          <w:spacing w:val="-1"/>
        </w:rPr>
        <w:t> </w:t>
      </w:r>
      <w:r>
        <w:rPr/>
        <w:t>did</w:t>
      </w:r>
      <w:r>
        <w:rPr>
          <w:spacing w:val="-3"/>
        </w:rPr>
        <w:t> </w:t>
      </w:r>
      <w:r>
        <w:rPr/>
        <w:t>not</w:t>
      </w:r>
      <w:r>
        <w:rPr>
          <w:spacing w:val="-1"/>
        </w:rPr>
        <w:t> </w:t>
      </w:r>
      <w:r>
        <w:rPr/>
        <w:t>look</w:t>
      </w:r>
      <w:r>
        <w:rPr>
          <w:spacing w:val="-1"/>
        </w:rPr>
        <w:t> </w:t>
      </w:r>
      <w:r>
        <w:rPr/>
        <w:t>at the</w:t>
      </w:r>
      <w:r>
        <w:rPr>
          <w:spacing w:val="39"/>
        </w:rPr>
        <w:t> </w:t>
      </w:r>
      <w:r>
        <w:rPr/>
        <w:t>involvement</w:t>
      </w:r>
      <w:r>
        <w:rPr>
          <w:spacing w:val="42"/>
        </w:rPr>
        <w:t> </w:t>
      </w:r>
      <w:r>
        <w:rPr/>
        <w:t>of</w:t>
      </w:r>
      <w:r>
        <w:rPr>
          <w:spacing w:val="41"/>
        </w:rPr>
        <w:t> </w:t>
      </w:r>
      <w:r>
        <w:rPr/>
        <w:t>Operation</w:t>
      </w:r>
      <w:r>
        <w:rPr>
          <w:spacing w:val="42"/>
        </w:rPr>
        <w:t> </w:t>
      </w:r>
      <w:r>
        <w:rPr/>
        <w:t>RESTORE</w:t>
      </w:r>
      <w:r>
        <w:rPr>
          <w:spacing w:val="41"/>
        </w:rPr>
        <w:t> </w:t>
      </w:r>
      <w:r>
        <w:rPr/>
        <w:t>HOPE</w:t>
      </w:r>
      <w:r>
        <w:rPr>
          <w:spacing w:val="42"/>
        </w:rPr>
        <w:t> </w:t>
      </w:r>
      <w:r>
        <w:rPr/>
        <w:t>and</w:t>
      </w:r>
      <w:r>
        <w:rPr>
          <w:spacing w:val="42"/>
        </w:rPr>
        <w:t> </w:t>
      </w:r>
      <w:r>
        <w:rPr/>
        <w:t>therefore</w:t>
      </w:r>
      <w:r>
        <w:rPr>
          <w:spacing w:val="41"/>
        </w:rPr>
        <w:t> </w:t>
      </w:r>
      <w:r>
        <w:rPr/>
        <w:t>did</w:t>
      </w:r>
      <w:r>
        <w:rPr>
          <w:spacing w:val="43"/>
        </w:rPr>
        <w:t> </w:t>
      </w:r>
      <w:r>
        <w:rPr/>
        <w:t>not</w:t>
      </w:r>
      <w:r>
        <w:rPr>
          <w:spacing w:val="44"/>
        </w:rPr>
        <w:t> </w:t>
      </w:r>
      <w:r>
        <w:rPr/>
        <w:t>look</w:t>
      </w:r>
      <w:r>
        <w:rPr>
          <w:spacing w:val="43"/>
        </w:rPr>
        <w:t> </w:t>
      </w:r>
      <w:r>
        <w:rPr/>
        <w:t>at</w:t>
      </w:r>
      <w:r>
        <w:rPr>
          <w:spacing w:val="43"/>
        </w:rPr>
        <w:t> </w:t>
      </w:r>
      <w:r>
        <w:rPr>
          <w:spacing w:val="-5"/>
        </w:rPr>
        <w:t>the</w:t>
      </w:r>
    </w:p>
    <w:p>
      <w:pPr>
        <w:spacing w:after="0" w:line="360" w:lineRule="auto"/>
        <w:jc w:val="both"/>
        <w:sectPr>
          <w:pgSz w:w="11910" w:h="16840"/>
          <w:pgMar w:header="0" w:footer="1561" w:top="1360" w:bottom="1760" w:left="720" w:right="180"/>
        </w:sectPr>
      </w:pPr>
    </w:p>
    <w:p>
      <w:pPr>
        <w:pStyle w:val="BodyText"/>
        <w:spacing w:before="60"/>
        <w:jc w:val="both"/>
      </w:pPr>
      <w:r>
        <w:rPr/>
        <mc:AlternateContent>
          <mc:Choice Requires="wps">
            <w:drawing>
              <wp:anchor distT="0" distB="0" distL="0" distR="0" allowOverlap="1" layoutInCell="1" locked="0" behindDoc="1" simplePos="0" relativeHeight="480612864">
                <wp:simplePos x="0" y="0"/>
                <wp:positionH relativeFrom="page">
                  <wp:posOffset>-1537026</wp:posOffset>
                </wp:positionH>
                <wp:positionV relativeFrom="page">
                  <wp:posOffset>4900424</wp:posOffset>
                </wp:positionV>
                <wp:extent cx="10669905" cy="914400"/>
                <wp:effectExtent l="0" t="0" r="0" b="0"/>
                <wp:wrapNone/>
                <wp:docPr id="166" name="Textbox 166"/>
                <wp:cNvGraphicFramePr>
                  <a:graphicFrameLocks/>
                </wp:cNvGraphicFramePr>
                <a:graphic>
                  <a:graphicData uri="http://schemas.microsoft.com/office/word/2010/wordprocessingShape">
                    <wps:wsp>
                      <wps:cNvPr id="166" name="Textbox 166"/>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03616;rotation:306" type="#_x0000_t136" fillcolor="#ff5400" stroked="f">
                <o:extrusion v:ext="view" autorotationcenter="t"/>
                <v:textpath style="font-family:&quot;Arial MT&quot;;font-size:72pt;v-text-kern:t;mso-text-shadow:auto" string="UNIVERSITY OF IBADAN"/>
                <w10:wrap type="none"/>
              </v:shape>
            </w:pict>
          </mc:Fallback>
        </mc:AlternateContent>
      </w:r>
      <w:r>
        <w:rPr/>
        <w:t>challenges</w:t>
      </w:r>
      <w:r>
        <w:rPr>
          <w:spacing w:val="-3"/>
        </w:rPr>
        <w:t> </w:t>
      </w:r>
      <w:r>
        <w:rPr/>
        <w:t>faced by</w:t>
      </w:r>
      <w:r>
        <w:rPr>
          <w:spacing w:val="-5"/>
        </w:rPr>
        <w:t> </w:t>
      </w:r>
      <w:r>
        <w:rPr/>
        <w:t>the operation which</w:t>
      </w:r>
      <w:r>
        <w:rPr>
          <w:spacing w:val="-1"/>
        </w:rPr>
        <w:t> </w:t>
      </w:r>
      <w:r>
        <w:rPr/>
        <w:t>is the</w:t>
      </w:r>
      <w:r>
        <w:rPr>
          <w:spacing w:val="-1"/>
        </w:rPr>
        <w:t> </w:t>
      </w:r>
      <w:r>
        <w:rPr/>
        <w:t>focus of this </w:t>
      </w:r>
      <w:r>
        <w:rPr>
          <w:spacing w:val="-2"/>
        </w:rPr>
        <w:t>study.</w:t>
      </w:r>
    </w:p>
    <w:p>
      <w:pPr>
        <w:pStyle w:val="BodyText"/>
        <w:spacing w:line="360" w:lineRule="auto" w:before="138"/>
        <w:ind w:right="1260" w:firstLine="720"/>
        <w:jc w:val="both"/>
      </w:pPr>
      <w:r>
        <w:rPr/>
        <w:t>In the same vein, Adedeji (2005:vii) observed that the "post 1999 democratic order</w:t>
      </w:r>
      <w:r>
        <w:rPr>
          <w:spacing w:val="-1"/>
        </w:rPr>
        <w:t> </w:t>
      </w:r>
      <w:r>
        <w:rPr/>
        <w:t>has witnessed an explosion in the</w:t>
      </w:r>
      <w:r>
        <w:rPr>
          <w:spacing w:val="-1"/>
        </w:rPr>
        <w:t> </w:t>
      </w:r>
      <w:r>
        <w:rPr/>
        <w:t>number</w:t>
      </w:r>
      <w:r>
        <w:rPr>
          <w:spacing w:val="-2"/>
        </w:rPr>
        <w:t> </w:t>
      </w:r>
      <w:r>
        <w:rPr/>
        <w:t>of</w:t>
      </w:r>
      <w:r>
        <w:rPr>
          <w:spacing w:val="-1"/>
        </w:rPr>
        <w:t> </w:t>
      </w:r>
      <w:r>
        <w:rPr/>
        <w:t>violent communal conflicts and the permanent engagement of the military in Internal Security (IS) operations".</w:t>
      </w:r>
      <w:r>
        <w:rPr>
          <w:spacing w:val="40"/>
        </w:rPr>
        <w:t> </w:t>
      </w:r>
      <w:r>
        <w:rPr/>
        <w:t>To this end, this study aims partly at generating understanding of why the military is an instrument</w:t>
      </w:r>
      <w:r>
        <w:rPr>
          <w:spacing w:val="-3"/>
        </w:rPr>
        <w:t> </w:t>
      </w:r>
      <w:r>
        <w:rPr/>
        <w:t>for</w:t>
      </w:r>
      <w:r>
        <w:rPr>
          <w:spacing w:val="-4"/>
        </w:rPr>
        <w:t> </w:t>
      </w:r>
      <w:r>
        <w:rPr/>
        <w:t>managing</w:t>
      </w:r>
      <w:r>
        <w:rPr>
          <w:spacing w:val="-4"/>
        </w:rPr>
        <w:t> </w:t>
      </w:r>
      <w:r>
        <w:rPr/>
        <w:t>conflicts</w:t>
      </w:r>
      <w:r>
        <w:rPr>
          <w:spacing w:val="-3"/>
        </w:rPr>
        <w:t> </w:t>
      </w:r>
      <w:r>
        <w:rPr/>
        <w:t>within</w:t>
      </w:r>
      <w:r>
        <w:rPr>
          <w:spacing w:val="-3"/>
        </w:rPr>
        <w:t> </w:t>
      </w:r>
      <w:r>
        <w:rPr/>
        <w:t>Nigeria,</w:t>
      </w:r>
      <w:r>
        <w:rPr>
          <w:spacing w:val="-1"/>
        </w:rPr>
        <w:t> </w:t>
      </w:r>
      <w:r>
        <w:rPr/>
        <w:t>in</w:t>
      </w:r>
      <w:r>
        <w:rPr>
          <w:spacing w:val="-3"/>
        </w:rPr>
        <w:t> </w:t>
      </w:r>
      <w:r>
        <w:rPr/>
        <w:t>particular</w:t>
      </w:r>
      <w:r>
        <w:rPr>
          <w:spacing w:val="-3"/>
        </w:rPr>
        <w:t> </w:t>
      </w:r>
      <w:r>
        <w:rPr/>
        <w:t>the</w:t>
      </w:r>
      <w:r>
        <w:rPr>
          <w:spacing w:val="-2"/>
        </w:rPr>
        <w:t> </w:t>
      </w:r>
      <w:r>
        <w:rPr/>
        <w:t>Niger</w:t>
      </w:r>
      <w:r>
        <w:rPr>
          <w:spacing w:val="-2"/>
        </w:rPr>
        <w:t> </w:t>
      </w:r>
      <w:r>
        <w:rPr/>
        <w:t>Delta</w:t>
      </w:r>
      <w:r>
        <w:rPr>
          <w:spacing w:val="-4"/>
        </w:rPr>
        <w:t> </w:t>
      </w:r>
      <w:r>
        <w:rPr/>
        <w:t>and</w:t>
      </w:r>
      <w:r>
        <w:rPr>
          <w:spacing w:val="-1"/>
        </w:rPr>
        <w:t> </w:t>
      </w:r>
      <w:r>
        <w:rPr/>
        <w:t>the consequences of their involvement in IS operations.</w:t>
      </w:r>
    </w:p>
    <w:p>
      <w:pPr>
        <w:pStyle w:val="BodyText"/>
        <w:spacing w:line="360" w:lineRule="auto"/>
        <w:ind w:right="1255" w:firstLine="720"/>
        <w:jc w:val="both"/>
      </w:pPr>
      <w:r>
        <w:rPr/>
        <w:t>Since</w:t>
      </w:r>
      <w:r>
        <w:rPr>
          <w:spacing w:val="-4"/>
        </w:rPr>
        <w:t> </w:t>
      </w:r>
      <w:r>
        <w:rPr/>
        <w:t>the</w:t>
      </w:r>
      <w:r>
        <w:rPr>
          <w:spacing w:val="-2"/>
        </w:rPr>
        <w:t> </w:t>
      </w:r>
      <w:r>
        <w:rPr/>
        <w:t>end of</w:t>
      </w:r>
      <w:r>
        <w:rPr>
          <w:spacing w:val="-2"/>
        </w:rPr>
        <w:t> </w:t>
      </w:r>
      <w:r>
        <w:rPr/>
        <w:t>the</w:t>
      </w:r>
      <w:r>
        <w:rPr>
          <w:spacing w:val="-3"/>
        </w:rPr>
        <w:t> </w:t>
      </w:r>
      <w:r>
        <w:rPr/>
        <w:t>Cold</w:t>
      </w:r>
      <w:r>
        <w:rPr>
          <w:spacing w:val="-2"/>
        </w:rPr>
        <w:t> </w:t>
      </w:r>
      <w:r>
        <w:rPr/>
        <w:t>War</w:t>
      </w:r>
      <w:r>
        <w:rPr>
          <w:spacing w:val="-2"/>
        </w:rPr>
        <w:t> </w:t>
      </w:r>
      <w:r>
        <w:rPr/>
        <w:t>more</w:t>
      </w:r>
      <w:r>
        <w:rPr>
          <w:spacing w:val="-1"/>
        </w:rPr>
        <w:t> </w:t>
      </w:r>
      <w:r>
        <w:rPr/>
        <w:t>attention</w:t>
      </w:r>
      <w:r>
        <w:rPr>
          <w:spacing w:val="-2"/>
        </w:rPr>
        <w:t> </w:t>
      </w:r>
      <w:r>
        <w:rPr/>
        <w:t>has been given to</w:t>
      </w:r>
      <w:r>
        <w:rPr>
          <w:spacing w:val="-2"/>
        </w:rPr>
        <w:t> </w:t>
      </w:r>
      <w:r>
        <w:rPr/>
        <w:t>the</w:t>
      </w:r>
      <w:r>
        <w:rPr>
          <w:spacing w:val="-1"/>
        </w:rPr>
        <w:t> </w:t>
      </w:r>
      <w:r>
        <w:rPr/>
        <w:t>role</w:t>
      </w:r>
      <w:r>
        <w:rPr>
          <w:spacing w:val="-4"/>
        </w:rPr>
        <w:t> </w:t>
      </w:r>
      <w:r>
        <w:rPr/>
        <w:t>played by environmental factors in shaping global security and international relations, (Klare and Thomas, 1994).</w:t>
      </w:r>
      <w:r>
        <w:rPr>
          <w:spacing w:val="40"/>
        </w:rPr>
        <w:t> </w:t>
      </w:r>
      <w:r>
        <w:rPr/>
        <w:t>The impact of globalization has also heightened concern for the environment.</w:t>
      </w:r>
      <w:r>
        <w:rPr>
          <w:spacing w:val="40"/>
        </w:rPr>
        <w:t> </w:t>
      </w:r>
      <w:r>
        <w:rPr/>
        <w:t>In researching into Globalization and local resistance, Obi (2005:318) pointed out that "the extractive and polluting activities of Shell, which produces slightly over half of Nigeria's oil, has spawned alienation, protest and resistance</w:t>
      </w:r>
      <w:r>
        <w:rPr>
          <w:spacing w:val="40"/>
        </w:rPr>
        <w:t> </w:t>
      </w:r>
      <w:r>
        <w:rPr/>
        <w:t>across the local host communities of the oil-rich Niger Delta region in the past two decades".</w:t>
      </w:r>
      <w:r>
        <w:rPr>
          <w:spacing w:val="40"/>
        </w:rPr>
        <w:t> </w:t>
      </w:r>
      <w:r>
        <w:rPr/>
        <w:t>He further asserts that the "the primary lesson of the reversal of the Ogoni revolution is the danger in underestimating the capacity</w:t>
      </w:r>
      <w:r>
        <w:rPr>
          <w:spacing w:val="-3"/>
        </w:rPr>
        <w:t> </w:t>
      </w:r>
      <w:r>
        <w:rPr/>
        <w:t>of global capital and the local state to defend oil -based accumulation in Nigeria".</w:t>
      </w:r>
      <w:r>
        <w:rPr>
          <w:spacing w:val="80"/>
        </w:rPr>
        <w:t> </w:t>
      </w:r>
      <w:r>
        <w:rPr/>
        <w:t>The eventual outcome of this local resistance of the Ogonis against Shell and the State, he opined, would be</w:t>
      </w:r>
      <w:r>
        <w:rPr>
          <w:spacing w:val="40"/>
        </w:rPr>
        <w:t> </w:t>
      </w:r>
      <w:r>
        <w:rPr/>
        <w:t>difficult to predict.</w:t>
      </w:r>
      <w:r>
        <w:rPr>
          <w:spacing w:val="40"/>
        </w:rPr>
        <w:t> </w:t>
      </w:r>
      <w:r>
        <w:rPr/>
        <w:t>He further enunciates that the environment here becomes a constant terrain reflecting social and political relations of power over production, distribution and access.</w:t>
      </w:r>
    </w:p>
    <w:p>
      <w:pPr>
        <w:pStyle w:val="BodyText"/>
        <w:spacing w:line="360" w:lineRule="auto" w:before="1"/>
        <w:ind w:right="1254" w:firstLine="420"/>
        <w:jc w:val="both"/>
      </w:pPr>
      <w:r>
        <w:rPr/>
        <w:t>Environment- resource conflict nexus focuses on how “easily exploitable resources” could be used to finance violent conflicts. Cilliers (2000) posits that, resource scarcity or abundance can cause conflicts. He emphasized that in resource- rich countries like Angola, Democratic Republic of Congo, Nigeria and Sierra Leone, conflicts have arisen in response to struggles either over access to or control of these resources. Such struggles are sometimes worsened by wide social disparities arising from corruption, poverty, maladministration, elite manipulation, ethnic cleavages and poor governance among others.</w:t>
      </w:r>
    </w:p>
    <w:p>
      <w:pPr>
        <w:pStyle w:val="BodyText"/>
        <w:spacing w:line="360" w:lineRule="auto"/>
        <w:ind w:right="1256" w:firstLine="720"/>
        <w:jc w:val="both"/>
      </w:pPr>
      <w:r>
        <w:rPr/>
        <w:t>In</w:t>
      </w:r>
      <w:r>
        <w:rPr>
          <w:spacing w:val="-1"/>
        </w:rPr>
        <w:t> </w:t>
      </w:r>
      <w:r>
        <w:rPr/>
        <w:t>his philosophical analysis of</w:t>
      </w:r>
      <w:r>
        <w:rPr>
          <w:spacing w:val="-2"/>
        </w:rPr>
        <w:t> </w:t>
      </w:r>
      <w:r>
        <w:rPr/>
        <w:t>conflict in Africa, Williams (2005:21-22)</w:t>
      </w:r>
      <w:r>
        <w:rPr>
          <w:spacing w:val="-2"/>
        </w:rPr>
        <w:t> </w:t>
      </w:r>
      <w:r>
        <w:rPr/>
        <w:t>cited environmental conflicts, as a form of conflict in Africa.</w:t>
      </w:r>
      <w:r>
        <w:rPr>
          <w:spacing w:val="80"/>
        </w:rPr>
        <w:t> </w:t>
      </w:r>
      <w:r>
        <w:rPr/>
        <w:t>The study emphasized that the conflict in the Niger Delta is an example of conflict within nations over natural</w:t>
      </w:r>
      <w:r>
        <w:rPr>
          <w:spacing w:val="40"/>
        </w:rPr>
        <w:t> </w:t>
      </w:r>
      <w:r>
        <w:rPr/>
        <w:t>and</w:t>
      </w:r>
      <w:r>
        <w:rPr>
          <w:spacing w:val="46"/>
        </w:rPr>
        <w:t> </w:t>
      </w:r>
      <w:r>
        <w:rPr/>
        <w:t>environmental</w:t>
      </w:r>
      <w:r>
        <w:rPr>
          <w:spacing w:val="51"/>
        </w:rPr>
        <w:t> </w:t>
      </w:r>
      <w:r>
        <w:rPr/>
        <w:t>resources.</w:t>
      </w:r>
      <w:r>
        <w:rPr>
          <w:spacing w:val="50"/>
        </w:rPr>
        <w:t>  </w:t>
      </w:r>
      <w:r>
        <w:rPr/>
        <w:t>For</w:t>
      </w:r>
      <w:r>
        <w:rPr>
          <w:spacing w:val="48"/>
        </w:rPr>
        <w:t> </w:t>
      </w:r>
      <w:r>
        <w:rPr/>
        <w:t>instance,</w:t>
      </w:r>
      <w:r>
        <w:rPr>
          <w:spacing w:val="48"/>
        </w:rPr>
        <w:t> </w:t>
      </w:r>
      <w:r>
        <w:rPr/>
        <w:t>the</w:t>
      </w:r>
      <w:r>
        <w:rPr>
          <w:spacing w:val="48"/>
        </w:rPr>
        <w:t> </w:t>
      </w:r>
      <w:r>
        <w:rPr/>
        <w:t>Ogoni-Shell</w:t>
      </w:r>
      <w:r>
        <w:rPr>
          <w:spacing w:val="49"/>
        </w:rPr>
        <w:t> </w:t>
      </w:r>
      <w:r>
        <w:rPr/>
        <w:t>crisis</w:t>
      </w:r>
      <w:r>
        <w:rPr>
          <w:spacing w:val="49"/>
        </w:rPr>
        <w:t> </w:t>
      </w:r>
      <w:r>
        <w:rPr/>
        <w:t>as</w:t>
      </w:r>
      <w:r>
        <w:rPr>
          <w:spacing w:val="51"/>
        </w:rPr>
        <w:t> </w:t>
      </w:r>
      <w:r>
        <w:rPr/>
        <w:t>reported</w:t>
      </w:r>
      <w:r>
        <w:rPr>
          <w:spacing w:val="49"/>
        </w:rPr>
        <w:t> </w:t>
      </w:r>
      <w:r>
        <w:rPr>
          <w:spacing w:val="-5"/>
        </w:rPr>
        <w:t>by</w:t>
      </w:r>
    </w:p>
    <w:p>
      <w:pPr>
        <w:spacing w:after="0" w:line="360" w:lineRule="auto"/>
        <w:jc w:val="both"/>
        <w:sectPr>
          <w:pgSz w:w="11910" w:h="16840"/>
          <w:pgMar w:header="0" w:footer="1561" w:top="1360" w:bottom="1760" w:left="720" w:right="180"/>
        </w:sectPr>
      </w:pPr>
    </w:p>
    <w:p>
      <w:pPr>
        <w:pStyle w:val="BodyText"/>
        <w:spacing w:line="360" w:lineRule="auto" w:before="60"/>
        <w:ind w:right="1258"/>
        <w:jc w:val="both"/>
      </w:pPr>
      <w:r>
        <w:rPr/>
        <mc:AlternateContent>
          <mc:Choice Requires="wps">
            <w:drawing>
              <wp:anchor distT="0" distB="0" distL="0" distR="0" allowOverlap="1" layoutInCell="1" locked="0" behindDoc="1" simplePos="0" relativeHeight="480613376">
                <wp:simplePos x="0" y="0"/>
                <wp:positionH relativeFrom="page">
                  <wp:posOffset>-1537026</wp:posOffset>
                </wp:positionH>
                <wp:positionV relativeFrom="page">
                  <wp:posOffset>4900424</wp:posOffset>
                </wp:positionV>
                <wp:extent cx="10669905" cy="914400"/>
                <wp:effectExtent l="0" t="0" r="0" b="0"/>
                <wp:wrapNone/>
                <wp:docPr id="167" name="Textbox 167"/>
                <wp:cNvGraphicFramePr>
                  <a:graphicFrameLocks/>
                </wp:cNvGraphicFramePr>
                <a:graphic>
                  <a:graphicData uri="http://schemas.microsoft.com/office/word/2010/wordprocessingShape">
                    <wps:wsp>
                      <wps:cNvPr id="167" name="Textbox 167"/>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03104;rotation:306" type="#_x0000_t136" fillcolor="#ff5400" stroked="f">
                <o:extrusion v:ext="view" autorotationcenter="t"/>
                <v:textpath style="font-family:&quot;Arial MT&quot;;font-size:72pt;v-text-kern:t;mso-text-shadow:auto" string="UNIVERSITY OF IBADAN"/>
                <w10:wrap type="none"/>
              </v:shape>
            </w:pict>
          </mc:Fallback>
        </mc:AlternateContent>
      </w:r>
      <w:r>
        <w:rPr/>
        <w:t>Egunjobi (2005:272-273) is an environmental driven crisis. To Oshita (2007) the denial of access to basic needs, rather than Paul Colliers' allusion to greed, explains the protracted social conflict in the Niger Delta.</w:t>
      </w:r>
      <w:r>
        <w:rPr>
          <w:spacing w:val="80"/>
        </w:rPr>
        <w:t> </w:t>
      </w:r>
      <w:r>
        <w:rPr/>
        <w:t>The major causes of the crisis</w:t>
      </w:r>
      <w:r>
        <w:rPr>
          <w:spacing w:val="40"/>
        </w:rPr>
        <w:t> </w:t>
      </w:r>
      <w:r>
        <w:rPr/>
        <w:t>include perceived deprivation of the Niger Delta communities in terms of development.</w:t>
      </w:r>
      <w:r>
        <w:rPr>
          <w:spacing w:val="40"/>
        </w:rPr>
        <w:t> </w:t>
      </w:r>
      <w:r>
        <w:rPr/>
        <w:t>In his own contribution Williams opined that, the incompatibility of goals and interest over the proceeds from oil and gas in the Niger Delta has been the main point for conflict there (Williams 2005:22). He suggested dialogue towards solving the conflict.</w:t>
      </w:r>
      <w:r>
        <w:rPr>
          <w:spacing w:val="40"/>
        </w:rPr>
        <w:t> </w:t>
      </w:r>
      <w:r>
        <w:rPr/>
        <w:t>However, Williams did not discuss the role of the military operations in solving the Niger Delta conflict and thus could not have studied the challenges faced by the JTF.</w:t>
      </w:r>
    </w:p>
    <w:p>
      <w:pPr>
        <w:pStyle w:val="BodyText"/>
        <w:spacing w:line="360" w:lineRule="auto" w:before="2"/>
        <w:ind w:right="1254" w:firstLine="720"/>
        <w:jc w:val="both"/>
      </w:pPr>
      <w:r>
        <w:rPr/>
        <w:t>In contributing to the research on conflicts in South-East Zone of Nigeria, Nnoli (2006) rightly identifies political and economic factors as main causes of the violent conflicts and equally blamed leaders for exploiting ethnic differences for personal benefits and in the process created tension even within the same ethnic</w:t>
      </w:r>
      <w:r>
        <w:rPr>
          <w:spacing w:val="40"/>
        </w:rPr>
        <w:t> </w:t>
      </w:r>
      <w:r>
        <w:rPr/>
        <w:t>group.</w:t>
      </w:r>
      <w:r>
        <w:rPr>
          <w:spacing w:val="40"/>
        </w:rPr>
        <w:t> </w:t>
      </w:r>
      <w:r>
        <w:rPr/>
        <w:t>However, Nnoli's study did not identify neglect and marginalization as some reasons for violence in the zone. Suberu (1996:27), stressed that the reasons for conflict in the Niger Delta is rooted in the demand and grievances of Nigeria's oil producing areas.</w:t>
      </w:r>
      <w:r>
        <w:rPr>
          <w:spacing w:val="40"/>
        </w:rPr>
        <w:t> </w:t>
      </w:r>
      <w:r>
        <w:rPr/>
        <w:t>The communities have identified underdevelopment, environmental degradation, poverty and neglect as some of their grievances.</w:t>
      </w:r>
      <w:r>
        <w:rPr>
          <w:spacing w:val="40"/>
        </w:rPr>
        <w:t> </w:t>
      </w:r>
      <w:r>
        <w:rPr/>
        <w:t>They have made demands for better infrastructure, social services and better living conditions. However, he failed to identify with the inter-ethnic conflicts involving some of the ethnic group in some part of the Niger Delta, which dates back to the colonial era, as the remote cause of conflicts in the Niger Delta.</w:t>
      </w:r>
      <w:r>
        <w:rPr>
          <w:spacing w:val="80"/>
        </w:rPr>
        <w:t> </w:t>
      </w:r>
      <w:r>
        <w:rPr/>
        <w:t>In his contribution to the management of National Question in Nigeria, Naanen (2007:197-206) opined that the national question is perceived in the Niger Delta mainly in the delivery of social justice, equity and equality.</w:t>
      </w:r>
    </w:p>
    <w:p>
      <w:pPr>
        <w:pStyle w:val="BodyText"/>
        <w:spacing w:line="360" w:lineRule="auto"/>
        <w:ind w:right="1258" w:firstLine="720"/>
        <w:jc w:val="both"/>
      </w:pPr>
      <w:r>
        <w:rPr/>
        <w:t>A collection of essays in Adedeji A.G and Zabadi I.S (2005) addressed issues relating to the use of the military to manage violent conflicts in Nigeria.</w:t>
      </w:r>
      <w:r>
        <w:rPr>
          <w:spacing w:val="80"/>
        </w:rPr>
        <w:t> </w:t>
      </w:r>
      <w:r>
        <w:rPr/>
        <w:t>It was</w:t>
      </w:r>
      <w:r>
        <w:rPr>
          <w:spacing w:val="40"/>
        </w:rPr>
        <w:t> </w:t>
      </w:r>
      <w:r>
        <w:rPr/>
        <w:t>argued that the inherent tendency for conflicts, especially violent ones, to occur and endanger the society</w:t>
      </w:r>
      <w:r>
        <w:rPr>
          <w:spacing w:val="-1"/>
        </w:rPr>
        <w:t> </w:t>
      </w:r>
      <w:r>
        <w:rPr/>
        <w:t>has meant that certain mechanisms must be put in place to avoid chaos and disintegration.</w:t>
      </w:r>
      <w:r>
        <w:rPr>
          <w:spacing w:val="40"/>
        </w:rPr>
        <w:t> </w:t>
      </w:r>
      <w:r>
        <w:rPr/>
        <w:t>A</w:t>
      </w:r>
      <w:r>
        <w:rPr>
          <w:spacing w:val="-1"/>
        </w:rPr>
        <w:t> </w:t>
      </w:r>
      <w:r>
        <w:rPr/>
        <w:t>basic framework for such</w:t>
      </w:r>
      <w:r>
        <w:rPr>
          <w:spacing w:val="-1"/>
        </w:rPr>
        <w:t> </w:t>
      </w:r>
      <w:r>
        <w:rPr/>
        <w:t>mechanisms is the</w:t>
      </w:r>
      <w:r>
        <w:rPr>
          <w:spacing w:val="-1"/>
        </w:rPr>
        <w:t> </w:t>
      </w:r>
      <w:r>
        <w:rPr/>
        <w:t>setting</w:t>
      </w:r>
      <w:r>
        <w:rPr>
          <w:spacing w:val="-2"/>
        </w:rPr>
        <w:t> </w:t>
      </w:r>
      <w:r>
        <w:rPr/>
        <w:t>up of government and its institutions, within the political community.</w:t>
      </w:r>
      <w:r>
        <w:rPr>
          <w:spacing w:val="40"/>
        </w:rPr>
        <w:t> </w:t>
      </w:r>
      <w:r>
        <w:rPr/>
        <w:t>However, it was quickly</w:t>
      </w:r>
      <w:r>
        <w:rPr>
          <w:spacing w:val="36"/>
        </w:rPr>
        <w:t> </w:t>
      </w:r>
      <w:r>
        <w:rPr/>
        <w:t>remarked</w:t>
      </w:r>
      <w:r>
        <w:rPr>
          <w:spacing w:val="40"/>
        </w:rPr>
        <w:t> </w:t>
      </w:r>
      <w:r>
        <w:rPr/>
        <w:t>that,</w:t>
      </w:r>
      <w:r>
        <w:rPr>
          <w:spacing w:val="42"/>
        </w:rPr>
        <w:t> </w:t>
      </w:r>
      <w:r>
        <w:rPr/>
        <w:t>"the</w:t>
      </w:r>
      <w:r>
        <w:rPr>
          <w:spacing w:val="39"/>
        </w:rPr>
        <w:t> </w:t>
      </w:r>
      <w:r>
        <w:rPr/>
        <w:t>use</w:t>
      </w:r>
      <w:r>
        <w:rPr>
          <w:spacing w:val="39"/>
        </w:rPr>
        <w:t> </w:t>
      </w:r>
      <w:r>
        <w:rPr/>
        <w:t>of</w:t>
      </w:r>
      <w:r>
        <w:rPr>
          <w:spacing w:val="40"/>
        </w:rPr>
        <w:t> </w:t>
      </w:r>
      <w:r>
        <w:rPr/>
        <w:t>the</w:t>
      </w:r>
      <w:r>
        <w:rPr>
          <w:spacing w:val="40"/>
        </w:rPr>
        <w:t> </w:t>
      </w:r>
      <w:r>
        <w:rPr/>
        <w:t>military</w:t>
      </w:r>
      <w:r>
        <w:rPr>
          <w:spacing w:val="35"/>
        </w:rPr>
        <w:t> </w:t>
      </w:r>
      <w:r>
        <w:rPr/>
        <w:t>to</w:t>
      </w:r>
      <w:r>
        <w:rPr>
          <w:spacing w:val="40"/>
        </w:rPr>
        <w:t> </w:t>
      </w:r>
      <w:r>
        <w:rPr/>
        <w:t>manage</w:t>
      </w:r>
      <w:r>
        <w:rPr>
          <w:spacing w:val="48"/>
        </w:rPr>
        <w:t> </w:t>
      </w:r>
      <w:r>
        <w:rPr/>
        <w:t>conflict</w:t>
      </w:r>
      <w:r>
        <w:rPr>
          <w:spacing w:val="43"/>
        </w:rPr>
        <w:t> </w:t>
      </w:r>
      <w:r>
        <w:rPr/>
        <w:t>presents</w:t>
      </w:r>
      <w:r>
        <w:rPr>
          <w:spacing w:val="42"/>
        </w:rPr>
        <w:t> </w:t>
      </w:r>
      <w:r>
        <w:rPr>
          <w:spacing w:val="-2"/>
        </w:rPr>
        <w:t>results</w:t>
      </w:r>
    </w:p>
    <w:p>
      <w:pPr>
        <w:spacing w:after="0" w:line="360" w:lineRule="auto"/>
        <w:jc w:val="both"/>
        <w:sectPr>
          <w:pgSz w:w="11910" w:h="16840"/>
          <w:pgMar w:header="0" w:footer="1561" w:top="1360" w:bottom="1760" w:left="720" w:right="180"/>
        </w:sectPr>
      </w:pPr>
    </w:p>
    <w:p>
      <w:pPr>
        <w:pStyle w:val="BodyText"/>
        <w:spacing w:line="360" w:lineRule="auto" w:before="60"/>
        <w:ind w:right="1259"/>
        <w:jc w:val="both"/>
      </w:pPr>
      <w:r>
        <w:rPr/>
        <mc:AlternateContent>
          <mc:Choice Requires="wps">
            <w:drawing>
              <wp:anchor distT="0" distB="0" distL="0" distR="0" allowOverlap="1" layoutInCell="1" locked="0" behindDoc="1" simplePos="0" relativeHeight="480613888">
                <wp:simplePos x="0" y="0"/>
                <wp:positionH relativeFrom="page">
                  <wp:posOffset>-1537026</wp:posOffset>
                </wp:positionH>
                <wp:positionV relativeFrom="page">
                  <wp:posOffset>4900424</wp:posOffset>
                </wp:positionV>
                <wp:extent cx="10669905" cy="914400"/>
                <wp:effectExtent l="0" t="0" r="0" b="0"/>
                <wp:wrapNone/>
                <wp:docPr id="168" name="Textbox 168"/>
                <wp:cNvGraphicFramePr>
                  <a:graphicFrameLocks/>
                </wp:cNvGraphicFramePr>
                <a:graphic>
                  <a:graphicData uri="http://schemas.microsoft.com/office/word/2010/wordprocessingShape">
                    <wps:wsp>
                      <wps:cNvPr id="168" name="Textbox 168"/>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02592;rotation:306" type="#_x0000_t136" fillcolor="#ff5400" stroked="f">
                <o:extrusion v:ext="view" autorotationcenter="t"/>
                <v:textpath style="font-family:&quot;Arial MT&quot;;font-size:72pt;v-text-kern:t;mso-text-shadow:auto" string="UNIVERSITY OF IBADAN"/>
                <w10:wrap type="none"/>
              </v:shape>
            </w:pict>
          </mc:Fallback>
        </mc:AlternateContent>
      </w:r>
      <w:r>
        <w:rPr/>
        <w:t>which are increasingly challenged as unacceptable from the human rights perspective".</w:t>
      </w:r>
      <w:r>
        <w:rPr>
          <w:spacing w:val="-2"/>
        </w:rPr>
        <w:t> </w:t>
      </w:r>
      <w:r>
        <w:rPr/>
        <w:t>Adedeji</w:t>
      </w:r>
      <w:r>
        <w:rPr>
          <w:spacing w:val="-4"/>
        </w:rPr>
        <w:t> </w:t>
      </w:r>
      <w:r>
        <w:rPr/>
        <w:t>and</w:t>
      </w:r>
      <w:r>
        <w:rPr>
          <w:spacing w:val="-4"/>
        </w:rPr>
        <w:t> </w:t>
      </w:r>
      <w:r>
        <w:rPr/>
        <w:t>Zabadi</w:t>
      </w:r>
      <w:r>
        <w:rPr>
          <w:spacing w:val="-4"/>
        </w:rPr>
        <w:t> </w:t>
      </w:r>
      <w:r>
        <w:rPr/>
        <w:t>(2005)</w:t>
      </w:r>
      <w:r>
        <w:rPr>
          <w:spacing w:val="-3"/>
        </w:rPr>
        <w:t> </w:t>
      </w:r>
      <w:r>
        <w:rPr/>
        <w:t>further</w:t>
      </w:r>
      <w:r>
        <w:rPr>
          <w:spacing w:val="-4"/>
        </w:rPr>
        <w:t> </w:t>
      </w:r>
      <w:r>
        <w:rPr/>
        <w:t>observed</w:t>
      </w:r>
      <w:r>
        <w:rPr>
          <w:spacing w:val="-4"/>
        </w:rPr>
        <w:t> </w:t>
      </w:r>
      <w:r>
        <w:rPr/>
        <w:t>that</w:t>
      </w:r>
      <w:r>
        <w:rPr>
          <w:spacing w:val="-2"/>
        </w:rPr>
        <w:t> </w:t>
      </w:r>
      <w:r>
        <w:rPr/>
        <w:t>"the</w:t>
      </w:r>
      <w:r>
        <w:rPr>
          <w:spacing w:val="-4"/>
        </w:rPr>
        <w:t> </w:t>
      </w:r>
      <w:r>
        <w:rPr/>
        <w:t>plural</w:t>
      </w:r>
      <w:r>
        <w:rPr>
          <w:spacing w:val="-4"/>
        </w:rPr>
        <w:t> </w:t>
      </w:r>
      <w:r>
        <w:rPr/>
        <w:t>nature</w:t>
      </w:r>
      <w:r>
        <w:rPr>
          <w:spacing w:val="-6"/>
        </w:rPr>
        <w:t> </w:t>
      </w:r>
      <w:r>
        <w:rPr/>
        <w:t>of</w:t>
      </w:r>
      <w:r>
        <w:rPr>
          <w:spacing w:val="-4"/>
        </w:rPr>
        <w:t> </w:t>
      </w:r>
      <w:r>
        <w:rPr/>
        <w:t>the country,</w:t>
      </w:r>
      <w:r>
        <w:rPr>
          <w:spacing w:val="-1"/>
        </w:rPr>
        <w:t> </w:t>
      </w:r>
      <w:r>
        <w:rPr/>
        <w:t>in</w:t>
      </w:r>
      <w:r>
        <w:rPr>
          <w:spacing w:val="-3"/>
        </w:rPr>
        <w:t> </w:t>
      </w:r>
      <w:r>
        <w:rPr/>
        <w:t>addition</w:t>
      </w:r>
      <w:r>
        <w:rPr>
          <w:spacing w:val="-3"/>
        </w:rPr>
        <w:t> </w:t>
      </w:r>
      <w:r>
        <w:rPr/>
        <w:t>to</w:t>
      </w:r>
      <w:r>
        <w:rPr>
          <w:spacing w:val="-3"/>
        </w:rPr>
        <w:t> </w:t>
      </w:r>
      <w:r>
        <w:rPr/>
        <w:t>the</w:t>
      </w:r>
      <w:r>
        <w:rPr>
          <w:spacing w:val="-4"/>
        </w:rPr>
        <w:t> </w:t>
      </w:r>
      <w:r>
        <w:rPr/>
        <w:t>sources</w:t>
      </w:r>
      <w:r>
        <w:rPr>
          <w:spacing w:val="-3"/>
        </w:rPr>
        <w:t> </w:t>
      </w:r>
      <w:r>
        <w:rPr/>
        <w:t>of</w:t>
      </w:r>
      <w:r>
        <w:rPr>
          <w:spacing w:val="-2"/>
        </w:rPr>
        <w:t> </w:t>
      </w:r>
      <w:r>
        <w:rPr/>
        <w:t>violent</w:t>
      </w:r>
      <w:r>
        <w:rPr>
          <w:spacing w:val="-3"/>
        </w:rPr>
        <w:t> </w:t>
      </w:r>
      <w:r>
        <w:rPr/>
        <w:t>conflicts,</w:t>
      </w:r>
      <w:r>
        <w:rPr>
          <w:spacing w:val="-3"/>
        </w:rPr>
        <w:t> </w:t>
      </w:r>
      <w:r>
        <w:rPr/>
        <w:t>necessitated the</w:t>
      </w:r>
      <w:r>
        <w:rPr>
          <w:spacing w:val="-2"/>
        </w:rPr>
        <w:t> </w:t>
      </w:r>
      <w:r>
        <w:rPr/>
        <w:t>emergence</w:t>
      </w:r>
      <w:r>
        <w:rPr>
          <w:spacing w:val="-2"/>
        </w:rPr>
        <w:t> </w:t>
      </w:r>
      <w:r>
        <w:rPr/>
        <w:t>of</w:t>
      </w:r>
      <w:r>
        <w:rPr>
          <w:spacing w:val="-2"/>
        </w:rPr>
        <w:t> </w:t>
      </w:r>
      <w:r>
        <w:rPr/>
        <w:t>a framework</w:t>
      </w:r>
      <w:r>
        <w:rPr>
          <w:spacing w:val="-3"/>
        </w:rPr>
        <w:t> </w:t>
      </w:r>
      <w:r>
        <w:rPr/>
        <w:t>for</w:t>
      </w:r>
      <w:r>
        <w:rPr>
          <w:spacing w:val="-3"/>
        </w:rPr>
        <w:t> </w:t>
      </w:r>
      <w:r>
        <w:rPr/>
        <w:t>managing</w:t>
      </w:r>
      <w:r>
        <w:rPr>
          <w:spacing w:val="-3"/>
        </w:rPr>
        <w:t> </w:t>
      </w:r>
      <w:r>
        <w:rPr/>
        <w:t>such</w:t>
      </w:r>
      <w:r>
        <w:rPr>
          <w:spacing w:val="-3"/>
        </w:rPr>
        <w:t> </w:t>
      </w:r>
      <w:r>
        <w:rPr/>
        <w:t>situations</w:t>
      </w:r>
      <w:r>
        <w:rPr>
          <w:spacing w:val="-3"/>
        </w:rPr>
        <w:t> </w:t>
      </w:r>
      <w:r>
        <w:rPr/>
        <w:t>by</w:t>
      </w:r>
      <w:r>
        <w:rPr>
          <w:spacing w:val="-6"/>
        </w:rPr>
        <w:t> </w:t>
      </w:r>
      <w:r>
        <w:rPr/>
        <w:t>using</w:t>
      </w:r>
      <w:r>
        <w:rPr>
          <w:spacing w:val="-1"/>
        </w:rPr>
        <w:t> </w:t>
      </w:r>
      <w:r>
        <w:rPr/>
        <w:t>the</w:t>
      </w:r>
      <w:r>
        <w:rPr>
          <w:spacing w:val="-3"/>
        </w:rPr>
        <w:t> </w:t>
      </w:r>
      <w:r>
        <w:rPr/>
        <w:t>military".</w:t>
      </w:r>
      <w:r>
        <w:rPr>
          <w:spacing w:val="-1"/>
        </w:rPr>
        <w:t> </w:t>
      </w:r>
      <w:r>
        <w:rPr/>
        <w:t>This</w:t>
      </w:r>
      <w:r>
        <w:rPr>
          <w:spacing w:val="-3"/>
        </w:rPr>
        <w:t> </w:t>
      </w:r>
      <w:r>
        <w:rPr/>
        <w:t>framework</w:t>
      </w:r>
      <w:r>
        <w:rPr>
          <w:spacing w:val="-3"/>
        </w:rPr>
        <w:t> </w:t>
      </w:r>
      <w:r>
        <w:rPr/>
        <w:t>exists in the</w:t>
      </w:r>
      <w:r>
        <w:rPr>
          <w:spacing w:val="-1"/>
        </w:rPr>
        <w:t> </w:t>
      </w:r>
      <w:r>
        <w:rPr/>
        <w:t>form</w:t>
      </w:r>
      <w:r>
        <w:rPr>
          <w:spacing w:val="-1"/>
        </w:rPr>
        <w:t> </w:t>
      </w:r>
      <w:r>
        <w:rPr/>
        <w:t>of the IS operations which has constitutional and statutory</w:t>
      </w:r>
      <w:r>
        <w:rPr>
          <w:spacing w:val="-3"/>
        </w:rPr>
        <w:t> </w:t>
      </w:r>
      <w:r>
        <w:rPr/>
        <w:t>provisions. It is the procedure and training given to the military for managing conflicts.</w:t>
      </w:r>
    </w:p>
    <w:p>
      <w:pPr>
        <w:pStyle w:val="BodyText"/>
        <w:spacing w:line="360" w:lineRule="auto" w:before="1"/>
        <w:ind w:right="1260" w:firstLine="720"/>
        <w:jc w:val="both"/>
      </w:pPr>
      <w:r>
        <w:rPr/>
        <w:t>Obasi (2005:111-135) aptly examined the Niger Delta region which has witnessed conflicts over resources and the involvement of the military in managing it for over a decade.</w:t>
      </w:r>
      <w:r>
        <w:rPr>
          <w:spacing w:val="40"/>
        </w:rPr>
        <w:t> </w:t>
      </w:r>
      <w:r>
        <w:rPr/>
        <w:t>His discourse focused on the survey of the Nigerian Government's overall framework for management of conflicts in the Niger Delta and situates the military within the framework.</w:t>
      </w:r>
      <w:r>
        <w:rPr>
          <w:spacing w:val="40"/>
        </w:rPr>
        <w:t> </w:t>
      </w:r>
      <w:r>
        <w:rPr/>
        <w:t>Obasi stated the need for "force to be applied in a professional, coordinated and sustained manner" by the military on Internal Security Operations in the Niger Delta, using minimum force.</w:t>
      </w:r>
      <w:r>
        <w:rPr>
          <w:spacing w:val="40"/>
        </w:rPr>
        <w:t> </w:t>
      </w:r>
      <w:r>
        <w:rPr/>
        <w:t>He also carried out a critical appraisal of the performance of the military in the management of conflict in the</w:t>
      </w:r>
      <w:r>
        <w:rPr>
          <w:spacing w:val="40"/>
        </w:rPr>
        <w:t> </w:t>
      </w:r>
      <w:r>
        <w:rPr/>
        <w:t>Niger Delta. Nonetheless, Obasi failed to proffer solutions towards the management</w:t>
      </w:r>
      <w:r>
        <w:rPr>
          <w:spacing w:val="40"/>
        </w:rPr>
        <w:t> </w:t>
      </w:r>
      <w:r>
        <w:rPr/>
        <w:t>of the seemingly intractable conflicts in the Niger Delta.</w:t>
      </w:r>
    </w:p>
    <w:p>
      <w:pPr>
        <w:pStyle w:val="BodyText"/>
        <w:spacing w:line="360" w:lineRule="auto" w:before="1"/>
        <w:ind w:right="1254" w:firstLine="720"/>
        <w:jc w:val="both"/>
      </w:pPr>
      <w:r>
        <w:rPr/>
        <w:t>In his contribution, Zabadi (2005) assessed the role of the military in</w:t>
      </w:r>
      <w:r>
        <w:rPr>
          <w:spacing w:val="40"/>
        </w:rPr>
        <w:t> </w:t>
      </w:r>
      <w:r>
        <w:rPr/>
        <w:t>managing internal conflicts, citing a number of cases.</w:t>
      </w:r>
      <w:r>
        <w:rPr>
          <w:spacing w:val="80"/>
        </w:rPr>
        <w:t> </w:t>
      </w:r>
      <w:r>
        <w:rPr/>
        <w:t>Despite the fact that the military has a constitutional role to protect the territorial integrity of Nigeria,</w:t>
      </w:r>
      <w:r>
        <w:rPr>
          <w:spacing w:val="40"/>
        </w:rPr>
        <w:t> </w:t>
      </w:r>
      <w:r>
        <w:rPr/>
        <w:t>including internal security, it has been observed that its mode of operation, when it comes to managing these conflicts, has been widely misunderstood, and, in most cases, criticized.</w:t>
      </w:r>
      <w:r>
        <w:rPr>
          <w:spacing w:val="40"/>
        </w:rPr>
        <w:t> </w:t>
      </w:r>
      <w:r>
        <w:rPr/>
        <w:t>Zabadi (2005) also highlighted the challenges of the military involvement in managing internal conflicts as well as the future of the military involvement in conflicts management.</w:t>
      </w:r>
      <w:r>
        <w:rPr>
          <w:spacing w:val="80"/>
        </w:rPr>
        <w:t> </w:t>
      </w:r>
      <w:r>
        <w:rPr/>
        <w:t>He opined that, "in spite of the embedded</w:t>
      </w:r>
      <w:r>
        <w:rPr>
          <w:spacing w:val="40"/>
        </w:rPr>
        <w:t> </w:t>
      </w:r>
      <w:r>
        <w:rPr/>
        <w:t>rules and regulations guiding IS operation and the need to exercise force in a "human way", … control of the use of force for the security operations, represents a constant challenge for commanding officers and other ranks in the field. Zabadi, however did not cover current development and challenges since the literature was published in 2005 when the military operations in the Niger Delta was still on a small scale and were yet to be concluded.</w:t>
      </w:r>
    </w:p>
    <w:p>
      <w:pPr>
        <w:pStyle w:val="BodyText"/>
        <w:spacing w:line="360" w:lineRule="auto"/>
        <w:ind w:right="1256" w:firstLine="720"/>
        <w:jc w:val="both"/>
      </w:pPr>
      <w:r>
        <w:rPr/>
        <w:t>The outcome of the various scholars clearly brought out the fact that, the military has a constitutional role to play in the management of internal security in Nigeria.</w:t>
      </w:r>
      <w:r>
        <w:rPr>
          <w:spacing w:val="57"/>
          <w:w w:val="150"/>
        </w:rPr>
        <w:t> </w:t>
      </w:r>
      <w:r>
        <w:rPr/>
        <w:t>In</w:t>
      </w:r>
      <w:r>
        <w:rPr>
          <w:spacing w:val="11"/>
        </w:rPr>
        <w:t> </w:t>
      </w:r>
      <w:r>
        <w:rPr/>
        <w:t>addition</w:t>
      </w:r>
      <w:r>
        <w:rPr>
          <w:spacing w:val="12"/>
        </w:rPr>
        <w:t> </w:t>
      </w:r>
      <w:r>
        <w:rPr/>
        <w:t>to</w:t>
      </w:r>
      <w:r>
        <w:rPr>
          <w:spacing w:val="12"/>
        </w:rPr>
        <w:t> </w:t>
      </w:r>
      <w:r>
        <w:rPr/>
        <w:t>this,</w:t>
      </w:r>
      <w:r>
        <w:rPr>
          <w:spacing w:val="12"/>
        </w:rPr>
        <w:t> </w:t>
      </w:r>
      <w:r>
        <w:rPr/>
        <w:t>the</w:t>
      </w:r>
      <w:r>
        <w:rPr>
          <w:spacing w:val="11"/>
        </w:rPr>
        <w:t> </w:t>
      </w:r>
      <w:r>
        <w:rPr/>
        <w:t>military</w:t>
      </w:r>
      <w:r>
        <w:rPr>
          <w:spacing w:val="6"/>
        </w:rPr>
        <w:t> </w:t>
      </w:r>
      <w:r>
        <w:rPr/>
        <w:t>is</w:t>
      </w:r>
      <w:r>
        <w:rPr>
          <w:spacing w:val="12"/>
        </w:rPr>
        <w:t> </w:t>
      </w:r>
      <w:r>
        <w:rPr/>
        <w:t>duly</w:t>
      </w:r>
      <w:r>
        <w:rPr>
          <w:spacing w:val="6"/>
        </w:rPr>
        <w:t> </w:t>
      </w:r>
      <w:r>
        <w:rPr/>
        <w:t>trained</w:t>
      </w:r>
      <w:r>
        <w:rPr>
          <w:spacing w:val="11"/>
        </w:rPr>
        <w:t> </w:t>
      </w:r>
      <w:r>
        <w:rPr/>
        <w:t>for</w:t>
      </w:r>
      <w:r>
        <w:rPr>
          <w:spacing w:val="11"/>
        </w:rPr>
        <w:t> </w:t>
      </w:r>
      <w:r>
        <w:rPr/>
        <w:t>such</w:t>
      </w:r>
      <w:r>
        <w:rPr>
          <w:spacing w:val="13"/>
        </w:rPr>
        <w:t> </w:t>
      </w:r>
      <w:r>
        <w:rPr/>
        <w:t>a</w:t>
      </w:r>
      <w:r>
        <w:rPr>
          <w:spacing w:val="10"/>
        </w:rPr>
        <w:t> </w:t>
      </w:r>
      <w:r>
        <w:rPr/>
        <w:t>role</w:t>
      </w:r>
      <w:r>
        <w:rPr>
          <w:spacing w:val="12"/>
        </w:rPr>
        <w:t> </w:t>
      </w:r>
      <w:r>
        <w:rPr/>
        <w:t>and</w:t>
      </w:r>
      <w:r>
        <w:rPr>
          <w:spacing w:val="11"/>
        </w:rPr>
        <w:t> </w:t>
      </w:r>
      <w:r>
        <w:rPr/>
        <w:t>they</w:t>
      </w:r>
      <w:r>
        <w:rPr>
          <w:spacing w:val="9"/>
        </w:rPr>
        <w:t> </w:t>
      </w:r>
      <w:r>
        <w:rPr>
          <w:spacing w:val="-4"/>
        </w:rPr>
        <w:t>have</w:t>
      </w:r>
    </w:p>
    <w:p>
      <w:pPr>
        <w:spacing w:after="0" w:line="360" w:lineRule="auto"/>
        <w:jc w:val="both"/>
        <w:sectPr>
          <w:pgSz w:w="11910" w:h="16840"/>
          <w:pgMar w:header="0" w:footer="1561" w:top="1360" w:bottom="1760" w:left="720" w:right="180"/>
        </w:sectPr>
      </w:pPr>
    </w:p>
    <w:p>
      <w:pPr>
        <w:pStyle w:val="BodyText"/>
        <w:spacing w:line="360" w:lineRule="auto" w:before="60"/>
        <w:ind w:right="1255"/>
        <w:jc w:val="both"/>
      </w:pPr>
      <w:r>
        <w:rPr/>
        <mc:AlternateContent>
          <mc:Choice Requires="wps">
            <w:drawing>
              <wp:anchor distT="0" distB="0" distL="0" distR="0" allowOverlap="1" layoutInCell="1" locked="0" behindDoc="1" simplePos="0" relativeHeight="480614400">
                <wp:simplePos x="0" y="0"/>
                <wp:positionH relativeFrom="page">
                  <wp:posOffset>-1537026</wp:posOffset>
                </wp:positionH>
                <wp:positionV relativeFrom="page">
                  <wp:posOffset>4900424</wp:posOffset>
                </wp:positionV>
                <wp:extent cx="10669905" cy="914400"/>
                <wp:effectExtent l="0" t="0" r="0" b="0"/>
                <wp:wrapNone/>
                <wp:docPr id="169" name="Textbox 169"/>
                <wp:cNvGraphicFramePr>
                  <a:graphicFrameLocks/>
                </wp:cNvGraphicFramePr>
                <a:graphic>
                  <a:graphicData uri="http://schemas.microsoft.com/office/word/2010/wordprocessingShape">
                    <wps:wsp>
                      <wps:cNvPr id="169" name="Textbox 169"/>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02080;rotation:306" type="#_x0000_t136" fillcolor="#ff5400" stroked="f">
                <o:extrusion v:ext="view" autorotationcenter="t"/>
                <v:textpath style="font-family:&quot;Arial MT&quot;;font-size:72pt;v-text-kern:t;mso-text-shadow:auto" string="UNIVERSITY OF IBADAN"/>
                <w10:wrap type="none"/>
              </v:shape>
            </w:pict>
          </mc:Fallback>
        </mc:AlternateContent>
      </w:r>
      <w:r>
        <w:rPr/>
        <w:t>established principles, processes and procedures for their involvement in such operations. Nonetheless, the current practice by the Nigerian armed forces in IS operations was adjudged unsatisfactory in the sense that it produces results which are always below the expectation of the Nigerian public. The inadequacies inherent in the present framework of involving the Nigerian military in managing violent conflicts were also brought out by Zabadi (2005).</w:t>
      </w:r>
      <w:r>
        <w:rPr>
          <w:spacing w:val="40"/>
        </w:rPr>
        <w:t> </w:t>
      </w:r>
      <w:r>
        <w:rPr/>
        <w:t>These and other issues are germane to the study and need to be rigorously researched into and addressed as a way of proffering solutions towards the effective management of the Niger Delta conflicts.</w:t>
      </w:r>
    </w:p>
    <w:p>
      <w:pPr>
        <w:pStyle w:val="BodyText"/>
        <w:spacing w:line="360" w:lineRule="auto" w:before="1"/>
        <w:ind w:right="1262" w:firstLine="720"/>
        <w:jc w:val="both"/>
      </w:pPr>
      <w:r>
        <w:rPr/>
        <w:t>Likewise, an overview of existing works indicates that gaps still exist in the study of the Niger Delta conflict.</w:t>
      </w:r>
      <w:r>
        <w:rPr>
          <w:spacing w:val="40"/>
        </w:rPr>
        <w:t> </w:t>
      </w:r>
      <w:r>
        <w:rPr/>
        <w:t>The reviewed literature from the foregoing therefore, gave no critical study on the military operations being employed in the Niger Delta conflict.</w:t>
      </w:r>
      <w:r>
        <w:rPr>
          <w:spacing w:val="40"/>
        </w:rPr>
        <w:t> </w:t>
      </w:r>
      <w:r>
        <w:rPr/>
        <w:t>For instance, it has not been explained why</w:t>
      </w:r>
      <w:r>
        <w:rPr>
          <w:spacing w:val="-3"/>
        </w:rPr>
        <w:t> </w:t>
      </w:r>
      <w:r>
        <w:rPr/>
        <w:t>the military</w:t>
      </w:r>
      <w:r>
        <w:rPr>
          <w:spacing w:val="-1"/>
        </w:rPr>
        <w:t> </w:t>
      </w:r>
      <w:r>
        <w:rPr/>
        <w:t>was the chosen instrument for managing conflicts in the Niger Delta. Most of the studies have not done in-depth research into the activities of the Joint Military Task Force in the Niger Delta.</w:t>
      </w:r>
      <w:r>
        <w:rPr>
          <w:spacing w:val="40"/>
        </w:rPr>
        <w:t> </w:t>
      </w:r>
      <w:r>
        <w:rPr/>
        <w:t>In seeking to achieve the objective of this study, these gaps will be adequately addressed.</w:t>
      </w:r>
    </w:p>
    <w:p>
      <w:pPr>
        <w:spacing w:after="0" w:line="360" w:lineRule="auto"/>
        <w:jc w:val="both"/>
        <w:sectPr>
          <w:pgSz w:w="11910" w:h="16840"/>
          <w:pgMar w:header="0" w:footer="1561" w:top="1360" w:bottom="1760" w:left="720" w:right="180"/>
        </w:sectPr>
      </w:pPr>
    </w:p>
    <w:p>
      <w:pPr>
        <w:pStyle w:val="Heading1"/>
        <w:spacing w:line="360" w:lineRule="auto" w:before="65"/>
        <w:ind w:left="3903" w:right="3721" w:firstLine="655"/>
      </w:pPr>
      <w:r>
        <w:rPr/>
        <mc:AlternateContent>
          <mc:Choice Requires="wps">
            <w:drawing>
              <wp:anchor distT="0" distB="0" distL="0" distR="0" allowOverlap="1" layoutInCell="1" locked="0" behindDoc="1" simplePos="0" relativeHeight="480614912">
                <wp:simplePos x="0" y="0"/>
                <wp:positionH relativeFrom="page">
                  <wp:posOffset>-1537026</wp:posOffset>
                </wp:positionH>
                <wp:positionV relativeFrom="page">
                  <wp:posOffset>4900424</wp:posOffset>
                </wp:positionV>
                <wp:extent cx="10669905" cy="914400"/>
                <wp:effectExtent l="0" t="0" r="0" b="0"/>
                <wp:wrapNone/>
                <wp:docPr id="170" name="Textbox 170"/>
                <wp:cNvGraphicFramePr>
                  <a:graphicFrameLocks/>
                </wp:cNvGraphicFramePr>
                <a:graphic>
                  <a:graphicData uri="http://schemas.microsoft.com/office/word/2010/wordprocessingShape">
                    <wps:wsp>
                      <wps:cNvPr id="170" name="Textbox 170"/>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701568;rotation:306" type="#_x0000_t136" fillcolor="#ff5400" stroked="f">
                <o:extrusion v:ext="view" autorotationcenter="t"/>
                <v:textpath style="font-family:&quot;Arial MT&quot;;font-size:72pt;v-text-kern:t;mso-text-shadow:auto" string="UNIVERSITY OF IBADAN"/>
                <w10:wrap type="none"/>
              </v:shape>
            </w:pict>
          </mc:Fallback>
        </mc:AlternateContent>
      </w:r>
      <w:r>
        <w:rPr/>
        <w:t>CHAPTER THREE RESEARCH</w:t>
      </w:r>
      <w:r>
        <w:rPr>
          <w:spacing w:val="-15"/>
        </w:rPr>
        <w:t> </w:t>
      </w:r>
      <w:r>
        <w:rPr/>
        <w:t>METHODOLOGY</w:t>
      </w:r>
    </w:p>
    <w:p>
      <w:pPr>
        <w:pStyle w:val="Heading1"/>
        <w:numPr>
          <w:ilvl w:val="1"/>
          <w:numId w:val="12"/>
        </w:numPr>
        <w:tabs>
          <w:tab w:pos="2160" w:val="left" w:leader="none"/>
        </w:tabs>
        <w:spacing w:line="240" w:lineRule="auto" w:before="1" w:after="0"/>
        <w:ind w:left="2160" w:right="0" w:hanging="720"/>
        <w:jc w:val="both"/>
      </w:pPr>
      <w:bookmarkStart w:name="_TOC_250012" w:id="30"/>
      <w:r>
        <w:rPr/>
        <w:t>BACKGROUND</w:t>
      </w:r>
      <w:r>
        <w:rPr>
          <w:spacing w:val="-4"/>
        </w:rPr>
        <w:t> </w:t>
      </w:r>
      <w:bookmarkEnd w:id="30"/>
      <w:r>
        <w:rPr>
          <w:spacing w:val="-2"/>
        </w:rPr>
        <w:t>INFORMATION</w:t>
      </w:r>
    </w:p>
    <w:p>
      <w:pPr>
        <w:pStyle w:val="BodyText"/>
        <w:spacing w:line="360" w:lineRule="auto" w:before="132"/>
        <w:ind w:right="1256" w:firstLine="720"/>
        <w:jc w:val="both"/>
      </w:pPr>
      <w:r>
        <w:rPr/>
        <w:t>The methodology adopted for this study</w:t>
      </w:r>
      <w:r>
        <w:rPr>
          <w:spacing w:val="-3"/>
        </w:rPr>
        <w:t> </w:t>
      </w:r>
      <w:r>
        <w:rPr/>
        <w:t>leans heavily</w:t>
      </w:r>
      <w:r>
        <w:rPr>
          <w:spacing w:val="-3"/>
        </w:rPr>
        <w:t> </w:t>
      </w:r>
      <w:r>
        <w:rPr/>
        <w:t>on the use of qualitative and quantitative approaches in sourcing data from the respondents.</w:t>
      </w:r>
      <w:r>
        <w:rPr>
          <w:spacing w:val="40"/>
        </w:rPr>
        <w:t> </w:t>
      </w:r>
      <w:r>
        <w:rPr/>
        <w:t>This chapter concerns itself with the specification of what information was collected, from which sources, and by what procedure.</w:t>
      </w:r>
      <w:r>
        <w:rPr>
          <w:spacing w:val="40"/>
        </w:rPr>
        <w:t> </w:t>
      </w:r>
      <w:r>
        <w:rPr/>
        <w:t>The research methodology adopted ensures that information relevant to the research problem was obtained by objective and economic procedures, (Green and Tull, 1990; Beri, 1993).</w:t>
      </w:r>
      <w:r>
        <w:rPr>
          <w:spacing w:val="40"/>
        </w:rPr>
        <w:t> </w:t>
      </w:r>
      <w:r>
        <w:rPr/>
        <w:t>It also involves the development of suitable research instruments for the study. The data for this study was collected in 2008 - 2010 from Bayelsa, Delta and Rivers States.</w:t>
      </w:r>
      <w:r>
        <w:rPr>
          <w:spacing w:val="40"/>
        </w:rPr>
        <w:t> </w:t>
      </w:r>
      <w:r>
        <w:rPr/>
        <w:t>The respondents were State actors, the community citizens, Civil Society Organizations (CSOs), NGOs, transnational oil/gas companies and non-state actors.</w:t>
      </w:r>
    </w:p>
    <w:p>
      <w:pPr>
        <w:pStyle w:val="BodyText"/>
        <w:spacing w:line="360" w:lineRule="auto" w:before="1"/>
        <w:ind w:right="1255" w:firstLine="720"/>
        <w:jc w:val="both"/>
      </w:pPr>
      <w:r>
        <w:rPr/>
        <w:t>The research design adopted was exploratory and descriptive in parts, consisting mainly of primary data sources using a combination of qualitative and quantitative research techniques.</w:t>
      </w:r>
      <w:r>
        <w:rPr>
          <w:spacing w:val="40"/>
        </w:rPr>
        <w:t> </w:t>
      </w:r>
      <w:r>
        <w:rPr/>
        <w:t>Quantitative research involves the collection of information (data) from a representative sample of the study population, whereas, qualitative research helps in obtaining information of how people think, feel and talk about a particular service which can be obtained by interviewing or discussing with a small number of people who are representatives of the target population (Mayal and Palmer, 1993).</w:t>
      </w:r>
      <w:r>
        <w:rPr>
          <w:spacing w:val="40"/>
        </w:rPr>
        <w:t> </w:t>
      </w:r>
      <w:r>
        <w:rPr/>
        <w:t>As such, sample sizes were chosen so as to meet the conditions of statistical analysis.</w:t>
      </w:r>
    </w:p>
    <w:p>
      <w:pPr>
        <w:pStyle w:val="BodyText"/>
        <w:spacing w:line="360" w:lineRule="auto" w:before="2"/>
        <w:ind w:right="1255" w:firstLine="720"/>
        <w:jc w:val="both"/>
      </w:pPr>
      <w:r>
        <w:rPr/>
        <w:t>To</w:t>
      </w:r>
      <w:r>
        <w:rPr>
          <w:spacing w:val="-2"/>
        </w:rPr>
        <w:t> </w:t>
      </w:r>
      <w:r>
        <w:rPr/>
        <w:t>compliment</w:t>
      </w:r>
      <w:r>
        <w:rPr>
          <w:spacing w:val="-2"/>
        </w:rPr>
        <w:t> </w:t>
      </w:r>
      <w:r>
        <w:rPr/>
        <w:t>these</w:t>
      </w:r>
      <w:r>
        <w:rPr>
          <w:spacing w:val="-1"/>
        </w:rPr>
        <w:t> </w:t>
      </w:r>
      <w:r>
        <w:rPr/>
        <w:t>primary</w:t>
      </w:r>
      <w:r>
        <w:rPr>
          <w:spacing w:val="-5"/>
        </w:rPr>
        <w:t> </w:t>
      </w:r>
      <w:r>
        <w:rPr/>
        <w:t>sources</w:t>
      </w:r>
      <w:r>
        <w:rPr>
          <w:spacing w:val="-2"/>
        </w:rPr>
        <w:t> </w:t>
      </w:r>
      <w:r>
        <w:rPr/>
        <w:t>of</w:t>
      </w:r>
      <w:r>
        <w:rPr>
          <w:spacing w:val="-2"/>
        </w:rPr>
        <w:t> </w:t>
      </w:r>
      <w:r>
        <w:rPr/>
        <w:t>data,</w:t>
      </w:r>
      <w:r>
        <w:rPr>
          <w:spacing w:val="-2"/>
        </w:rPr>
        <w:t> </w:t>
      </w:r>
      <w:r>
        <w:rPr/>
        <w:t>secondary</w:t>
      </w:r>
      <w:r>
        <w:rPr>
          <w:spacing w:val="-7"/>
        </w:rPr>
        <w:t> </w:t>
      </w:r>
      <w:r>
        <w:rPr/>
        <w:t>data</w:t>
      </w:r>
      <w:r>
        <w:rPr>
          <w:spacing w:val="-2"/>
        </w:rPr>
        <w:t> </w:t>
      </w:r>
      <w:r>
        <w:rPr/>
        <w:t>were</w:t>
      </w:r>
      <w:r>
        <w:rPr>
          <w:spacing w:val="-3"/>
        </w:rPr>
        <w:t> </w:t>
      </w:r>
      <w:r>
        <w:rPr/>
        <w:t>extensively collected to provide background information about the Niger Delta conflict and the workings of the JTF.</w:t>
      </w:r>
      <w:r>
        <w:rPr>
          <w:spacing w:val="40"/>
        </w:rPr>
        <w:t> </w:t>
      </w:r>
      <w:r>
        <w:rPr/>
        <w:t>The secondary sources of data were textbooks, journals, magazines, newspapers as well as the internet.</w:t>
      </w:r>
    </w:p>
    <w:p>
      <w:pPr>
        <w:pStyle w:val="Heading2"/>
        <w:numPr>
          <w:ilvl w:val="2"/>
          <w:numId w:val="12"/>
        </w:numPr>
        <w:tabs>
          <w:tab w:pos="2160" w:val="left" w:leader="none"/>
        </w:tabs>
        <w:spacing w:line="240" w:lineRule="auto" w:before="5" w:after="0"/>
        <w:ind w:left="2160" w:right="0" w:hanging="720"/>
        <w:jc w:val="both"/>
      </w:pPr>
      <w:bookmarkStart w:name="_TOC_250011" w:id="31"/>
      <w:r>
        <w:rPr/>
        <w:t>Concept</w:t>
      </w:r>
      <w:r>
        <w:rPr>
          <w:spacing w:val="-2"/>
        </w:rPr>
        <w:t> </w:t>
      </w:r>
      <w:r>
        <w:rPr/>
        <w:t>of</w:t>
      </w:r>
      <w:r>
        <w:rPr>
          <w:spacing w:val="-2"/>
        </w:rPr>
        <w:t> </w:t>
      </w:r>
      <w:r>
        <w:rPr/>
        <w:t>Strategy</w:t>
      </w:r>
      <w:bookmarkEnd w:id="31"/>
      <w:r>
        <w:rPr>
          <w:spacing w:val="-2"/>
        </w:rPr>
        <w:t> Circle</w:t>
      </w:r>
    </w:p>
    <w:p>
      <w:pPr>
        <w:pStyle w:val="BodyText"/>
        <w:spacing w:line="360" w:lineRule="auto" w:before="107"/>
        <w:ind w:right="1256" w:firstLine="720"/>
        <w:jc w:val="both"/>
      </w:pPr>
      <w:r>
        <w:rPr/>
        <w:t>In order to make a strategic assessment of the JTF, it is imperative to take a critical look at the concept of</w:t>
      </w:r>
      <w:r>
        <w:rPr>
          <w:spacing w:val="-1"/>
        </w:rPr>
        <w:t> </w:t>
      </w:r>
      <w:r>
        <w:rPr/>
        <w:t>strategy</w:t>
      </w:r>
      <w:r>
        <w:rPr>
          <w:spacing w:val="-2"/>
        </w:rPr>
        <w:t> </w:t>
      </w:r>
      <w:r>
        <w:rPr/>
        <w:t>circle.</w:t>
      </w:r>
      <w:r>
        <w:rPr>
          <w:spacing w:val="40"/>
        </w:rPr>
        <w:t> </w:t>
      </w:r>
      <w:r>
        <w:rPr/>
        <w:t>The concept of</w:t>
      </w:r>
      <w:r>
        <w:rPr>
          <w:spacing w:val="-1"/>
        </w:rPr>
        <w:t> </w:t>
      </w:r>
      <w:r>
        <w:rPr/>
        <w:t>strategy</w:t>
      </w:r>
      <w:r>
        <w:rPr>
          <w:spacing w:val="-2"/>
        </w:rPr>
        <w:t> </w:t>
      </w:r>
      <w:r>
        <w:rPr/>
        <w:t>circle gives</w:t>
      </w:r>
      <w:r>
        <w:rPr>
          <w:spacing w:val="-1"/>
        </w:rPr>
        <w:t> </w:t>
      </w:r>
      <w:r>
        <w:rPr/>
        <w:t>us a clear picture of how the objectives of an intervention project or mission will be achieved.</w:t>
      </w:r>
      <w:r>
        <w:rPr>
          <w:spacing w:val="40"/>
        </w:rPr>
        <w:t> </w:t>
      </w:r>
      <w:r>
        <w:rPr/>
        <w:t>Strategy circle is an integrated theoretical/analytical framework that brings several tools together to enable one understands all that is embedded or that must be embedded</w:t>
      </w:r>
      <w:r>
        <w:rPr>
          <w:spacing w:val="19"/>
        </w:rPr>
        <w:t> </w:t>
      </w:r>
      <w:r>
        <w:rPr/>
        <w:t>in</w:t>
      </w:r>
      <w:r>
        <w:rPr>
          <w:spacing w:val="22"/>
        </w:rPr>
        <w:t> </w:t>
      </w:r>
      <w:r>
        <w:rPr/>
        <w:t>a</w:t>
      </w:r>
      <w:r>
        <w:rPr>
          <w:spacing w:val="21"/>
        </w:rPr>
        <w:t> </w:t>
      </w:r>
      <w:r>
        <w:rPr/>
        <w:t>conflict</w:t>
      </w:r>
      <w:r>
        <w:rPr>
          <w:spacing w:val="22"/>
        </w:rPr>
        <w:t> </w:t>
      </w:r>
      <w:r>
        <w:rPr/>
        <w:t>transformation</w:t>
      </w:r>
      <w:r>
        <w:rPr>
          <w:spacing w:val="22"/>
        </w:rPr>
        <w:t> </w:t>
      </w:r>
      <w:r>
        <w:rPr/>
        <w:t>project.</w:t>
      </w:r>
      <w:r>
        <w:rPr>
          <w:spacing w:val="77"/>
          <w:w w:val="150"/>
        </w:rPr>
        <w:t> </w:t>
      </w:r>
      <w:r>
        <w:rPr/>
        <w:t>It</w:t>
      </w:r>
      <w:r>
        <w:rPr>
          <w:spacing w:val="22"/>
        </w:rPr>
        <w:t> </w:t>
      </w:r>
      <w:r>
        <w:rPr/>
        <w:t>enables</w:t>
      </w:r>
      <w:r>
        <w:rPr>
          <w:spacing w:val="21"/>
        </w:rPr>
        <w:t> </w:t>
      </w:r>
      <w:r>
        <w:rPr/>
        <w:t>a</w:t>
      </w:r>
      <w:r>
        <w:rPr>
          <w:spacing w:val="20"/>
        </w:rPr>
        <w:t> </w:t>
      </w:r>
      <w:r>
        <w:rPr/>
        <w:t>conflict</w:t>
      </w:r>
      <w:r>
        <w:rPr>
          <w:spacing w:val="23"/>
        </w:rPr>
        <w:t> </w:t>
      </w:r>
      <w:r>
        <w:rPr/>
        <w:t>analyst</w:t>
      </w:r>
      <w:r>
        <w:rPr>
          <w:spacing w:val="22"/>
        </w:rPr>
        <w:t> </w:t>
      </w:r>
      <w:r>
        <w:rPr/>
        <w:t>to</w:t>
      </w:r>
      <w:r>
        <w:rPr>
          <w:spacing w:val="23"/>
        </w:rPr>
        <w:t> </w:t>
      </w:r>
      <w:r>
        <w:rPr>
          <w:spacing w:val="-2"/>
        </w:rPr>
        <w:t>bring</w:t>
      </w:r>
    </w:p>
    <w:p>
      <w:pPr>
        <w:spacing w:after="0" w:line="360" w:lineRule="auto"/>
        <w:jc w:val="both"/>
        <w:sectPr>
          <w:pgSz w:w="11910" w:h="16840"/>
          <w:pgMar w:header="0" w:footer="1561" w:top="1360" w:bottom="1760" w:left="720" w:right="180"/>
        </w:sectPr>
      </w:pPr>
    </w:p>
    <w:p>
      <w:pPr>
        <w:pStyle w:val="BodyText"/>
        <w:spacing w:line="360" w:lineRule="auto" w:before="60"/>
        <w:ind w:right="1258"/>
        <w:jc w:val="both"/>
      </w:pPr>
      <w:r>
        <w:rPr/>
        <w:t>all this thoughts "together and plan strategies and specific actions aimed at moving closer to long-term vision" (Fisher et al. 2000:73-75).</w:t>
      </w:r>
      <w:r>
        <w:rPr>
          <w:spacing w:val="40"/>
        </w:rPr>
        <w:t> </w:t>
      </w:r>
      <w:r>
        <w:rPr/>
        <w:t>Strategy circle has 12 components that could be used to map the work that has to be done in a strategic assessment as shown in Figure 4.</w:t>
      </w:r>
    </w:p>
    <w:p>
      <w:pPr>
        <w:pStyle w:val="BodyText"/>
        <w:spacing w:before="8"/>
        <w:ind w:left="0"/>
        <w:rPr>
          <w:sz w:val="15"/>
        </w:rPr>
      </w:pPr>
    </w:p>
    <w:p>
      <w:pPr>
        <w:spacing w:after="0"/>
        <w:rPr>
          <w:sz w:val="15"/>
        </w:rPr>
        <w:sectPr>
          <w:pgSz w:w="11910" w:h="16840"/>
          <w:pgMar w:header="0" w:footer="1561" w:top="1360" w:bottom="1760" w:left="720" w:right="180"/>
        </w:sectPr>
      </w:pPr>
    </w:p>
    <w:p>
      <w:pPr>
        <w:pStyle w:val="BodyText"/>
        <w:ind w:left="0"/>
        <w:rPr>
          <w:sz w:val="20"/>
        </w:rPr>
      </w:pPr>
    </w:p>
    <w:p>
      <w:pPr>
        <w:pStyle w:val="BodyText"/>
        <w:spacing w:before="170"/>
        <w:ind w:left="0"/>
        <w:rPr>
          <w:sz w:val="20"/>
        </w:rPr>
      </w:pPr>
    </w:p>
    <w:p>
      <w:pPr>
        <w:spacing w:before="1"/>
        <w:ind w:left="2345" w:right="0" w:firstLine="0"/>
        <w:jc w:val="left"/>
        <w:rPr>
          <w:sz w:val="20"/>
        </w:rPr>
      </w:pPr>
      <w:r>
        <w:rPr>
          <w:spacing w:val="-10"/>
          <w:sz w:val="20"/>
        </w:rPr>
        <w:t>1</w:t>
      </w:r>
    </w:p>
    <w:p>
      <w:pPr>
        <w:spacing w:before="2"/>
        <w:ind w:left="1944" w:right="0" w:firstLine="0"/>
        <w:jc w:val="left"/>
        <w:rPr>
          <w:sz w:val="20"/>
        </w:rPr>
      </w:pPr>
      <w:r>
        <w:rPr>
          <w:sz w:val="20"/>
        </w:rPr>
        <w:t>Vision</w:t>
      </w:r>
      <w:r>
        <w:rPr>
          <w:spacing w:val="-8"/>
          <w:sz w:val="20"/>
        </w:rPr>
        <w:t> </w:t>
      </w:r>
      <w:r>
        <w:rPr>
          <w:spacing w:val="-2"/>
          <w:sz w:val="20"/>
        </w:rPr>
        <w:t>/Goal</w:t>
      </w:r>
    </w:p>
    <w:p>
      <w:pPr>
        <w:spacing w:before="91"/>
        <w:ind w:left="2246" w:right="0" w:firstLine="0"/>
        <w:jc w:val="left"/>
        <w:rPr>
          <w:sz w:val="20"/>
        </w:rPr>
      </w:pPr>
      <w:r>
        <w:rPr/>
        <w:br w:type="column"/>
      </w:r>
      <w:r>
        <w:rPr>
          <w:spacing w:val="-10"/>
          <w:sz w:val="20"/>
        </w:rPr>
        <w:t>2</w:t>
      </w:r>
    </w:p>
    <w:p>
      <w:pPr>
        <w:tabs>
          <w:tab w:pos="4405" w:val="right" w:leader="none"/>
        </w:tabs>
        <w:spacing w:before="2"/>
        <w:ind w:left="1944" w:right="0" w:firstLine="0"/>
        <w:jc w:val="left"/>
        <w:rPr>
          <w:sz w:val="20"/>
        </w:rPr>
      </w:pPr>
      <w:r>
        <w:rPr/>
        <mc:AlternateContent>
          <mc:Choice Requires="wps">
            <w:drawing>
              <wp:anchor distT="0" distB="0" distL="0" distR="0" allowOverlap="1" layoutInCell="1" locked="0" behindDoc="1" simplePos="0" relativeHeight="480615936">
                <wp:simplePos x="0" y="0"/>
                <wp:positionH relativeFrom="page">
                  <wp:posOffset>4914900</wp:posOffset>
                </wp:positionH>
                <wp:positionV relativeFrom="paragraph">
                  <wp:posOffset>40052</wp:posOffset>
                </wp:positionV>
                <wp:extent cx="571500" cy="457200"/>
                <wp:effectExtent l="0" t="0" r="0" b="0"/>
                <wp:wrapNone/>
                <wp:docPr id="171" name="Graphic 171"/>
                <wp:cNvGraphicFramePr>
                  <a:graphicFrameLocks/>
                </wp:cNvGraphicFramePr>
                <a:graphic>
                  <a:graphicData uri="http://schemas.microsoft.com/office/word/2010/wordprocessingShape">
                    <wps:wsp>
                      <wps:cNvPr id="171" name="Graphic 171"/>
                      <wps:cNvSpPr/>
                      <wps:spPr>
                        <a:xfrm>
                          <a:off x="0" y="0"/>
                          <a:ext cx="571500" cy="457200"/>
                        </a:xfrm>
                        <a:custGeom>
                          <a:avLst/>
                          <a:gdLst/>
                          <a:ahLst/>
                          <a:cxnLst/>
                          <a:rect l="l" t="t" r="r" b="b"/>
                          <a:pathLst>
                            <a:path w="571500" h="457200">
                              <a:moveTo>
                                <a:pt x="571500" y="0"/>
                              </a:moveTo>
                              <a:lnTo>
                                <a:pt x="0" y="0"/>
                              </a:lnTo>
                              <a:lnTo>
                                <a:pt x="0" y="457200"/>
                              </a:lnTo>
                              <a:lnTo>
                                <a:pt x="571500" y="457200"/>
                              </a:lnTo>
                              <a:lnTo>
                                <a:pt x="5715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387pt;margin-top:3.15374pt;width:45pt;height:36pt;mso-position-horizontal-relative:page;mso-position-vertical-relative:paragraph;z-index:-22700544" id="docshape73" filled="true" fillcolor="#ffffff" stroked="false">
                <v:fill type="solid"/>
                <w10:wrap type="none"/>
              </v:rect>
            </w:pict>
          </mc:Fallback>
        </mc:AlternateContent>
      </w:r>
      <w:r>
        <w:rPr/>
        <mc:AlternateContent>
          <mc:Choice Requires="wps">
            <w:drawing>
              <wp:anchor distT="0" distB="0" distL="0" distR="0" allowOverlap="1" layoutInCell="1" locked="0" behindDoc="1" simplePos="0" relativeHeight="480619008">
                <wp:simplePos x="0" y="0"/>
                <wp:positionH relativeFrom="page">
                  <wp:posOffset>2624327</wp:posOffset>
                </wp:positionH>
                <wp:positionV relativeFrom="paragraph">
                  <wp:posOffset>-101933</wp:posOffset>
                </wp:positionV>
                <wp:extent cx="919480" cy="274955"/>
                <wp:effectExtent l="0" t="0" r="0" b="0"/>
                <wp:wrapNone/>
                <wp:docPr id="172" name="Graphic 172"/>
                <wp:cNvGraphicFramePr>
                  <a:graphicFrameLocks/>
                </wp:cNvGraphicFramePr>
                <a:graphic>
                  <a:graphicData uri="http://schemas.microsoft.com/office/word/2010/wordprocessingShape">
                    <wps:wsp>
                      <wps:cNvPr id="172" name="Graphic 172"/>
                      <wps:cNvSpPr/>
                      <wps:spPr>
                        <a:xfrm>
                          <a:off x="0" y="0"/>
                          <a:ext cx="919480" cy="274955"/>
                        </a:xfrm>
                        <a:custGeom>
                          <a:avLst/>
                          <a:gdLst/>
                          <a:ahLst/>
                          <a:cxnLst/>
                          <a:rect l="l" t="t" r="r" b="b"/>
                          <a:pathLst>
                            <a:path w="919480" h="274955">
                              <a:moveTo>
                                <a:pt x="803466" y="36877"/>
                              </a:moveTo>
                              <a:lnTo>
                                <a:pt x="0" y="237743"/>
                              </a:lnTo>
                              <a:lnTo>
                                <a:pt x="9144" y="274827"/>
                              </a:lnTo>
                              <a:lnTo>
                                <a:pt x="812698" y="73846"/>
                              </a:lnTo>
                              <a:lnTo>
                                <a:pt x="803466" y="36877"/>
                              </a:lnTo>
                              <a:close/>
                            </a:path>
                            <a:path w="919480" h="274955">
                              <a:moveTo>
                                <a:pt x="913639" y="32257"/>
                              </a:moveTo>
                              <a:lnTo>
                                <a:pt x="821944" y="32257"/>
                              </a:lnTo>
                              <a:lnTo>
                                <a:pt x="831214" y="69214"/>
                              </a:lnTo>
                              <a:lnTo>
                                <a:pt x="812698" y="73846"/>
                              </a:lnTo>
                              <a:lnTo>
                                <a:pt x="821944" y="110871"/>
                              </a:lnTo>
                              <a:lnTo>
                                <a:pt x="913639" y="32257"/>
                              </a:lnTo>
                              <a:close/>
                            </a:path>
                            <a:path w="919480" h="274955">
                              <a:moveTo>
                                <a:pt x="821944" y="32257"/>
                              </a:moveTo>
                              <a:lnTo>
                                <a:pt x="803466" y="36877"/>
                              </a:lnTo>
                              <a:lnTo>
                                <a:pt x="812698" y="73846"/>
                              </a:lnTo>
                              <a:lnTo>
                                <a:pt x="831214" y="69214"/>
                              </a:lnTo>
                              <a:lnTo>
                                <a:pt x="821944" y="32257"/>
                              </a:lnTo>
                              <a:close/>
                            </a:path>
                            <a:path w="919480" h="274955">
                              <a:moveTo>
                                <a:pt x="794258" y="0"/>
                              </a:moveTo>
                              <a:lnTo>
                                <a:pt x="803466" y="36877"/>
                              </a:lnTo>
                              <a:lnTo>
                                <a:pt x="821944" y="32257"/>
                              </a:lnTo>
                              <a:lnTo>
                                <a:pt x="913639" y="32257"/>
                              </a:lnTo>
                              <a:lnTo>
                                <a:pt x="918972" y="27685"/>
                              </a:lnTo>
                              <a:lnTo>
                                <a:pt x="7942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06.639999pt;margin-top:-8.026259pt;width:72.4pt;height:21.65pt;mso-position-horizontal-relative:page;mso-position-vertical-relative:paragraph;z-index:-22697472" id="docshape74" coordorigin="4133,-161" coordsize="1448,433" path="m5398,-102l4133,214,4147,272,5413,-44,5398,-102xm5572,-110l5427,-110,5442,-52,5413,-44,5427,14,5572,-110xm5427,-110l5398,-102,5413,-44,5442,-52,5427,-110xm5384,-161l5398,-102,5427,-110,5572,-110,5580,-117,5384,-161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91616">
                <wp:simplePos x="0" y="0"/>
                <wp:positionH relativeFrom="page">
                  <wp:posOffset>4223130</wp:posOffset>
                </wp:positionH>
                <wp:positionV relativeFrom="paragraph">
                  <wp:posOffset>-92281</wp:posOffset>
                </wp:positionV>
                <wp:extent cx="692150" cy="264795"/>
                <wp:effectExtent l="0" t="0" r="0" b="0"/>
                <wp:wrapNone/>
                <wp:docPr id="173" name="Graphic 173"/>
                <wp:cNvGraphicFramePr>
                  <a:graphicFrameLocks/>
                </wp:cNvGraphicFramePr>
                <a:graphic>
                  <a:graphicData uri="http://schemas.microsoft.com/office/word/2010/wordprocessingShape">
                    <wps:wsp>
                      <wps:cNvPr id="173" name="Graphic 173"/>
                      <wps:cNvSpPr/>
                      <wps:spPr>
                        <a:xfrm>
                          <a:off x="0" y="0"/>
                          <a:ext cx="692150" cy="264795"/>
                        </a:xfrm>
                        <a:custGeom>
                          <a:avLst/>
                          <a:gdLst/>
                          <a:ahLst/>
                          <a:cxnLst/>
                          <a:rect l="l" t="t" r="r" b="b"/>
                          <a:pathLst>
                            <a:path w="692150" h="264795">
                              <a:moveTo>
                                <a:pt x="577291" y="228539"/>
                              </a:moveTo>
                              <a:lnTo>
                                <a:pt x="565277" y="264668"/>
                              </a:lnTo>
                              <a:lnTo>
                                <a:pt x="691769" y="246633"/>
                              </a:lnTo>
                              <a:lnTo>
                                <a:pt x="679704" y="234569"/>
                              </a:lnTo>
                              <a:lnTo>
                                <a:pt x="595376" y="234569"/>
                              </a:lnTo>
                              <a:lnTo>
                                <a:pt x="577291" y="228539"/>
                              </a:lnTo>
                              <a:close/>
                            </a:path>
                            <a:path w="692150" h="264795">
                              <a:moveTo>
                                <a:pt x="589292" y="192451"/>
                              </a:moveTo>
                              <a:lnTo>
                                <a:pt x="577291" y="228539"/>
                              </a:lnTo>
                              <a:lnTo>
                                <a:pt x="595376" y="234569"/>
                              </a:lnTo>
                              <a:lnTo>
                                <a:pt x="607441" y="198500"/>
                              </a:lnTo>
                              <a:lnTo>
                                <a:pt x="589292" y="192451"/>
                              </a:lnTo>
                              <a:close/>
                            </a:path>
                            <a:path w="692150" h="264795">
                              <a:moveTo>
                                <a:pt x="601345" y="156209"/>
                              </a:moveTo>
                              <a:lnTo>
                                <a:pt x="589292" y="192451"/>
                              </a:lnTo>
                              <a:lnTo>
                                <a:pt x="607441" y="198500"/>
                              </a:lnTo>
                              <a:lnTo>
                                <a:pt x="595376" y="234569"/>
                              </a:lnTo>
                              <a:lnTo>
                                <a:pt x="679704" y="234569"/>
                              </a:lnTo>
                              <a:lnTo>
                                <a:pt x="601345" y="156209"/>
                              </a:lnTo>
                              <a:close/>
                            </a:path>
                            <a:path w="692150" h="264795">
                              <a:moveTo>
                                <a:pt x="11938" y="0"/>
                              </a:moveTo>
                              <a:lnTo>
                                <a:pt x="0" y="36068"/>
                              </a:lnTo>
                              <a:lnTo>
                                <a:pt x="577291" y="228539"/>
                              </a:lnTo>
                              <a:lnTo>
                                <a:pt x="589292" y="192451"/>
                              </a:lnTo>
                              <a:lnTo>
                                <a:pt x="119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32.529999pt;margin-top:-7.26626pt;width:54.5pt;height:20.85pt;mso-position-horizontal-relative:page;mso-position-vertical-relative:paragraph;z-index:15791616" id="docshape75" coordorigin="6651,-145" coordsize="1090,417" path="m7560,215l7541,271,7740,243,7721,224,7588,224,7560,215xm7579,158l7560,215,7588,224,7607,167,7579,158xm7598,101l7579,158,7607,167,7588,224,7721,224,7598,101xm6669,-145l6651,-89,7560,215,7579,158,6669,-145xe" filled="true" fillcolor="#000000" stroked="false">
                <v:path arrowok="t"/>
                <v:fill type="solid"/>
                <w10:wrap type="none"/>
              </v:shape>
            </w:pict>
          </mc:Fallback>
        </mc:AlternateContent>
      </w:r>
      <w:r>
        <w:rPr>
          <w:spacing w:val="-2"/>
          <w:sz w:val="20"/>
        </w:rPr>
        <w:t>Change</w:t>
      </w:r>
      <w:r>
        <w:rPr>
          <w:sz w:val="20"/>
        </w:rPr>
        <w:tab/>
      </w:r>
      <w:r>
        <w:rPr>
          <w:spacing w:val="-10"/>
          <w:position w:val="-12"/>
          <w:sz w:val="20"/>
        </w:rPr>
        <w:t>3</w:t>
      </w:r>
    </w:p>
    <w:p>
      <w:pPr>
        <w:spacing w:before="0"/>
        <w:ind w:left="806" w:right="0" w:firstLine="0"/>
        <w:jc w:val="center"/>
        <w:rPr>
          <w:sz w:val="20"/>
        </w:rPr>
      </w:pPr>
      <w:r>
        <w:rPr/>
        <mc:AlternateContent>
          <mc:Choice Requires="wps">
            <w:drawing>
              <wp:anchor distT="0" distB="0" distL="0" distR="0" allowOverlap="1" layoutInCell="1" locked="0" behindDoc="0" simplePos="0" relativeHeight="15792128">
                <wp:simplePos x="0" y="0"/>
                <wp:positionH relativeFrom="page">
                  <wp:posOffset>5473572</wp:posOffset>
                </wp:positionH>
                <wp:positionV relativeFrom="paragraph">
                  <wp:posOffset>261044</wp:posOffset>
                </wp:positionV>
                <wp:extent cx="356235" cy="692150"/>
                <wp:effectExtent l="0" t="0" r="0" b="0"/>
                <wp:wrapNone/>
                <wp:docPr id="174" name="Graphic 174"/>
                <wp:cNvGraphicFramePr>
                  <a:graphicFrameLocks/>
                </wp:cNvGraphicFramePr>
                <a:graphic>
                  <a:graphicData uri="http://schemas.microsoft.com/office/word/2010/wordprocessingShape">
                    <wps:wsp>
                      <wps:cNvPr id="174" name="Graphic 174"/>
                      <wps:cNvSpPr/>
                      <wps:spPr>
                        <a:xfrm>
                          <a:off x="0" y="0"/>
                          <a:ext cx="356235" cy="692150"/>
                        </a:xfrm>
                        <a:custGeom>
                          <a:avLst/>
                          <a:gdLst/>
                          <a:ahLst/>
                          <a:cxnLst/>
                          <a:rect l="l" t="t" r="r" b="b"/>
                          <a:pathLst>
                            <a:path w="356235" h="692150">
                              <a:moveTo>
                                <a:pt x="304621" y="621817"/>
                              </a:moveTo>
                              <a:lnTo>
                                <a:pt x="279018" y="634619"/>
                              </a:lnTo>
                              <a:lnTo>
                                <a:pt x="355726" y="692150"/>
                              </a:lnTo>
                              <a:lnTo>
                                <a:pt x="355726" y="634619"/>
                              </a:lnTo>
                              <a:lnTo>
                                <a:pt x="311023" y="634619"/>
                              </a:lnTo>
                              <a:lnTo>
                                <a:pt x="304621" y="621817"/>
                              </a:lnTo>
                              <a:close/>
                            </a:path>
                            <a:path w="356235" h="692150">
                              <a:moveTo>
                                <a:pt x="330124" y="609066"/>
                              </a:moveTo>
                              <a:lnTo>
                                <a:pt x="304621" y="621817"/>
                              </a:lnTo>
                              <a:lnTo>
                                <a:pt x="311023" y="634619"/>
                              </a:lnTo>
                              <a:lnTo>
                                <a:pt x="336550" y="621919"/>
                              </a:lnTo>
                              <a:lnTo>
                                <a:pt x="330124" y="609066"/>
                              </a:lnTo>
                              <a:close/>
                            </a:path>
                            <a:path w="356235" h="692150">
                              <a:moveTo>
                                <a:pt x="355726" y="596265"/>
                              </a:moveTo>
                              <a:lnTo>
                                <a:pt x="330124" y="609066"/>
                              </a:lnTo>
                              <a:lnTo>
                                <a:pt x="336550" y="621919"/>
                              </a:lnTo>
                              <a:lnTo>
                                <a:pt x="311023" y="634619"/>
                              </a:lnTo>
                              <a:lnTo>
                                <a:pt x="355726" y="634619"/>
                              </a:lnTo>
                              <a:lnTo>
                                <a:pt x="355726" y="596265"/>
                              </a:lnTo>
                              <a:close/>
                            </a:path>
                            <a:path w="356235" h="692150">
                              <a:moveTo>
                                <a:pt x="25653" y="0"/>
                              </a:moveTo>
                              <a:lnTo>
                                <a:pt x="0" y="12700"/>
                              </a:lnTo>
                              <a:lnTo>
                                <a:pt x="304621" y="621817"/>
                              </a:lnTo>
                              <a:lnTo>
                                <a:pt x="330124" y="609066"/>
                              </a:lnTo>
                              <a:lnTo>
                                <a:pt x="256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30.98999pt;margin-top:20.554716pt;width:28.05pt;height:54.5pt;mso-position-horizontal-relative:page;mso-position-vertical-relative:paragraph;z-index:15792128" id="docshape76" coordorigin="8620,411" coordsize="561,1090" path="m9100,1390l9059,1410,9180,1501,9180,1410,9110,1410,9100,1390xm9140,1370l9100,1390,9110,1410,9150,1390,9140,1370xm9180,1350l9140,1370,9150,1390,9110,1410,9180,1410,9180,1350xm8660,411l8620,431,9100,1390,9140,1370,8660,411xe" filled="true" fillcolor="#000000" stroked="false">
                <v:path arrowok="t"/>
                <v:fill type="solid"/>
                <w10:wrap type="none"/>
              </v:shape>
            </w:pict>
          </mc:Fallback>
        </mc:AlternateContent>
      </w:r>
      <w:r>
        <w:rPr>
          <w:spacing w:val="-2"/>
          <w:sz w:val="20"/>
        </w:rPr>
        <w:t>Parties</w:t>
      </w:r>
    </w:p>
    <w:p>
      <w:pPr>
        <w:spacing w:after="0"/>
        <w:jc w:val="center"/>
        <w:rPr>
          <w:sz w:val="20"/>
        </w:rPr>
        <w:sectPr>
          <w:type w:val="continuous"/>
          <w:pgSz w:w="11910" w:h="16840"/>
          <w:pgMar w:header="0" w:footer="1561" w:top="1360" w:bottom="280" w:left="720" w:right="180"/>
          <w:cols w:num="2" w:equalWidth="0">
            <w:col w:w="3009" w:space="51"/>
            <w:col w:w="7950"/>
          </w:cols>
        </w:sectPr>
      </w:pPr>
    </w:p>
    <w:p>
      <w:pPr>
        <w:pStyle w:val="BodyText"/>
        <w:spacing w:before="7"/>
        <w:ind w:left="0"/>
        <w:rPr>
          <w:sz w:val="16"/>
        </w:rPr>
      </w:pPr>
    </w:p>
    <w:p>
      <w:pPr>
        <w:pStyle w:val="BodyText"/>
        <w:ind w:left="1061"/>
        <w:rPr>
          <w:sz w:val="20"/>
        </w:rPr>
      </w:pPr>
      <w:r>
        <w:rPr>
          <w:sz w:val="20"/>
        </w:rPr>
        <mc:AlternateContent>
          <mc:Choice Requires="wps">
            <w:drawing>
              <wp:inline distT="0" distB="0" distL="0" distR="0">
                <wp:extent cx="469265" cy="694055"/>
                <wp:effectExtent l="0" t="0" r="0" b="0"/>
                <wp:docPr id="175" name="Group 175"/>
                <wp:cNvGraphicFramePr>
                  <a:graphicFrameLocks/>
                </wp:cNvGraphicFramePr>
                <a:graphic>
                  <a:graphicData uri="http://schemas.microsoft.com/office/word/2010/wordprocessingGroup">
                    <wpg:wgp>
                      <wpg:cNvPr id="175" name="Group 175"/>
                      <wpg:cNvGrpSpPr/>
                      <wpg:grpSpPr>
                        <a:xfrm>
                          <a:off x="0" y="0"/>
                          <a:ext cx="469265" cy="694055"/>
                          <a:chExt cx="469265" cy="694055"/>
                        </a:xfrm>
                      </wpg:grpSpPr>
                      <wps:wsp>
                        <wps:cNvPr id="176" name="Graphic 176"/>
                        <wps:cNvSpPr/>
                        <wps:spPr>
                          <a:xfrm>
                            <a:off x="0" y="0"/>
                            <a:ext cx="469265" cy="694055"/>
                          </a:xfrm>
                          <a:custGeom>
                            <a:avLst/>
                            <a:gdLst/>
                            <a:ahLst/>
                            <a:cxnLst/>
                            <a:rect l="l" t="t" r="r" b="b"/>
                            <a:pathLst>
                              <a:path w="469265" h="694055">
                                <a:moveTo>
                                  <a:pt x="409651" y="63373"/>
                                </a:moveTo>
                                <a:lnTo>
                                  <a:pt x="0" y="677926"/>
                                </a:lnTo>
                                <a:lnTo>
                                  <a:pt x="23774" y="693674"/>
                                </a:lnTo>
                                <a:lnTo>
                                  <a:pt x="433428" y="79267"/>
                                </a:lnTo>
                                <a:lnTo>
                                  <a:pt x="409651" y="63373"/>
                                </a:lnTo>
                                <a:close/>
                              </a:path>
                              <a:path w="469265" h="694055">
                                <a:moveTo>
                                  <a:pt x="462616" y="51562"/>
                                </a:moveTo>
                                <a:lnTo>
                                  <a:pt x="417525" y="51562"/>
                                </a:lnTo>
                                <a:lnTo>
                                  <a:pt x="441401" y="67310"/>
                                </a:lnTo>
                                <a:lnTo>
                                  <a:pt x="433428" y="79267"/>
                                </a:lnTo>
                                <a:lnTo>
                                  <a:pt x="457149" y="95123"/>
                                </a:lnTo>
                                <a:lnTo>
                                  <a:pt x="462616" y="51562"/>
                                </a:lnTo>
                                <a:close/>
                              </a:path>
                              <a:path w="469265" h="694055">
                                <a:moveTo>
                                  <a:pt x="417525" y="51562"/>
                                </a:moveTo>
                                <a:lnTo>
                                  <a:pt x="409651" y="63373"/>
                                </a:lnTo>
                                <a:lnTo>
                                  <a:pt x="433428" y="79267"/>
                                </a:lnTo>
                                <a:lnTo>
                                  <a:pt x="441401" y="67310"/>
                                </a:lnTo>
                                <a:lnTo>
                                  <a:pt x="417525" y="51562"/>
                                </a:lnTo>
                                <a:close/>
                              </a:path>
                              <a:path w="469265" h="694055">
                                <a:moveTo>
                                  <a:pt x="469087" y="0"/>
                                </a:moveTo>
                                <a:lnTo>
                                  <a:pt x="385902" y="47498"/>
                                </a:lnTo>
                                <a:lnTo>
                                  <a:pt x="409651" y="63373"/>
                                </a:lnTo>
                                <a:lnTo>
                                  <a:pt x="417525" y="51562"/>
                                </a:lnTo>
                                <a:lnTo>
                                  <a:pt x="462616" y="51562"/>
                                </a:lnTo>
                                <a:lnTo>
                                  <a:pt x="46908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6.950pt;height:54.65pt;mso-position-horizontal-relative:char;mso-position-vertical-relative:line" id="docshapegroup77" coordorigin="0,0" coordsize="739,1093">
                <v:shape style="position:absolute;left:0;top:0;width:739;height:1093" id="docshape78" coordorigin="0,0" coordsize="739,1093" path="m645,100l0,1068,37,1092,683,125,645,100xm729,81l658,81,695,106,683,125,720,150,729,81xm658,81l645,100,683,125,695,106,658,81xm739,0l608,75,645,100,658,81,729,81,739,0xe" filled="true" fillcolor="#000000" stroked="false">
                  <v:path arrowok="t"/>
                  <v:fill type="solid"/>
                </v:shape>
              </v:group>
            </w:pict>
          </mc:Fallback>
        </mc:AlternateContent>
      </w:r>
      <w:r>
        <w:rPr>
          <w:sz w:val="20"/>
        </w:rPr>
      </w:r>
    </w:p>
    <w:p>
      <w:pPr>
        <w:pStyle w:val="BodyText"/>
        <w:spacing w:before="26"/>
        <w:ind w:left="157" w:right="8235"/>
        <w:jc w:val="center"/>
      </w:pPr>
      <w:r>
        <w:rPr/>
        <mc:AlternateContent>
          <mc:Choice Requires="wps">
            <w:drawing>
              <wp:anchor distT="0" distB="0" distL="0" distR="0" allowOverlap="1" layoutInCell="1" locked="0" behindDoc="1" simplePos="0" relativeHeight="480616448">
                <wp:simplePos x="0" y="0"/>
                <wp:positionH relativeFrom="page">
                  <wp:posOffset>5600700</wp:posOffset>
                </wp:positionH>
                <wp:positionV relativeFrom="paragraph">
                  <wp:posOffset>-139700</wp:posOffset>
                </wp:positionV>
                <wp:extent cx="1034415" cy="1257300"/>
                <wp:effectExtent l="0" t="0" r="0" b="0"/>
                <wp:wrapNone/>
                <wp:docPr id="177" name="Group 177"/>
                <wp:cNvGraphicFramePr>
                  <a:graphicFrameLocks/>
                </wp:cNvGraphicFramePr>
                <a:graphic>
                  <a:graphicData uri="http://schemas.microsoft.com/office/word/2010/wordprocessingGroup">
                    <wpg:wgp>
                      <wpg:cNvPr id="177" name="Group 177"/>
                      <wpg:cNvGrpSpPr/>
                      <wpg:grpSpPr>
                        <a:xfrm>
                          <a:off x="0" y="0"/>
                          <a:ext cx="1034415" cy="1257300"/>
                          <a:chExt cx="1034415" cy="1257300"/>
                        </a:xfrm>
                      </wpg:grpSpPr>
                      <wps:wsp>
                        <wps:cNvPr id="178" name="Graphic 178"/>
                        <wps:cNvSpPr/>
                        <wps:spPr>
                          <a:xfrm>
                            <a:off x="0" y="0"/>
                            <a:ext cx="800100" cy="457200"/>
                          </a:xfrm>
                          <a:custGeom>
                            <a:avLst/>
                            <a:gdLst/>
                            <a:ahLst/>
                            <a:cxnLst/>
                            <a:rect l="l" t="t" r="r" b="b"/>
                            <a:pathLst>
                              <a:path w="800100" h="457200">
                                <a:moveTo>
                                  <a:pt x="800100" y="0"/>
                                </a:moveTo>
                                <a:lnTo>
                                  <a:pt x="0" y="0"/>
                                </a:lnTo>
                                <a:lnTo>
                                  <a:pt x="0" y="457200"/>
                                </a:lnTo>
                                <a:lnTo>
                                  <a:pt x="800100" y="457200"/>
                                </a:lnTo>
                                <a:lnTo>
                                  <a:pt x="800100" y="0"/>
                                </a:lnTo>
                                <a:close/>
                              </a:path>
                            </a:pathLst>
                          </a:custGeom>
                          <a:solidFill>
                            <a:srgbClr val="FFFFFF"/>
                          </a:solidFill>
                        </wps:spPr>
                        <wps:bodyPr wrap="square" lIns="0" tIns="0" rIns="0" bIns="0" rtlCol="0">
                          <a:prstTxWarp prst="textNoShape">
                            <a:avLst/>
                          </a:prstTxWarp>
                          <a:noAutofit/>
                        </wps:bodyPr>
                      </wps:wsp>
                      <wps:wsp>
                        <wps:cNvPr id="179" name="Graphic 179"/>
                        <wps:cNvSpPr/>
                        <wps:spPr>
                          <a:xfrm>
                            <a:off x="672719" y="451612"/>
                            <a:ext cx="361950" cy="805815"/>
                          </a:xfrm>
                          <a:custGeom>
                            <a:avLst/>
                            <a:gdLst/>
                            <a:ahLst/>
                            <a:cxnLst/>
                            <a:rect l="l" t="t" r="r" b="b"/>
                            <a:pathLst>
                              <a:path w="361950" h="805815">
                                <a:moveTo>
                                  <a:pt x="309112" y="732562"/>
                                </a:moveTo>
                                <a:lnTo>
                                  <a:pt x="282828" y="743838"/>
                                </a:lnTo>
                                <a:lnTo>
                                  <a:pt x="355980" y="805687"/>
                                </a:lnTo>
                                <a:lnTo>
                                  <a:pt x="359491" y="745616"/>
                                </a:lnTo>
                                <a:lnTo>
                                  <a:pt x="314705" y="745616"/>
                                </a:lnTo>
                                <a:lnTo>
                                  <a:pt x="309112" y="732562"/>
                                </a:lnTo>
                                <a:close/>
                              </a:path>
                              <a:path w="361950" h="805815">
                                <a:moveTo>
                                  <a:pt x="335362" y="721300"/>
                                </a:moveTo>
                                <a:lnTo>
                                  <a:pt x="309112" y="732562"/>
                                </a:lnTo>
                                <a:lnTo>
                                  <a:pt x="314705" y="745616"/>
                                </a:lnTo>
                                <a:lnTo>
                                  <a:pt x="340995" y="734440"/>
                                </a:lnTo>
                                <a:lnTo>
                                  <a:pt x="335362" y="721300"/>
                                </a:lnTo>
                                <a:close/>
                              </a:path>
                              <a:path w="361950" h="805815">
                                <a:moveTo>
                                  <a:pt x="361569" y="710056"/>
                                </a:moveTo>
                                <a:lnTo>
                                  <a:pt x="335362" y="721300"/>
                                </a:lnTo>
                                <a:lnTo>
                                  <a:pt x="340995" y="734440"/>
                                </a:lnTo>
                                <a:lnTo>
                                  <a:pt x="314705" y="745616"/>
                                </a:lnTo>
                                <a:lnTo>
                                  <a:pt x="359491" y="745616"/>
                                </a:lnTo>
                                <a:lnTo>
                                  <a:pt x="361569" y="710056"/>
                                </a:lnTo>
                                <a:close/>
                              </a:path>
                              <a:path w="361950" h="805815">
                                <a:moveTo>
                                  <a:pt x="26161" y="0"/>
                                </a:moveTo>
                                <a:lnTo>
                                  <a:pt x="0" y="11175"/>
                                </a:lnTo>
                                <a:lnTo>
                                  <a:pt x="309112" y="732562"/>
                                </a:lnTo>
                                <a:lnTo>
                                  <a:pt x="335362" y="721300"/>
                                </a:lnTo>
                                <a:lnTo>
                                  <a:pt x="26161" y="0"/>
                                </a:lnTo>
                                <a:close/>
                              </a:path>
                            </a:pathLst>
                          </a:custGeom>
                          <a:solidFill>
                            <a:srgbClr val="000000"/>
                          </a:solidFill>
                        </wps:spPr>
                        <wps:bodyPr wrap="square" lIns="0" tIns="0" rIns="0" bIns="0" rtlCol="0">
                          <a:prstTxWarp prst="textNoShape">
                            <a:avLst/>
                          </a:prstTxWarp>
                          <a:noAutofit/>
                        </wps:bodyPr>
                      </wps:wsp>
                      <wps:wsp>
                        <wps:cNvPr id="180" name="Textbox 180"/>
                        <wps:cNvSpPr txBox="1"/>
                        <wps:spPr>
                          <a:xfrm>
                            <a:off x="0" y="0"/>
                            <a:ext cx="1034415" cy="1257300"/>
                          </a:xfrm>
                          <a:prstGeom prst="rect">
                            <a:avLst/>
                          </a:prstGeom>
                        </wps:spPr>
                        <wps:txbx>
                          <w:txbxContent>
                            <w:p>
                              <w:pPr>
                                <w:spacing w:before="67"/>
                                <w:ind w:left="0" w:right="332" w:firstLine="0"/>
                                <w:jc w:val="center"/>
                                <w:rPr>
                                  <w:sz w:val="20"/>
                                </w:rPr>
                              </w:pPr>
                              <w:r>
                                <w:rPr>
                                  <w:spacing w:val="-10"/>
                                  <w:sz w:val="20"/>
                                </w:rPr>
                                <w:t>4</w:t>
                              </w:r>
                            </w:p>
                            <w:p>
                              <w:pPr>
                                <w:spacing w:before="3"/>
                                <w:ind w:left="0" w:right="401" w:firstLine="0"/>
                                <w:jc w:val="center"/>
                                <w:rPr>
                                  <w:sz w:val="20"/>
                                </w:rPr>
                              </w:pPr>
                              <w:r>
                                <w:rPr>
                                  <w:spacing w:val="-2"/>
                                  <w:sz w:val="20"/>
                                </w:rPr>
                                <w:t>Perceptions</w:t>
                              </w:r>
                            </w:p>
                          </w:txbxContent>
                        </wps:txbx>
                        <wps:bodyPr wrap="square" lIns="0" tIns="0" rIns="0" bIns="0" rtlCol="0">
                          <a:noAutofit/>
                        </wps:bodyPr>
                      </wps:wsp>
                    </wpg:wgp>
                  </a:graphicData>
                </a:graphic>
              </wp:anchor>
            </w:drawing>
          </mc:Choice>
          <mc:Fallback>
            <w:pict>
              <v:group style="position:absolute;margin-left:441pt;margin-top:-11pt;width:81.45pt;height:99pt;mso-position-horizontal-relative:page;mso-position-vertical-relative:paragraph;z-index:-22700032" id="docshapegroup79" coordorigin="8820,-220" coordsize="1629,1980">
                <v:rect style="position:absolute;left:8820;top:-220;width:1260;height:720" id="docshape80" filled="true" fillcolor="#ffffff" stroked="false">
                  <v:fill type="solid"/>
                </v:rect>
                <v:shape style="position:absolute;left:9879;top:491;width:570;height:1269" id="docshape81" coordorigin="9879,491" coordsize="570,1269" path="m10366,1645l10325,1663,10440,1760,10446,1665,10375,1665,10366,1645xm10408,1627l10366,1645,10375,1665,10416,1648,10408,1627xm10449,1609l10408,1627,10416,1648,10375,1665,10446,1665,10449,1609xm9921,491l9879,509,10366,1645,10408,1627,9921,491xe" filled="true" fillcolor="#000000" stroked="false">
                  <v:path arrowok="t"/>
                  <v:fill type="solid"/>
                </v:shape>
                <v:shape style="position:absolute;left:8820;top:-220;width:1629;height:1980" type="#_x0000_t202" id="docshape82" filled="false" stroked="false">
                  <v:textbox inset="0,0,0,0">
                    <w:txbxContent>
                      <w:p>
                        <w:pPr>
                          <w:spacing w:before="67"/>
                          <w:ind w:left="0" w:right="332" w:firstLine="0"/>
                          <w:jc w:val="center"/>
                          <w:rPr>
                            <w:sz w:val="20"/>
                          </w:rPr>
                        </w:pPr>
                        <w:r>
                          <w:rPr>
                            <w:spacing w:val="-10"/>
                            <w:sz w:val="20"/>
                          </w:rPr>
                          <w:t>4</w:t>
                        </w:r>
                      </w:p>
                      <w:p>
                        <w:pPr>
                          <w:spacing w:before="3"/>
                          <w:ind w:left="0" w:right="401" w:firstLine="0"/>
                          <w:jc w:val="center"/>
                          <w:rPr>
                            <w:sz w:val="20"/>
                          </w:rPr>
                        </w:pPr>
                        <w:r>
                          <w:rPr>
                            <w:spacing w:val="-2"/>
                            <w:sz w:val="20"/>
                          </w:rPr>
                          <w:t>Perceptions</w:t>
                        </w:r>
                      </w:p>
                    </w:txbxContent>
                  </v:textbox>
                  <w10:wrap type="none"/>
                </v:shape>
                <w10:wrap type="none"/>
              </v:group>
            </w:pict>
          </mc:Fallback>
        </mc:AlternateContent>
      </w:r>
      <w:r>
        <w:rPr>
          <w:spacing w:val="-5"/>
        </w:rPr>
        <w:t>12</w:t>
      </w:r>
    </w:p>
    <w:p>
      <w:pPr>
        <w:pStyle w:val="BodyText"/>
        <w:spacing w:before="5"/>
        <w:ind w:left="157" w:right="8302"/>
        <w:jc w:val="center"/>
      </w:pPr>
      <w:r>
        <w:rPr>
          <w:spacing w:val="-2"/>
        </w:rPr>
        <w:t>Assessment</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94"/>
        <w:ind w:left="0"/>
        <w:rPr>
          <w:sz w:val="20"/>
        </w:rPr>
      </w:pPr>
    </w:p>
    <w:p>
      <w:pPr>
        <w:spacing w:before="0"/>
        <w:ind w:left="9326" w:right="0" w:firstLine="0"/>
        <w:jc w:val="left"/>
        <w:rPr>
          <w:sz w:val="20"/>
        </w:rPr>
      </w:pPr>
      <w:r>
        <w:rPr/>
        <mc:AlternateContent>
          <mc:Choice Requires="wps">
            <w:drawing>
              <wp:anchor distT="0" distB="0" distL="0" distR="0" allowOverlap="1" layoutInCell="1" locked="0" behindDoc="0" simplePos="0" relativeHeight="15794176">
                <wp:simplePos x="0" y="0"/>
                <wp:positionH relativeFrom="page">
                  <wp:posOffset>1014488</wp:posOffset>
                </wp:positionH>
                <wp:positionV relativeFrom="paragraph">
                  <wp:posOffset>-728253</wp:posOffset>
                </wp:positionV>
                <wp:extent cx="163195" cy="1144905"/>
                <wp:effectExtent l="0" t="0" r="0" b="0"/>
                <wp:wrapNone/>
                <wp:docPr id="181" name="Graphic 181"/>
                <wp:cNvGraphicFramePr>
                  <a:graphicFrameLocks/>
                </wp:cNvGraphicFramePr>
                <a:graphic>
                  <a:graphicData uri="http://schemas.microsoft.com/office/word/2010/wordprocessingShape">
                    <wps:wsp>
                      <wps:cNvPr id="181" name="Graphic 181"/>
                      <wps:cNvSpPr/>
                      <wps:spPr>
                        <a:xfrm>
                          <a:off x="0" y="0"/>
                          <a:ext cx="163195" cy="1144905"/>
                        </a:xfrm>
                        <a:custGeom>
                          <a:avLst/>
                          <a:gdLst/>
                          <a:ahLst/>
                          <a:cxnLst/>
                          <a:rect l="l" t="t" r="r" b="b"/>
                          <a:pathLst>
                            <a:path w="163195" h="1144905">
                              <a:moveTo>
                                <a:pt x="105761" y="83861"/>
                              </a:moveTo>
                              <a:lnTo>
                                <a:pt x="0" y="1141603"/>
                              </a:lnTo>
                              <a:lnTo>
                                <a:pt x="28422" y="1144397"/>
                              </a:lnTo>
                              <a:lnTo>
                                <a:pt x="134204" y="86699"/>
                              </a:lnTo>
                              <a:lnTo>
                                <a:pt x="105761" y="83861"/>
                              </a:lnTo>
                              <a:close/>
                            </a:path>
                            <a:path w="163195" h="1144905">
                              <a:moveTo>
                                <a:pt x="155036" y="69596"/>
                              </a:moveTo>
                              <a:lnTo>
                                <a:pt x="107187" y="69596"/>
                              </a:lnTo>
                              <a:lnTo>
                                <a:pt x="135623" y="72517"/>
                              </a:lnTo>
                              <a:lnTo>
                                <a:pt x="134204" y="86699"/>
                              </a:lnTo>
                              <a:lnTo>
                                <a:pt x="162636" y="89535"/>
                              </a:lnTo>
                              <a:lnTo>
                                <a:pt x="155036" y="69596"/>
                              </a:lnTo>
                              <a:close/>
                            </a:path>
                            <a:path w="163195" h="1144905">
                              <a:moveTo>
                                <a:pt x="107187" y="69596"/>
                              </a:moveTo>
                              <a:lnTo>
                                <a:pt x="105761" y="83861"/>
                              </a:lnTo>
                              <a:lnTo>
                                <a:pt x="134204" y="86699"/>
                              </a:lnTo>
                              <a:lnTo>
                                <a:pt x="135623" y="72517"/>
                              </a:lnTo>
                              <a:lnTo>
                                <a:pt x="107187" y="69596"/>
                              </a:lnTo>
                              <a:close/>
                            </a:path>
                            <a:path w="163195" h="1144905">
                              <a:moveTo>
                                <a:pt x="128511" y="0"/>
                              </a:moveTo>
                              <a:lnTo>
                                <a:pt x="77330" y="81025"/>
                              </a:lnTo>
                              <a:lnTo>
                                <a:pt x="105761" y="83861"/>
                              </a:lnTo>
                              <a:lnTo>
                                <a:pt x="107187" y="69596"/>
                              </a:lnTo>
                              <a:lnTo>
                                <a:pt x="155036" y="69596"/>
                              </a:lnTo>
                              <a:lnTo>
                                <a:pt x="1285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9.880997pt;margin-top:-57.342773pt;width:12.85pt;height:90.15pt;mso-position-horizontal-relative:page;mso-position-vertical-relative:paragraph;z-index:15794176" id="docshape83" coordorigin="1598,-1147" coordsize="257,1803" path="m1764,-1015l1598,651,1642,655,1809,-1010,1764,-1015xm1842,-1037l1766,-1037,1811,-1033,1809,-1010,1854,-1006,1842,-1037xm1766,-1037l1764,-1015,1809,-1010,1811,-1033,1766,-1037xm1800,-1147l1719,-1019,1764,-1015,1766,-1037,1842,-1037,1800,-1147xe" filled="true" fillcolor="#000000" stroked="false">
                <v:path arrowok="t"/>
                <v:fill type="solid"/>
                <w10:wrap type="none"/>
              </v:shape>
            </w:pict>
          </mc:Fallback>
        </mc:AlternateContent>
      </w:r>
      <w:r>
        <w:rPr>
          <w:spacing w:val="-10"/>
          <w:sz w:val="20"/>
        </w:rPr>
        <w:t>5</w:t>
      </w:r>
    </w:p>
    <w:p>
      <w:pPr>
        <w:spacing w:before="3"/>
        <w:ind w:left="9326" w:right="0" w:firstLine="0"/>
        <w:jc w:val="left"/>
        <w:rPr>
          <w:sz w:val="20"/>
        </w:rPr>
      </w:pPr>
      <w:r>
        <w:rPr>
          <w:spacing w:val="-2"/>
          <w:sz w:val="20"/>
        </w:rPr>
        <w:t>Issues</w:t>
      </w:r>
    </w:p>
    <w:p>
      <w:pPr>
        <w:pStyle w:val="BodyText"/>
        <w:spacing w:before="207"/>
        <w:ind w:left="0"/>
        <w:rPr>
          <w:sz w:val="20"/>
        </w:rPr>
      </w:pPr>
    </w:p>
    <w:p>
      <w:pPr>
        <w:spacing w:before="0"/>
        <w:ind w:left="864" w:right="0" w:firstLine="0"/>
        <w:jc w:val="left"/>
        <w:rPr>
          <w:sz w:val="20"/>
        </w:rPr>
      </w:pPr>
      <w:r>
        <w:rPr/>
        <mc:AlternateContent>
          <mc:Choice Requires="wps">
            <w:drawing>
              <wp:anchor distT="0" distB="0" distL="0" distR="0" allowOverlap="1" layoutInCell="1" locked="0" behindDoc="1" simplePos="0" relativeHeight="480618496">
                <wp:simplePos x="0" y="0"/>
                <wp:positionH relativeFrom="page">
                  <wp:posOffset>914400</wp:posOffset>
                </wp:positionH>
                <wp:positionV relativeFrom="paragraph">
                  <wp:posOffset>-42416</wp:posOffset>
                </wp:positionV>
                <wp:extent cx="685800" cy="457200"/>
                <wp:effectExtent l="0" t="0" r="0" b="0"/>
                <wp:wrapNone/>
                <wp:docPr id="182" name="Graphic 182"/>
                <wp:cNvGraphicFramePr>
                  <a:graphicFrameLocks/>
                </wp:cNvGraphicFramePr>
                <a:graphic>
                  <a:graphicData uri="http://schemas.microsoft.com/office/word/2010/wordprocessingShape">
                    <wps:wsp>
                      <wps:cNvPr id="182" name="Graphic 182"/>
                      <wps:cNvSpPr/>
                      <wps:spPr>
                        <a:xfrm>
                          <a:off x="0" y="0"/>
                          <a:ext cx="685800" cy="457200"/>
                        </a:xfrm>
                        <a:custGeom>
                          <a:avLst/>
                          <a:gdLst/>
                          <a:ahLst/>
                          <a:cxnLst/>
                          <a:rect l="l" t="t" r="r" b="b"/>
                          <a:pathLst>
                            <a:path w="685800" h="457200">
                              <a:moveTo>
                                <a:pt x="685800" y="0"/>
                              </a:moveTo>
                              <a:lnTo>
                                <a:pt x="0" y="0"/>
                              </a:lnTo>
                              <a:lnTo>
                                <a:pt x="0" y="457200"/>
                              </a:lnTo>
                              <a:lnTo>
                                <a:pt x="685800" y="457200"/>
                              </a:lnTo>
                              <a:lnTo>
                                <a:pt x="6858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pt;margin-top:-3.339844pt;width:54pt;height:36pt;mso-position-horizontal-relative:page;mso-position-vertical-relative:paragraph;z-index:-22697984" id="docshape84" filled="true" fillcolor="#ffffff" stroked="false">
                <v:fill type="solid"/>
                <w10:wrap type="none"/>
              </v:rect>
            </w:pict>
          </mc:Fallback>
        </mc:AlternateContent>
      </w:r>
      <w:r>
        <w:rPr/>
        <mc:AlternateContent>
          <mc:Choice Requires="wps">
            <w:drawing>
              <wp:anchor distT="0" distB="0" distL="0" distR="0" allowOverlap="1" layoutInCell="1" locked="0" behindDoc="0" simplePos="0" relativeHeight="15790080">
                <wp:simplePos x="0" y="0"/>
                <wp:positionH relativeFrom="page">
                  <wp:posOffset>6596253</wp:posOffset>
                </wp:positionH>
                <wp:positionV relativeFrom="paragraph">
                  <wp:posOffset>-273175</wp:posOffset>
                </wp:positionV>
                <wp:extent cx="161925" cy="1030605"/>
                <wp:effectExtent l="0" t="0" r="0" b="0"/>
                <wp:wrapNone/>
                <wp:docPr id="183" name="Graphic 183"/>
                <wp:cNvGraphicFramePr>
                  <a:graphicFrameLocks/>
                </wp:cNvGraphicFramePr>
                <a:graphic>
                  <a:graphicData uri="http://schemas.microsoft.com/office/word/2010/wordprocessingShape">
                    <wps:wsp>
                      <wps:cNvPr id="183" name="Graphic 183"/>
                      <wps:cNvSpPr/>
                      <wps:spPr>
                        <a:xfrm>
                          <a:off x="0" y="0"/>
                          <a:ext cx="161925" cy="1030605"/>
                        </a:xfrm>
                        <a:custGeom>
                          <a:avLst/>
                          <a:gdLst/>
                          <a:ahLst/>
                          <a:cxnLst/>
                          <a:rect l="l" t="t" r="r" b="b"/>
                          <a:pathLst>
                            <a:path w="161925" h="1030605">
                              <a:moveTo>
                                <a:pt x="0" y="940307"/>
                              </a:moveTo>
                              <a:lnTo>
                                <a:pt x="33147" y="1030224"/>
                              </a:lnTo>
                              <a:lnTo>
                                <a:pt x="78071" y="960754"/>
                              </a:lnTo>
                              <a:lnTo>
                                <a:pt x="55245" y="960754"/>
                              </a:lnTo>
                              <a:lnTo>
                                <a:pt x="26797" y="957706"/>
                              </a:lnTo>
                              <a:lnTo>
                                <a:pt x="28382" y="943438"/>
                              </a:lnTo>
                              <a:lnTo>
                                <a:pt x="0" y="940307"/>
                              </a:lnTo>
                              <a:close/>
                            </a:path>
                            <a:path w="161925" h="1030605">
                              <a:moveTo>
                                <a:pt x="28382" y="943438"/>
                              </a:moveTo>
                              <a:lnTo>
                                <a:pt x="26797" y="957706"/>
                              </a:lnTo>
                              <a:lnTo>
                                <a:pt x="55245" y="960754"/>
                              </a:lnTo>
                              <a:lnTo>
                                <a:pt x="56820" y="946574"/>
                              </a:lnTo>
                              <a:lnTo>
                                <a:pt x="28382" y="943438"/>
                              </a:lnTo>
                              <a:close/>
                            </a:path>
                            <a:path w="161925" h="1030605">
                              <a:moveTo>
                                <a:pt x="56820" y="946574"/>
                              </a:moveTo>
                              <a:lnTo>
                                <a:pt x="55245" y="960754"/>
                              </a:lnTo>
                              <a:lnTo>
                                <a:pt x="78071" y="960754"/>
                              </a:lnTo>
                              <a:lnTo>
                                <a:pt x="85217" y="949705"/>
                              </a:lnTo>
                              <a:lnTo>
                                <a:pt x="56820" y="946574"/>
                              </a:lnTo>
                              <a:close/>
                            </a:path>
                            <a:path w="161925" h="1030605">
                              <a:moveTo>
                                <a:pt x="133223" y="0"/>
                              </a:moveTo>
                              <a:lnTo>
                                <a:pt x="28382" y="943438"/>
                              </a:lnTo>
                              <a:lnTo>
                                <a:pt x="56820" y="946574"/>
                              </a:lnTo>
                              <a:lnTo>
                                <a:pt x="161671" y="3047"/>
                              </a:lnTo>
                              <a:lnTo>
                                <a:pt x="13322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19.390015pt;margin-top:-21.509844pt;width:12.75pt;height:81.150pt;mso-position-horizontal-relative:page;mso-position-vertical-relative:paragraph;z-index:15790080" id="docshape85" coordorigin="10388,-430" coordsize="255,1623" path="m10388,1051l10440,1192,10511,1083,10475,1083,10430,1078,10432,1056,10388,1051xm10432,1056l10430,1078,10475,1083,10477,1060,10432,1056xm10477,1060l10475,1083,10511,1083,10522,1065,10477,1060xm10598,-430l10432,1056,10477,1060,10642,-425,10598,-430xe" filled="true" fillcolor="#000000" stroked="false">
                <v:path arrowok="t"/>
                <v:fill type="solid"/>
                <w10:wrap type="none"/>
              </v:shape>
            </w:pict>
          </mc:Fallback>
        </mc:AlternateContent>
      </w:r>
      <w:r>
        <w:rPr>
          <w:spacing w:val="-5"/>
          <w:sz w:val="20"/>
        </w:rPr>
        <w:t>11</w:t>
      </w:r>
    </w:p>
    <w:p>
      <w:pPr>
        <w:spacing w:before="3"/>
        <w:ind w:left="864" w:right="0" w:firstLine="0"/>
        <w:jc w:val="left"/>
        <w:rPr>
          <w:sz w:val="20"/>
        </w:rPr>
      </w:pPr>
      <w:r>
        <w:rPr/>
        <mc:AlternateContent>
          <mc:Choice Requires="wps">
            <w:drawing>
              <wp:anchor distT="0" distB="0" distL="0" distR="0" allowOverlap="1" layoutInCell="1" locked="0" behindDoc="0" simplePos="0" relativeHeight="15793664">
                <wp:simplePos x="0" y="0"/>
                <wp:positionH relativeFrom="page">
                  <wp:posOffset>1129449</wp:posOffset>
                </wp:positionH>
                <wp:positionV relativeFrom="paragraph">
                  <wp:posOffset>268746</wp:posOffset>
                </wp:positionV>
                <wp:extent cx="255904" cy="690880"/>
                <wp:effectExtent l="0" t="0" r="0" b="0"/>
                <wp:wrapNone/>
                <wp:docPr id="184" name="Graphic 184"/>
                <wp:cNvGraphicFramePr>
                  <a:graphicFrameLocks/>
                </wp:cNvGraphicFramePr>
                <a:graphic>
                  <a:graphicData uri="http://schemas.microsoft.com/office/word/2010/wordprocessingShape">
                    <wps:wsp>
                      <wps:cNvPr id="184" name="Graphic 184"/>
                      <wps:cNvSpPr/>
                      <wps:spPr>
                        <a:xfrm>
                          <a:off x="0" y="0"/>
                          <a:ext cx="255904" cy="690880"/>
                        </a:xfrm>
                        <a:custGeom>
                          <a:avLst/>
                          <a:gdLst/>
                          <a:ahLst/>
                          <a:cxnLst/>
                          <a:rect l="l" t="t" r="r" b="b"/>
                          <a:pathLst>
                            <a:path w="255904" h="690880">
                              <a:moveTo>
                                <a:pt x="54224" y="76830"/>
                              </a:moveTo>
                              <a:lnTo>
                                <a:pt x="27119" y="85847"/>
                              </a:lnTo>
                              <a:lnTo>
                                <a:pt x="228561" y="690372"/>
                              </a:lnTo>
                              <a:lnTo>
                                <a:pt x="255739" y="681228"/>
                              </a:lnTo>
                              <a:lnTo>
                                <a:pt x="54224" y="76830"/>
                              </a:lnTo>
                              <a:close/>
                            </a:path>
                            <a:path w="255904" h="690880">
                              <a:moveTo>
                                <a:pt x="13550" y="0"/>
                              </a:moveTo>
                              <a:lnTo>
                                <a:pt x="0" y="94869"/>
                              </a:lnTo>
                              <a:lnTo>
                                <a:pt x="27119" y="85847"/>
                              </a:lnTo>
                              <a:lnTo>
                                <a:pt x="22593" y="72262"/>
                              </a:lnTo>
                              <a:lnTo>
                                <a:pt x="49695" y="63246"/>
                              </a:lnTo>
                              <a:lnTo>
                                <a:pt x="76749" y="63246"/>
                              </a:lnTo>
                              <a:lnTo>
                                <a:pt x="13550" y="0"/>
                              </a:lnTo>
                              <a:close/>
                            </a:path>
                            <a:path w="255904" h="690880">
                              <a:moveTo>
                                <a:pt x="49695" y="63246"/>
                              </a:moveTo>
                              <a:lnTo>
                                <a:pt x="22593" y="72262"/>
                              </a:lnTo>
                              <a:lnTo>
                                <a:pt x="27119" y="85847"/>
                              </a:lnTo>
                              <a:lnTo>
                                <a:pt x="54224" y="76830"/>
                              </a:lnTo>
                              <a:lnTo>
                                <a:pt x="49695" y="63246"/>
                              </a:lnTo>
                              <a:close/>
                            </a:path>
                            <a:path w="255904" h="690880">
                              <a:moveTo>
                                <a:pt x="76749" y="63246"/>
                              </a:moveTo>
                              <a:lnTo>
                                <a:pt x="49695" y="63246"/>
                              </a:lnTo>
                              <a:lnTo>
                                <a:pt x="54224" y="76830"/>
                              </a:lnTo>
                              <a:lnTo>
                                <a:pt x="81318" y="67818"/>
                              </a:lnTo>
                              <a:lnTo>
                                <a:pt x="76749" y="6324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8.932999pt;margin-top:21.161133pt;width:20.150pt;height:54.4pt;mso-position-horizontal-relative:page;mso-position-vertical-relative:paragraph;z-index:15793664" id="docshape86" coordorigin="1779,423" coordsize="403,1088" path="m1864,544l1821,558,2139,1510,2181,1496,1864,544xm1800,423l1779,573,1821,558,1814,537,1857,523,1900,523,1800,423xm1857,523l1814,537,1821,558,1864,544,1857,523xm1900,523l1857,523,1864,544,1907,530,1900,523xe" filled="true" fillcolor="#000000" stroked="false">
                <v:path arrowok="t"/>
                <v:fill type="solid"/>
                <w10:wrap type="none"/>
              </v:shape>
            </w:pict>
          </mc:Fallback>
        </mc:AlternateContent>
      </w:r>
      <w:r>
        <w:rPr>
          <w:spacing w:val="-2"/>
          <w:sz w:val="20"/>
        </w:rPr>
        <w:t>Action</w:t>
      </w:r>
    </w:p>
    <w:p>
      <w:pPr>
        <w:pStyle w:val="BodyText"/>
        <w:ind w:left="0"/>
        <w:rPr>
          <w:sz w:val="20"/>
        </w:rPr>
      </w:pPr>
    </w:p>
    <w:p>
      <w:pPr>
        <w:pStyle w:val="BodyText"/>
        <w:ind w:left="0"/>
        <w:rPr>
          <w:sz w:val="20"/>
        </w:rPr>
      </w:pPr>
    </w:p>
    <w:p>
      <w:pPr>
        <w:pStyle w:val="BodyText"/>
        <w:spacing w:before="17"/>
        <w:ind w:left="0"/>
        <w:rPr>
          <w:sz w:val="20"/>
        </w:rPr>
      </w:pPr>
    </w:p>
    <w:p>
      <w:pPr>
        <w:spacing w:after="0"/>
        <w:rPr>
          <w:sz w:val="20"/>
        </w:rPr>
        <w:sectPr>
          <w:type w:val="continuous"/>
          <w:pgSz w:w="11910" w:h="16840"/>
          <w:pgMar w:header="0" w:footer="1561" w:top="1360" w:bottom="280" w:left="720" w:right="180"/>
        </w:sectPr>
      </w:pPr>
    </w:p>
    <w:p>
      <w:pPr>
        <w:pStyle w:val="BodyText"/>
        <w:ind w:left="0"/>
        <w:rPr>
          <w:sz w:val="22"/>
        </w:rPr>
      </w:pPr>
    </w:p>
    <w:p>
      <w:pPr>
        <w:pStyle w:val="BodyText"/>
        <w:spacing w:before="128"/>
        <w:ind w:left="0"/>
        <w:rPr>
          <w:sz w:val="22"/>
        </w:rPr>
      </w:pPr>
    </w:p>
    <w:p>
      <w:pPr>
        <w:spacing w:before="1"/>
        <w:ind w:left="1325" w:right="0" w:firstLine="0"/>
        <w:jc w:val="left"/>
        <w:rPr>
          <w:rFonts w:ascii="Calibri"/>
          <w:sz w:val="22"/>
        </w:rPr>
      </w:pPr>
      <w:r>
        <w:rPr/>
        <mc:AlternateContent>
          <mc:Choice Requires="wps">
            <w:drawing>
              <wp:anchor distT="0" distB="0" distL="0" distR="0" allowOverlap="1" layoutInCell="1" locked="0" behindDoc="1" simplePos="0" relativeHeight="480617984">
                <wp:simplePos x="0" y="0"/>
                <wp:positionH relativeFrom="page">
                  <wp:posOffset>1143000</wp:posOffset>
                </wp:positionH>
                <wp:positionV relativeFrom="paragraph">
                  <wp:posOffset>-44866</wp:posOffset>
                </wp:positionV>
                <wp:extent cx="571500" cy="457200"/>
                <wp:effectExtent l="0" t="0" r="0" b="0"/>
                <wp:wrapNone/>
                <wp:docPr id="185" name="Graphic 185"/>
                <wp:cNvGraphicFramePr>
                  <a:graphicFrameLocks/>
                </wp:cNvGraphicFramePr>
                <a:graphic>
                  <a:graphicData uri="http://schemas.microsoft.com/office/word/2010/wordprocessingShape">
                    <wps:wsp>
                      <wps:cNvPr id="185" name="Graphic 185"/>
                      <wps:cNvSpPr/>
                      <wps:spPr>
                        <a:xfrm>
                          <a:off x="0" y="0"/>
                          <a:ext cx="571500" cy="457200"/>
                        </a:xfrm>
                        <a:custGeom>
                          <a:avLst/>
                          <a:gdLst/>
                          <a:ahLst/>
                          <a:cxnLst/>
                          <a:rect l="l" t="t" r="r" b="b"/>
                          <a:pathLst>
                            <a:path w="571500" h="457200">
                              <a:moveTo>
                                <a:pt x="571500" y="0"/>
                              </a:moveTo>
                              <a:lnTo>
                                <a:pt x="0" y="0"/>
                              </a:lnTo>
                              <a:lnTo>
                                <a:pt x="0" y="457200"/>
                              </a:lnTo>
                              <a:lnTo>
                                <a:pt x="571500" y="457200"/>
                              </a:lnTo>
                              <a:lnTo>
                                <a:pt x="5715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90pt;margin-top:-3.532813pt;width:45pt;height:36pt;mso-position-horizontal-relative:page;mso-position-vertical-relative:paragraph;z-index:-22698496" id="docshape87" filled="true" fillcolor="#ffffff" stroked="false">
                <v:fill type="solid"/>
                <w10:wrap type="none"/>
              </v:rect>
            </w:pict>
          </mc:Fallback>
        </mc:AlternateContent>
      </w:r>
      <w:r>
        <w:rPr>
          <w:rFonts w:ascii="Calibri"/>
          <w:spacing w:val="-5"/>
          <w:sz w:val="22"/>
        </w:rPr>
        <w:t>10</w:t>
      </w:r>
    </w:p>
    <w:p>
      <w:pPr>
        <w:spacing w:before="0"/>
        <w:ind w:left="1224" w:right="0" w:firstLine="0"/>
        <w:jc w:val="left"/>
        <w:rPr>
          <w:rFonts w:ascii="Calibri"/>
          <w:sz w:val="22"/>
        </w:rPr>
      </w:pPr>
      <w:r>
        <w:rPr/>
        <mc:AlternateContent>
          <mc:Choice Requires="wps">
            <w:drawing>
              <wp:anchor distT="0" distB="0" distL="0" distR="0" allowOverlap="1" layoutInCell="1" locked="0" behindDoc="0" simplePos="0" relativeHeight="15793152">
                <wp:simplePos x="0" y="0"/>
                <wp:positionH relativeFrom="page">
                  <wp:posOffset>1485900</wp:posOffset>
                </wp:positionH>
                <wp:positionV relativeFrom="paragraph">
                  <wp:posOffset>241166</wp:posOffset>
                </wp:positionV>
                <wp:extent cx="356235" cy="692150"/>
                <wp:effectExtent l="0" t="0" r="0" b="0"/>
                <wp:wrapNone/>
                <wp:docPr id="186" name="Graphic 186"/>
                <wp:cNvGraphicFramePr>
                  <a:graphicFrameLocks/>
                </wp:cNvGraphicFramePr>
                <a:graphic>
                  <a:graphicData uri="http://schemas.microsoft.com/office/word/2010/wordprocessingShape">
                    <wps:wsp>
                      <wps:cNvPr id="186" name="Graphic 186"/>
                      <wps:cNvSpPr/>
                      <wps:spPr>
                        <a:xfrm>
                          <a:off x="0" y="0"/>
                          <a:ext cx="356235" cy="692150"/>
                        </a:xfrm>
                        <a:custGeom>
                          <a:avLst/>
                          <a:gdLst/>
                          <a:ahLst/>
                          <a:cxnLst/>
                          <a:rect l="l" t="t" r="r" b="b"/>
                          <a:pathLst>
                            <a:path w="356235" h="692150">
                              <a:moveTo>
                                <a:pt x="51105" y="70332"/>
                              </a:moveTo>
                              <a:lnTo>
                                <a:pt x="25602" y="83083"/>
                              </a:lnTo>
                              <a:lnTo>
                                <a:pt x="330073" y="692150"/>
                              </a:lnTo>
                              <a:lnTo>
                                <a:pt x="355726" y="679450"/>
                              </a:lnTo>
                              <a:lnTo>
                                <a:pt x="51105" y="70332"/>
                              </a:lnTo>
                              <a:close/>
                            </a:path>
                            <a:path w="356235" h="692150">
                              <a:moveTo>
                                <a:pt x="0" y="0"/>
                              </a:moveTo>
                              <a:lnTo>
                                <a:pt x="0" y="95885"/>
                              </a:lnTo>
                              <a:lnTo>
                                <a:pt x="25602" y="83083"/>
                              </a:lnTo>
                              <a:lnTo>
                                <a:pt x="19177" y="70231"/>
                              </a:lnTo>
                              <a:lnTo>
                                <a:pt x="44703" y="57531"/>
                              </a:lnTo>
                              <a:lnTo>
                                <a:pt x="76708" y="57531"/>
                              </a:lnTo>
                              <a:lnTo>
                                <a:pt x="0" y="0"/>
                              </a:lnTo>
                              <a:close/>
                            </a:path>
                            <a:path w="356235" h="692150">
                              <a:moveTo>
                                <a:pt x="44703" y="57531"/>
                              </a:moveTo>
                              <a:lnTo>
                                <a:pt x="19177" y="70231"/>
                              </a:lnTo>
                              <a:lnTo>
                                <a:pt x="25602" y="83083"/>
                              </a:lnTo>
                              <a:lnTo>
                                <a:pt x="51105" y="70332"/>
                              </a:lnTo>
                              <a:lnTo>
                                <a:pt x="44703" y="57531"/>
                              </a:lnTo>
                              <a:close/>
                            </a:path>
                            <a:path w="356235" h="692150">
                              <a:moveTo>
                                <a:pt x="76708" y="57531"/>
                              </a:moveTo>
                              <a:lnTo>
                                <a:pt x="44703" y="57531"/>
                              </a:lnTo>
                              <a:lnTo>
                                <a:pt x="51105" y="70332"/>
                              </a:lnTo>
                              <a:lnTo>
                                <a:pt x="76708" y="5753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7pt;margin-top:18.989452pt;width:28.05pt;height:54.5pt;mso-position-horizontal-relative:page;mso-position-vertical-relative:paragraph;z-index:15793152" id="docshape88" coordorigin="2340,380" coordsize="561,1090" path="m2420,491l2380,511,2860,1470,2900,1450,2420,491xm2340,380l2340,531,2380,511,2370,490,2410,470,2461,470,2340,380xm2410,470l2370,490,2380,511,2420,491,2410,470xm2461,470l2410,470,2420,491,2461,470xe" filled="true" fillcolor="#000000" stroked="false">
                <v:path arrowok="t"/>
                <v:fill type="solid"/>
                <w10:wrap type="none"/>
              </v:shape>
            </w:pict>
          </mc:Fallback>
        </mc:AlternateContent>
      </w:r>
      <w:r>
        <w:rPr>
          <w:rFonts w:ascii="Calibri"/>
          <w:spacing w:val="-2"/>
          <w:sz w:val="22"/>
        </w:rPr>
        <w:t>Risks</w:t>
      </w:r>
    </w:p>
    <w:p>
      <w:pPr>
        <w:spacing w:before="91"/>
        <w:ind w:left="426" w:right="0" w:firstLine="0"/>
        <w:jc w:val="center"/>
        <w:rPr>
          <w:sz w:val="20"/>
        </w:rPr>
      </w:pPr>
      <w:r>
        <w:rPr/>
        <w:br w:type="column"/>
      </w:r>
      <w:r>
        <w:rPr>
          <w:spacing w:val="-10"/>
          <w:sz w:val="20"/>
        </w:rPr>
        <w:t>6</w:t>
      </w:r>
    </w:p>
    <w:p>
      <w:pPr>
        <w:spacing w:before="3"/>
        <w:ind w:left="426" w:right="30" w:firstLine="0"/>
        <w:jc w:val="center"/>
        <w:rPr>
          <w:sz w:val="20"/>
        </w:rPr>
      </w:pPr>
      <w:r>
        <w:rPr/>
        <mc:AlternateContent>
          <mc:Choice Requires="wps">
            <w:drawing>
              <wp:anchor distT="0" distB="0" distL="0" distR="0" allowOverlap="1" layoutInCell="1" locked="0" behindDoc="0" simplePos="0" relativeHeight="15790592">
                <wp:simplePos x="0" y="0"/>
                <wp:positionH relativeFrom="page">
                  <wp:posOffset>5935598</wp:posOffset>
                </wp:positionH>
                <wp:positionV relativeFrom="paragraph">
                  <wp:posOffset>262839</wp:posOffset>
                </wp:positionV>
                <wp:extent cx="478790" cy="1148715"/>
                <wp:effectExtent l="0" t="0" r="0" b="0"/>
                <wp:wrapNone/>
                <wp:docPr id="187" name="Graphic 187"/>
                <wp:cNvGraphicFramePr>
                  <a:graphicFrameLocks/>
                </wp:cNvGraphicFramePr>
                <a:graphic>
                  <a:graphicData uri="http://schemas.microsoft.com/office/word/2010/wordprocessingShape">
                    <wps:wsp>
                      <wps:cNvPr id="187" name="Graphic 187"/>
                      <wps:cNvSpPr/>
                      <wps:spPr>
                        <a:xfrm>
                          <a:off x="0" y="0"/>
                          <a:ext cx="478790" cy="1148715"/>
                        </a:xfrm>
                        <a:custGeom>
                          <a:avLst/>
                          <a:gdLst/>
                          <a:ahLst/>
                          <a:cxnLst/>
                          <a:rect l="l" t="t" r="r" b="b"/>
                          <a:pathLst>
                            <a:path w="478790" h="1148715">
                              <a:moveTo>
                                <a:pt x="0" y="1052829"/>
                              </a:moveTo>
                              <a:lnTo>
                                <a:pt x="8000" y="1148333"/>
                              </a:lnTo>
                              <a:lnTo>
                                <a:pt x="76626" y="1087373"/>
                              </a:lnTo>
                              <a:lnTo>
                                <a:pt x="47751" y="1087373"/>
                              </a:lnTo>
                              <a:lnTo>
                                <a:pt x="21209" y="1076705"/>
                              </a:lnTo>
                              <a:lnTo>
                                <a:pt x="26514" y="1063444"/>
                              </a:lnTo>
                              <a:lnTo>
                                <a:pt x="0" y="1052829"/>
                              </a:lnTo>
                              <a:close/>
                            </a:path>
                            <a:path w="478790" h="1148715">
                              <a:moveTo>
                                <a:pt x="26514" y="1063444"/>
                              </a:moveTo>
                              <a:lnTo>
                                <a:pt x="21209" y="1076705"/>
                              </a:lnTo>
                              <a:lnTo>
                                <a:pt x="47751" y="1087373"/>
                              </a:lnTo>
                              <a:lnTo>
                                <a:pt x="53071" y="1074075"/>
                              </a:lnTo>
                              <a:lnTo>
                                <a:pt x="26514" y="1063444"/>
                              </a:lnTo>
                              <a:close/>
                            </a:path>
                            <a:path w="478790" h="1148715">
                              <a:moveTo>
                                <a:pt x="53071" y="1074075"/>
                              </a:moveTo>
                              <a:lnTo>
                                <a:pt x="47751" y="1087373"/>
                              </a:lnTo>
                              <a:lnTo>
                                <a:pt x="76626" y="1087373"/>
                              </a:lnTo>
                              <a:lnTo>
                                <a:pt x="79628" y="1084706"/>
                              </a:lnTo>
                              <a:lnTo>
                                <a:pt x="53071" y="1074075"/>
                              </a:lnTo>
                              <a:close/>
                            </a:path>
                            <a:path w="478790" h="1148715">
                              <a:moveTo>
                                <a:pt x="451992" y="0"/>
                              </a:moveTo>
                              <a:lnTo>
                                <a:pt x="26514" y="1063444"/>
                              </a:lnTo>
                              <a:lnTo>
                                <a:pt x="53071" y="1074075"/>
                              </a:lnTo>
                              <a:lnTo>
                                <a:pt x="478409" y="10667"/>
                              </a:lnTo>
                              <a:lnTo>
                                <a:pt x="4519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67.369995pt;margin-top:20.696016pt;width:37.7pt;height:90.45pt;mso-position-horizontal-relative:page;mso-position-vertical-relative:paragraph;z-index:15790592" id="docshape89" coordorigin="9347,414" coordsize="754,1809" path="m9347,2072l9360,2222,9468,2126,9423,2126,9381,2110,9389,2089,9347,2072xm9389,2089l9381,2110,9423,2126,9431,2105,9389,2089xm9431,2105l9423,2126,9468,2126,9473,2122,9431,2105xm10059,414l9389,2089,9431,2105,10101,431,10059,414xe" filled="true" fillcolor="#000000" stroked="false">
                <v:path arrowok="t"/>
                <v:fill type="solid"/>
                <w10:wrap type="none"/>
              </v:shape>
            </w:pict>
          </mc:Fallback>
        </mc:AlternateContent>
      </w:r>
      <w:r>
        <w:rPr>
          <w:spacing w:val="-2"/>
          <w:sz w:val="20"/>
        </w:rPr>
        <w:t>Interests</w:t>
      </w:r>
    </w:p>
    <w:p>
      <w:pPr>
        <w:spacing w:after="0"/>
        <w:jc w:val="center"/>
        <w:rPr>
          <w:sz w:val="20"/>
        </w:rPr>
        <w:sectPr>
          <w:type w:val="continuous"/>
          <w:pgSz w:w="11910" w:h="16840"/>
          <w:pgMar w:header="0" w:footer="1561" w:top="1360" w:bottom="280" w:left="720" w:right="180"/>
          <w:cols w:num="2" w:equalWidth="0">
            <w:col w:w="1709" w:space="6573"/>
            <w:col w:w="2728"/>
          </w:cols>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8"/>
        <w:ind w:left="0"/>
        <w:rPr>
          <w:sz w:val="20"/>
        </w:rPr>
      </w:pPr>
    </w:p>
    <w:p>
      <w:pPr>
        <w:spacing w:after="0"/>
        <w:rPr>
          <w:sz w:val="20"/>
        </w:rPr>
        <w:sectPr>
          <w:type w:val="continuous"/>
          <w:pgSz w:w="11910" w:h="16840"/>
          <w:pgMar w:header="0" w:footer="1561" w:top="1360" w:bottom="280" w:left="720" w:right="180"/>
        </w:sectPr>
      </w:pPr>
    </w:p>
    <w:p>
      <w:pPr>
        <w:spacing w:before="91"/>
        <w:ind w:left="2291" w:right="0" w:firstLine="0"/>
        <w:jc w:val="center"/>
        <w:rPr>
          <w:sz w:val="20"/>
        </w:rPr>
      </w:pPr>
      <w:r>
        <w:rPr/>
        <mc:AlternateContent>
          <mc:Choice Requires="wps">
            <w:drawing>
              <wp:anchor distT="0" distB="0" distL="0" distR="0" allowOverlap="1" layoutInCell="1" locked="0" behindDoc="1" simplePos="0" relativeHeight="480617472">
                <wp:simplePos x="0" y="0"/>
                <wp:positionH relativeFrom="page">
                  <wp:posOffset>1828800</wp:posOffset>
                </wp:positionH>
                <wp:positionV relativeFrom="paragraph">
                  <wp:posOffset>14815</wp:posOffset>
                </wp:positionV>
                <wp:extent cx="685800" cy="457200"/>
                <wp:effectExtent l="0" t="0" r="0" b="0"/>
                <wp:wrapNone/>
                <wp:docPr id="188" name="Graphic 188"/>
                <wp:cNvGraphicFramePr>
                  <a:graphicFrameLocks/>
                </wp:cNvGraphicFramePr>
                <a:graphic>
                  <a:graphicData uri="http://schemas.microsoft.com/office/word/2010/wordprocessingShape">
                    <wps:wsp>
                      <wps:cNvPr id="188" name="Graphic 188"/>
                      <wps:cNvSpPr/>
                      <wps:spPr>
                        <a:xfrm>
                          <a:off x="0" y="0"/>
                          <a:ext cx="685800" cy="457200"/>
                        </a:xfrm>
                        <a:custGeom>
                          <a:avLst/>
                          <a:gdLst/>
                          <a:ahLst/>
                          <a:cxnLst/>
                          <a:rect l="l" t="t" r="r" b="b"/>
                          <a:pathLst>
                            <a:path w="685800" h="457200">
                              <a:moveTo>
                                <a:pt x="685800" y="0"/>
                              </a:moveTo>
                              <a:lnTo>
                                <a:pt x="0" y="0"/>
                              </a:lnTo>
                              <a:lnTo>
                                <a:pt x="0" y="457200"/>
                              </a:lnTo>
                              <a:lnTo>
                                <a:pt x="685800" y="457200"/>
                              </a:lnTo>
                              <a:lnTo>
                                <a:pt x="6858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144pt;margin-top:1.166602pt;width:54pt;height:36pt;mso-position-horizontal-relative:page;mso-position-vertical-relative:paragraph;z-index:-22699008" id="docshape90" filled="true" fillcolor="#ffffff" stroked="false">
                <v:fill type="solid"/>
                <w10:wrap type="none"/>
              </v:rect>
            </w:pict>
          </mc:Fallback>
        </mc:AlternateContent>
      </w:r>
      <w:r>
        <w:rPr>
          <w:spacing w:val="-10"/>
          <w:sz w:val="20"/>
        </w:rPr>
        <w:t>9</w:t>
      </w:r>
    </w:p>
    <w:p>
      <w:pPr>
        <w:spacing w:before="3"/>
        <w:ind w:left="2264" w:right="0" w:firstLine="0"/>
        <w:jc w:val="center"/>
        <w:rPr>
          <w:sz w:val="20"/>
        </w:rPr>
      </w:pPr>
      <w:r>
        <w:rPr/>
        <mc:AlternateContent>
          <mc:Choice Requires="wps">
            <w:drawing>
              <wp:anchor distT="0" distB="0" distL="0" distR="0" allowOverlap="1" layoutInCell="1" locked="0" behindDoc="0" simplePos="0" relativeHeight="15792640">
                <wp:simplePos x="0" y="0"/>
                <wp:positionH relativeFrom="page">
                  <wp:posOffset>2514600</wp:posOffset>
                </wp:positionH>
                <wp:positionV relativeFrom="paragraph">
                  <wp:posOffset>29560</wp:posOffset>
                </wp:positionV>
                <wp:extent cx="919480" cy="366395"/>
                <wp:effectExtent l="0" t="0" r="0" b="0"/>
                <wp:wrapNone/>
                <wp:docPr id="189" name="Graphic 189"/>
                <wp:cNvGraphicFramePr>
                  <a:graphicFrameLocks/>
                </wp:cNvGraphicFramePr>
                <a:graphic>
                  <a:graphicData uri="http://schemas.microsoft.com/office/word/2010/wordprocessingShape">
                    <wps:wsp>
                      <wps:cNvPr id="189" name="Graphic 189"/>
                      <wps:cNvSpPr/>
                      <wps:spPr>
                        <a:xfrm>
                          <a:off x="0" y="0"/>
                          <a:ext cx="919480" cy="366395"/>
                        </a:xfrm>
                        <a:custGeom>
                          <a:avLst/>
                          <a:gdLst/>
                          <a:ahLst/>
                          <a:cxnLst/>
                          <a:rect l="l" t="t" r="r" b="b"/>
                          <a:pathLst>
                            <a:path w="919480" h="366395">
                              <a:moveTo>
                                <a:pt x="85340" y="26765"/>
                              </a:moveTo>
                              <a:lnTo>
                                <a:pt x="75293" y="53555"/>
                              </a:lnTo>
                              <a:lnTo>
                                <a:pt x="909320" y="366267"/>
                              </a:lnTo>
                              <a:lnTo>
                                <a:pt x="919352" y="339597"/>
                              </a:lnTo>
                              <a:lnTo>
                                <a:pt x="85340" y="26765"/>
                              </a:lnTo>
                              <a:close/>
                            </a:path>
                            <a:path w="919480" h="366395">
                              <a:moveTo>
                                <a:pt x="95376" y="0"/>
                              </a:moveTo>
                              <a:lnTo>
                                <a:pt x="0" y="10032"/>
                              </a:lnTo>
                              <a:lnTo>
                                <a:pt x="65277" y="80263"/>
                              </a:lnTo>
                              <a:lnTo>
                                <a:pt x="75293" y="53555"/>
                              </a:lnTo>
                              <a:lnTo>
                                <a:pt x="61849" y="48513"/>
                              </a:lnTo>
                              <a:lnTo>
                                <a:pt x="71881" y="21716"/>
                              </a:lnTo>
                              <a:lnTo>
                                <a:pt x="87233" y="21716"/>
                              </a:lnTo>
                              <a:lnTo>
                                <a:pt x="95376" y="0"/>
                              </a:lnTo>
                              <a:close/>
                            </a:path>
                            <a:path w="919480" h="366395">
                              <a:moveTo>
                                <a:pt x="71881" y="21716"/>
                              </a:moveTo>
                              <a:lnTo>
                                <a:pt x="61849" y="48513"/>
                              </a:lnTo>
                              <a:lnTo>
                                <a:pt x="75293" y="53555"/>
                              </a:lnTo>
                              <a:lnTo>
                                <a:pt x="85340" y="26765"/>
                              </a:lnTo>
                              <a:lnTo>
                                <a:pt x="71881" y="21716"/>
                              </a:lnTo>
                              <a:close/>
                            </a:path>
                            <a:path w="919480" h="366395">
                              <a:moveTo>
                                <a:pt x="87233" y="21716"/>
                              </a:moveTo>
                              <a:lnTo>
                                <a:pt x="71881" y="21716"/>
                              </a:lnTo>
                              <a:lnTo>
                                <a:pt x="85340" y="26765"/>
                              </a:lnTo>
                              <a:lnTo>
                                <a:pt x="87233" y="217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98pt;margin-top:2.327578pt;width:72.4pt;height:28.85pt;mso-position-horizontal-relative:page;mso-position-vertical-relative:paragraph;z-index:15792640" id="docshape91" coordorigin="3960,47" coordsize="1448,577" path="m4094,89l4079,131,5392,623,5408,581,4094,89xm4110,47l3960,62,4063,173,4079,131,4057,123,4073,81,4097,81,4110,47xm4073,81l4057,123,4079,131,4094,89,4073,81xm4097,81l4073,81,4094,89,4097,81xe" filled="true" fillcolor="#000000" stroked="false">
                <v:path arrowok="t"/>
                <v:fill type="solid"/>
                <w10:wrap type="none"/>
              </v:shape>
            </w:pict>
          </mc:Fallback>
        </mc:AlternateContent>
      </w:r>
      <w:r>
        <w:rPr>
          <w:spacing w:val="-2"/>
          <w:sz w:val="20"/>
        </w:rPr>
        <w:t>Allies</w:t>
      </w:r>
    </w:p>
    <w:p>
      <w:pPr>
        <w:spacing w:line="240" w:lineRule="auto" w:before="41"/>
        <w:rPr>
          <w:sz w:val="20"/>
        </w:rPr>
      </w:pPr>
      <w:r>
        <w:rPr/>
        <w:br w:type="column"/>
      </w:r>
      <w:r>
        <w:rPr>
          <w:sz w:val="20"/>
        </w:rPr>
      </w:r>
    </w:p>
    <w:p>
      <w:pPr>
        <w:spacing w:before="0"/>
        <w:ind w:left="167" w:right="0" w:firstLine="0"/>
        <w:jc w:val="center"/>
        <w:rPr>
          <w:sz w:val="20"/>
        </w:rPr>
      </w:pPr>
      <w:r>
        <w:rPr>
          <w:spacing w:val="-10"/>
          <w:sz w:val="20"/>
        </w:rPr>
        <w:t>7</w:t>
      </w:r>
    </w:p>
    <w:p>
      <w:pPr>
        <w:spacing w:before="3"/>
        <w:ind w:left="167" w:right="19" w:firstLine="0"/>
        <w:jc w:val="center"/>
        <w:rPr>
          <w:sz w:val="20"/>
        </w:rPr>
      </w:pPr>
      <w:r>
        <w:rPr/>
        <mc:AlternateContent>
          <mc:Choice Requires="wps">
            <w:drawing>
              <wp:anchor distT="0" distB="0" distL="0" distR="0" allowOverlap="1" layoutInCell="1" locked="0" behindDoc="1" simplePos="0" relativeHeight="480616960">
                <wp:simplePos x="0" y="0"/>
                <wp:positionH relativeFrom="page">
                  <wp:posOffset>3429000</wp:posOffset>
                </wp:positionH>
                <wp:positionV relativeFrom="paragraph">
                  <wp:posOffset>25762</wp:posOffset>
                </wp:positionV>
                <wp:extent cx="2061210" cy="585470"/>
                <wp:effectExtent l="0" t="0" r="0" b="0"/>
                <wp:wrapNone/>
                <wp:docPr id="190" name="Group 190"/>
                <wp:cNvGraphicFramePr>
                  <a:graphicFrameLocks/>
                </wp:cNvGraphicFramePr>
                <a:graphic>
                  <a:graphicData uri="http://schemas.microsoft.com/office/word/2010/wordprocessingGroup">
                    <wpg:wgp>
                      <wpg:cNvPr id="190" name="Group 190"/>
                      <wpg:cNvGrpSpPr/>
                      <wpg:grpSpPr>
                        <a:xfrm>
                          <a:off x="0" y="0"/>
                          <a:ext cx="2061210" cy="585470"/>
                          <a:chExt cx="2061210" cy="585470"/>
                        </a:xfrm>
                      </wpg:grpSpPr>
                      <wps:wsp>
                        <wps:cNvPr id="191" name="Graphic 191"/>
                        <wps:cNvSpPr/>
                        <wps:spPr>
                          <a:xfrm>
                            <a:off x="0" y="128143"/>
                            <a:ext cx="685800" cy="457200"/>
                          </a:xfrm>
                          <a:custGeom>
                            <a:avLst/>
                            <a:gdLst/>
                            <a:ahLst/>
                            <a:cxnLst/>
                            <a:rect l="l" t="t" r="r" b="b"/>
                            <a:pathLst>
                              <a:path w="685800" h="457200">
                                <a:moveTo>
                                  <a:pt x="685800" y="0"/>
                                </a:moveTo>
                                <a:lnTo>
                                  <a:pt x="0" y="0"/>
                                </a:lnTo>
                                <a:lnTo>
                                  <a:pt x="0" y="457200"/>
                                </a:lnTo>
                                <a:lnTo>
                                  <a:pt x="685800" y="457200"/>
                                </a:lnTo>
                                <a:lnTo>
                                  <a:pt x="685800" y="0"/>
                                </a:lnTo>
                                <a:close/>
                              </a:path>
                            </a:pathLst>
                          </a:custGeom>
                          <a:solidFill>
                            <a:srgbClr val="FFFFFF"/>
                          </a:solidFill>
                        </wps:spPr>
                        <wps:bodyPr wrap="square" lIns="0" tIns="0" rIns="0" bIns="0" rtlCol="0">
                          <a:prstTxWarp prst="textNoShape">
                            <a:avLst/>
                          </a:prstTxWarp>
                          <a:noAutofit/>
                        </wps:bodyPr>
                      </wps:wsp>
                      <wps:wsp>
                        <wps:cNvPr id="192" name="Graphic 192"/>
                        <wps:cNvSpPr/>
                        <wps:spPr>
                          <a:xfrm>
                            <a:off x="685800" y="0"/>
                            <a:ext cx="1375410" cy="377825"/>
                          </a:xfrm>
                          <a:custGeom>
                            <a:avLst/>
                            <a:gdLst/>
                            <a:ahLst/>
                            <a:cxnLst/>
                            <a:rect l="l" t="t" r="r" b="b"/>
                            <a:pathLst>
                              <a:path w="1375410" h="377825">
                                <a:moveTo>
                                  <a:pt x="72771" y="294385"/>
                                </a:moveTo>
                                <a:lnTo>
                                  <a:pt x="0" y="356742"/>
                                </a:lnTo>
                                <a:lnTo>
                                  <a:pt x="93599" y="377570"/>
                                </a:lnTo>
                                <a:lnTo>
                                  <a:pt x="87525" y="353313"/>
                                </a:lnTo>
                                <a:lnTo>
                                  <a:pt x="72771" y="353313"/>
                                </a:lnTo>
                                <a:lnTo>
                                  <a:pt x="65786" y="325500"/>
                                </a:lnTo>
                                <a:lnTo>
                                  <a:pt x="79691" y="322025"/>
                                </a:lnTo>
                                <a:lnTo>
                                  <a:pt x="72771" y="294385"/>
                                </a:lnTo>
                                <a:close/>
                              </a:path>
                              <a:path w="1375410" h="377825">
                                <a:moveTo>
                                  <a:pt x="79691" y="322025"/>
                                </a:moveTo>
                                <a:lnTo>
                                  <a:pt x="65786" y="325500"/>
                                </a:lnTo>
                                <a:lnTo>
                                  <a:pt x="72771" y="353313"/>
                                </a:lnTo>
                                <a:lnTo>
                                  <a:pt x="86656" y="349842"/>
                                </a:lnTo>
                                <a:lnTo>
                                  <a:pt x="79691" y="322025"/>
                                </a:lnTo>
                                <a:close/>
                              </a:path>
                              <a:path w="1375410" h="377825">
                                <a:moveTo>
                                  <a:pt x="86656" y="349842"/>
                                </a:moveTo>
                                <a:lnTo>
                                  <a:pt x="72771" y="353313"/>
                                </a:lnTo>
                                <a:lnTo>
                                  <a:pt x="87525" y="353313"/>
                                </a:lnTo>
                                <a:lnTo>
                                  <a:pt x="86656" y="349842"/>
                                </a:lnTo>
                                <a:close/>
                              </a:path>
                              <a:path w="1375410" h="377825">
                                <a:moveTo>
                                  <a:pt x="1368171" y="0"/>
                                </a:moveTo>
                                <a:lnTo>
                                  <a:pt x="79691" y="322025"/>
                                </a:lnTo>
                                <a:lnTo>
                                  <a:pt x="86656" y="349842"/>
                                </a:lnTo>
                                <a:lnTo>
                                  <a:pt x="1375028" y="27685"/>
                                </a:lnTo>
                                <a:lnTo>
                                  <a:pt x="1368171" y="0"/>
                                </a:lnTo>
                                <a:close/>
                              </a:path>
                            </a:pathLst>
                          </a:custGeom>
                          <a:solidFill>
                            <a:srgbClr val="000000"/>
                          </a:solidFill>
                        </wps:spPr>
                        <wps:bodyPr wrap="square" lIns="0" tIns="0" rIns="0" bIns="0" rtlCol="0">
                          <a:prstTxWarp prst="textNoShape">
                            <a:avLst/>
                          </a:prstTxWarp>
                          <a:noAutofit/>
                        </wps:bodyPr>
                      </wps:wsp>
                      <wps:wsp>
                        <wps:cNvPr id="193" name="Textbox 193"/>
                        <wps:cNvSpPr txBox="1"/>
                        <wps:spPr>
                          <a:xfrm>
                            <a:off x="0" y="0"/>
                            <a:ext cx="2061210" cy="585470"/>
                          </a:xfrm>
                          <a:prstGeom prst="rect">
                            <a:avLst/>
                          </a:prstGeom>
                        </wps:spPr>
                        <wps:txbx>
                          <w:txbxContent>
                            <w:p>
                              <w:pPr>
                                <w:spacing w:line="240" w:lineRule="auto" w:before="40"/>
                                <w:rPr>
                                  <w:sz w:val="20"/>
                                </w:rPr>
                              </w:pPr>
                            </w:p>
                            <w:p>
                              <w:pPr>
                                <w:spacing w:before="0"/>
                                <w:ind w:left="0" w:right="2250" w:firstLine="0"/>
                                <w:jc w:val="center"/>
                                <w:rPr>
                                  <w:sz w:val="20"/>
                                </w:rPr>
                              </w:pPr>
                              <w:r>
                                <w:rPr>
                                  <w:spacing w:val="-10"/>
                                  <w:sz w:val="20"/>
                                </w:rPr>
                                <w:t>8</w:t>
                              </w:r>
                            </w:p>
                            <w:p>
                              <w:pPr>
                                <w:spacing w:before="3"/>
                                <w:ind w:left="39" w:right="2250" w:firstLine="0"/>
                                <w:jc w:val="center"/>
                                <w:rPr>
                                  <w:sz w:val="20"/>
                                </w:rPr>
                              </w:pPr>
                              <w:r>
                                <w:rPr>
                                  <w:spacing w:val="-2"/>
                                  <w:sz w:val="20"/>
                                </w:rPr>
                                <w:t>Inclusion</w:t>
                              </w:r>
                            </w:p>
                          </w:txbxContent>
                        </wps:txbx>
                        <wps:bodyPr wrap="square" lIns="0" tIns="0" rIns="0" bIns="0" rtlCol="0">
                          <a:noAutofit/>
                        </wps:bodyPr>
                      </wps:wsp>
                    </wpg:wgp>
                  </a:graphicData>
                </a:graphic>
              </wp:anchor>
            </w:drawing>
          </mc:Choice>
          <mc:Fallback>
            <w:pict>
              <v:group style="position:absolute;margin-left:270pt;margin-top:2.028555pt;width:162.3pt;height:46.1pt;mso-position-horizontal-relative:page;mso-position-vertical-relative:paragraph;z-index:-22699520" id="docshapegroup92" coordorigin="5400,41" coordsize="3246,922">
                <v:rect style="position:absolute;left:5400;top:242;width:1080;height:720" id="docshape93" filled="true" fillcolor="#ffffff" stroked="false">
                  <v:fill type="solid"/>
                </v:rect>
                <v:shape style="position:absolute;left:6480;top:40;width:2166;height:595" id="docshape94" coordorigin="6480,41" coordsize="2166,595" path="m6595,504l6480,602,6627,635,6618,597,6595,597,6584,553,6605,548,6595,504xm6605,548l6584,553,6595,597,6616,592,6605,548xm6616,592l6595,597,6618,597,6616,592xm8635,41l6605,548,6616,592,8645,84,8635,41xe" filled="true" fillcolor="#000000" stroked="false">
                  <v:path arrowok="t"/>
                  <v:fill type="solid"/>
                </v:shape>
                <v:shape style="position:absolute;left:5400;top:40;width:3246;height:922" type="#_x0000_t202" id="docshape95" filled="false" stroked="false">
                  <v:textbox inset="0,0,0,0">
                    <w:txbxContent>
                      <w:p>
                        <w:pPr>
                          <w:spacing w:line="240" w:lineRule="auto" w:before="40"/>
                          <w:rPr>
                            <w:sz w:val="20"/>
                          </w:rPr>
                        </w:pPr>
                      </w:p>
                      <w:p>
                        <w:pPr>
                          <w:spacing w:before="0"/>
                          <w:ind w:left="0" w:right="2250" w:firstLine="0"/>
                          <w:jc w:val="center"/>
                          <w:rPr>
                            <w:sz w:val="20"/>
                          </w:rPr>
                        </w:pPr>
                        <w:r>
                          <w:rPr>
                            <w:spacing w:val="-10"/>
                            <w:sz w:val="20"/>
                          </w:rPr>
                          <w:t>8</w:t>
                        </w:r>
                      </w:p>
                      <w:p>
                        <w:pPr>
                          <w:spacing w:before="3"/>
                          <w:ind w:left="39" w:right="2250" w:firstLine="0"/>
                          <w:jc w:val="center"/>
                          <w:rPr>
                            <w:sz w:val="20"/>
                          </w:rPr>
                        </w:pPr>
                        <w:r>
                          <w:rPr>
                            <w:spacing w:val="-2"/>
                            <w:sz w:val="20"/>
                          </w:rPr>
                          <w:t>Inclusion</w:t>
                        </w:r>
                      </w:p>
                    </w:txbxContent>
                  </v:textbox>
                  <w10:wrap type="none"/>
                </v:shape>
                <w10:wrap type="none"/>
              </v:group>
            </w:pict>
          </mc:Fallback>
        </mc:AlternateContent>
      </w:r>
      <w:r>
        <w:rPr>
          <w:spacing w:val="-2"/>
          <w:sz w:val="20"/>
        </w:rPr>
        <w:t>Strategies</w:t>
      </w:r>
    </w:p>
    <w:p>
      <w:pPr>
        <w:spacing w:after="0"/>
        <w:jc w:val="center"/>
        <w:rPr>
          <w:sz w:val="20"/>
        </w:rPr>
        <w:sectPr>
          <w:type w:val="continuous"/>
          <w:pgSz w:w="11910" w:h="16840"/>
          <w:pgMar w:header="0" w:footer="1561" w:top="1360" w:bottom="280" w:left="720" w:right="180"/>
          <w:cols w:num="2" w:equalWidth="0">
            <w:col w:w="2820" w:space="2941"/>
            <w:col w:w="5249"/>
          </w:cols>
        </w:sectPr>
      </w:pPr>
    </w:p>
    <w:p>
      <w:pPr>
        <w:pStyle w:val="BodyText"/>
        <w:ind w:left="0"/>
      </w:pPr>
      <w:r>
        <w:rPr/>
        <mc:AlternateContent>
          <mc:Choice Requires="wps">
            <w:drawing>
              <wp:anchor distT="0" distB="0" distL="0" distR="0" allowOverlap="1" layoutInCell="1" locked="0" behindDoc="1" simplePos="0" relativeHeight="480620544">
                <wp:simplePos x="0" y="0"/>
                <wp:positionH relativeFrom="page">
                  <wp:posOffset>-1537026</wp:posOffset>
                </wp:positionH>
                <wp:positionV relativeFrom="page">
                  <wp:posOffset>4900424</wp:posOffset>
                </wp:positionV>
                <wp:extent cx="10669905" cy="914400"/>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95936;rotation:306" type="#_x0000_t136" fillcolor="#ff5400" stroked="f">
                <o:extrusion v:ext="view" autorotationcenter="t"/>
                <v:textpath style="font-family:&quot;Arial MT&quot;;font-size:72pt;v-text-kern:t;mso-text-shadow:auto" string="UNIVERSITY OF IBADAN"/>
                <w10:wrap type="none"/>
              </v:shape>
            </w:pict>
          </mc:Fallback>
        </mc:AlternateContent>
      </w:r>
    </w:p>
    <w:p>
      <w:pPr>
        <w:pStyle w:val="BodyText"/>
        <w:ind w:left="0"/>
      </w:pPr>
    </w:p>
    <w:p>
      <w:pPr>
        <w:pStyle w:val="BodyText"/>
        <w:ind w:left="0"/>
      </w:pPr>
    </w:p>
    <w:p>
      <w:pPr>
        <w:pStyle w:val="BodyText"/>
        <w:spacing w:before="107"/>
        <w:ind w:left="0"/>
      </w:pPr>
    </w:p>
    <w:p>
      <w:pPr>
        <w:pStyle w:val="BodyText"/>
        <w:spacing w:line="360" w:lineRule="auto" w:before="1"/>
        <w:ind w:right="4714" w:firstLine="60"/>
      </w:pPr>
      <w:r>
        <w:rPr/>
        <w:t>Figure 4 – 12 Components of Strategy Circle Source:</w:t>
      </w:r>
      <w:r>
        <w:rPr>
          <w:spacing w:val="40"/>
        </w:rPr>
        <w:t> </w:t>
      </w:r>
      <w:r>
        <w:rPr/>
        <w:t>Adapted</w:t>
      </w:r>
      <w:r>
        <w:rPr>
          <w:spacing w:val="-4"/>
        </w:rPr>
        <w:t> </w:t>
      </w:r>
      <w:r>
        <w:rPr/>
        <w:t>from</w:t>
      </w:r>
      <w:r>
        <w:rPr>
          <w:spacing w:val="-5"/>
        </w:rPr>
        <w:t> </w:t>
      </w:r>
      <w:r>
        <w:rPr/>
        <w:t>Fisher</w:t>
      </w:r>
      <w:r>
        <w:rPr>
          <w:spacing w:val="-7"/>
        </w:rPr>
        <w:t> </w:t>
      </w:r>
      <w:r>
        <w:rPr/>
        <w:t>et</w:t>
      </w:r>
      <w:r>
        <w:rPr>
          <w:spacing w:val="-5"/>
        </w:rPr>
        <w:t> </w:t>
      </w:r>
      <w:r>
        <w:rPr/>
        <w:t>al.</w:t>
      </w:r>
      <w:r>
        <w:rPr>
          <w:spacing w:val="-5"/>
        </w:rPr>
        <w:t> </w:t>
      </w:r>
      <w:r>
        <w:rPr/>
        <w:t>2000:73</w:t>
      </w:r>
      <w:r>
        <w:rPr>
          <w:spacing w:val="-3"/>
        </w:rPr>
        <w:t> </w:t>
      </w:r>
      <w:r>
        <w:rPr/>
        <w:t>–</w:t>
      </w:r>
      <w:r>
        <w:rPr>
          <w:spacing w:val="-5"/>
        </w:rPr>
        <w:t> </w:t>
      </w:r>
      <w:r>
        <w:rPr/>
        <w:t>75</w:t>
      </w:r>
    </w:p>
    <w:p>
      <w:pPr>
        <w:spacing w:after="0" w:line="360" w:lineRule="auto"/>
        <w:sectPr>
          <w:type w:val="continuous"/>
          <w:pgSz w:w="11910" w:h="16840"/>
          <w:pgMar w:header="0" w:footer="1561" w:top="1360" w:bottom="280" w:left="720" w:right="180"/>
        </w:sectPr>
      </w:pPr>
    </w:p>
    <w:p>
      <w:pPr>
        <w:pStyle w:val="ListParagraph"/>
        <w:numPr>
          <w:ilvl w:val="0"/>
          <w:numId w:val="13"/>
        </w:numPr>
        <w:tabs>
          <w:tab w:pos="1681" w:val="left" w:leader="none"/>
        </w:tabs>
        <w:spacing w:line="360" w:lineRule="auto" w:before="60" w:after="0"/>
        <w:ind w:left="1440" w:right="1263" w:firstLine="0"/>
        <w:jc w:val="both"/>
        <w:rPr>
          <w:sz w:val="24"/>
        </w:rPr>
      </w:pPr>
      <w:r>
        <w:rPr/>
        <mc:AlternateContent>
          <mc:Choice Requires="wps">
            <w:drawing>
              <wp:anchor distT="0" distB="0" distL="0" distR="0" allowOverlap="1" layoutInCell="1" locked="0" behindDoc="1" simplePos="0" relativeHeight="480624128">
                <wp:simplePos x="0" y="0"/>
                <wp:positionH relativeFrom="page">
                  <wp:posOffset>-1537026</wp:posOffset>
                </wp:positionH>
                <wp:positionV relativeFrom="page">
                  <wp:posOffset>4900424</wp:posOffset>
                </wp:positionV>
                <wp:extent cx="10669905" cy="914400"/>
                <wp:effectExtent l="0" t="0" r="0" b="0"/>
                <wp:wrapNone/>
                <wp:docPr id="195" name="Textbox 195"/>
                <wp:cNvGraphicFramePr>
                  <a:graphicFrameLocks/>
                </wp:cNvGraphicFramePr>
                <a:graphic>
                  <a:graphicData uri="http://schemas.microsoft.com/office/word/2010/wordprocessingShape">
                    <wps:wsp>
                      <wps:cNvPr id="195" name="Textbox 195"/>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92352;rotation:306" type="#_x0000_t136" fillcolor="#ff5400" stroked="f">
                <o:extrusion v:ext="view" autorotationcenter="t"/>
                <v:textpath style="font-family:&quot;Arial MT&quot;;font-size:72pt;v-text-kern:t;mso-text-shadow:auto" string="UNIVERSITY OF IBADAN"/>
                <w10:wrap type="none"/>
              </v:shape>
            </w:pict>
          </mc:Fallback>
        </mc:AlternateContent>
      </w:r>
      <w:r>
        <w:rPr>
          <w:b/>
          <w:sz w:val="24"/>
        </w:rPr>
        <w:t>Component 1-Vision/Goal:</w:t>
      </w:r>
      <w:r>
        <w:rPr>
          <w:b/>
          <w:spacing w:val="40"/>
          <w:sz w:val="24"/>
        </w:rPr>
        <w:t> </w:t>
      </w:r>
      <w:r>
        <w:rPr>
          <w:sz w:val="24"/>
        </w:rPr>
        <w:t>Component 1 seeks to carefully investigate what the vision and goals of the JTF operations are, and relate this to the vision and goals of</w:t>
      </w:r>
      <w:r>
        <w:rPr>
          <w:spacing w:val="40"/>
          <w:sz w:val="24"/>
        </w:rPr>
        <w:t> </w:t>
      </w:r>
      <w:r>
        <w:rPr>
          <w:sz w:val="24"/>
        </w:rPr>
        <w:t>the contending forces in the Niger Delta crisis.</w:t>
      </w:r>
      <w:r>
        <w:rPr>
          <w:spacing w:val="40"/>
          <w:sz w:val="24"/>
        </w:rPr>
        <w:t> </w:t>
      </w:r>
      <w:r>
        <w:rPr>
          <w:sz w:val="24"/>
        </w:rPr>
        <w:t>Thus, the vision and goal of the JTF will inform the study the desired change that is envisaged.</w:t>
      </w:r>
    </w:p>
    <w:p>
      <w:pPr>
        <w:pStyle w:val="ListParagraph"/>
        <w:numPr>
          <w:ilvl w:val="0"/>
          <w:numId w:val="13"/>
        </w:numPr>
        <w:tabs>
          <w:tab w:pos="1684" w:val="left" w:leader="none"/>
        </w:tabs>
        <w:spacing w:line="360" w:lineRule="auto" w:before="1" w:after="0"/>
        <w:ind w:left="1440" w:right="1260" w:firstLine="0"/>
        <w:jc w:val="both"/>
        <w:rPr>
          <w:sz w:val="24"/>
        </w:rPr>
      </w:pPr>
      <w:r>
        <w:rPr>
          <w:b/>
          <w:sz w:val="24"/>
        </w:rPr>
        <w:t>Component </w:t>
      </w:r>
      <w:r>
        <w:rPr>
          <w:sz w:val="24"/>
        </w:rPr>
        <w:t>2 - Change:</w:t>
      </w:r>
      <w:r>
        <w:rPr>
          <w:spacing w:val="40"/>
          <w:sz w:val="24"/>
        </w:rPr>
        <w:t> </w:t>
      </w:r>
      <w:r>
        <w:rPr>
          <w:sz w:val="24"/>
        </w:rPr>
        <w:t>This focuses on the nature of change already</w:t>
      </w:r>
      <w:r>
        <w:rPr>
          <w:spacing w:val="-1"/>
          <w:sz w:val="24"/>
        </w:rPr>
        <w:t> </w:t>
      </w:r>
      <w:r>
        <w:rPr>
          <w:sz w:val="24"/>
        </w:rPr>
        <w:t>taking</w:t>
      </w:r>
      <w:r>
        <w:rPr>
          <w:spacing w:val="-1"/>
          <w:sz w:val="24"/>
        </w:rPr>
        <w:t> </w:t>
      </w:r>
      <w:r>
        <w:rPr>
          <w:sz w:val="24"/>
        </w:rPr>
        <w:t>place inside</w:t>
      </w:r>
      <w:r>
        <w:rPr>
          <w:spacing w:val="-3"/>
          <w:sz w:val="24"/>
        </w:rPr>
        <w:t> </w:t>
      </w:r>
      <w:r>
        <w:rPr>
          <w:sz w:val="24"/>
        </w:rPr>
        <w:t>the</w:t>
      </w:r>
      <w:r>
        <w:rPr>
          <w:spacing w:val="-2"/>
          <w:sz w:val="24"/>
        </w:rPr>
        <w:t> </w:t>
      </w:r>
      <w:r>
        <w:rPr>
          <w:sz w:val="24"/>
        </w:rPr>
        <w:t>operation</w:t>
      </w:r>
      <w:r>
        <w:rPr>
          <w:spacing w:val="-2"/>
          <w:sz w:val="24"/>
        </w:rPr>
        <w:t> </w:t>
      </w:r>
      <w:r>
        <w:rPr>
          <w:sz w:val="24"/>
        </w:rPr>
        <w:t>of</w:t>
      </w:r>
      <w:r>
        <w:rPr>
          <w:spacing w:val="-1"/>
          <w:sz w:val="24"/>
        </w:rPr>
        <w:t> </w:t>
      </w:r>
      <w:r>
        <w:rPr>
          <w:sz w:val="24"/>
        </w:rPr>
        <w:t>the</w:t>
      </w:r>
      <w:r>
        <w:rPr>
          <w:spacing w:val="-3"/>
          <w:sz w:val="24"/>
        </w:rPr>
        <w:t> </w:t>
      </w:r>
      <w:r>
        <w:rPr>
          <w:sz w:val="24"/>
        </w:rPr>
        <w:t>JTF</w:t>
      </w:r>
      <w:r>
        <w:rPr>
          <w:spacing w:val="-2"/>
          <w:sz w:val="24"/>
        </w:rPr>
        <w:t> </w:t>
      </w:r>
      <w:r>
        <w:rPr>
          <w:sz w:val="24"/>
        </w:rPr>
        <w:t>to</w:t>
      </w:r>
      <w:r>
        <w:rPr>
          <w:spacing w:val="-2"/>
          <w:sz w:val="24"/>
        </w:rPr>
        <w:t> </w:t>
      </w:r>
      <w:r>
        <w:rPr>
          <w:sz w:val="24"/>
        </w:rPr>
        <w:t>which</w:t>
      </w:r>
      <w:r>
        <w:rPr>
          <w:spacing w:val="-2"/>
          <w:sz w:val="24"/>
        </w:rPr>
        <w:t> </w:t>
      </w:r>
      <w:r>
        <w:rPr>
          <w:sz w:val="24"/>
        </w:rPr>
        <w:t>the</w:t>
      </w:r>
      <w:r>
        <w:rPr>
          <w:spacing w:val="-1"/>
          <w:sz w:val="24"/>
        </w:rPr>
        <w:t> </w:t>
      </w:r>
      <w:r>
        <w:rPr>
          <w:sz w:val="24"/>
        </w:rPr>
        <w:t>task</w:t>
      </w:r>
      <w:r>
        <w:rPr>
          <w:spacing w:val="-2"/>
          <w:sz w:val="24"/>
        </w:rPr>
        <w:t> </w:t>
      </w:r>
      <w:r>
        <w:rPr>
          <w:sz w:val="24"/>
        </w:rPr>
        <w:t>force</w:t>
      </w:r>
      <w:r>
        <w:rPr>
          <w:spacing w:val="-1"/>
          <w:sz w:val="24"/>
        </w:rPr>
        <w:t> </w:t>
      </w:r>
      <w:r>
        <w:rPr>
          <w:sz w:val="24"/>
        </w:rPr>
        <w:t>must</w:t>
      </w:r>
      <w:r>
        <w:rPr>
          <w:spacing w:val="-2"/>
          <w:sz w:val="24"/>
        </w:rPr>
        <w:t> </w:t>
      </w:r>
      <w:r>
        <w:rPr>
          <w:sz w:val="24"/>
        </w:rPr>
        <w:t>relate.</w:t>
      </w:r>
      <w:r>
        <w:rPr>
          <w:spacing w:val="40"/>
          <w:sz w:val="24"/>
        </w:rPr>
        <w:t> </w:t>
      </w:r>
      <w:r>
        <w:rPr>
          <w:sz w:val="24"/>
        </w:rPr>
        <w:t>It also entails</w:t>
      </w:r>
      <w:r>
        <w:rPr>
          <w:spacing w:val="-2"/>
          <w:sz w:val="24"/>
        </w:rPr>
        <w:t> </w:t>
      </w:r>
      <w:r>
        <w:rPr>
          <w:sz w:val="24"/>
        </w:rPr>
        <w:t>what change is desired by JTF.</w:t>
      </w:r>
    </w:p>
    <w:p>
      <w:pPr>
        <w:pStyle w:val="ListParagraph"/>
        <w:numPr>
          <w:ilvl w:val="0"/>
          <w:numId w:val="13"/>
        </w:numPr>
        <w:tabs>
          <w:tab w:pos="1679" w:val="left" w:leader="none"/>
        </w:tabs>
        <w:spacing w:line="360" w:lineRule="auto" w:before="0" w:after="0"/>
        <w:ind w:left="1440" w:right="1254" w:firstLine="0"/>
        <w:jc w:val="both"/>
        <w:rPr>
          <w:sz w:val="24"/>
        </w:rPr>
      </w:pPr>
      <w:r>
        <w:rPr>
          <w:b/>
          <w:sz w:val="24"/>
        </w:rPr>
        <w:t>Component 3 </w:t>
      </w:r>
      <w:r>
        <w:rPr>
          <w:sz w:val="24"/>
        </w:rPr>
        <w:t>- Parties: Component 3 Carry out stakeholders' analysis of who and who must the intervention engage.</w:t>
      </w:r>
      <w:r>
        <w:rPr>
          <w:spacing w:val="40"/>
          <w:sz w:val="24"/>
        </w:rPr>
        <w:t> </w:t>
      </w:r>
      <w:r>
        <w:rPr>
          <w:sz w:val="24"/>
        </w:rPr>
        <w:t>List all relevant actors who can significantly influence conflict or are most vulnerable to it.</w:t>
      </w:r>
      <w:r>
        <w:rPr>
          <w:spacing w:val="40"/>
          <w:sz w:val="24"/>
        </w:rPr>
        <w:t> </w:t>
      </w:r>
      <w:r>
        <w:rPr>
          <w:sz w:val="24"/>
        </w:rPr>
        <w:t>The identification of major parties in the</w:t>
      </w:r>
      <w:r>
        <w:rPr>
          <w:spacing w:val="-2"/>
          <w:sz w:val="24"/>
        </w:rPr>
        <w:t> </w:t>
      </w:r>
      <w:r>
        <w:rPr>
          <w:sz w:val="24"/>
        </w:rPr>
        <w:t>Niger</w:t>
      </w:r>
      <w:r>
        <w:rPr>
          <w:spacing w:val="-2"/>
          <w:sz w:val="24"/>
        </w:rPr>
        <w:t> </w:t>
      </w:r>
      <w:r>
        <w:rPr>
          <w:sz w:val="24"/>
        </w:rPr>
        <w:t>Delta</w:t>
      </w:r>
      <w:r>
        <w:rPr>
          <w:spacing w:val="-2"/>
          <w:sz w:val="24"/>
        </w:rPr>
        <w:t> </w:t>
      </w:r>
      <w:r>
        <w:rPr>
          <w:sz w:val="24"/>
        </w:rPr>
        <w:t>crisis</w:t>
      </w:r>
      <w:r>
        <w:rPr>
          <w:spacing w:val="-1"/>
          <w:sz w:val="24"/>
        </w:rPr>
        <w:t> </w:t>
      </w:r>
      <w:r>
        <w:rPr>
          <w:sz w:val="24"/>
        </w:rPr>
        <w:t>and</w:t>
      </w:r>
      <w:r>
        <w:rPr>
          <w:spacing w:val="-1"/>
          <w:sz w:val="24"/>
        </w:rPr>
        <w:t> </w:t>
      </w:r>
      <w:r>
        <w:rPr>
          <w:sz w:val="24"/>
        </w:rPr>
        <w:t>the</w:t>
      </w:r>
      <w:r>
        <w:rPr>
          <w:spacing w:val="-2"/>
          <w:sz w:val="24"/>
        </w:rPr>
        <w:t> </w:t>
      </w:r>
      <w:r>
        <w:rPr>
          <w:sz w:val="24"/>
        </w:rPr>
        <w:t>analysis</w:t>
      </w:r>
      <w:r>
        <w:rPr>
          <w:spacing w:val="-1"/>
          <w:sz w:val="24"/>
        </w:rPr>
        <w:t> </w:t>
      </w:r>
      <w:r>
        <w:rPr>
          <w:sz w:val="24"/>
        </w:rPr>
        <w:t>of</w:t>
      </w:r>
      <w:r>
        <w:rPr>
          <w:spacing w:val="-2"/>
          <w:sz w:val="24"/>
        </w:rPr>
        <w:t> </w:t>
      </w:r>
      <w:r>
        <w:rPr>
          <w:sz w:val="24"/>
        </w:rPr>
        <w:t>their</w:t>
      </w:r>
      <w:r>
        <w:rPr>
          <w:spacing w:val="-2"/>
          <w:sz w:val="24"/>
        </w:rPr>
        <w:t> </w:t>
      </w:r>
      <w:r>
        <w:rPr>
          <w:sz w:val="24"/>
        </w:rPr>
        <w:t>interest,</w:t>
      </w:r>
      <w:r>
        <w:rPr>
          <w:spacing w:val="-1"/>
          <w:sz w:val="24"/>
        </w:rPr>
        <w:t> </w:t>
      </w:r>
      <w:r>
        <w:rPr>
          <w:sz w:val="24"/>
        </w:rPr>
        <w:t>relation,</w:t>
      </w:r>
      <w:r>
        <w:rPr>
          <w:spacing w:val="-1"/>
          <w:sz w:val="24"/>
        </w:rPr>
        <w:t> </w:t>
      </w:r>
      <w:r>
        <w:rPr>
          <w:sz w:val="24"/>
        </w:rPr>
        <w:t>capacities, agencies</w:t>
      </w:r>
      <w:r>
        <w:rPr>
          <w:spacing w:val="-2"/>
          <w:sz w:val="24"/>
        </w:rPr>
        <w:t> </w:t>
      </w:r>
      <w:r>
        <w:rPr>
          <w:sz w:val="24"/>
        </w:rPr>
        <w:t>as well as required incentives are necessary, for measuring the effectiveness of the JTF. Useful approaches could be:</w:t>
      </w:r>
    </w:p>
    <w:p>
      <w:pPr>
        <w:pStyle w:val="ListParagraph"/>
        <w:numPr>
          <w:ilvl w:val="1"/>
          <w:numId w:val="13"/>
        </w:numPr>
        <w:tabs>
          <w:tab w:pos="2159" w:val="left" w:leader="none"/>
        </w:tabs>
        <w:spacing w:line="360" w:lineRule="auto" w:before="0" w:after="0"/>
        <w:ind w:left="1440" w:right="1257" w:firstLine="0"/>
        <w:jc w:val="both"/>
        <w:rPr>
          <w:sz w:val="24"/>
        </w:rPr>
      </w:pPr>
      <w:r>
        <w:rPr>
          <w:sz w:val="24"/>
        </w:rPr>
        <w:t>M</w:t>
      </w:r>
      <w:r>
        <w:rPr>
          <w:b/>
          <w:sz w:val="24"/>
        </w:rPr>
        <w:t>apping out conflict actors:</w:t>
      </w:r>
      <w:r>
        <w:rPr>
          <w:b/>
          <w:spacing w:val="40"/>
          <w:sz w:val="24"/>
        </w:rPr>
        <w:t> </w:t>
      </w:r>
      <w:r>
        <w:rPr>
          <w:sz w:val="24"/>
        </w:rPr>
        <w:t>Example of relevant actors to consider in the Niger Delta conflict include: traditional and community leaders, local NGOs, local media, criminal organisations and networks, the militia, security forces (JTF),</w:t>
      </w:r>
      <w:r>
        <w:rPr>
          <w:spacing w:val="40"/>
          <w:sz w:val="24"/>
        </w:rPr>
        <w:t> </w:t>
      </w:r>
      <w:r>
        <w:rPr>
          <w:sz w:val="24"/>
        </w:rPr>
        <w:t>political leaders, prominent civil servant, business men, diaspora, donors</w:t>
      </w:r>
      <w:r>
        <w:rPr>
          <w:spacing w:val="40"/>
          <w:sz w:val="24"/>
        </w:rPr>
        <w:t> </w:t>
      </w:r>
      <w:r>
        <w:rPr>
          <w:sz w:val="24"/>
        </w:rPr>
        <w:t>governments, intergovernmental organisation, transnational oil/gas corporations, governments, humanitarian and human rights organisations etc.</w:t>
      </w:r>
    </w:p>
    <w:p>
      <w:pPr>
        <w:pStyle w:val="Heading2"/>
        <w:numPr>
          <w:ilvl w:val="1"/>
          <w:numId w:val="13"/>
        </w:numPr>
        <w:tabs>
          <w:tab w:pos="1897" w:val="left" w:leader="none"/>
        </w:tabs>
        <w:spacing w:line="240" w:lineRule="auto" w:before="0" w:after="0"/>
        <w:ind w:left="1897" w:right="0" w:hanging="457"/>
        <w:jc w:val="both"/>
      </w:pPr>
      <w:r>
        <w:rPr/>
        <w:t>Analysing</w:t>
      </w:r>
      <w:r>
        <w:rPr>
          <w:spacing w:val="-1"/>
        </w:rPr>
        <w:t> </w:t>
      </w:r>
      <w:r>
        <w:rPr/>
        <w:t>for</w:t>
      </w:r>
      <w:r>
        <w:rPr>
          <w:spacing w:val="-1"/>
        </w:rPr>
        <w:t> </w:t>
      </w:r>
      <w:r>
        <w:rPr/>
        <w:t>each</w:t>
      </w:r>
      <w:r>
        <w:rPr>
          <w:spacing w:val="-1"/>
        </w:rPr>
        <w:t> </w:t>
      </w:r>
      <w:r>
        <w:rPr/>
        <w:t>of</w:t>
      </w:r>
      <w:r>
        <w:rPr>
          <w:spacing w:val="1"/>
        </w:rPr>
        <w:t> </w:t>
      </w:r>
      <w:r>
        <w:rPr/>
        <w:t>the</w:t>
      </w:r>
      <w:r>
        <w:rPr>
          <w:spacing w:val="-1"/>
        </w:rPr>
        <w:t> </w:t>
      </w:r>
      <w:r>
        <w:rPr>
          <w:spacing w:val="-2"/>
        </w:rPr>
        <w:t>actors:</w:t>
      </w:r>
    </w:p>
    <w:p>
      <w:pPr>
        <w:pStyle w:val="ListParagraph"/>
        <w:numPr>
          <w:ilvl w:val="2"/>
          <w:numId w:val="13"/>
        </w:numPr>
        <w:tabs>
          <w:tab w:pos="2160" w:val="left" w:leader="none"/>
        </w:tabs>
        <w:spacing w:line="360" w:lineRule="auto" w:before="140" w:after="0"/>
        <w:ind w:left="2160" w:right="1262" w:hanging="720"/>
        <w:jc w:val="both"/>
        <w:rPr>
          <w:sz w:val="24"/>
        </w:rPr>
      </w:pPr>
      <w:r>
        <w:rPr>
          <w:b/>
          <w:sz w:val="24"/>
        </w:rPr>
        <w:t>Interest: </w:t>
      </w:r>
      <w:r>
        <w:rPr>
          <w:sz w:val="24"/>
        </w:rPr>
        <w:t>What interests do they have in relation to the conflict and how do these interests influence the conflict?</w:t>
      </w:r>
    </w:p>
    <w:p>
      <w:pPr>
        <w:pStyle w:val="ListParagraph"/>
        <w:numPr>
          <w:ilvl w:val="2"/>
          <w:numId w:val="13"/>
        </w:numPr>
        <w:tabs>
          <w:tab w:pos="2159" w:val="left" w:leader="none"/>
        </w:tabs>
        <w:spacing w:line="240" w:lineRule="auto" w:before="0" w:after="0"/>
        <w:ind w:left="2159" w:right="0" w:hanging="719"/>
        <w:jc w:val="both"/>
        <w:rPr>
          <w:sz w:val="24"/>
        </w:rPr>
      </w:pPr>
      <w:r>
        <w:rPr>
          <w:b/>
          <w:sz w:val="24"/>
        </w:rPr>
        <w:t>Relations:</w:t>
      </w:r>
      <w:r>
        <w:rPr>
          <w:b/>
          <w:spacing w:val="-2"/>
          <w:sz w:val="24"/>
        </w:rPr>
        <w:t> </w:t>
      </w:r>
      <w:r>
        <w:rPr>
          <w:sz w:val="24"/>
        </w:rPr>
        <w:t>What</w:t>
      </w:r>
      <w:r>
        <w:rPr>
          <w:spacing w:val="-1"/>
          <w:sz w:val="24"/>
        </w:rPr>
        <w:t> </w:t>
      </w:r>
      <w:r>
        <w:rPr>
          <w:sz w:val="24"/>
        </w:rPr>
        <w:t>are</w:t>
      </w:r>
      <w:r>
        <w:rPr>
          <w:spacing w:val="-2"/>
          <w:sz w:val="24"/>
        </w:rPr>
        <w:t> </w:t>
      </w:r>
      <w:r>
        <w:rPr>
          <w:sz w:val="24"/>
        </w:rPr>
        <w:t>the relationships</w:t>
      </w:r>
      <w:r>
        <w:rPr>
          <w:spacing w:val="-2"/>
          <w:sz w:val="24"/>
        </w:rPr>
        <w:t> </w:t>
      </w:r>
      <w:r>
        <w:rPr>
          <w:sz w:val="24"/>
        </w:rPr>
        <w:t>between</w:t>
      </w:r>
      <w:r>
        <w:rPr>
          <w:spacing w:val="-1"/>
          <w:sz w:val="24"/>
        </w:rPr>
        <w:t> </w:t>
      </w:r>
      <w:r>
        <w:rPr>
          <w:sz w:val="24"/>
        </w:rPr>
        <w:t>the various</w:t>
      </w:r>
      <w:r>
        <w:rPr>
          <w:spacing w:val="-1"/>
          <w:sz w:val="24"/>
        </w:rPr>
        <w:t> </w:t>
      </w:r>
      <w:r>
        <w:rPr>
          <w:spacing w:val="-2"/>
          <w:sz w:val="24"/>
        </w:rPr>
        <w:t>actors?</w:t>
      </w:r>
    </w:p>
    <w:p>
      <w:pPr>
        <w:pStyle w:val="ListParagraph"/>
        <w:numPr>
          <w:ilvl w:val="2"/>
          <w:numId w:val="13"/>
        </w:numPr>
        <w:tabs>
          <w:tab w:pos="2159" w:val="left" w:leader="none"/>
        </w:tabs>
        <w:spacing w:line="360" w:lineRule="auto" w:before="136" w:after="0"/>
        <w:ind w:left="1440" w:right="1258" w:firstLine="0"/>
        <w:jc w:val="both"/>
        <w:rPr>
          <w:sz w:val="24"/>
        </w:rPr>
      </w:pPr>
      <w:r>
        <w:rPr>
          <w:b/>
          <w:sz w:val="24"/>
        </w:rPr>
        <w:t>Capacities: </w:t>
      </w:r>
      <w:r>
        <w:rPr>
          <w:sz w:val="24"/>
        </w:rPr>
        <w:t>What capacities do they have to influence conflict either</w:t>
      </w:r>
      <w:r>
        <w:rPr>
          <w:spacing w:val="40"/>
          <w:sz w:val="24"/>
        </w:rPr>
        <w:t> </w:t>
      </w:r>
      <w:r>
        <w:rPr>
          <w:sz w:val="24"/>
        </w:rPr>
        <w:t>positively or negatively?</w:t>
      </w:r>
    </w:p>
    <w:p>
      <w:pPr>
        <w:pStyle w:val="ListParagraph"/>
        <w:numPr>
          <w:ilvl w:val="2"/>
          <w:numId w:val="13"/>
        </w:numPr>
        <w:tabs>
          <w:tab w:pos="2159" w:val="left" w:leader="none"/>
        </w:tabs>
        <w:spacing w:line="360" w:lineRule="auto" w:before="0" w:after="0"/>
        <w:ind w:left="1440" w:right="1261" w:firstLine="0"/>
        <w:jc w:val="both"/>
        <w:rPr>
          <w:sz w:val="24"/>
        </w:rPr>
      </w:pPr>
      <w:r>
        <w:rPr>
          <w:b/>
          <w:sz w:val="24"/>
        </w:rPr>
        <w:t>Incentives</w:t>
      </w:r>
      <w:r>
        <w:rPr>
          <w:sz w:val="24"/>
        </w:rPr>
        <w:t>: What types of incentives could be offered for them to choose peace or disincentives to engage with violence?</w:t>
      </w:r>
    </w:p>
    <w:p>
      <w:pPr>
        <w:pStyle w:val="Heading2"/>
        <w:numPr>
          <w:ilvl w:val="1"/>
          <w:numId w:val="13"/>
        </w:numPr>
        <w:tabs>
          <w:tab w:pos="2159" w:val="left" w:leader="none"/>
        </w:tabs>
        <w:spacing w:line="240" w:lineRule="auto" w:before="1" w:after="0"/>
        <w:ind w:left="2159" w:right="0" w:hanging="719"/>
        <w:jc w:val="both"/>
      </w:pPr>
      <w:r>
        <w:rPr/>
        <w:t>What</w:t>
      </w:r>
      <w:r>
        <w:rPr>
          <w:spacing w:val="-2"/>
        </w:rPr>
        <w:t> </w:t>
      </w:r>
      <w:r>
        <w:rPr/>
        <w:t>are</w:t>
      </w:r>
      <w:r>
        <w:rPr>
          <w:spacing w:val="-2"/>
        </w:rPr>
        <w:t> </w:t>
      </w:r>
      <w:r>
        <w:rPr/>
        <w:t>the</w:t>
      </w:r>
      <w:r>
        <w:rPr>
          <w:spacing w:val="-1"/>
        </w:rPr>
        <w:t> </w:t>
      </w:r>
      <w:r>
        <w:rPr/>
        <w:t>security</w:t>
      </w:r>
      <w:r>
        <w:rPr>
          <w:spacing w:val="-1"/>
        </w:rPr>
        <w:t> </w:t>
      </w:r>
      <w:r>
        <w:rPr/>
        <w:t>agencies</w:t>
      </w:r>
      <w:r>
        <w:rPr>
          <w:spacing w:val="-1"/>
        </w:rPr>
        <w:t> </w:t>
      </w:r>
      <w:r>
        <w:rPr/>
        <w:t>involved in</w:t>
      </w:r>
      <w:r>
        <w:rPr>
          <w:spacing w:val="-1"/>
        </w:rPr>
        <w:t> </w:t>
      </w:r>
      <w:r>
        <w:rPr/>
        <w:t>the</w:t>
      </w:r>
      <w:r>
        <w:rPr>
          <w:spacing w:val="-4"/>
        </w:rPr>
        <w:t> JTF?</w:t>
      </w:r>
    </w:p>
    <w:p>
      <w:pPr>
        <w:pStyle w:val="BodyText"/>
        <w:spacing w:line="360" w:lineRule="auto" w:before="113"/>
        <w:ind w:right="1255" w:firstLine="60"/>
        <w:jc w:val="both"/>
      </w:pPr>
      <w:r>
        <w:rPr/>
        <w:t>(d)</w:t>
      </w:r>
      <w:r>
        <w:rPr>
          <w:spacing w:val="80"/>
        </w:rPr>
        <w:t>  </w:t>
      </w:r>
      <w:r>
        <w:rPr>
          <w:b/>
        </w:rPr>
        <w:t>Components 4 - Perceptions:</w:t>
      </w:r>
      <w:r>
        <w:rPr>
          <w:b/>
          <w:spacing w:val="40"/>
        </w:rPr>
        <w:t> </w:t>
      </w:r>
      <w:r>
        <w:rPr/>
        <w:t>Component 4 carries out perception survey on the JTF.</w:t>
      </w:r>
      <w:r>
        <w:rPr>
          <w:spacing w:val="40"/>
        </w:rPr>
        <w:t> </w:t>
      </w:r>
      <w:r>
        <w:rPr/>
        <w:t>How is the mission being perceived by the Niger Delta communities? How does JTF perceive the Niger Delta people? How do Niger Delta people perceive JTF? And how does the JTF perceive the Niger Delta communities in their actions at solving</w:t>
      </w:r>
      <w:r>
        <w:rPr>
          <w:spacing w:val="18"/>
        </w:rPr>
        <w:t> </w:t>
      </w:r>
      <w:r>
        <w:rPr/>
        <w:t>the</w:t>
      </w:r>
      <w:r>
        <w:rPr>
          <w:spacing w:val="23"/>
        </w:rPr>
        <w:t> </w:t>
      </w:r>
      <w:r>
        <w:rPr/>
        <w:t>Niger</w:t>
      </w:r>
      <w:r>
        <w:rPr>
          <w:spacing w:val="23"/>
        </w:rPr>
        <w:t> </w:t>
      </w:r>
      <w:r>
        <w:rPr/>
        <w:t>Delta</w:t>
      </w:r>
      <w:r>
        <w:rPr>
          <w:spacing w:val="25"/>
        </w:rPr>
        <w:t> </w:t>
      </w:r>
      <w:r>
        <w:rPr/>
        <w:t>crisis.</w:t>
      </w:r>
      <w:r>
        <w:rPr>
          <w:spacing w:val="24"/>
        </w:rPr>
        <w:t> </w:t>
      </w:r>
      <w:r>
        <w:rPr/>
        <w:t>Methods</w:t>
      </w:r>
      <w:r>
        <w:rPr>
          <w:spacing w:val="23"/>
        </w:rPr>
        <w:t> </w:t>
      </w:r>
      <w:r>
        <w:rPr/>
        <w:t>of</w:t>
      </w:r>
      <w:r>
        <w:rPr>
          <w:spacing w:val="23"/>
        </w:rPr>
        <w:t> </w:t>
      </w:r>
      <w:r>
        <w:rPr/>
        <w:t>analysis</w:t>
      </w:r>
      <w:r>
        <w:rPr>
          <w:spacing w:val="24"/>
        </w:rPr>
        <w:t> </w:t>
      </w:r>
      <w:r>
        <w:rPr/>
        <w:t>include</w:t>
      </w:r>
      <w:r>
        <w:rPr>
          <w:spacing w:val="22"/>
        </w:rPr>
        <w:t> </w:t>
      </w:r>
      <w:r>
        <w:rPr/>
        <w:t>participatory</w:t>
      </w:r>
      <w:r>
        <w:rPr>
          <w:spacing w:val="21"/>
        </w:rPr>
        <w:t> </w:t>
      </w:r>
      <w:r>
        <w:rPr>
          <w:spacing w:val="-2"/>
        </w:rPr>
        <w:t>community</w:t>
      </w:r>
    </w:p>
    <w:p>
      <w:pPr>
        <w:spacing w:after="0" w:line="360" w:lineRule="auto"/>
        <w:jc w:val="both"/>
        <w:sectPr>
          <w:pgSz w:w="11910" w:h="16840"/>
          <w:pgMar w:header="0" w:footer="1561" w:top="1360" w:bottom="1760" w:left="720" w:right="180"/>
        </w:sectPr>
      </w:pPr>
    </w:p>
    <w:p>
      <w:pPr>
        <w:pStyle w:val="BodyText"/>
        <w:spacing w:line="360" w:lineRule="auto" w:before="60"/>
        <w:ind w:right="1258"/>
        <w:jc w:val="both"/>
      </w:pPr>
      <w:r>
        <w:rPr/>
        <mc:AlternateContent>
          <mc:Choice Requires="wps">
            <w:drawing>
              <wp:anchor distT="0" distB="0" distL="0" distR="0" allowOverlap="1" layoutInCell="1" locked="0" behindDoc="1" simplePos="0" relativeHeight="480624640">
                <wp:simplePos x="0" y="0"/>
                <wp:positionH relativeFrom="page">
                  <wp:posOffset>-1537026</wp:posOffset>
                </wp:positionH>
                <wp:positionV relativeFrom="page">
                  <wp:posOffset>4900424</wp:posOffset>
                </wp:positionV>
                <wp:extent cx="10669905" cy="914400"/>
                <wp:effectExtent l="0" t="0" r="0" b="0"/>
                <wp:wrapNone/>
                <wp:docPr id="196" name="Textbox 196"/>
                <wp:cNvGraphicFramePr>
                  <a:graphicFrameLocks/>
                </wp:cNvGraphicFramePr>
                <a:graphic>
                  <a:graphicData uri="http://schemas.microsoft.com/office/word/2010/wordprocessingShape">
                    <wps:wsp>
                      <wps:cNvPr id="196" name="Textbox 196"/>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91840;rotation:306" type="#_x0000_t136" fillcolor="#ff5400" stroked="f">
                <o:extrusion v:ext="view" autorotationcenter="t"/>
                <v:textpath style="font-family:&quot;Arial MT&quot;;font-size:72pt;v-text-kern:t;mso-text-shadow:auto" string="UNIVERSITY OF IBADAN"/>
                <w10:wrap type="none"/>
              </v:shape>
            </w:pict>
          </mc:Fallback>
        </mc:AlternateContent>
      </w:r>
      <w:r>
        <w:rPr/>
        <w:t>assessments, expert workshops, individual interviews and consultations.</w:t>
      </w:r>
      <w:r>
        <w:rPr>
          <w:spacing w:val="40"/>
        </w:rPr>
        <w:t> </w:t>
      </w:r>
      <w:r>
        <w:rPr/>
        <w:t>A visual mapping can be useful at initially trying to understand the relations between different actors. For example, those who are allied, opposed to or have shared interests.</w:t>
      </w:r>
      <w:r>
        <w:rPr>
          <w:spacing w:val="40"/>
        </w:rPr>
        <w:t> </w:t>
      </w:r>
      <w:r>
        <w:rPr/>
        <w:t>This analysis will bring out the stereotypes, prejudices and perception of conflict parties. This would be taken into consideration in designing any intervention (strategies) for the management of the Niger Delta conflict.</w:t>
      </w:r>
    </w:p>
    <w:p>
      <w:pPr>
        <w:pStyle w:val="ListParagraph"/>
        <w:numPr>
          <w:ilvl w:val="0"/>
          <w:numId w:val="14"/>
        </w:numPr>
        <w:tabs>
          <w:tab w:pos="1440" w:val="left" w:leader="none"/>
          <w:tab w:pos="2160" w:val="left" w:leader="none"/>
        </w:tabs>
        <w:spacing w:line="360" w:lineRule="auto" w:before="1" w:after="0"/>
        <w:ind w:left="1440" w:right="1259" w:hanging="92"/>
        <w:jc w:val="both"/>
        <w:rPr>
          <w:sz w:val="24"/>
        </w:rPr>
      </w:pPr>
      <w:r>
        <w:rPr>
          <w:b/>
          <w:sz w:val="24"/>
        </w:rPr>
        <w:t>Component 5 - Issues:</w:t>
      </w:r>
      <w:r>
        <w:rPr>
          <w:b/>
          <w:spacing w:val="40"/>
          <w:sz w:val="24"/>
        </w:rPr>
        <w:t> </w:t>
      </w:r>
      <w:r>
        <w:rPr>
          <w:sz w:val="24"/>
        </w:rPr>
        <w:t>Component 5 discusses the issues in the Niger Delta conflict. What are the issues in the Niger Delta crisis that different stakeholders must engage?</w:t>
      </w:r>
      <w:r>
        <w:rPr>
          <w:spacing w:val="40"/>
          <w:sz w:val="24"/>
        </w:rPr>
        <w:t> </w:t>
      </w:r>
      <w:r>
        <w:rPr>
          <w:sz w:val="24"/>
        </w:rPr>
        <w:t>How many of the issues pertain to the mandate of JTF? Is it environmental degradation, resource control, neglect, poverty, security, etc? This context of the conflict was done through compilation of a broad contextual analysis.</w:t>
      </w:r>
      <w:r>
        <w:rPr>
          <w:spacing w:val="40"/>
          <w:sz w:val="24"/>
        </w:rPr>
        <w:t> </w:t>
      </w:r>
      <w:r>
        <w:rPr>
          <w:sz w:val="24"/>
        </w:rPr>
        <w:t>These information were derived from desk study of relevant reports and documents (media reports, academic literature, websites, research organization). Examples of sources of tension and conflict in the Niger Delta are:</w:t>
      </w:r>
    </w:p>
    <w:p>
      <w:pPr>
        <w:pStyle w:val="ListParagraph"/>
        <w:numPr>
          <w:ilvl w:val="1"/>
          <w:numId w:val="14"/>
        </w:numPr>
        <w:tabs>
          <w:tab w:pos="2160" w:val="left" w:leader="none"/>
        </w:tabs>
        <w:spacing w:line="360" w:lineRule="auto" w:before="1" w:after="0"/>
        <w:ind w:left="2160" w:right="1257" w:hanging="720"/>
        <w:jc w:val="both"/>
        <w:rPr>
          <w:sz w:val="24"/>
        </w:rPr>
      </w:pPr>
      <w:r>
        <w:rPr>
          <w:b/>
          <w:sz w:val="24"/>
        </w:rPr>
        <w:t>Security:</w:t>
      </w:r>
      <w:r>
        <w:rPr>
          <w:b/>
          <w:spacing w:val="80"/>
          <w:sz w:val="24"/>
        </w:rPr>
        <w:t> </w:t>
      </w:r>
      <w:r>
        <w:rPr>
          <w:sz w:val="24"/>
        </w:rPr>
        <w:t>Do security forces have limited capacity? Human rights abuses from security forces/militia? Presence of non-state military actors? Proliferation of small arms and light weapons? Legacy of past conflicts?</w:t>
      </w:r>
    </w:p>
    <w:p>
      <w:pPr>
        <w:pStyle w:val="ListParagraph"/>
        <w:numPr>
          <w:ilvl w:val="1"/>
          <w:numId w:val="14"/>
        </w:numPr>
        <w:tabs>
          <w:tab w:pos="2160" w:val="left" w:leader="none"/>
        </w:tabs>
        <w:spacing w:line="360" w:lineRule="auto" w:before="0" w:after="0"/>
        <w:ind w:left="2160" w:right="1261" w:hanging="720"/>
        <w:jc w:val="both"/>
        <w:rPr>
          <w:sz w:val="24"/>
        </w:rPr>
      </w:pPr>
      <w:r>
        <w:rPr>
          <w:b/>
          <w:sz w:val="24"/>
        </w:rPr>
        <w:t>Economic: </w:t>
      </w:r>
      <w:r>
        <w:rPr>
          <w:sz w:val="24"/>
        </w:rPr>
        <w:t>Economic decline: trends in poverty, unemployment, inflation, food security, access to social welfare, increase competition over shared resources and development of war economy.</w:t>
      </w:r>
    </w:p>
    <w:p>
      <w:pPr>
        <w:pStyle w:val="ListParagraph"/>
        <w:numPr>
          <w:ilvl w:val="1"/>
          <w:numId w:val="14"/>
        </w:numPr>
        <w:tabs>
          <w:tab w:pos="2160" w:val="left" w:leader="none"/>
        </w:tabs>
        <w:spacing w:line="360" w:lineRule="auto" w:before="1" w:after="0"/>
        <w:ind w:left="2160" w:right="1260" w:hanging="720"/>
        <w:jc w:val="both"/>
        <w:rPr>
          <w:sz w:val="24"/>
        </w:rPr>
      </w:pPr>
      <w:r>
        <w:rPr>
          <w:b/>
          <w:sz w:val="24"/>
        </w:rPr>
        <w:t>Social:</w:t>
      </w:r>
      <w:r>
        <w:rPr>
          <w:b/>
          <w:spacing w:val="40"/>
          <w:sz w:val="24"/>
        </w:rPr>
        <w:t> </w:t>
      </w:r>
      <w:r>
        <w:rPr>
          <w:sz w:val="24"/>
        </w:rPr>
        <w:t>Social exclusion, failure of dispute resolution mechanism and decreasing legitimacy of customary authorities.</w:t>
      </w:r>
    </w:p>
    <w:p>
      <w:pPr>
        <w:pStyle w:val="ListParagraph"/>
        <w:numPr>
          <w:ilvl w:val="1"/>
          <w:numId w:val="14"/>
        </w:numPr>
        <w:tabs>
          <w:tab w:pos="2160" w:val="left" w:leader="none"/>
        </w:tabs>
        <w:spacing w:line="360" w:lineRule="auto" w:before="0" w:after="0"/>
        <w:ind w:left="2160" w:right="1262" w:hanging="720"/>
        <w:jc w:val="both"/>
        <w:rPr>
          <w:sz w:val="24"/>
        </w:rPr>
      </w:pPr>
      <w:r>
        <w:rPr>
          <w:b/>
          <w:sz w:val="24"/>
        </w:rPr>
        <w:t>Political:</w:t>
      </w:r>
      <w:r>
        <w:rPr>
          <w:b/>
          <w:spacing w:val="40"/>
          <w:sz w:val="24"/>
        </w:rPr>
        <w:t> </w:t>
      </w:r>
      <w:r>
        <w:rPr>
          <w:sz w:val="24"/>
        </w:rPr>
        <w:t>Political exploitation of ethnic differences, flawed election processes and corruption etc.</w:t>
      </w:r>
    </w:p>
    <w:p>
      <w:pPr>
        <w:pStyle w:val="Heading2"/>
        <w:numPr>
          <w:ilvl w:val="1"/>
          <w:numId w:val="14"/>
        </w:numPr>
        <w:tabs>
          <w:tab w:pos="2159" w:val="left" w:leader="none"/>
        </w:tabs>
        <w:spacing w:line="240" w:lineRule="auto" w:before="0" w:after="0"/>
        <w:ind w:left="2159" w:right="0" w:hanging="719"/>
        <w:jc w:val="both"/>
      </w:pPr>
      <w:r>
        <w:rPr/>
        <w:t>What</w:t>
      </w:r>
      <w:r>
        <w:rPr>
          <w:spacing w:val="-5"/>
        </w:rPr>
        <w:t> </w:t>
      </w:r>
      <w:r>
        <w:rPr/>
        <w:t>are</w:t>
      </w:r>
      <w:r>
        <w:rPr>
          <w:spacing w:val="-2"/>
        </w:rPr>
        <w:t> </w:t>
      </w:r>
      <w:r>
        <w:rPr/>
        <w:t>the</w:t>
      </w:r>
      <w:r>
        <w:rPr>
          <w:spacing w:val="-2"/>
        </w:rPr>
        <w:t> </w:t>
      </w:r>
      <w:r>
        <w:rPr/>
        <w:t>implications</w:t>
      </w:r>
      <w:r>
        <w:rPr>
          <w:spacing w:val="-1"/>
        </w:rPr>
        <w:t> </w:t>
      </w:r>
      <w:r>
        <w:rPr/>
        <w:t>of these</w:t>
      </w:r>
      <w:r>
        <w:rPr>
          <w:spacing w:val="-2"/>
        </w:rPr>
        <w:t> </w:t>
      </w:r>
      <w:r>
        <w:rPr/>
        <w:t>issues</w:t>
      </w:r>
      <w:r>
        <w:rPr>
          <w:spacing w:val="-1"/>
        </w:rPr>
        <w:t> </w:t>
      </w:r>
      <w:r>
        <w:rPr/>
        <w:t>and</w:t>
      </w:r>
      <w:r>
        <w:rPr>
          <w:spacing w:val="-1"/>
        </w:rPr>
        <w:t> </w:t>
      </w:r>
      <w:r>
        <w:rPr>
          <w:spacing w:val="-2"/>
        </w:rPr>
        <w:t>contexts?</w:t>
      </w:r>
    </w:p>
    <w:p>
      <w:pPr>
        <w:pStyle w:val="ListParagraph"/>
        <w:numPr>
          <w:ilvl w:val="0"/>
          <w:numId w:val="14"/>
        </w:numPr>
        <w:tabs>
          <w:tab w:pos="2160" w:val="left" w:leader="none"/>
        </w:tabs>
        <w:spacing w:line="360" w:lineRule="auto" w:before="137" w:after="0"/>
        <w:ind w:left="2160" w:right="1260" w:hanging="720"/>
        <w:jc w:val="both"/>
        <w:rPr>
          <w:sz w:val="24"/>
        </w:rPr>
      </w:pPr>
      <w:r>
        <w:rPr>
          <w:b/>
          <w:sz w:val="24"/>
        </w:rPr>
        <w:t>Component 6-Interest: </w:t>
      </w:r>
      <w:r>
        <w:rPr>
          <w:sz w:val="24"/>
        </w:rPr>
        <w:t>What are the interests of different stakeholders in the Niger Delta crisis? How do these interests work for and against the JTF?</w:t>
      </w:r>
    </w:p>
    <w:p>
      <w:pPr>
        <w:pStyle w:val="ListParagraph"/>
        <w:numPr>
          <w:ilvl w:val="0"/>
          <w:numId w:val="14"/>
        </w:numPr>
        <w:tabs>
          <w:tab w:pos="2160" w:val="left" w:leader="none"/>
        </w:tabs>
        <w:spacing w:line="360" w:lineRule="auto" w:before="0" w:after="0"/>
        <w:ind w:left="2160" w:right="1258" w:hanging="720"/>
        <w:jc w:val="both"/>
        <w:rPr>
          <w:sz w:val="24"/>
        </w:rPr>
      </w:pPr>
      <w:r>
        <w:rPr>
          <w:b/>
          <w:sz w:val="24"/>
        </w:rPr>
        <w:t>Component 7 -Strategies: </w:t>
      </w:r>
      <w:r>
        <w:rPr>
          <w:sz w:val="24"/>
        </w:rPr>
        <w:t>What do the JTF need to do to achieve their goals (objectives or mandate)? The aspect of this study will identify the strategies needed to make the JTF project work. What are the counter insurgency tactics employed by the JTF?</w:t>
      </w:r>
    </w:p>
    <w:p>
      <w:pPr>
        <w:pStyle w:val="ListParagraph"/>
        <w:numPr>
          <w:ilvl w:val="0"/>
          <w:numId w:val="14"/>
        </w:numPr>
        <w:tabs>
          <w:tab w:pos="2160" w:val="left" w:leader="none"/>
        </w:tabs>
        <w:spacing w:line="360" w:lineRule="auto" w:before="0" w:after="0"/>
        <w:ind w:left="2160" w:right="1256" w:hanging="720"/>
        <w:jc w:val="both"/>
        <w:rPr>
          <w:sz w:val="24"/>
        </w:rPr>
      </w:pPr>
      <w:r>
        <w:rPr>
          <w:b/>
          <w:sz w:val="24"/>
        </w:rPr>
        <w:t>Component 8-Inclusion</w:t>
      </w:r>
      <w:r>
        <w:rPr>
          <w:sz w:val="24"/>
        </w:rPr>
        <w:t>:</w:t>
      </w:r>
      <w:r>
        <w:rPr>
          <w:spacing w:val="40"/>
          <w:sz w:val="24"/>
        </w:rPr>
        <w:t> </w:t>
      </w:r>
      <w:r>
        <w:rPr>
          <w:sz w:val="24"/>
        </w:rPr>
        <w:t>Component 8 seeks to identify gaps for non inclusion.</w:t>
      </w:r>
      <w:r>
        <w:rPr>
          <w:spacing w:val="37"/>
          <w:sz w:val="24"/>
        </w:rPr>
        <w:t> </w:t>
      </w:r>
      <w:r>
        <w:rPr>
          <w:sz w:val="24"/>
        </w:rPr>
        <w:t>Having</w:t>
      </w:r>
      <w:r>
        <w:rPr>
          <w:spacing w:val="35"/>
          <w:sz w:val="24"/>
        </w:rPr>
        <w:t> </w:t>
      </w:r>
      <w:r>
        <w:rPr>
          <w:sz w:val="24"/>
        </w:rPr>
        <w:t>identified</w:t>
      </w:r>
      <w:r>
        <w:rPr>
          <w:spacing w:val="39"/>
          <w:sz w:val="24"/>
        </w:rPr>
        <w:t> </w:t>
      </w:r>
      <w:r>
        <w:rPr>
          <w:sz w:val="24"/>
        </w:rPr>
        <w:t>gap(s)</w:t>
      </w:r>
      <w:r>
        <w:rPr>
          <w:spacing w:val="36"/>
          <w:sz w:val="24"/>
        </w:rPr>
        <w:t> </w:t>
      </w:r>
      <w:r>
        <w:rPr>
          <w:sz w:val="24"/>
        </w:rPr>
        <w:t>in</w:t>
      </w:r>
      <w:r>
        <w:rPr>
          <w:spacing w:val="38"/>
          <w:sz w:val="24"/>
        </w:rPr>
        <w:t> </w:t>
      </w:r>
      <w:r>
        <w:rPr>
          <w:sz w:val="24"/>
        </w:rPr>
        <w:t>the</w:t>
      </w:r>
      <w:r>
        <w:rPr>
          <w:spacing w:val="37"/>
          <w:sz w:val="24"/>
        </w:rPr>
        <w:t> </w:t>
      </w:r>
      <w:r>
        <w:rPr>
          <w:sz w:val="24"/>
        </w:rPr>
        <w:t>JTF</w:t>
      </w:r>
      <w:r>
        <w:rPr>
          <w:spacing w:val="38"/>
          <w:sz w:val="24"/>
        </w:rPr>
        <w:t> </w:t>
      </w:r>
      <w:r>
        <w:rPr>
          <w:sz w:val="24"/>
        </w:rPr>
        <w:t>military</w:t>
      </w:r>
      <w:r>
        <w:rPr>
          <w:spacing w:val="32"/>
          <w:sz w:val="24"/>
        </w:rPr>
        <w:t> </w:t>
      </w:r>
      <w:r>
        <w:rPr>
          <w:sz w:val="24"/>
        </w:rPr>
        <w:t>approach</w:t>
      </w:r>
      <w:r>
        <w:rPr>
          <w:spacing w:val="37"/>
          <w:sz w:val="24"/>
        </w:rPr>
        <w:t> </w:t>
      </w:r>
      <w:r>
        <w:rPr>
          <w:sz w:val="24"/>
        </w:rPr>
        <w:t>to</w:t>
      </w:r>
      <w:r>
        <w:rPr>
          <w:spacing w:val="40"/>
          <w:sz w:val="24"/>
        </w:rPr>
        <w:t> </w:t>
      </w:r>
      <w:r>
        <w:rPr>
          <w:sz w:val="24"/>
        </w:rPr>
        <w:t>conflict</w:t>
      </w:r>
    </w:p>
    <w:p>
      <w:pPr>
        <w:spacing w:after="0" w:line="360" w:lineRule="auto"/>
        <w:jc w:val="both"/>
        <w:rPr>
          <w:sz w:val="24"/>
        </w:rPr>
        <w:sectPr>
          <w:pgSz w:w="11910" w:h="16840"/>
          <w:pgMar w:header="0" w:footer="1561" w:top="1360" w:bottom="1760" w:left="720" w:right="180"/>
        </w:sectPr>
      </w:pPr>
    </w:p>
    <w:p>
      <w:pPr>
        <w:pStyle w:val="BodyText"/>
        <w:spacing w:line="360" w:lineRule="auto" w:before="60"/>
        <w:ind w:left="2160" w:right="1260"/>
        <w:jc w:val="both"/>
      </w:pPr>
      <w:r>
        <w:rPr/>
        <mc:AlternateContent>
          <mc:Choice Requires="wps">
            <w:drawing>
              <wp:anchor distT="0" distB="0" distL="0" distR="0" allowOverlap="1" layoutInCell="1" locked="0" behindDoc="1" simplePos="0" relativeHeight="480625152">
                <wp:simplePos x="0" y="0"/>
                <wp:positionH relativeFrom="page">
                  <wp:posOffset>-1537026</wp:posOffset>
                </wp:positionH>
                <wp:positionV relativeFrom="page">
                  <wp:posOffset>4900424</wp:posOffset>
                </wp:positionV>
                <wp:extent cx="10669905" cy="914400"/>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91328;rotation:306" type="#_x0000_t136" fillcolor="#ff5400" stroked="f">
                <o:extrusion v:ext="view" autorotationcenter="t"/>
                <v:textpath style="font-family:&quot;Arial MT&quot;;font-size:72pt;v-text-kern:t;mso-text-shadow:auto" string="UNIVERSITY OF IBADAN"/>
                <w10:wrap type="none"/>
              </v:shape>
            </w:pict>
          </mc:Fallback>
        </mc:AlternateContent>
      </w:r>
      <w:r>
        <w:rPr/>
        <w:t>management in the Niger Delta, which particular stakeholders should JTF include in its operation? Which stakeholder are included or excluded? Were the communities involved in the JTF operations?</w:t>
      </w:r>
    </w:p>
    <w:p>
      <w:pPr>
        <w:pStyle w:val="ListParagraph"/>
        <w:numPr>
          <w:ilvl w:val="0"/>
          <w:numId w:val="14"/>
        </w:numPr>
        <w:tabs>
          <w:tab w:pos="2158" w:val="left" w:leader="none"/>
          <w:tab w:pos="2160" w:val="left" w:leader="none"/>
        </w:tabs>
        <w:spacing w:line="360" w:lineRule="auto" w:before="0" w:after="0"/>
        <w:ind w:left="2160" w:right="1256" w:hanging="720"/>
        <w:jc w:val="both"/>
        <w:rPr>
          <w:sz w:val="24"/>
        </w:rPr>
      </w:pPr>
      <w:r>
        <w:rPr>
          <w:b/>
          <w:sz w:val="24"/>
        </w:rPr>
        <w:t>Component</w:t>
      </w:r>
      <w:r>
        <w:rPr>
          <w:b/>
          <w:spacing w:val="-1"/>
          <w:sz w:val="24"/>
        </w:rPr>
        <w:t> </w:t>
      </w:r>
      <w:r>
        <w:rPr>
          <w:b/>
          <w:sz w:val="24"/>
        </w:rPr>
        <w:t>9 – Allies:</w:t>
      </w:r>
      <w:r>
        <w:rPr>
          <w:b/>
          <w:spacing w:val="40"/>
          <w:sz w:val="24"/>
        </w:rPr>
        <w:t> </w:t>
      </w:r>
      <w:r>
        <w:rPr>
          <w:sz w:val="24"/>
        </w:rPr>
        <w:t>This is related to the</w:t>
      </w:r>
      <w:r>
        <w:rPr>
          <w:spacing w:val="-1"/>
          <w:sz w:val="24"/>
        </w:rPr>
        <w:t> </w:t>
      </w:r>
      <w:r>
        <w:rPr>
          <w:sz w:val="24"/>
        </w:rPr>
        <w:t>inclusion component as stated in the preceding sub-paragraphs. Specifically, effort shall be made to identify other parties and organisations in which the JTF can be partnered or form alliance(s). Here, the study considered the possibility of the political elites, community leaders, NGOs, and the media amongst others forming alliance.</w:t>
      </w:r>
    </w:p>
    <w:p>
      <w:pPr>
        <w:pStyle w:val="ListParagraph"/>
        <w:numPr>
          <w:ilvl w:val="0"/>
          <w:numId w:val="14"/>
        </w:numPr>
        <w:tabs>
          <w:tab w:pos="2160" w:val="left" w:leader="none"/>
        </w:tabs>
        <w:spacing w:line="360" w:lineRule="auto" w:before="1" w:after="0"/>
        <w:ind w:left="2160" w:right="1775" w:hanging="720"/>
        <w:jc w:val="both"/>
        <w:rPr>
          <w:sz w:val="24"/>
        </w:rPr>
      </w:pPr>
      <w:r>
        <w:rPr>
          <w:b/>
          <w:sz w:val="24"/>
        </w:rPr>
        <w:t>Components</w:t>
      </w:r>
      <w:r>
        <w:rPr>
          <w:b/>
          <w:spacing w:val="-3"/>
          <w:sz w:val="24"/>
        </w:rPr>
        <w:t> </w:t>
      </w:r>
      <w:r>
        <w:rPr>
          <w:b/>
          <w:sz w:val="24"/>
        </w:rPr>
        <w:t>10-Risks:</w:t>
      </w:r>
      <w:r>
        <w:rPr>
          <w:b/>
          <w:spacing w:val="80"/>
          <w:sz w:val="24"/>
        </w:rPr>
        <w:t> </w:t>
      </w:r>
      <w:r>
        <w:rPr>
          <w:sz w:val="24"/>
        </w:rPr>
        <w:t>The</w:t>
      </w:r>
      <w:r>
        <w:rPr>
          <w:spacing w:val="-5"/>
          <w:sz w:val="24"/>
        </w:rPr>
        <w:t> </w:t>
      </w:r>
      <w:r>
        <w:rPr>
          <w:sz w:val="24"/>
        </w:rPr>
        <w:t>study</w:t>
      </w:r>
      <w:r>
        <w:rPr>
          <w:spacing w:val="-7"/>
          <w:sz w:val="24"/>
        </w:rPr>
        <w:t> </w:t>
      </w:r>
      <w:r>
        <w:rPr>
          <w:sz w:val="24"/>
        </w:rPr>
        <w:t>will</w:t>
      </w:r>
      <w:r>
        <w:rPr>
          <w:spacing w:val="-3"/>
          <w:sz w:val="24"/>
        </w:rPr>
        <w:t> </w:t>
      </w:r>
      <w:r>
        <w:rPr>
          <w:sz w:val="24"/>
        </w:rPr>
        <w:t>make</w:t>
      </w:r>
      <w:r>
        <w:rPr>
          <w:spacing w:val="-3"/>
          <w:sz w:val="24"/>
        </w:rPr>
        <w:t> </w:t>
      </w:r>
      <w:r>
        <w:rPr>
          <w:sz w:val="24"/>
        </w:rPr>
        <w:t>a</w:t>
      </w:r>
      <w:r>
        <w:rPr>
          <w:spacing w:val="-4"/>
          <w:sz w:val="24"/>
        </w:rPr>
        <w:t> </w:t>
      </w:r>
      <w:r>
        <w:rPr>
          <w:sz w:val="24"/>
        </w:rPr>
        <w:t>Risk</w:t>
      </w:r>
      <w:r>
        <w:rPr>
          <w:spacing w:val="-3"/>
          <w:sz w:val="24"/>
        </w:rPr>
        <w:t> </w:t>
      </w:r>
      <w:r>
        <w:rPr>
          <w:sz w:val="24"/>
        </w:rPr>
        <w:t>Analysis</w:t>
      </w:r>
      <w:r>
        <w:rPr>
          <w:spacing w:val="-3"/>
          <w:sz w:val="24"/>
        </w:rPr>
        <w:t> </w:t>
      </w:r>
      <w:r>
        <w:rPr>
          <w:sz w:val="24"/>
        </w:rPr>
        <w:t>of</w:t>
      </w:r>
      <w:r>
        <w:rPr>
          <w:spacing w:val="-3"/>
          <w:sz w:val="24"/>
        </w:rPr>
        <w:t> </w:t>
      </w:r>
      <w:r>
        <w:rPr>
          <w:sz w:val="24"/>
        </w:rPr>
        <w:t>the</w:t>
      </w:r>
      <w:r>
        <w:rPr>
          <w:spacing w:val="-5"/>
          <w:sz w:val="24"/>
        </w:rPr>
        <w:t> </w:t>
      </w:r>
      <w:r>
        <w:rPr>
          <w:sz w:val="24"/>
        </w:rPr>
        <w:t>JTF operation in the Niger Delta. Are there risks to look out for?</w:t>
      </w:r>
    </w:p>
    <w:p>
      <w:pPr>
        <w:pStyle w:val="ListParagraph"/>
        <w:numPr>
          <w:ilvl w:val="0"/>
          <w:numId w:val="14"/>
        </w:numPr>
        <w:tabs>
          <w:tab w:pos="2160" w:val="left" w:leader="none"/>
        </w:tabs>
        <w:spacing w:line="360" w:lineRule="auto" w:before="1" w:after="0"/>
        <w:ind w:left="2160" w:right="1256" w:hanging="720"/>
        <w:jc w:val="both"/>
        <w:rPr>
          <w:sz w:val="24"/>
        </w:rPr>
      </w:pPr>
      <w:r>
        <w:rPr>
          <w:b/>
          <w:sz w:val="24"/>
        </w:rPr>
        <w:t>Component 11-Action</w:t>
      </w:r>
      <w:r>
        <w:rPr>
          <w:sz w:val="24"/>
        </w:rPr>
        <w:t>:</w:t>
      </w:r>
      <w:r>
        <w:rPr>
          <w:spacing w:val="40"/>
          <w:sz w:val="24"/>
        </w:rPr>
        <w:t> </w:t>
      </w:r>
      <w:r>
        <w:rPr>
          <w:sz w:val="24"/>
        </w:rPr>
        <w:t>What actions should be taken to solve the seemingly intractable Niger Delta conflict having identified gaps? The study will seek to investigate the level of implementation of the JTF terms of reference. How are the risks enumerated being dealt with?</w:t>
      </w:r>
    </w:p>
    <w:p>
      <w:pPr>
        <w:pStyle w:val="BodyText"/>
        <w:spacing w:line="360" w:lineRule="auto"/>
        <w:ind w:left="2160" w:right="1259" w:hanging="720"/>
        <w:jc w:val="both"/>
      </w:pPr>
      <w:r>
        <w:rPr/>
        <w:t>I.</w:t>
      </w:r>
      <w:r>
        <w:rPr>
          <w:spacing w:val="80"/>
        </w:rPr>
        <w:t>   </w:t>
      </w:r>
      <w:r>
        <w:rPr>
          <w:b/>
        </w:rPr>
        <w:t>Component</w:t>
      </w:r>
      <w:r>
        <w:rPr>
          <w:b/>
          <w:spacing w:val="39"/>
        </w:rPr>
        <w:t> </w:t>
      </w:r>
      <w:r>
        <w:rPr>
          <w:b/>
        </w:rPr>
        <w:t>12-Assessment:</w:t>
      </w:r>
      <w:r>
        <w:rPr>
          <w:b/>
          <w:spacing w:val="80"/>
          <w:w w:val="150"/>
        </w:rPr>
        <w:t> </w:t>
      </w:r>
      <w:r>
        <w:rPr/>
        <w:t>The</w:t>
      </w:r>
      <w:r>
        <w:rPr>
          <w:spacing w:val="38"/>
        </w:rPr>
        <w:t> </w:t>
      </w:r>
      <w:r>
        <w:rPr/>
        <w:t>assessment</w:t>
      </w:r>
      <w:r>
        <w:rPr>
          <w:spacing w:val="39"/>
        </w:rPr>
        <w:t> </w:t>
      </w:r>
      <w:r>
        <w:rPr/>
        <w:t>is</w:t>
      </w:r>
      <w:r>
        <w:rPr>
          <w:spacing w:val="39"/>
        </w:rPr>
        <w:t> </w:t>
      </w:r>
      <w:r>
        <w:rPr/>
        <w:t>geared</w:t>
      </w:r>
      <w:r>
        <w:rPr>
          <w:spacing w:val="39"/>
        </w:rPr>
        <w:t> </w:t>
      </w:r>
      <w:r>
        <w:rPr/>
        <w:t>towards</w:t>
      </w:r>
      <w:r>
        <w:rPr>
          <w:spacing w:val="39"/>
        </w:rPr>
        <w:t> </w:t>
      </w:r>
      <w:r>
        <w:rPr/>
        <w:t>measuring the success rate of the implementation of the JTF tasks and mandate in the management</w:t>
      </w:r>
      <w:r>
        <w:rPr>
          <w:spacing w:val="-2"/>
        </w:rPr>
        <w:t> </w:t>
      </w:r>
      <w:r>
        <w:rPr/>
        <w:t>of</w:t>
      </w:r>
      <w:r>
        <w:rPr>
          <w:spacing w:val="-3"/>
        </w:rPr>
        <w:t> </w:t>
      </w:r>
      <w:r>
        <w:rPr/>
        <w:t>Niger</w:t>
      </w:r>
      <w:r>
        <w:rPr>
          <w:spacing w:val="-3"/>
        </w:rPr>
        <w:t> </w:t>
      </w:r>
      <w:r>
        <w:rPr/>
        <w:t>Delta</w:t>
      </w:r>
      <w:r>
        <w:rPr>
          <w:spacing w:val="-3"/>
        </w:rPr>
        <w:t> </w:t>
      </w:r>
      <w:r>
        <w:rPr/>
        <w:t>conflicts.</w:t>
      </w:r>
      <w:r>
        <w:rPr>
          <w:spacing w:val="-2"/>
        </w:rPr>
        <w:t> </w:t>
      </w:r>
      <w:r>
        <w:rPr/>
        <w:t>Suggestions</w:t>
      </w:r>
      <w:r>
        <w:rPr>
          <w:spacing w:val="-2"/>
        </w:rPr>
        <w:t> </w:t>
      </w:r>
      <w:r>
        <w:rPr/>
        <w:t>were</w:t>
      </w:r>
      <w:r>
        <w:rPr>
          <w:spacing w:val="-4"/>
        </w:rPr>
        <w:t> </w:t>
      </w:r>
      <w:r>
        <w:rPr/>
        <w:t>made</w:t>
      </w:r>
      <w:r>
        <w:rPr>
          <w:spacing w:val="-4"/>
        </w:rPr>
        <w:t> </w:t>
      </w:r>
      <w:r>
        <w:rPr/>
        <w:t>so</w:t>
      </w:r>
      <w:r>
        <w:rPr>
          <w:spacing w:val="-2"/>
        </w:rPr>
        <w:t> </w:t>
      </w:r>
      <w:r>
        <w:rPr/>
        <w:t>as</w:t>
      </w:r>
      <w:r>
        <w:rPr>
          <w:spacing w:val="-2"/>
        </w:rPr>
        <w:t> </w:t>
      </w:r>
      <w:r>
        <w:rPr/>
        <w:t>to</w:t>
      </w:r>
      <w:r>
        <w:rPr>
          <w:spacing w:val="-2"/>
        </w:rPr>
        <w:t> </w:t>
      </w:r>
      <w:r>
        <w:rPr/>
        <w:t>enhance the management of Niger Delta conflicts.</w:t>
      </w:r>
    </w:p>
    <w:p>
      <w:pPr>
        <w:pStyle w:val="BodyText"/>
        <w:spacing w:before="5"/>
        <w:ind w:left="0"/>
      </w:pPr>
    </w:p>
    <w:p>
      <w:pPr>
        <w:pStyle w:val="Heading1"/>
        <w:numPr>
          <w:ilvl w:val="1"/>
          <w:numId w:val="12"/>
        </w:numPr>
        <w:tabs>
          <w:tab w:pos="2160" w:val="left" w:leader="none"/>
        </w:tabs>
        <w:spacing w:line="240" w:lineRule="auto" w:before="0" w:after="0"/>
        <w:ind w:left="2160" w:right="0" w:hanging="720"/>
        <w:jc w:val="left"/>
      </w:pPr>
      <w:bookmarkStart w:name="_TOC_250010" w:id="32"/>
      <w:r>
        <w:rPr/>
        <w:t>RESEARCH</w:t>
      </w:r>
      <w:r>
        <w:rPr>
          <w:spacing w:val="-1"/>
        </w:rPr>
        <w:t> </w:t>
      </w:r>
      <w:bookmarkEnd w:id="32"/>
      <w:r>
        <w:rPr>
          <w:spacing w:val="-2"/>
        </w:rPr>
        <w:t>INSTRUMENTS</w:t>
      </w:r>
    </w:p>
    <w:p>
      <w:pPr>
        <w:pStyle w:val="BodyText"/>
        <w:spacing w:line="360" w:lineRule="auto" w:before="132"/>
        <w:ind w:right="1262" w:firstLine="717"/>
        <w:jc w:val="both"/>
      </w:pPr>
      <w:r>
        <w:rPr/>
        <w:t>Three research instruments were used to collect data for this study.</w:t>
      </w:r>
      <w:r>
        <w:rPr>
          <w:spacing w:val="40"/>
        </w:rPr>
        <w:t> </w:t>
      </w:r>
      <w:r>
        <w:rPr/>
        <w:t>These include questionnaires, oral interviews and review of existing literature.</w:t>
      </w:r>
    </w:p>
    <w:p>
      <w:pPr>
        <w:pStyle w:val="BodyText"/>
        <w:spacing w:line="360" w:lineRule="auto"/>
        <w:ind w:right="1255" w:firstLine="720"/>
        <w:jc w:val="both"/>
      </w:pPr>
      <w:r>
        <w:rPr/>
        <w:t>The instrument for conducting a perception survey of JTF activities in the communities of the Niger Delta was developed in the form of a questionnaire as shown in Appendix 1.</w:t>
      </w:r>
      <w:r>
        <w:rPr>
          <w:spacing w:val="40"/>
        </w:rPr>
        <w:t> </w:t>
      </w:r>
      <w:r>
        <w:rPr/>
        <w:t>The perception questionnaire had a section to capture socio - demographic data of the respondents.</w:t>
      </w:r>
      <w:r>
        <w:rPr>
          <w:spacing w:val="40"/>
        </w:rPr>
        <w:t> </w:t>
      </w:r>
      <w:r>
        <w:rPr/>
        <w:t>Another section is made up of a battery of attributes for assessing the JTF performance.</w:t>
      </w:r>
      <w:r>
        <w:rPr>
          <w:spacing w:val="40"/>
        </w:rPr>
        <w:t> </w:t>
      </w:r>
      <w:r>
        <w:rPr/>
        <w:t>Copies of the perception questionnaire were distributed to 600 respondents.</w:t>
      </w:r>
    </w:p>
    <w:p>
      <w:pPr>
        <w:pStyle w:val="BodyText"/>
        <w:spacing w:line="360" w:lineRule="auto" w:before="1"/>
        <w:ind w:right="1259" w:firstLine="720"/>
        <w:jc w:val="both"/>
      </w:pPr>
      <w:r>
        <w:rPr/>
        <w:t>The issues covered by the survey include strategies adopted by the JTF, assessment/evaluation of JTF operations, perception on causes of militancy in the region, perception of the Niger Delta youths together with other stakeholders on activities of the JTF amongst others. Of these, 577 people filled and returned the questionnaires</w:t>
      </w:r>
      <w:r>
        <w:rPr>
          <w:spacing w:val="30"/>
        </w:rPr>
        <w:t> </w:t>
      </w:r>
      <w:r>
        <w:rPr/>
        <w:t>sent</w:t>
      </w:r>
      <w:r>
        <w:rPr>
          <w:spacing w:val="30"/>
        </w:rPr>
        <w:t> </w:t>
      </w:r>
      <w:r>
        <w:rPr/>
        <w:t>to</w:t>
      </w:r>
      <w:r>
        <w:rPr>
          <w:spacing w:val="30"/>
        </w:rPr>
        <w:t> </w:t>
      </w:r>
      <w:r>
        <w:rPr/>
        <w:t>them</w:t>
      </w:r>
      <w:r>
        <w:rPr>
          <w:spacing w:val="29"/>
        </w:rPr>
        <w:t> </w:t>
      </w:r>
      <w:r>
        <w:rPr/>
        <w:t>representing</w:t>
      </w:r>
      <w:r>
        <w:rPr>
          <w:spacing w:val="29"/>
        </w:rPr>
        <w:t> </w:t>
      </w:r>
      <w:r>
        <w:rPr/>
        <w:t>a</w:t>
      </w:r>
      <w:r>
        <w:rPr>
          <w:spacing w:val="30"/>
        </w:rPr>
        <w:t> </w:t>
      </w:r>
      <w:r>
        <w:rPr/>
        <w:t>response</w:t>
      </w:r>
      <w:r>
        <w:rPr>
          <w:spacing w:val="29"/>
        </w:rPr>
        <w:t> </w:t>
      </w:r>
      <w:r>
        <w:rPr/>
        <w:t>rate</w:t>
      </w:r>
      <w:r>
        <w:rPr>
          <w:spacing w:val="29"/>
        </w:rPr>
        <w:t> </w:t>
      </w:r>
      <w:r>
        <w:rPr/>
        <w:t>of</w:t>
      </w:r>
      <w:r>
        <w:rPr>
          <w:spacing w:val="30"/>
        </w:rPr>
        <w:t> </w:t>
      </w:r>
      <w:r>
        <w:rPr/>
        <w:t>96.2%.</w:t>
      </w:r>
      <w:r>
        <w:rPr>
          <w:spacing w:val="29"/>
        </w:rPr>
        <w:t>  </w:t>
      </w:r>
      <w:r>
        <w:rPr/>
        <w:t>We</w:t>
      </w:r>
      <w:r>
        <w:rPr>
          <w:spacing w:val="33"/>
        </w:rPr>
        <w:t> </w:t>
      </w:r>
      <w:r>
        <w:rPr/>
        <w:t>had</w:t>
      </w:r>
      <w:r>
        <w:rPr>
          <w:spacing w:val="29"/>
        </w:rPr>
        <w:t> </w:t>
      </w:r>
      <w:r>
        <w:rPr/>
        <w:t>195</w:t>
      </w:r>
      <w:r>
        <w:rPr>
          <w:spacing w:val="30"/>
        </w:rPr>
        <w:t> </w:t>
      </w:r>
      <w:r>
        <w:rPr>
          <w:spacing w:val="-5"/>
        </w:rPr>
        <w:t>in</w:t>
      </w:r>
    </w:p>
    <w:p>
      <w:pPr>
        <w:spacing w:after="0" w:line="360" w:lineRule="auto"/>
        <w:jc w:val="both"/>
        <w:sectPr>
          <w:pgSz w:w="11910" w:h="16840"/>
          <w:pgMar w:header="0" w:footer="1561" w:top="1360" w:bottom="1760" w:left="720" w:right="180"/>
        </w:sectPr>
      </w:pPr>
    </w:p>
    <w:p>
      <w:pPr>
        <w:pStyle w:val="BodyText"/>
        <w:tabs>
          <w:tab w:pos="6526" w:val="left" w:leader="none"/>
        </w:tabs>
        <w:spacing w:line="360" w:lineRule="auto" w:before="60"/>
        <w:ind w:right="1256"/>
        <w:jc w:val="right"/>
      </w:pPr>
      <w:r>
        <w:rPr/>
        <mc:AlternateContent>
          <mc:Choice Requires="wps">
            <w:drawing>
              <wp:anchor distT="0" distB="0" distL="0" distR="0" allowOverlap="1" layoutInCell="1" locked="0" behindDoc="1" simplePos="0" relativeHeight="480626176">
                <wp:simplePos x="0" y="0"/>
                <wp:positionH relativeFrom="page">
                  <wp:posOffset>-1537026</wp:posOffset>
                </wp:positionH>
                <wp:positionV relativeFrom="page">
                  <wp:posOffset>4900424</wp:posOffset>
                </wp:positionV>
                <wp:extent cx="10669905" cy="914400"/>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90304;rotation:306" type="#_x0000_t136" fillcolor="#ff5400" stroked="f">
                <o:extrusion v:ext="view" autorotationcenter="t"/>
                <v:textpath style="font-family:&quot;Arial MT&quot;;font-size:72pt;v-text-kern:t;mso-text-shadow:auto" string="UNIVERSITY OF IBADAN"/>
                <w10:wrap type="none"/>
              </v:shape>
            </w:pict>
          </mc:Fallback>
        </mc:AlternateContent>
      </w:r>
      <w:r>
        <w:rPr/>
        <w:t>Bayelsa,</w:t>
      </w:r>
      <w:r>
        <w:rPr>
          <w:spacing w:val="40"/>
        </w:rPr>
        <w:t> </w:t>
      </w:r>
      <w:r>
        <w:rPr/>
        <w:t>192</w:t>
      </w:r>
      <w:r>
        <w:rPr>
          <w:spacing w:val="40"/>
        </w:rPr>
        <w:t> </w:t>
      </w:r>
      <w:r>
        <w:rPr/>
        <w:t>in</w:t>
      </w:r>
      <w:r>
        <w:rPr>
          <w:spacing w:val="40"/>
        </w:rPr>
        <w:t> </w:t>
      </w:r>
      <w:r>
        <w:rPr/>
        <w:t>Delta</w:t>
      </w:r>
      <w:r>
        <w:rPr>
          <w:spacing w:val="40"/>
        </w:rPr>
        <w:t> </w:t>
      </w:r>
      <w:r>
        <w:rPr/>
        <w:t>and</w:t>
      </w:r>
      <w:r>
        <w:rPr>
          <w:spacing w:val="40"/>
        </w:rPr>
        <w:t> </w:t>
      </w:r>
      <w:r>
        <w:rPr/>
        <w:t>190</w:t>
      </w:r>
      <w:r>
        <w:rPr>
          <w:spacing w:val="40"/>
        </w:rPr>
        <w:t> </w:t>
      </w:r>
      <w:r>
        <w:rPr/>
        <w:t>in</w:t>
      </w:r>
      <w:r>
        <w:rPr>
          <w:spacing w:val="40"/>
        </w:rPr>
        <w:t> </w:t>
      </w:r>
      <w:r>
        <w:rPr/>
        <w:t>Rivers</w:t>
      </w:r>
      <w:r>
        <w:rPr>
          <w:spacing w:val="40"/>
        </w:rPr>
        <w:t> </w:t>
      </w:r>
      <w:r>
        <w:rPr/>
        <w:t>States.</w:t>
        <w:tab/>
        <w:t>The</w:t>
      </w:r>
      <w:r>
        <w:rPr>
          <w:spacing w:val="33"/>
        </w:rPr>
        <w:t> </w:t>
      </w:r>
      <w:r>
        <w:rPr/>
        <w:t>respondents</w:t>
      </w:r>
      <w:r>
        <w:rPr>
          <w:spacing w:val="35"/>
        </w:rPr>
        <w:t> </w:t>
      </w:r>
      <w:r>
        <w:rPr/>
        <w:t>were</w:t>
      </w:r>
      <w:r>
        <w:rPr>
          <w:spacing w:val="33"/>
        </w:rPr>
        <w:t> </w:t>
      </w:r>
      <w:r>
        <w:rPr/>
        <w:t>randomly selected.</w:t>
      </w:r>
      <w:r>
        <w:rPr>
          <w:spacing w:val="40"/>
        </w:rPr>
        <w:t> </w:t>
      </w:r>
      <w:r>
        <w:rPr/>
        <w:t>About 75.6% of the respondents were male and 24.4% female.</w:t>
      </w:r>
      <w:r>
        <w:rPr>
          <w:spacing w:val="40"/>
        </w:rPr>
        <w:t> </w:t>
      </w:r>
      <w:r>
        <w:rPr/>
        <w:t>Most of the respondents (86.3%) fell within the age brackets of 15 - 49 years.</w:t>
      </w:r>
      <w:r>
        <w:rPr>
          <w:spacing w:val="80"/>
        </w:rPr>
        <w:t> </w:t>
      </w:r>
      <w:r>
        <w:rPr/>
        <w:t>This suggests that the</w:t>
      </w:r>
      <w:r>
        <w:rPr>
          <w:spacing w:val="25"/>
        </w:rPr>
        <w:t> </w:t>
      </w:r>
      <w:r>
        <w:rPr/>
        <w:t>respondents</w:t>
      </w:r>
      <w:r>
        <w:rPr>
          <w:spacing w:val="26"/>
        </w:rPr>
        <w:t> </w:t>
      </w:r>
      <w:r>
        <w:rPr/>
        <w:t>have a tolerable</w:t>
      </w:r>
      <w:r>
        <w:rPr>
          <w:spacing w:val="25"/>
        </w:rPr>
        <w:t> </w:t>
      </w:r>
      <w:r>
        <w:rPr/>
        <w:t>knowledge of the issue addressed</w:t>
      </w:r>
      <w:r>
        <w:rPr>
          <w:spacing w:val="25"/>
        </w:rPr>
        <w:t> </w:t>
      </w:r>
      <w:r>
        <w:rPr/>
        <w:t>by this</w:t>
      </w:r>
      <w:r>
        <w:rPr>
          <w:spacing w:val="26"/>
        </w:rPr>
        <w:t> </w:t>
      </w:r>
      <w:r>
        <w:rPr/>
        <w:t>research. The set of interview questions used to interview JTF personnel in the field is</w:t>
      </w:r>
      <w:r>
        <w:rPr>
          <w:spacing w:val="40"/>
        </w:rPr>
        <w:t> </w:t>
      </w:r>
      <w:r>
        <w:rPr/>
        <w:t>presented in Appendix 11. A total of</w:t>
      </w:r>
      <w:r>
        <w:rPr>
          <w:spacing w:val="-2"/>
        </w:rPr>
        <w:t> </w:t>
      </w:r>
      <w:r>
        <w:rPr/>
        <w:t>50 JTF</w:t>
      </w:r>
      <w:r>
        <w:rPr>
          <w:spacing w:val="-1"/>
        </w:rPr>
        <w:t> </w:t>
      </w:r>
      <w:r>
        <w:rPr/>
        <w:t>personnel were</w:t>
      </w:r>
      <w:r>
        <w:rPr>
          <w:spacing w:val="-1"/>
        </w:rPr>
        <w:t> </w:t>
      </w:r>
      <w:r>
        <w:rPr/>
        <w:t>planned for interview but only</w:t>
      </w:r>
      <w:r>
        <w:rPr>
          <w:spacing w:val="-6"/>
        </w:rPr>
        <w:t> </w:t>
      </w:r>
      <w:r>
        <w:rPr/>
        <w:t>37 personnel were eventually</w:t>
      </w:r>
      <w:r>
        <w:rPr>
          <w:spacing w:val="-4"/>
        </w:rPr>
        <w:t> </w:t>
      </w:r>
      <w:r>
        <w:rPr/>
        <w:t>interviewed.</w:t>
      </w:r>
      <w:r>
        <w:rPr>
          <w:spacing w:val="40"/>
        </w:rPr>
        <w:t> </w:t>
      </w:r>
      <w:r>
        <w:rPr/>
        <w:t>Likewise, Appendix 12</w:t>
      </w:r>
      <w:r>
        <w:rPr>
          <w:spacing w:val="-1"/>
        </w:rPr>
        <w:t> </w:t>
      </w:r>
      <w:r>
        <w:rPr/>
        <w:t>shows the set of</w:t>
      </w:r>
      <w:r>
        <w:rPr>
          <w:spacing w:val="28"/>
        </w:rPr>
        <w:t> </w:t>
      </w:r>
      <w:r>
        <w:rPr/>
        <w:t>questions</w:t>
      </w:r>
      <w:r>
        <w:rPr>
          <w:spacing w:val="29"/>
        </w:rPr>
        <w:t> </w:t>
      </w:r>
      <w:r>
        <w:rPr/>
        <w:t>used</w:t>
      </w:r>
      <w:r>
        <w:rPr>
          <w:spacing w:val="30"/>
        </w:rPr>
        <w:t> </w:t>
      </w:r>
      <w:r>
        <w:rPr/>
        <w:t>to</w:t>
      </w:r>
      <w:r>
        <w:rPr>
          <w:spacing w:val="29"/>
        </w:rPr>
        <w:t> </w:t>
      </w:r>
      <w:r>
        <w:rPr/>
        <w:t>conduct</w:t>
      </w:r>
      <w:r>
        <w:rPr>
          <w:spacing w:val="29"/>
        </w:rPr>
        <w:t> </w:t>
      </w:r>
      <w:r>
        <w:rPr/>
        <w:t>the</w:t>
      </w:r>
      <w:r>
        <w:rPr>
          <w:spacing w:val="28"/>
        </w:rPr>
        <w:t> </w:t>
      </w:r>
      <w:r>
        <w:rPr/>
        <w:t>interviews</w:t>
      </w:r>
      <w:r>
        <w:rPr>
          <w:spacing w:val="28"/>
        </w:rPr>
        <w:t> </w:t>
      </w:r>
      <w:r>
        <w:rPr/>
        <w:t>with</w:t>
      </w:r>
      <w:r>
        <w:rPr>
          <w:spacing w:val="31"/>
        </w:rPr>
        <w:t> </w:t>
      </w:r>
      <w:r>
        <w:rPr/>
        <w:t>oil</w:t>
      </w:r>
      <w:r>
        <w:rPr>
          <w:spacing w:val="29"/>
        </w:rPr>
        <w:t> </w:t>
      </w:r>
      <w:r>
        <w:rPr/>
        <w:t>and</w:t>
      </w:r>
      <w:r>
        <w:rPr>
          <w:spacing w:val="31"/>
        </w:rPr>
        <w:t> </w:t>
      </w:r>
      <w:r>
        <w:rPr/>
        <w:t>gas</w:t>
      </w:r>
      <w:r>
        <w:rPr>
          <w:spacing w:val="29"/>
        </w:rPr>
        <w:t> </w:t>
      </w:r>
      <w:r>
        <w:rPr/>
        <w:t>company</w:t>
      </w:r>
      <w:r>
        <w:rPr>
          <w:spacing w:val="24"/>
        </w:rPr>
        <w:t> </w:t>
      </w:r>
      <w:r>
        <w:rPr/>
        <w:t>workers.</w:t>
      </w:r>
      <w:r>
        <w:rPr>
          <w:spacing w:val="80"/>
        </w:rPr>
        <w:t> </w:t>
      </w:r>
      <w:r>
        <w:rPr/>
        <w:t>A total</w:t>
      </w:r>
      <w:r>
        <w:rPr>
          <w:spacing w:val="72"/>
          <w:w w:val="150"/>
        </w:rPr>
        <w:t> </w:t>
      </w:r>
      <w:r>
        <w:rPr/>
        <w:t>of</w:t>
      </w:r>
      <w:r>
        <w:rPr>
          <w:spacing w:val="71"/>
          <w:w w:val="150"/>
        </w:rPr>
        <w:t> </w:t>
      </w:r>
      <w:r>
        <w:rPr/>
        <w:t>20</w:t>
      </w:r>
      <w:r>
        <w:rPr>
          <w:spacing w:val="72"/>
          <w:w w:val="150"/>
        </w:rPr>
        <w:t> </w:t>
      </w:r>
      <w:r>
        <w:rPr/>
        <w:t>oil/gas</w:t>
      </w:r>
      <w:r>
        <w:rPr>
          <w:spacing w:val="74"/>
          <w:w w:val="150"/>
        </w:rPr>
        <w:t> </w:t>
      </w:r>
      <w:r>
        <w:rPr/>
        <w:t>workers</w:t>
      </w:r>
      <w:r>
        <w:rPr>
          <w:spacing w:val="71"/>
          <w:w w:val="150"/>
        </w:rPr>
        <w:t> </w:t>
      </w:r>
      <w:r>
        <w:rPr/>
        <w:t>were</w:t>
      </w:r>
      <w:r>
        <w:rPr>
          <w:spacing w:val="73"/>
          <w:w w:val="150"/>
        </w:rPr>
        <w:t> </w:t>
      </w:r>
      <w:r>
        <w:rPr/>
        <w:t>planned</w:t>
      </w:r>
      <w:r>
        <w:rPr>
          <w:spacing w:val="74"/>
          <w:w w:val="150"/>
        </w:rPr>
        <w:t> </w:t>
      </w:r>
      <w:r>
        <w:rPr/>
        <w:t>for</w:t>
      </w:r>
      <w:r>
        <w:rPr>
          <w:spacing w:val="76"/>
          <w:w w:val="150"/>
        </w:rPr>
        <w:t> </w:t>
      </w:r>
      <w:r>
        <w:rPr/>
        <w:t>interview</w:t>
      </w:r>
      <w:r>
        <w:rPr>
          <w:spacing w:val="72"/>
          <w:w w:val="150"/>
        </w:rPr>
        <w:t> </w:t>
      </w:r>
      <w:r>
        <w:rPr/>
        <w:t>but</w:t>
      </w:r>
      <w:r>
        <w:rPr>
          <w:spacing w:val="72"/>
          <w:w w:val="150"/>
        </w:rPr>
        <w:t> </w:t>
      </w:r>
      <w:r>
        <w:rPr/>
        <w:t>12</w:t>
      </w:r>
      <w:r>
        <w:rPr>
          <w:spacing w:val="74"/>
          <w:w w:val="150"/>
        </w:rPr>
        <w:t> </w:t>
      </w:r>
      <w:r>
        <w:rPr/>
        <w:t>people</w:t>
      </w:r>
      <w:r>
        <w:rPr>
          <w:spacing w:val="72"/>
          <w:w w:val="150"/>
        </w:rPr>
        <w:t> </w:t>
      </w:r>
      <w:r>
        <w:rPr>
          <w:spacing w:val="-4"/>
        </w:rPr>
        <w:t>were</w:t>
      </w:r>
    </w:p>
    <w:p>
      <w:pPr>
        <w:pStyle w:val="BodyText"/>
        <w:spacing w:line="275" w:lineRule="exact"/>
      </w:pPr>
      <w:r>
        <w:rPr>
          <w:spacing w:val="-2"/>
        </w:rPr>
        <w:t>interviewed.</w:t>
      </w:r>
    </w:p>
    <w:p>
      <w:pPr>
        <w:pStyle w:val="Heading1"/>
        <w:numPr>
          <w:ilvl w:val="1"/>
          <w:numId w:val="12"/>
        </w:numPr>
        <w:tabs>
          <w:tab w:pos="2160" w:val="left" w:leader="none"/>
        </w:tabs>
        <w:spacing w:line="275" w:lineRule="exact" w:before="143" w:after="0"/>
        <w:ind w:left="2160" w:right="0" w:hanging="720"/>
        <w:jc w:val="both"/>
      </w:pPr>
      <w:bookmarkStart w:name="_TOC_250009" w:id="33"/>
      <w:r>
        <w:rPr/>
        <w:t>METHOD</w:t>
      </w:r>
      <w:r>
        <w:rPr>
          <w:spacing w:val="-1"/>
        </w:rPr>
        <w:t> </w:t>
      </w:r>
      <w:r>
        <w:rPr/>
        <w:t>OF</w:t>
      </w:r>
      <w:r>
        <w:rPr>
          <w:spacing w:val="-4"/>
        </w:rPr>
        <w:t> </w:t>
      </w:r>
      <w:r>
        <w:rPr/>
        <w:t>DATA</w:t>
      </w:r>
      <w:r>
        <w:rPr>
          <w:spacing w:val="1"/>
        </w:rPr>
        <w:t> </w:t>
      </w:r>
      <w:bookmarkEnd w:id="33"/>
      <w:r>
        <w:rPr>
          <w:spacing w:val="-2"/>
        </w:rPr>
        <w:t>COLLECTION</w:t>
      </w:r>
    </w:p>
    <w:p>
      <w:pPr>
        <w:pStyle w:val="BodyText"/>
        <w:spacing w:line="275" w:lineRule="exact"/>
        <w:ind w:left="2160"/>
        <w:jc w:val="both"/>
      </w:pPr>
      <w:r>
        <w:rPr/>
        <w:t>Data</w:t>
      </w:r>
      <w:r>
        <w:rPr>
          <w:spacing w:val="76"/>
        </w:rPr>
        <w:t> </w:t>
      </w:r>
      <w:r>
        <w:rPr/>
        <w:t>for</w:t>
      </w:r>
      <w:r>
        <w:rPr>
          <w:spacing w:val="77"/>
        </w:rPr>
        <w:t> </w:t>
      </w:r>
      <w:r>
        <w:rPr/>
        <w:t>the</w:t>
      </w:r>
      <w:r>
        <w:rPr>
          <w:spacing w:val="78"/>
        </w:rPr>
        <w:t> </w:t>
      </w:r>
      <w:r>
        <w:rPr/>
        <w:t>study</w:t>
      </w:r>
      <w:r>
        <w:rPr>
          <w:spacing w:val="74"/>
        </w:rPr>
        <w:t> </w:t>
      </w:r>
      <w:r>
        <w:rPr/>
        <w:t>were</w:t>
      </w:r>
      <w:r>
        <w:rPr>
          <w:spacing w:val="78"/>
        </w:rPr>
        <w:t> </w:t>
      </w:r>
      <w:r>
        <w:rPr/>
        <w:t>collected</w:t>
      </w:r>
      <w:r>
        <w:rPr>
          <w:spacing w:val="78"/>
        </w:rPr>
        <w:t> </w:t>
      </w:r>
      <w:r>
        <w:rPr/>
        <w:t>from</w:t>
      </w:r>
      <w:r>
        <w:rPr>
          <w:spacing w:val="78"/>
        </w:rPr>
        <w:t> </w:t>
      </w:r>
      <w:r>
        <w:rPr/>
        <w:t>primary</w:t>
      </w:r>
      <w:r>
        <w:rPr>
          <w:spacing w:val="74"/>
        </w:rPr>
        <w:t> </w:t>
      </w:r>
      <w:r>
        <w:rPr/>
        <w:t>and</w:t>
      </w:r>
      <w:r>
        <w:rPr>
          <w:spacing w:val="78"/>
        </w:rPr>
        <w:t> </w:t>
      </w:r>
      <w:r>
        <w:rPr/>
        <w:t>secondary</w:t>
      </w:r>
      <w:r>
        <w:rPr>
          <w:spacing w:val="75"/>
        </w:rPr>
        <w:t> </w:t>
      </w:r>
      <w:r>
        <w:rPr>
          <w:spacing w:val="-2"/>
        </w:rPr>
        <w:t>sources.</w:t>
      </w:r>
    </w:p>
    <w:p>
      <w:pPr>
        <w:pStyle w:val="BodyText"/>
        <w:spacing w:before="136"/>
        <w:jc w:val="both"/>
      </w:pPr>
      <w:r>
        <w:rPr/>
        <w:t>Specifically,</w:t>
      </w:r>
      <w:r>
        <w:rPr>
          <w:spacing w:val="-1"/>
        </w:rPr>
        <w:t> </w:t>
      </w:r>
      <w:r>
        <w:rPr/>
        <w:t>the methodology</w:t>
      </w:r>
      <w:r>
        <w:rPr>
          <w:spacing w:val="-6"/>
        </w:rPr>
        <w:t> </w:t>
      </w:r>
      <w:r>
        <w:rPr/>
        <w:t>includes the</w:t>
      </w:r>
      <w:r>
        <w:rPr>
          <w:spacing w:val="1"/>
        </w:rPr>
        <w:t> </w:t>
      </w:r>
      <w:r>
        <w:rPr>
          <w:spacing w:val="-2"/>
        </w:rPr>
        <w:t>following:</w:t>
      </w:r>
    </w:p>
    <w:p>
      <w:pPr>
        <w:pStyle w:val="ListParagraph"/>
        <w:numPr>
          <w:ilvl w:val="0"/>
          <w:numId w:val="15"/>
        </w:numPr>
        <w:tabs>
          <w:tab w:pos="2159" w:val="left" w:leader="none"/>
        </w:tabs>
        <w:spacing w:line="360" w:lineRule="auto" w:before="140" w:after="0"/>
        <w:ind w:left="1440" w:right="1261" w:firstLine="0"/>
        <w:jc w:val="both"/>
        <w:rPr>
          <w:sz w:val="24"/>
        </w:rPr>
      </w:pPr>
      <w:r>
        <w:rPr>
          <w:sz w:val="24"/>
        </w:rPr>
        <w:t>Primary sources of data were through the conduct of unstructured interview and interactions with the JTF (Operation RESTORE HOPE) personnel such as the Commanders of JTF (past and present), Commanders Task Force Group in the JTF (Nigerian Army, Nigerian Navy, Nigerian Air Force, NPF and the SSS).</w:t>
      </w:r>
    </w:p>
    <w:p>
      <w:pPr>
        <w:pStyle w:val="BodyText"/>
        <w:spacing w:before="2"/>
        <w:ind w:left="0"/>
        <w:rPr>
          <w:sz w:val="12"/>
        </w:rPr>
      </w:pPr>
      <w:r>
        <w:rPr/>
        <w:drawing>
          <wp:anchor distT="0" distB="0" distL="0" distR="0" allowOverlap="1" layoutInCell="1" locked="0" behindDoc="1" simplePos="0" relativeHeight="487655424">
            <wp:simplePos x="0" y="0"/>
            <wp:positionH relativeFrom="page">
              <wp:posOffset>1370329</wp:posOffset>
            </wp:positionH>
            <wp:positionV relativeFrom="paragraph">
              <wp:posOffset>104273</wp:posOffset>
            </wp:positionV>
            <wp:extent cx="5090374" cy="3386328"/>
            <wp:effectExtent l="0" t="0" r="0" b="0"/>
            <wp:wrapTopAndBottom/>
            <wp:docPr id="199" name="Image 199"/>
            <wp:cNvGraphicFramePr>
              <a:graphicFrameLocks/>
            </wp:cNvGraphicFramePr>
            <a:graphic>
              <a:graphicData uri="http://schemas.openxmlformats.org/drawingml/2006/picture">
                <pic:pic>
                  <pic:nvPicPr>
                    <pic:cNvPr id="199" name="Image 199"/>
                    <pic:cNvPicPr/>
                  </pic:nvPicPr>
                  <pic:blipFill>
                    <a:blip r:embed="rId53" cstate="print"/>
                    <a:stretch>
                      <a:fillRect/>
                    </a:stretch>
                  </pic:blipFill>
                  <pic:spPr>
                    <a:xfrm>
                      <a:off x="0" y="0"/>
                      <a:ext cx="5090374" cy="3386328"/>
                    </a:xfrm>
                    <a:prstGeom prst="rect">
                      <a:avLst/>
                    </a:prstGeom>
                  </pic:spPr>
                </pic:pic>
              </a:graphicData>
            </a:graphic>
          </wp:anchor>
        </w:drawing>
      </w:r>
    </w:p>
    <w:p>
      <w:pPr>
        <w:pStyle w:val="BodyText"/>
        <w:spacing w:before="28"/>
        <w:ind w:left="0"/>
      </w:pPr>
    </w:p>
    <w:p>
      <w:pPr>
        <w:spacing w:line="276" w:lineRule="auto" w:before="1"/>
        <w:ind w:left="1440" w:right="1646" w:firstLine="0"/>
        <w:jc w:val="both"/>
        <w:rPr>
          <w:b/>
          <w:sz w:val="24"/>
        </w:rPr>
      </w:pPr>
      <w:r>
        <w:rPr>
          <w:b/>
          <w:sz w:val="24"/>
        </w:rPr>
        <w:t>Plate</w:t>
      </w:r>
      <w:r>
        <w:rPr>
          <w:b/>
          <w:spacing w:val="-6"/>
          <w:sz w:val="24"/>
        </w:rPr>
        <w:t> </w:t>
      </w:r>
      <w:r>
        <w:rPr>
          <w:b/>
          <w:sz w:val="24"/>
        </w:rPr>
        <w:t>30:</w:t>
      </w:r>
      <w:r>
        <w:rPr>
          <w:b/>
          <w:spacing w:val="-5"/>
          <w:sz w:val="24"/>
        </w:rPr>
        <w:t> </w:t>
      </w:r>
      <w:r>
        <w:rPr>
          <w:b/>
          <w:sz w:val="24"/>
        </w:rPr>
        <w:t>Interview</w:t>
      </w:r>
      <w:r>
        <w:rPr>
          <w:b/>
          <w:spacing w:val="-4"/>
          <w:sz w:val="24"/>
        </w:rPr>
        <w:t> </w:t>
      </w:r>
      <w:r>
        <w:rPr>
          <w:b/>
          <w:sz w:val="24"/>
        </w:rPr>
        <w:t>with</w:t>
      </w:r>
      <w:r>
        <w:rPr>
          <w:b/>
          <w:spacing w:val="-5"/>
          <w:sz w:val="24"/>
        </w:rPr>
        <w:t> </w:t>
      </w:r>
      <w:r>
        <w:rPr>
          <w:b/>
          <w:sz w:val="24"/>
        </w:rPr>
        <w:t>Colonel</w:t>
      </w:r>
      <w:r>
        <w:rPr>
          <w:b/>
          <w:spacing w:val="-5"/>
          <w:sz w:val="24"/>
        </w:rPr>
        <w:t> </w:t>
      </w:r>
      <w:r>
        <w:rPr>
          <w:b/>
          <w:sz w:val="24"/>
        </w:rPr>
        <w:t>Mohammed</w:t>
      </w:r>
      <w:r>
        <w:rPr>
          <w:b/>
          <w:spacing w:val="-3"/>
          <w:sz w:val="24"/>
        </w:rPr>
        <w:t> </w:t>
      </w:r>
      <w:r>
        <w:rPr>
          <w:b/>
          <w:sz w:val="24"/>
        </w:rPr>
        <w:t>Commander</w:t>
      </w:r>
      <w:r>
        <w:rPr>
          <w:b/>
          <w:spacing w:val="-6"/>
          <w:sz w:val="24"/>
        </w:rPr>
        <w:t> </w:t>
      </w:r>
      <w:r>
        <w:rPr>
          <w:b/>
          <w:sz w:val="24"/>
        </w:rPr>
        <w:t>Army</w:t>
      </w:r>
      <w:r>
        <w:rPr>
          <w:b/>
          <w:spacing w:val="-5"/>
          <w:sz w:val="24"/>
        </w:rPr>
        <w:t> </w:t>
      </w:r>
      <w:r>
        <w:rPr>
          <w:b/>
          <w:sz w:val="24"/>
        </w:rPr>
        <w:t>Task</w:t>
      </w:r>
      <w:r>
        <w:rPr>
          <w:b/>
          <w:spacing w:val="-5"/>
          <w:sz w:val="24"/>
        </w:rPr>
        <w:t> </w:t>
      </w:r>
      <w:r>
        <w:rPr>
          <w:b/>
          <w:sz w:val="24"/>
        </w:rPr>
        <w:t>Group Source: Researcher’s Fieldwork, 2009</w:t>
      </w:r>
    </w:p>
    <w:p>
      <w:pPr>
        <w:spacing w:after="0" w:line="276" w:lineRule="auto"/>
        <w:jc w:val="both"/>
        <w:rPr>
          <w:sz w:val="24"/>
        </w:rPr>
        <w:sectPr>
          <w:pgSz w:w="11910" w:h="16840"/>
          <w:pgMar w:header="0" w:footer="1561" w:top="1360" w:bottom="1760" w:left="720" w:right="180"/>
        </w:sectPr>
      </w:pPr>
    </w:p>
    <w:p>
      <w:pPr>
        <w:pStyle w:val="BodyText"/>
        <w:ind w:left="1141"/>
        <w:rPr>
          <w:sz w:val="20"/>
        </w:rPr>
      </w:pPr>
      <w:r>
        <w:rPr/>
        <mc:AlternateContent>
          <mc:Choice Requires="wps">
            <w:drawing>
              <wp:anchor distT="0" distB="0" distL="0" distR="0" allowOverlap="1" layoutInCell="1" locked="0" behindDoc="1" simplePos="0" relativeHeight="480627200">
                <wp:simplePos x="0" y="0"/>
                <wp:positionH relativeFrom="page">
                  <wp:posOffset>-1537026</wp:posOffset>
                </wp:positionH>
                <wp:positionV relativeFrom="page">
                  <wp:posOffset>4900424</wp:posOffset>
                </wp:positionV>
                <wp:extent cx="10669905" cy="914400"/>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89280;rotation:306" type="#_x0000_t136" fillcolor="#ff5400" stroked="f">
                <o:extrusion v:ext="view" autorotationcenter="t"/>
                <v:textpath style="font-family:&quot;Arial MT&quot;;font-size:72pt;v-text-kern:t;mso-text-shadow:auto" string="UNIVERSITY OF IBADAN"/>
                <w10:wrap type="none"/>
              </v:shape>
            </w:pict>
          </mc:Fallback>
        </mc:AlternateContent>
      </w:r>
      <w:r>
        <w:rPr>
          <w:sz w:val="20"/>
        </w:rPr>
        <w:drawing>
          <wp:inline distT="0" distB="0" distL="0" distR="0">
            <wp:extent cx="5271463" cy="3076194"/>
            <wp:effectExtent l="0" t="0" r="0" b="0"/>
            <wp:docPr id="201" name="Image 201"/>
            <wp:cNvGraphicFramePr>
              <a:graphicFrameLocks/>
            </wp:cNvGraphicFramePr>
            <a:graphic>
              <a:graphicData uri="http://schemas.openxmlformats.org/drawingml/2006/picture">
                <pic:pic>
                  <pic:nvPicPr>
                    <pic:cNvPr id="201" name="Image 201"/>
                    <pic:cNvPicPr/>
                  </pic:nvPicPr>
                  <pic:blipFill>
                    <a:blip r:embed="rId54" cstate="print"/>
                    <a:stretch>
                      <a:fillRect/>
                    </a:stretch>
                  </pic:blipFill>
                  <pic:spPr>
                    <a:xfrm>
                      <a:off x="0" y="0"/>
                      <a:ext cx="5271463" cy="3076194"/>
                    </a:xfrm>
                    <a:prstGeom prst="rect">
                      <a:avLst/>
                    </a:prstGeom>
                  </pic:spPr>
                </pic:pic>
              </a:graphicData>
            </a:graphic>
          </wp:inline>
        </w:drawing>
      </w:r>
      <w:r>
        <w:rPr>
          <w:sz w:val="20"/>
        </w:rPr>
      </w:r>
    </w:p>
    <w:p>
      <w:pPr>
        <w:tabs>
          <w:tab w:pos="2738" w:val="left" w:leader="none"/>
        </w:tabs>
        <w:spacing w:before="163"/>
        <w:ind w:left="1440" w:right="1927" w:firstLine="0"/>
        <w:jc w:val="left"/>
        <w:rPr>
          <w:b/>
          <w:sz w:val="24"/>
        </w:rPr>
      </w:pPr>
      <w:r>
        <w:rPr>
          <w:b/>
          <w:sz w:val="24"/>
        </w:rPr>
        <w:t>Plate</w:t>
      </w:r>
      <w:r>
        <w:rPr>
          <w:b/>
          <w:spacing w:val="-4"/>
          <w:sz w:val="24"/>
        </w:rPr>
        <w:t> </w:t>
      </w:r>
      <w:r>
        <w:rPr>
          <w:b/>
          <w:sz w:val="24"/>
        </w:rPr>
        <w:t>31:</w:t>
      </w:r>
      <w:r>
        <w:rPr>
          <w:b/>
          <w:spacing w:val="-4"/>
          <w:sz w:val="24"/>
        </w:rPr>
        <w:t> </w:t>
      </w:r>
      <w:r>
        <w:rPr>
          <w:b/>
          <w:sz w:val="24"/>
        </w:rPr>
        <w:t>Interview</w:t>
      </w:r>
      <w:r>
        <w:rPr>
          <w:b/>
          <w:spacing w:val="-2"/>
          <w:sz w:val="24"/>
        </w:rPr>
        <w:t> </w:t>
      </w:r>
      <w:r>
        <w:rPr>
          <w:b/>
          <w:sz w:val="24"/>
        </w:rPr>
        <w:t>with</w:t>
      </w:r>
      <w:r>
        <w:rPr>
          <w:b/>
          <w:spacing w:val="-3"/>
          <w:sz w:val="24"/>
        </w:rPr>
        <w:t> </w:t>
      </w:r>
      <w:r>
        <w:rPr>
          <w:b/>
          <w:sz w:val="24"/>
        </w:rPr>
        <w:t>Navy</w:t>
      </w:r>
      <w:r>
        <w:rPr>
          <w:b/>
          <w:spacing w:val="-3"/>
          <w:sz w:val="24"/>
        </w:rPr>
        <w:t> </w:t>
      </w:r>
      <w:r>
        <w:rPr>
          <w:b/>
          <w:sz w:val="24"/>
        </w:rPr>
        <w:t>Captain</w:t>
      </w:r>
      <w:r>
        <w:rPr>
          <w:b/>
          <w:spacing w:val="-3"/>
          <w:sz w:val="24"/>
        </w:rPr>
        <w:t> </w:t>
      </w:r>
      <w:r>
        <w:rPr>
          <w:b/>
          <w:sz w:val="24"/>
        </w:rPr>
        <w:t>Bola</w:t>
      </w:r>
      <w:r>
        <w:rPr>
          <w:b/>
          <w:spacing w:val="-3"/>
          <w:sz w:val="24"/>
        </w:rPr>
        <w:t> </w:t>
      </w:r>
      <w:r>
        <w:rPr>
          <w:b/>
          <w:sz w:val="24"/>
        </w:rPr>
        <w:t>Omilade</w:t>
      </w:r>
      <w:r>
        <w:rPr>
          <w:b/>
          <w:spacing w:val="-4"/>
          <w:sz w:val="24"/>
        </w:rPr>
        <w:t> </w:t>
      </w:r>
      <w:r>
        <w:rPr>
          <w:b/>
          <w:sz w:val="24"/>
        </w:rPr>
        <w:t>JTF</w:t>
      </w:r>
      <w:r>
        <w:rPr>
          <w:b/>
          <w:spacing w:val="-6"/>
          <w:sz w:val="24"/>
        </w:rPr>
        <w:t> </w:t>
      </w:r>
      <w:r>
        <w:rPr>
          <w:b/>
          <w:sz w:val="24"/>
        </w:rPr>
        <w:t>Chief</w:t>
      </w:r>
      <w:r>
        <w:rPr>
          <w:b/>
          <w:spacing w:val="-2"/>
          <w:sz w:val="24"/>
        </w:rPr>
        <w:t> </w:t>
      </w:r>
      <w:r>
        <w:rPr>
          <w:b/>
          <w:sz w:val="24"/>
        </w:rPr>
        <w:t>of</w:t>
      </w:r>
      <w:r>
        <w:rPr>
          <w:b/>
          <w:spacing w:val="40"/>
          <w:sz w:val="24"/>
        </w:rPr>
        <w:t> </w:t>
      </w:r>
      <w:r>
        <w:rPr>
          <w:b/>
          <w:sz w:val="24"/>
        </w:rPr>
        <w:t>Staff</w:t>
      </w:r>
      <w:r>
        <w:rPr>
          <w:b/>
          <w:spacing w:val="-2"/>
          <w:sz w:val="24"/>
        </w:rPr>
        <w:t> </w:t>
      </w:r>
      <w:r>
        <w:rPr>
          <w:b/>
          <w:sz w:val="24"/>
        </w:rPr>
        <w:t>at </w:t>
      </w:r>
      <w:r>
        <w:rPr>
          <w:b/>
          <w:spacing w:val="-2"/>
          <w:sz w:val="24"/>
        </w:rPr>
        <w:t>Warri.</w:t>
      </w:r>
      <w:r>
        <w:rPr>
          <w:b/>
          <w:sz w:val="24"/>
        </w:rPr>
        <w:tab/>
        <w:t>Source: Researcher’s</w:t>
      </w:r>
      <w:r>
        <w:rPr>
          <w:b/>
          <w:spacing w:val="40"/>
          <w:sz w:val="24"/>
        </w:rPr>
        <w:t> </w:t>
      </w:r>
      <w:r>
        <w:rPr>
          <w:b/>
          <w:sz w:val="24"/>
        </w:rPr>
        <w:t>Fieldwork, 2009</w:t>
      </w:r>
    </w:p>
    <w:p>
      <w:pPr>
        <w:pStyle w:val="BodyText"/>
        <w:ind w:left="0"/>
        <w:rPr>
          <w:b/>
          <w:sz w:val="20"/>
        </w:rPr>
      </w:pPr>
    </w:p>
    <w:p>
      <w:pPr>
        <w:pStyle w:val="BodyText"/>
        <w:ind w:left="0"/>
        <w:rPr>
          <w:b/>
          <w:sz w:val="20"/>
        </w:rPr>
      </w:pPr>
    </w:p>
    <w:p>
      <w:pPr>
        <w:pStyle w:val="BodyText"/>
        <w:spacing w:before="31"/>
        <w:ind w:left="0"/>
        <w:rPr>
          <w:b/>
          <w:sz w:val="20"/>
        </w:rPr>
      </w:pPr>
      <w:r>
        <w:rPr/>
        <w:drawing>
          <wp:anchor distT="0" distB="0" distL="0" distR="0" allowOverlap="1" layoutInCell="1" locked="0" behindDoc="1" simplePos="0" relativeHeight="487656448">
            <wp:simplePos x="0" y="0"/>
            <wp:positionH relativeFrom="page">
              <wp:posOffset>1262379</wp:posOffset>
            </wp:positionH>
            <wp:positionV relativeFrom="paragraph">
              <wp:posOffset>181283</wp:posOffset>
            </wp:positionV>
            <wp:extent cx="5442097" cy="3795045"/>
            <wp:effectExtent l="0" t="0" r="0" b="0"/>
            <wp:wrapTopAndBottom/>
            <wp:docPr id="202" name="Image 202"/>
            <wp:cNvGraphicFramePr>
              <a:graphicFrameLocks/>
            </wp:cNvGraphicFramePr>
            <a:graphic>
              <a:graphicData uri="http://schemas.openxmlformats.org/drawingml/2006/picture">
                <pic:pic>
                  <pic:nvPicPr>
                    <pic:cNvPr id="202" name="Image 202"/>
                    <pic:cNvPicPr/>
                  </pic:nvPicPr>
                  <pic:blipFill>
                    <a:blip r:embed="rId55" cstate="print"/>
                    <a:stretch>
                      <a:fillRect/>
                    </a:stretch>
                  </pic:blipFill>
                  <pic:spPr>
                    <a:xfrm>
                      <a:off x="0" y="0"/>
                      <a:ext cx="5442097" cy="3795045"/>
                    </a:xfrm>
                    <a:prstGeom prst="rect">
                      <a:avLst/>
                    </a:prstGeom>
                  </pic:spPr>
                </pic:pic>
              </a:graphicData>
            </a:graphic>
          </wp:anchor>
        </w:drawing>
      </w:r>
    </w:p>
    <w:p>
      <w:pPr>
        <w:spacing w:line="276" w:lineRule="auto" w:before="6"/>
        <w:ind w:left="1440" w:right="2080" w:firstLine="0"/>
        <w:jc w:val="left"/>
        <w:rPr>
          <w:b/>
          <w:sz w:val="24"/>
        </w:rPr>
      </w:pPr>
      <w:r>
        <w:rPr>
          <w:b/>
          <w:sz w:val="24"/>
        </w:rPr>
        <w:t>Plate</w:t>
      </w:r>
      <w:r>
        <w:rPr>
          <w:b/>
          <w:spacing w:val="-4"/>
          <w:sz w:val="24"/>
        </w:rPr>
        <w:t> </w:t>
      </w:r>
      <w:r>
        <w:rPr>
          <w:b/>
          <w:sz w:val="24"/>
        </w:rPr>
        <w:t>32:</w:t>
      </w:r>
      <w:r>
        <w:rPr>
          <w:b/>
          <w:spacing w:val="80"/>
          <w:sz w:val="24"/>
        </w:rPr>
        <w:t> </w:t>
      </w:r>
      <w:r>
        <w:rPr>
          <w:b/>
          <w:sz w:val="24"/>
        </w:rPr>
        <w:t>Interview</w:t>
      </w:r>
      <w:r>
        <w:rPr>
          <w:b/>
          <w:spacing w:val="-2"/>
          <w:sz w:val="24"/>
        </w:rPr>
        <w:t> </w:t>
      </w:r>
      <w:r>
        <w:rPr>
          <w:b/>
          <w:sz w:val="24"/>
        </w:rPr>
        <w:t>with</w:t>
      </w:r>
      <w:r>
        <w:rPr>
          <w:b/>
          <w:spacing w:val="-3"/>
          <w:sz w:val="24"/>
        </w:rPr>
        <w:t> </w:t>
      </w:r>
      <w:r>
        <w:rPr>
          <w:b/>
          <w:sz w:val="24"/>
        </w:rPr>
        <w:t>CSP</w:t>
      </w:r>
      <w:r>
        <w:rPr>
          <w:b/>
          <w:spacing w:val="-6"/>
          <w:sz w:val="24"/>
        </w:rPr>
        <w:t> </w:t>
      </w:r>
      <w:r>
        <w:rPr>
          <w:b/>
          <w:sz w:val="24"/>
        </w:rPr>
        <w:t>Tokunbo</w:t>
      </w:r>
      <w:r>
        <w:rPr>
          <w:b/>
          <w:spacing w:val="-3"/>
          <w:sz w:val="24"/>
        </w:rPr>
        <w:t> </w:t>
      </w:r>
      <w:r>
        <w:rPr>
          <w:b/>
          <w:sz w:val="24"/>
        </w:rPr>
        <w:t>Afolabi</w:t>
      </w:r>
      <w:r>
        <w:rPr>
          <w:b/>
          <w:spacing w:val="-3"/>
          <w:sz w:val="24"/>
        </w:rPr>
        <w:t> </w:t>
      </w:r>
      <w:r>
        <w:rPr>
          <w:b/>
          <w:sz w:val="24"/>
        </w:rPr>
        <w:t>JTF</w:t>
      </w:r>
      <w:r>
        <w:rPr>
          <w:b/>
          <w:spacing w:val="-6"/>
          <w:sz w:val="24"/>
        </w:rPr>
        <w:t> </w:t>
      </w:r>
      <w:r>
        <w:rPr>
          <w:b/>
          <w:sz w:val="24"/>
        </w:rPr>
        <w:t>NPF</w:t>
      </w:r>
      <w:r>
        <w:rPr>
          <w:b/>
          <w:spacing w:val="-6"/>
          <w:sz w:val="24"/>
        </w:rPr>
        <w:t> </w:t>
      </w:r>
      <w:r>
        <w:rPr>
          <w:b/>
          <w:sz w:val="24"/>
        </w:rPr>
        <w:t>Task</w:t>
      </w:r>
      <w:r>
        <w:rPr>
          <w:b/>
          <w:spacing w:val="-3"/>
          <w:sz w:val="24"/>
        </w:rPr>
        <w:t> </w:t>
      </w:r>
      <w:r>
        <w:rPr>
          <w:b/>
          <w:sz w:val="24"/>
        </w:rPr>
        <w:t>Group Source: Researcher’s</w:t>
      </w:r>
      <w:r>
        <w:rPr>
          <w:b/>
          <w:spacing w:val="40"/>
          <w:sz w:val="24"/>
        </w:rPr>
        <w:t> </w:t>
      </w:r>
      <w:r>
        <w:rPr>
          <w:b/>
          <w:sz w:val="24"/>
        </w:rPr>
        <w:t>Fieldwork, 2009</w:t>
      </w:r>
    </w:p>
    <w:p>
      <w:pPr>
        <w:spacing w:after="0" w:line="276" w:lineRule="auto"/>
        <w:jc w:val="left"/>
        <w:rPr>
          <w:sz w:val="24"/>
        </w:rPr>
        <w:sectPr>
          <w:pgSz w:w="11910" w:h="16840"/>
          <w:pgMar w:header="0" w:footer="1561" w:top="1660" w:bottom="1760" w:left="720" w:right="180"/>
        </w:sectPr>
      </w:pPr>
    </w:p>
    <w:p>
      <w:pPr>
        <w:pStyle w:val="BodyText"/>
        <w:spacing w:line="360" w:lineRule="auto" w:before="60"/>
        <w:ind w:right="1255" w:firstLine="660"/>
        <w:jc w:val="both"/>
      </w:pPr>
      <w:r>
        <w:rPr/>
        <mc:AlternateContent>
          <mc:Choice Requires="wps">
            <w:drawing>
              <wp:anchor distT="0" distB="0" distL="0" distR="0" allowOverlap="1" layoutInCell="1" locked="0" behindDoc="1" simplePos="0" relativeHeight="480628224">
                <wp:simplePos x="0" y="0"/>
                <wp:positionH relativeFrom="page">
                  <wp:posOffset>-1537026</wp:posOffset>
                </wp:positionH>
                <wp:positionV relativeFrom="page">
                  <wp:posOffset>4900424</wp:posOffset>
                </wp:positionV>
                <wp:extent cx="10669905" cy="914400"/>
                <wp:effectExtent l="0" t="0" r="0" b="0"/>
                <wp:wrapNone/>
                <wp:docPr id="203" name="Textbox 203"/>
                <wp:cNvGraphicFramePr>
                  <a:graphicFrameLocks/>
                </wp:cNvGraphicFramePr>
                <a:graphic>
                  <a:graphicData uri="http://schemas.microsoft.com/office/word/2010/wordprocessingShape">
                    <wps:wsp>
                      <wps:cNvPr id="203" name="Textbox 203"/>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88256;rotation:306" type="#_x0000_t136" fillcolor="#ff5400" stroked="f">
                <o:extrusion v:ext="view" autorotationcenter="t"/>
                <v:textpath style="font-family:&quot;Arial MT&quot;;font-size:72pt;v-text-kern:t;mso-text-shadow:auto" string="UNIVERSITY OF IBADAN"/>
                <w10:wrap type="none"/>
              </v:shape>
            </w:pict>
          </mc:Fallback>
        </mc:AlternateContent>
      </w:r>
      <w:r>
        <w:rPr/>
        <w:t>A perception survey was conducted amongst community leaders, opinion leaders, youth leaders in Bayelsa, Delta and Rivers States, Non-Governmental Organisations (NGOs), oil and gas companies, security advisers, Federal and State Government Agencies, the media and Civil Society Organisations (CSOs) amongst others were also interviewed. Specifically, the commanders JTF (Operations RESTORE HOPE and FLUSHOUT III) as well as the commander Army Task Group (ATG) were interviewed.</w:t>
      </w:r>
      <w:r>
        <w:rPr>
          <w:spacing w:val="40"/>
        </w:rPr>
        <w:t> </w:t>
      </w:r>
      <w:r>
        <w:rPr/>
        <w:t>The Commanding Officers, some officers and soldiers of Battalions who had served or are currently serving in the JTF operations in the Niger Delta, were also interviewed. Others include the DHQ Chief of Training and Operations (CTOPS),</w:t>
      </w:r>
      <w:r>
        <w:rPr>
          <w:spacing w:val="-1"/>
        </w:rPr>
        <w:t> </w:t>
      </w:r>
      <w:r>
        <w:rPr/>
        <w:t>the Chief</w:t>
      </w:r>
      <w:r>
        <w:rPr>
          <w:spacing w:val="-1"/>
        </w:rPr>
        <w:t> </w:t>
      </w:r>
      <w:r>
        <w:rPr/>
        <w:t>of</w:t>
      </w:r>
      <w:r>
        <w:rPr>
          <w:spacing w:val="-1"/>
        </w:rPr>
        <w:t> </w:t>
      </w:r>
      <w:r>
        <w:rPr/>
        <w:t>Operations (Army)</w:t>
      </w:r>
      <w:r>
        <w:rPr>
          <w:spacing w:val="-1"/>
        </w:rPr>
        <w:t> </w:t>
      </w:r>
      <w:r>
        <w:rPr/>
        <w:t>(COPsA), DHQ Director Plans, DHQ Director of Operations and DHQ Assistant Director Land Operations. Additionally, the Vice President Security Shell Petroleum Development Corporation (SPDC), Area Manager Chevron Nigeria Limited (CNL) Warri, community leaders and the Bayelsa State Commissioner of Police were equally interviewed.</w:t>
      </w:r>
    </w:p>
    <w:p>
      <w:pPr>
        <w:pStyle w:val="BodyText"/>
        <w:ind w:left="0"/>
        <w:rPr>
          <w:sz w:val="20"/>
        </w:rPr>
      </w:pPr>
    </w:p>
    <w:p>
      <w:pPr>
        <w:pStyle w:val="BodyText"/>
        <w:spacing w:before="207"/>
        <w:ind w:left="0"/>
        <w:rPr>
          <w:sz w:val="20"/>
        </w:rPr>
      </w:pPr>
      <w:r>
        <w:rPr/>
        <w:drawing>
          <wp:anchor distT="0" distB="0" distL="0" distR="0" allowOverlap="1" layoutInCell="1" locked="0" behindDoc="1" simplePos="0" relativeHeight="487657472">
            <wp:simplePos x="0" y="0"/>
            <wp:positionH relativeFrom="page">
              <wp:posOffset>1489710</wp:posOffset>
            </wp:positionH>
            <wp:positionV relativeFrom="paragraph">
              <wp:posOffset>292932</wp:posOffset>
            </wp:positionV>
            <wp:extent cx="4810316" cy="2950464"/>
            <wp:effectExtent l="0" t="0" r="0" b="0"/>
            <wp:wrapTopAndBottom/>
            <wp:docPr id="204" name="Image 204"/>
            <wp:cNvGraphicFramePr>
              <a:graphicFrameLocks/>
            </wp:cNvGraphicFramePr>
            <a:graphic>
              <a:graphicData uri="http://schemas.openxmlformats.org/drawingml/2006/picture">
                <pic:pic>
                  <pic:nvPicPr>
                    <pic:cNvPr id="204" name="Image 204"/>
                    <pic:cNvPicPr/>
                  </pic:nvPicPr>
                  <pic:blipFill>
                    <a:blip r:embed="rId56" cstate="print"/>
                    <a:stretch>
                      <a:fillRect/>
                    </a:stretch>
                  </pic:blipFill>
                  <pic:spPr>
                    <a:xfrm>
                      <a:off x="0" y="0"/>
                      <a:ext cx="4810316" cy="2950464"/>
                    </a:xfrm>
                    <a:prstGeom prst="rect">
                      <a:avLst/>
                    </a:prstGeom>
                  </pic:spPr>
                </pic:pic>
              </a:graphicData>
            </a:graphic>
          </wp:anchor>
        </w:drawing>
      </w:r>
    </w:p>
    <w:p>
      <w:pPr>
        <w:spacing w:line="242" w:lineRule="auto" w:before="48"/>
        <w:ind w:left="2400" w:right="2080" w:hanging="960"/>
        <w:jc w:val="left"/>
        <w:rPr>
          <w:b/>
          <w:sz w:val="24"/>
        </w:rPr>
      </w:pPr>
      <w:r>
        <w:rPr>
          <w:b/>
          <w:sz w:val="24"/>
        </w:rPr>
        <w:t>Plate</w:t>
      </w:r>
      <w:r>
        <w:rPr>
          <w:b/>
          <w:spacing w:val="-6"/>
          <w:sz w:val="24"/>
        </w:rPr>
        <w:t> </w:t>
      </w:r>
      <w:r>
        <w:rPr>
          <w:b/>
          <w:sz w:val="24"/>
        </w:rPr>
        <w:t>33:</w:t>
      </w:r>
      <w:r>
        <w:rPr>
          <w:b/>
          <w:spacing w:val="40"/>
          <w:sz w:val="24"/>
        </w:rPr>
        <w:t> </w:t>
      </w:r>
      <w:r>
        <w:rPr>
          <w:b/>
          <w:sz w:val="24"/>
        </w:rPr>
        <w:t>Interview</w:t>
      </w:r>
      <w:r>
        <w:rPr>
          <w:b/>
          <w:spacing w:val="-4"/>
          <w:sz w:val="24"/>
        </w:rPr>
        <w:t> </w:t>
      </w:r>
      <w:r>
        <w:rPr>
          <w:b/>
          <w:sz w:val="24"/>
        </w:rPr>
        <w:t>with</w:t>
      </w:r>
      <w:r>
        <w:rPr>
          <w:b/>
          <w:spacing w:val="-5"/>
          <w:sz w:val="24"/>
        </w:rPr>
        <w:t> </w:t>
      </w:r>
      <w:r>
        <w:rPr>
          <w:b/>
          <w:sz w:val="24"/>
        </w:rPr>
        <w:t>Lieutenant</w:t>
      </w:r>
      <w:r>
        <w:rPr>
          <w:b/>
          <w:spacing w:val="-5"/>
          <w:sz w:val="24"/>
        </w:rPr>
        <w:t> </w:t>
      </w:r>
      <w:r>
        <w:rPr>
          <w:b/>
          <w:sz w:val="24"/>
        </w:rPr>
        <w:t>Colonel</w:t>
      </w:r>
      <w:r>
        <w:rPr>
          <w:b/>
          <w:spacing w:val="-5"/>
          <w:sz w:val="24"/>
        </w:rPr>
        <w:t> </w:t>
      </w:r>
      <w:r>
        <w:rPr>
          <w:b/>
          <w:sz w:val="24"/>
        </w:rPr>
        <w:t>NU</w:t>
      </w:r>
      <w:r>
        <w:rPr>
          <w:b/>
          <w:spacing w:val="-5"/>
          <w:sz w:val="24"/>
        </w:rPr>
        <w:t> </w:t>
      </w:r>
      <w:r>
        <w:rPr>
          <w:b/>
          <w:sz w:val="24"/>
        </w:rPr>
        <w:t>Efik</w:t>
      </w:r>
      <w:r>
        <w:rPr>
          <w:b/>
          <w:spacing w:val="-4"/>
          <w:sz w:val="24"/>
        </w:rPr>
        <w:t> </w:t>
      </w:r>
      <w:r>
        <w:rPr>
          <w:b/>
          <w:sz w:val="24"/>
        </w:rPr>
        <w:t>Commanding Officer JTF at Yenagoa, Bayelsa State</w:t>
      </w:r>
    </w:p>
    <w:p>
      <w:pPr>
        <w:spacing w:before="137"/>
        <w:ind w:left="1440" w:right="0" w:firstLine="0"/>
        <w:jc w:val="left"/>
        <w:rPr>
          <w:b/>
          <w:sz w:val="24"/>
        </w:rPr>
      </w:pPr>
      <w:r>
        <w:rPr>
          <w:b/>
          <w:sz w:val="24"/>
        </w:rPr>
        <w:t>Source</w:t>
      </w:r>
      <w:r>
        <w:rPr>
          <w:b/>
          <w:spacing w:val="-3"/>
          <w:sz w:val="24"/>
        </w:rPr>
        <w:t> </w:t>
      </w:r>
      <w:r>
        <w:rPr>
          <w:b/>
          <w:sz w:val="24"/>
        </w:rPr>
        <w:t>:</w:t>
      </w:r>
      <w:r>
        <w:rPr>
          <w:b/>
          <w:spacing w:val="-3"/>
          <w:sz w:val="24"/>
        </w:rPr>
        <w:t> </w:t>
      </w:r>
      <w:r>
        <w:rPr>
          <w:b/>
          <w:sz w:val="24"/>
        </w:rPr>
        <w:t>Researcher’s</w:t>
      </w:r>
      <w:r>
        <w:rPr>
          <w:b/>
          <w:spacing w:val="60"/>
          <w:sz w:val="24"/>
        </w:rPr>
        <w:t> </w:t>
      </w:r>
      <w:r>
        <w:rPr>
          <w:b/>
          <w:sz w:val="24"/>
        </w:rPr>
        <w:t>Fieldwork,</w:t>
      </w:r>
      <w:r>
        <w:rPr>
          <w:b/>
          <w:spacing w:val="-1"/>
          <w:sz w:val="24"/>
        </w:rPr>
        <w:t> </w:t>
      </w:r>
      <w:r>
        <w:rPr>
          <w:b/>
          <w:spacing w:val="-4"/>
          <w:sz w:val="24"/>
        </w:rPr>
        <w:t>2008</w:t>
      </w:r>
    </w:p>
    <w:p>
      <w:pPr>
        <w:spacing w:after="0"/>
        <w:jc w:val="left"/>
        <w:rPr>
          <w:sz w:val="24"/>
        </w:rPr>
        <w:sectPr>
          <w:pgSz w:w="11910" w:h="16840"/>
          <w:pgMar w:header="0" w:footer="1561" w:top="1360" w:bottom="1760" w:left="720" w:right="180"/>
        </w:sectPr>
      </w:pPr>
    </w:p>
    <w:p>
      <w:pPr>
        <w:pStyle w:val="BodyText"/>
        <w:ind w:left="1626"/>
        <w:rPr>
          <w:sz w:val="20"/>
        </w:rPr>
      </w:pPr>
      <w:r>
        <w:rPr/>
        <mc:AlternateContent>
          <mc:Choice Requires="wps">
            <w:drawing>
              <wp:anchor distT="0" distB="0" distL="0" distR="0" allowOverlap="1" layoutInCell="1" locked="0" behindDoc="1" simplePos="0" relativeHeight="480628736">
                <wp:simplePos x="0" y="0"/>
                <wp:positionH relativeFrom="page">
                  <wp:posOffset>-1537026</wp:posOffset>
                </wp:positionH>
                <wp:positionV relativeFrom="page">
                  <wp:posOffset>4900424</wp:posOffset>
                </wp:positionV>
                <wp:extent cx="10669905" cy="914400"/>
                <wp:effectExtent l="0" t="0" r="0" b="0"/>
                <wp:wrapNone/>
                <wp:docPr id="205" name="Textbox 205"/>
                <wp:cNvGraphicFramePr>
                  <a:graphicFrameLocks/>
                </wp:cNvGraphicFramePr>
                <a:graphic>
                  <a:graphicData uri="http://schemas.microsoft.com/office/word/2010/wordprocessingShape">
                    <wps:wsp>
                      <wps:cNvPr id="205" name="Textbox 205"/>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87744;rotation:306" type="#_x0000_t136" fillcolor="#ff5400" stroked="f">
                <o:extrusion v:ext="view" autorotationcenter="t"/>
                <v:textpath style="font-family:&quot;Arial MT&quot;;font-size:72pt;v-text-kern:t;mso-text-shadow:auto" string="UNIVERSITY OF IBADAN"/>
                <w10:wrap type="none"/>
              </v:shape>
            </w:pict>
          </mc:Fallback>
        </mc:AlternateContent>
      </w:r>
      <w:r>
        <w:rPr>
          <w:sz w:val="20"/>
        </w:rPr>
        <w:drawing>
          <wp:inline distT="0" distB="0" distL="0" distR="0">
            <wp:extent cx="4529591" cy="3145536"/>
            <wp:effectExtent l="0" t="0" r="0" b="0"/>
            <wp:docPr id="206" name="Image 206"/>
            <wp:cNvGraphicFramePr>
              <a:graphicFrameLocks/>
            </wp:cNvGraphicFramePr>
            <a:graphic>
              <a:graphicData uri="http://schemas.openxmlformats.org/drawingml/2006/picture">
                <pic:pic>
                  <pic:nvPicPr>
                    <pic:cNvPr id="206" name="Image 206"/>
                    <pic:cNvPicPr/>
                  </pic:nvPicPr>
                  <pic:blipFill>
                    <a:blip r:embed="rId57" cstate="print"/>
                    <a:stretch>
                      <a:fillRect/>
                    </a:stretch>
                  </pic:blipFill>
                  <pic:spPr>
                    <a:xfrm>
                      <a:off x="0" y="0"/>
                      <a:ext cx="4529591" cy="3145536"/>
                    </a:xfrm>
                    <a:prstGeom prst="rect">
                      <a:avLst/>
                    </a:prstGeom>
                  </pic:spPr>
                </pic:pic>
              </a:graphicData>
            </a:graphic>
          </wp:inline>
        </w:drawing>
      </w:r>
      <w:r>
        <w:rPr>
          <w:sz w:val="20"/>
        </w:rPr>
      </w:r>
    </w:p>
    <w:p>
      <w:pPr>
        <w:tabs>
          <w:tab w:pos="2105" w:val="left" w:leader="none"/>
        </w:tabs>
        <w:spacing w:before="18"/>
        <w:ind w:left="1440" w:right="1678" w:firstLine="0"/>
        <w:jc w:val="left"/>
        <w:rPr>
          <w:b/>
          <w:sz w:val="24"/>
        </w:rPr>
      </w:pPr>
      <w:r>
        <w:rPr>
          <w:b/>
          <w:sz w:val="24"/>
        </w:rPr>
        <w:t>Plate</w:t>
      </w:r>
      <w:r>
        <w:rPr>
          <w:b/>
          <w:spacing w:val="-5"/>
          <w:sz w:val="24"/>
        </w:rPr>
        <w:t> </w:t>
      </w:r>
      <w:r>
        <w:rPr>
          <w:b/>
          <w:sz w:val="24"/>
        </w:rPr>
        <w:t>34:</w:t>
      </w:r>
      <w:r>
        <w:rPr>
          <w:b/>
          <w:spacing w:val="40"/>
          <w:sz w:val="24"/>
        </w:rPr>
        <w:t> </w:t>
      </w:r>
      <w:r>
        <w:rPr>
          <w:b/>
          <w:sz w:val="24"/>
        </w:rPr>
        <w:t>Interview</w:t>
      </w:r>
      <w:r>
        <w:rPr>
          <w:b/>
          <w:spacing w:val="-4"/>
          <w:sz w:val="24"/>
        </w:rPr>
        <w:t> </w:t>
      </w:r>
      <w:r>
        <w:rPr>
          <w:b/>
          <w:sz w:val="24"/>
        </w:rPr>
        <w:t>with</w:t>
      </w:r>
      <w:r>
        <w:rPr>
          <w:b/>
          <w:spacing w:val="-4"/>
          <w:sz w:val="24"/>
        </w:rPr>
        <w:t> </w:t>
      </w:r>
      <w:r>
        <w:rPr>
          <w:b/>
          <w:sz w:val="24"/>
        </w:rPr>
        <w:t>Lieutenant</w:t>
      </w:r>
      <w:r>
        <w:rPr>
          <w:b/>
          <w:spacing w:val="-4"/>
          <w:sz w:val="24"/>
        </w:rPr>
        <w:t> </w:t>
      </w:r>
      <w:r>
        <w:rPr>
          <w:b/>
          <w:sz w:val="24"/>
        </w:rPr>
        <w:t>Colonel</w:t>
      </w:r>
      <w:r>
        <w:rPr>
          <w:b/>
          <w:spacing w:val="-4"/>
          <w:sz w:val="24"/>
        </w:rPr>
        <w:t> </w:t>
      </w:r>
      <w:r>
        <w:rPr>
          <w:b/>
          <w:sz w:val="24"/>
        </w:rPr>
        <w:t>AT</w:t>
      </w:r>
      <w:r>
        <w:rPr>
          <w:b/>
          <w:spacing w:val="-4"/>
          <w:sz w:val="24"/>
        </w:rPr>
        <w:t> </w:t>
      </w:r>
      <w:r>
        <w:rPr>
          <w:b/>
          <w:sz w:val="24"/>
        </w:rPr>
        <w:t>Lawal</w:t>
      </w:r>
      <w:r>
        <w:rPr>
          <w:b/>
          <w:spacing w:val="-4"/>
          <w:sz w:val="24"/>
        </w:rPr>
        <w:t> </w:t>
      </w:r>
      <w:r>
        <w:rPr>
          <w:b/>
          <w:sz w:val="24"/>
        </w:rPr>
        <w:t>Commanding</w:t>
      </w:r>
      <w:r>
        <w:rPr>
          <w:b/>
          <w:spacing w:val="-4"/>
          <w:sz w:val="24"/>
        </w:rPr>
        <w:t> </w:t>
      </w:r>
      <w:r>
        <w:rPr>
          <w:b/>
          <w:sz w:val="24"/>
        </w:rPr>
        <w:t>Officer </w:t>
      </w:r>
      <w:r>
        <w:rPr>
          <w:b/>
          <w:spacing w:val="-4"/>
          <w:sz w:val="24"/>
        </w:rPr>
        <w:t>JTF</w:t>
      </w:r>
      <w:r>
        <w:rPr>
          <w:b/>
          <w:sz w:val="24"/>
        </w:rPr>
        <w:tab/>
        <w:t>(Source: Researcher’s Fieldwork, 2008)</w:t>
      </w:r>
    </w:p>
    <w:p>
      <w:pPr>
        <w:pStyle w:val="ListParagraph"/>
        <w:numPr>
          <w:ilvl w:val="0"/>
          <w:numId w:val="15"/>
        </w:numPr>
        <w:tabs>
          <w:tab w:pos="2028" w:val="left" w:leader="none"/>
        </w:tabs>
        <w:spacing w:line="360" w:lineRule="auto" w:before="273" w:after="0"/>
        <w:ind w:left="1440" w:right="1256" w:firstLine="0"/>
        <w:jc w:val="both"/>
        <w:rPr>
          <w:sz w:val="24"/>
        </w:rPr>
      </w:pPr>
      <w:r>
        <w:rPr>
          <w:sz w:val="24"/>
        </w:rPr>
        <w:t>Secondary sources of data were through review of special reports, newspapers and newsmagazines. Special reports from security organisations and data collated by CSOs, Donor Agencies, NGOs, and Human Rights Activities on Niger Delta amongst others were reviewed. Most especially, documents and materials from DHQ, Army Headquarters (AHQ), JTF Operations RESTORE HOPE and FLUSHOUT III, some other security agencies and relevant companies were equally useful and reviewed. There was also the tracking of daily newspapers for conflict incidents.</w:t>
      </w:r>
      <w:r>
        <w:rPr>
          <w:spacing w:val="80"/>
          <w:sz w:val="24"/>
        </w:rPr>
        <w:t> </w:t>
      </w:r>
      <w:r>
        <w:rPr>
          <w:sz w:val="24"/>
        </w:rPr>
        <w:t>For the purpose of this study, about six daily papers were tracked including the Punch, ThisDay, Vanguard, Daily Trust, The Sun and the Guardian.</w:t>
      </w:r>
    </w:p>
    <w:p>
      <w:pPr>
        <w:pStyle w:val="BodyText"/>
        <w:spacing w:before="5"/>
        <w:ind w:left="0"/>
      </w:pPr>
    </w:p>
    <w:p>
      <w:pPr>
        <w:pStyle w:val="Heading1"/>
        <w:numPr>
          <w:ilvl w:val="1"/>
          <w:numId w:val="12"/>
        </w:numPr>
        <w:tabs>
          <w:tab w:pos="2160" w:val="left" w:leader="none"/>
        </w:tabs>
        <w:spacing w:line="240" w:lineRule="auto" w:before="0" w:after="0"/>
        <w:ind w:left="2160" w:right="0" w:hanging="720"/>
        <w:jc w:val="both"/>
      </w:pPr>
      <w:r>
        <w:rPr/>
        <w:t>METHODS</w:t>
      </w:r>
      <w:r>
        <w:rPr>
          <w:spacing w:val="-1"/>
        </w:rPr>
        <w:t> </w:t>
      </w:r>
      <w:r>
        <w:rPr/>
        <w:t>OF</w:t>
      </w:r>
      <w:r>
        <w:rPr>
          <w:spacing w:val="-4"/>
        </w:rPr>
        <w:t> </w:t>
      </w:r>
      <w:r>
        <w:rPr/>
        <w:t>DATA </w:t>
      </w:r>
      <w:r>
        <w:rPr>
          <w:spacing w:val="-2"/>
        </w:rPr>
        <w:t>ANALYSIS</w:t>
      </w:r>
    </w:p>
    <w:p>
      <w:pPr>
        <w:pStyle w:val="BodyText"/>
        <w:spacing w:line="360" w:lineRule="auto" w:before="134"/>
        <w:ind w:right="1256" w:firstLine="720"/>
        <w:jc w:val="both"/>
      </w:pPr>
      <w:r>
        <w:rPr/>
        <w:t>The 600 questionnaire were electronically analysed.</w:t>
      </w:r>
      <w:r>
        <w:rPr>
          <w:spacing w:val="40"/>
        </w:rPr>
        <w:t> </w:t>
      </w:r>
      <w:r>
        <w:rPr/>
        <w:t>The data generated from the</w:t>
      </w:r>
      <w:r>
        <w:rPr>
          <w:spacing w:val="-3"/>
        </w:rPr>
        <w:t> </w:t>
      </w:r>
      <w:r>
        <w:rPr/>
        <w:t>interviews</w:t>
      </w:r>
      <w:r>
        <w:rPr>
          <w:spacing w:val="-3"/>
        </w:rPr>
        <w:t> </w:t>
      </w:r>
      <w:r>
        <w:rPr/>
        <w:t>helped</w:t>
      </w:r>
      <w:r>
        <w:rPr>
          <w:spacing w:val="-3"/>
        </w:rPr>
        <w:t> </w:t>
      </w:r>
      <w:r>
        <w:rPr/>
        <w:t>to</w:t>
      </w:r>
      <w:r>
        <w:rPr>
          <w:spacing w:val="-1"/>
        </w:rPr>
        <w:t> </w:t>
      </w:r>
      <w:r>
        <w:rPr/>
        <w:t>contextualize</w:t>
      </w:r>
      <w:r>
        <w:rPr>
          <w:spacing w:val="-4"/>
        </w:rPr>
        <w:t> </w:t>
      </w:r>
      <w:r>
        <w:rPr/>
        <w:t>some</w:t>
      </w:r>
      <w:r>
        <w:rPr>
          <w:spacing w:val="-4"/>
        </w:rPr>
        <w:t> </w:t>
      </w:r>
      <w:r>
        <w:rPr/>
        <w:t>of</w:t>
      </w:r>
      <w:r>
        <w:rPr>
          <w:spacing w:val="-3"/>
        </w:rPr>
        <w:t> </w:t>
      </w:r>
      <w:r>
        <w:rPr/>
        <w:t>the</w:t>
      </w:r>
      <w:r>
        <w:rPr>
          <w:spacing w:val="-5"/>
        </w:rPr>
        <w:t> </w:t>
      </w:r>
      <w:r>
        <w:rPr/>
        <w:t>responses</w:t>
      </w:r>
      <w:r>
        <w:rPr>
          <w:spacing w:val="-2"/>
        </w:rPr>
        <w:t> </w:t>
      </w:r>
      <w:r>
        <w:rPr/>
        <w:t>collected</w:t>
      </w:r>
      <w:r>
        <w:rPr>
          <w:spacing w:val="-2"/>
        </w:rPr>
        <w:t> </w:t>
      </w:r>
      <w:r>
        <w:rPr/>
        <w:t>from</w:t>
      </w:r>
      <w:r>
        <w:rPr>
          <w:spacing w:val="-3"/>
        </w:rPr>
        <w:t> </w:t>
      </w:r>
      <w:r>
        <w:rPr/>
        <w:t>those</w:t>
      </w:r>
      <w:r>
        <w:rPr>
          <w:spacing w:val="-4"/>
        </w:rPr>
        <w:t> </w:t>
      </w:r>
      <w:r>
        <w:rPr/>
        <w:t>who filled the questionnaires.</w:t>
      </w:r>
      <w:r>
        <w:rPr>
          <w:spacing w:val="80"/>
        </w:rPr>
        <w:t> </w:t>
      </w:r>
      <w:r>
        <w:rPr/>
        <w:t>This entails content analysis of open- end responses to obtain additional information.</w:t>
      </w:r>
      <w:r>
        <w:rPr>
          <w:spacing w:val="40"/>
        </w:rPr>
        <w:t> </w:t>
      </w:r>
      <w:r>
        <w:rPr/>
        <w:t>Where necessary, some extant literature was used to support or controvert some of the findings.</w:t>
      </w:r>
    </w:p>
    <w:p>
      <w:pPr>
        <w:pStyle w:val="BodyText"/>
        <w:spacing w:line="336" w:lineRule="auto"/>
        <w:ind w:right="1261" w:firstLine="720"/>
        <w:jc w:val="both"/>
      </w:pPr>
      <w:r>
        <w:rPr/>
        <w:t>Responses</w:t>
      </w:r>
      <w:r>
        <w:rPr>
          <w:spacing w:val="-2"/>
        </w:rPr>
        <w:t> </w:t>
      </w:r>
      <w:r>
        <w:rPr/>
        <w:t>to</w:t>
      </w:r>
      <w:r>
        <w:rPr>
          <w:spacing w:val="-1"/>
        </w:rPr>
        <w:t> </w:t>
      </w:r>
      <w:r>
        <w:rPr/>
        <w:t>questions asked</w:t>
      </w:r>
      <w:r>
        <w:rPr>
          <w:spacing w:val="-2"/>
        </w:rPr>
        <w:t> </w:t>
      </w:r>
      <w:r>
        <w:rPr/>
        <w:t>in</w:t>
      </w:r>
      <w:r>
        <w:rPr>
          <w:spacing w:val="-1"/>
        </w:rPr>
        <w:t> </w:t>
      </w:r>
      <w:r>
        <w:rPr/>
        <w:t>the research</w:t>
      </w:r>
      <w:r>
        <w:rPr>
          <w:spacing w:val="-1"/>
        </w:rPr>
        <w:t> </w:t>
      </w:r>
      <w:r>
        <w:rPr/>
        <w:t>instruments</w:t>
      </w:r>
      <w:r>
        <w:rPr>
          <w:spacing w:val="-1"/>
        </w:rPr>
        <w:t> </w:t>
      </w:r>
      <w:r>
        <w:rPr/>
        <w:t>were</w:t>
      </w:r>
      <w:r>
        <w:rPr>
          <w:spacing w:val="-2"/>
        </w:rPr>
        <w:t> </w:t>
      </w:r>
      <w:r>
        <w:rPr/>
        <w:t>entered into</w:t>
      </w:r>
      <w:r>
        <w:rPr>
          <w:spacing w:val="-1"/>
        </w:rPr>
        <w:t> </w:t>
      </w:r>
      <w:r>
        <w:rPr/>
        <w:t>the computer using the database application software, dBASE V.</w:t>
      </w:r>
      <w:r>
        <w:rPr>
          <w:spacing w:val="40"/>
        </w:rPr>
        <w:t> </w:t>
      </w:r>
      <w:r>
        <w:rPr/>
        <w:t>The data was then exported to</w:t>
      </w:r>
      <w:r>
        <w:rPr>
          <w:spacing w:val="1"/>
        </w:rPr>
        <w:t> </w:t>
      </w:r>
      <w:r>
        <w:rPr/>
        <w:t>the computer software,</w:t>
      </w:r>
      <w:r>
        <w:rPr>
          <w:spacing w:val="1"/>
        </w:rPr>
        <w:t> </w:t>
      </w:r>
      <w:r>
        <w:rPr/>
        <w:t>Statistical</w:t>
      </w:r>
      <w:r>
        <w:rPr>
          <w:spacing w:val="1"/>
        </w:rPr>
        <w:t> </w:t>
      </w:r>
      <w:r>
        <w:rPr/>
        <w:t>Package for</w:t>
      </w:r>
      <w:r>
        <w:rPr>
          <w:spacing w:val="-1"/>
        </w:rPr>
        <w:t> </w:t>
      </w:r>
      <w:r>
        <w:rPr/>
        <w:t>the Social</w:t>
      </w:r>
      <w:r>
        <w:rPr>
          <w:spacing w:val="1"/>
        </w:rPr>
        <w:t> </w:t>
      </w:r>
      <w:r>
        <w:rPr/>
        <w:t>Sciences</w:t>
      </w:r>
      <w:r>
        <w:rPr>
          <w:spacing w:val="1"/>
        </w:rPr>
        <w:t> </w:t>
      </w:r>
      <w:r>
        <w:rPr>
          <w:spacing w:val="-2"/>
        </w:rPr>
        <w:t>(SPSS),</w:t>
      </w:r>
    </w:p>
    <w:p>
      <w:pPr>
        <w:spacing w:after="0" w:line="336" w:lineRule="auto"/>
        <w:jc w:val="both"/>
        <w:sectPr>
          <w:pgSz w:w="11910" w:h="16840"/>
          <w:pgMar w:header="0" w:footer="1561" w:top="1420" w:bottom="1760" w:left="720" w:right="180"/>
        </w:sectPr>
      </w:pPr>
    </w:p>
    <w:p>
      <w:pPr>
        <w:pStyle w:val="BodyText"/>
        <w:spacing w:line="336" w:lineRule="auto" w:before="78"/>
        <w:ind w:right="1259"/>
        <w:jc w:val="both"/>
      </w:pPr>
      <w:r>
        <w:rPr/>
        <mc:AlternateContent>
          <mc:Choice Requires="wps">
            <w:drawing>
              <wp:anchor distT="0" distB="0" distL="0" distR="0" allowOverlap="1" layoutInCell="1" locked="0" behindDoc="1" simplePos="0" relativeHeight="480629248">
                <wp:simplePos x="0" y="0"/>
                <wp:positionH relativeFrom="page">
                  <wp:posOffset>-1537026</wp:posOffset>
                </wp:positionH>
                <wp:positionV relativeFrom="page">
                  <wp:posOffset>4900424</wp:posOffset>
                </wp:positionV>
                <wp:extent cx="10669905" cy="914400"/>
                <wp:effectExtent l="0" t="0" r="0" b="0"/>
                <wp:wrapNone/>
                <wp:docPr id="207" name="Textbox 207"/>
                <wp:cNvGraphicFramePr>
                  <a:graphicFrameLocks/>
                </wp:cNvGraphicFramePr>
                <a:graphic>
                  <a:graphicData uri="http://schemas.microsoft.com/office/word/2010/wordprocessingShape">
                    <wps:wsp>
                      <wps:cNvPr id="207" name="Textbox 207"/>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87232;rotation:306" type="#_x0000_t136" fillcolor="#ff5400" stroked="f">
                <o:extrusion v:ext="view" autorotationcenter="t"/>
                <v:textpath style="font-family:&quot;Arial MT&quot;;font-size:72pt;v-text-kern:t;mso-text-shadow:auto" string="UNIVERSITY OF IBADAN"/>
                <w10:wrap type="none"/>
              </v:shape>
            </w:pict>
          </mc:Fallback>
        </mc:AlternateContent>
      </w:r>
      <w:r>
        <w:rPr/>
        <w:t>SPSS/PC+ version 4.0, for statistical analysis. Statistical analysis carried out included frequency counts, cross-tabulation, T-test.</w:t>
      </w:r>
      <w:r>
        <w:rPr>
          <w:spacing w:val="40"/>
        </w:rPr>
        <w:t> </w:t>
      </w:r>
      <w:r>
        <w:rPr/>
        <w:t>Researchers sometimes present</w:t>
      </w:r>
      <w:r>
        <w:rPr>
          <w:spacing w:val="40"/>
        </w:rPr>
        <w:t> </w:t>
      </w:r>
      <w:r>
        <w:rPr/>
        <w:t>respondents with a list of products or product attributes for which they are asked to indicate their relative feelings or evaluations.</w:t>
      </w:r>
      <w:r>
        <w:rPr>
          <w:spacing w:val="80"/>
        </w:rPr>
        <w:t> </w:t>
      </w:r>
      <w:r>
        <w:rPr/>
        <w:t>The instruments most frequently used</w:t>
      </w:r>
      <w:r>
        <w:rPr>
          <w:spacing w:val="40"/>
        </w:rPr>
        <w:t> </w:t>
      </w:r>
      <w:r>
        <w:rPr/>
        <w:t>to capture this evaluative data are called attitude scales; they include Likert scales, semantic differential scales, and rank-order scales (Schiffman &amp; Kanuk, 1998; Green &amp; Tull, 1990; Hawkins, Best and Coney, 1995).</w:t>
      </w:r>
    </w:p>
    <w:p>
      <w:pPr>
        <w:pStyle w:val="BodyText"/>
        <w:spacing w:line="336" w:lineRule="auto" w:before="1"/>
        <w:ind w:right="1255" w:firstLine="720"/>
        <w:jc w:val="both"/>
      </w:pPr>
      <w:r>
        <w:rPr/>
        <w:t>The Likert scale is by far the most popular form of attitude scale because it is easy for researchers to prepare, interpret, and simple for respondent to answer. Respondents simply check or write the number corresponding to their level of "agreement" or "disagreement" with each of a series of statements that describe the attitude-object under investigation.</w:t>
      </w:r>
      <w:r>
        <w:rPr>
          <w:spacing w:val="40"/>
        </w:rPr>
        <w:t> </w:t>
      </w:r>
      <w:r>
        <w:rPr/>
        <w:t>Usually the scale consists of an equal number of agreement/disagreement choices on either side of a neutral choice.</w:t>
      </w:r>
      <w:r>
        <w:rPr>
          <w:spacing w:val="80"/>
        </w:rPr>
        <w:t> </w:t>
      </w:r>
      <w:r>
        <w:rPr/>
        <w:t>A principal</w:t>
      </w:r>
      <w:r>
        <w:rPr>
          <w:spacing w:val="40"/>
        </w:rPr>
        <w:t> </w:t>
      </w:r>
      <w:r>
        <w:rPr/>
        <w:t>benefit of the Likert scale is that it gives the researcher the option of considering the response to each statement separately or of combining the responses to produce an overall, summarized score.</w:t>
      </w:r>
    </w:p>
    <w:p>
      <w:pPr>
        <w:pStyle w:val="BodyText"/>
        <w:ind w:left="0"/>
      </w:pPr>
    </w:p>
    <w:p>
      <w:pPr>
        <w:pStyle w:val="BodyText"/>
        <w:spacing w:before="116"/>
        <w:ind w:left="0"/>
      </w:pPr>
    </w:p>
    <w:p>
      <w:pPr>
        <w:pStyle w:val="Heading1"/>
        <w:numPr>
          <w:ilvl w:val="1"/>
          <w:numId w:val="12"/>
        </w:numPr>
        <w:tabs>
          <w:tab w:pos="2160" w:val="left" w:leader="none"/>
        </w:tabs>
        <w:spacing w:line="240" w:lineRule="auto" w:before="0" w:after="0"/>
        <w:ind w:left="2160" w:right="0" w:hanging="720"/>
        <w:jc w:val="left"/>
      </w:pPr>
      <w:r>
        <w:rPr/>
        <w:t>SAMPLE</w:t>
      </w:r>
      <w:r>
        <w:rPr>
          <w:spacing w:val="-1"/>
        </w:rPr>
        <w:t> </w:t>
      </w:r>
      <w:r>
        <w:rPr/>
        <w:t>AND</w:t>
      </w:r>
      <w:r>
        <w:rPr>
          <w:spacing w:val="-1"/>
        </w:rPr>
        <w:t> </w:t>
      </w:r>
      <w:r>
        <w:rPr/>
        <w:t>SAMPLING</w:t>
      </w:r>
      <w:r>
        <w:rPr>
          <w:spacing w:val="-1"/>
        </w:rPr>
        <w:t> </w:t>
      </w:r>
      <w:r>
        <w:rPr>
          <w:spacing w:val="-2"/>
        </w:rPr>
        <w:t>PROCEDURES</w:t>
      </w:r>
    </w:p>
    <w:p>
      <w:pPr>
        <w:pStyle w:val="BodyText"/>
        <w:spacing w:line="336" w:lineRule="auto" w:before="105"/>
        <w:ind w:right="1258" w:firstLine="720"/>
        <w:jc w:val="both"/>
      </w:pPr>
      <w:r>
        <w:rPr/>
        <w:t>The methodology made use questionnaires for the interviews of JTF stakeholders.</w:t>
      </w:r>
      <w:r>
        <w:rPr>
          <w:spacing w:val="40"/>
        </w:rPr>
        <w:t> </w:t>
      </w:r>
      <w:r>
        <w:rPr/>
        <w:t>A total of 30 interviews were planned per State within the focal States.</w:t>
      </w:r>
    </w:p>
    <w:p>
      <w:pPr>
        <w:pStyle w:val="BodyText"/>
        <w:spacing w:line="336" w:lineRule="auto" w:before="1"/>
        <w:ind w:right="1258" w:firstLine="720"/>
        <w:jc w:val="both"/>
      </w:pPr>
      <w:r>
        <w:rPr/>
        <w:t>Structured questionnaires were administered to the communities for the perception survey.</w:t>
      </w:r>
      <w:r>
        <w:rPr>
          <w:spacing w:val="40"/>
        </w:rPr>
        <w:t> </w:t>
      </w:r>
      <w:r>
        <w:rPr/>
        <w:t>A total of 600 people were surveyed, 200 people from each of Delta, Bayelsa and Rivers States respectively.</w:t>
      </w:r>
      <w:r>
        <w:rPr>
          <w:spacing w:val="80"/>
        </w:rPr>
        <w:t> </w:t>
      </w:r>
      <w:r>
        <w:rPr/>
        <w:t>The respondents were randomly</w:t>
      </w:r>
      <w:r>
        <w:rPr>
          <w:spacing w:val="40"/>
        </w:rPr>
        <w:t> </w:t>
      </w:r>
      <w:r>
        <w:rPr/>
        <w:t>picked while the correspondent results (questionnaires) were electronically analyzed. The data generated from the interviews and discussions helped to contextualize some of the responses got from those who filled the questionnaires.</w:t>
      </w:r>
      <w:r>
        <w:rPr>
          <w:spacing w:val="80"/>
        </w:rPr>
        <w:t> </w:t>
      </w:r>
      <w:r>
        <w:rPr/>
        <w:t>Field research assistants were recruited and trained to ensure quality data gathering.</w:t>
      </w:r>
    </w:p>
    <w:p>
      <w:pPr>
        <w:pStyle w:val="BodyText"/>
        <w:spacing w:before="5"/>
        <w:ind w:left="0"/>
      </w:pPr>
    </w:p>
    <w:p>
      <w:pPr>
        <w:pStyle w:val="Heading1"/>
        <w:numPr>
          <w:ilvl w:val="1"/>
          <w:numId w:val="12"/>
        </w:numPr>
        <w:tabs>
          <w:tab w:pos="1800" w:val="left" w:leader="none"/>
        </w:tabs>
        <w:spacing w:line="240" w:lineRule="auto" w:before="0" w:after="0"/>
        <w:ind w:left="1800" w:right="0" w:hanging="360"/>
        <w:jc w:val="left"/>
      </w:pPr>
      <w:bookmarkStart w:name="_TOC_250008" w:id="34"/>
      <w:r>
        <w:rPr/>
        <w:t>PROBLEMS</w:t>
      </w:r>
      <w:r>
        <w:rPr>
          <w:spacing w:val="-2"/>
        </w:rPr>
        <w:t> </w:t>
      </w:r>
      <w:r>
        <w:rPr/>
        <w:t>OF</w:t>
      </w:r>
      <w:r>
        <w:rPr>
          <w:spacing w:val="-3"/>
        </w:rPr>
        <w:t> </w:t>
      </w:r>
      <w:r>
        <w:rPr/>
        <w:t>DATA</w:t>
      </w:r>
      <w:r>
        <w:rPr>
          <w:spacing w:val="-1"/>
        </w:rPr>
        <w:t> </w:t>
      </w:r>
      <w:bookmarkEnd w:id="34"/>
      <w:r>
        <w:rPr>
          <w:spacing w:val="-2"/>
        </w:rPr>
        <w:t>COLLECTION</w:t>
      </w:r>
    </w:p>
    <w:p>
      <w:pPr>
        <w:pStyle w:val="BodyText"/>
        <w:spacing w:line="336" w:lineRule="auto" w:before="106"/>
        <w:ind w:right="1260" w:firstLine="720"/>
        <w:jc w:val="both"/>
      </w:pPr>
      <w:r>
        <w:rPr/>
        <w:t>The researcher faced the problem of seeking audience with some key</w:t>
      </w:r>
      <w:r>
        <w:rPr>
          <w:spacing w:val="-1"/>
        </w:rPr>
        <w:t> </w:t>
      </w:r>
      <w:r>
        <w:rPr/>
        <w:t>actors in the</w:t>
      </w:r>
      <w:r>
        <w:rPr>
          <w:spacing w:val="-3"/>
        </w:rPr>
        <w:t> </w:t>
      </w:r>
      <w:r>
        <w:rPr/>
        <w:t>Niger</w:t>
      </w:r>
      <w:r>
        <w:rPr>
          <w:spacing w:val="-5"/>
        </w:rPr>
        <w:t> </w:t>
      </w:r>
      <w:r>
        <w:rPr/>
        <w:t>Delta</w:t>
      </w:r>
      <w:r>
        <w:rPr>
          <w:spacing w:val="-4"/>
        </w:rPr>
        <w:t> </w:t>
      </w:r>
      <w:r>
        <w:rPr/>
        <w:t>conflict,</w:t>
      </w:r>
      <w:r>
        <w:rPr>
          <w:spacing w:val="-2"/>
        </w:rPr>
        <w:t> </w:t>
      </w:r>
      <w:r>
        <w:rPr/>
        <w:t>especially</w:t>
      </w:r>
      <w:r>
        <w:rPr>
          <w:spacing w:val="-8"/>
        </w:rPr>
        <w:t> </w:t>
      </w:r>
      <w:r>
        <w:rPr/>
        <w:t>the</w:t>
      </w:r>
      <w:r>
        <w:rPr>
          <w:spacing w:val="-3"/>
        </w:rPr>
        <w:t> </w:t>
      </w:r>
      <w:r>
        <w:rPr/>
        <w:t>militants.</w:t>
      </w:r>
      <w:r>
        <w:rPr>
          <w:spacing w:val="40"/>
        </w:rPr>
        <w:t> </w:t>
      </w:r>
      <w:r>
        <w:rPr/>
        <w:t>The</w:t>
      </w:r>
      <w:r>
        <w:rPr>
          <w:spacing w:val="-5"/>
        </w:rPr>
        <w:t> </w:t>
      </w:r>
      <w:r>
        <w:rPr/>
        <w:t>difficult</w:t>
      </w:r>
      <w:r>
        <w:rPr>
          <w:spacing w:val="-3"/>
        </w:rPr>
        <w:t> </w:t>
      </w:r>
      <w:r>
        <w:rPr/>
        <w:t>terrain</w:t>
      </w:r>
      <w:r>
        <w:rPr>
          <w:spacing w:val="-3"/>
        </w:rPr>
        <w:t> </w:t>
      </w:r>
      <w:r>
        <w:rPr/>
        <w:t>traversed</w:t>
      </w:r>
      <w:r>
        <w:rPr>
          <w:spacing w:val="-3"/>
        </w:rPr>
        <w:t> </w:t>
      </w:r>
      <w:r>
        <w:rPr/>
        <w:t>during the conduct of interviews of the stakeholders made navigation quite difficult and tasking.</w:t>
      </w:r>
      <w:r>
        <w:rPr>
          <w:spacing w:val="40"/>
        </w:rPr>
        <w:t> </w:t>
      </w:r>
      <w:r>
        <w:rPr/>
        <w:t>A lot of difficulties were encountered in the course of data collection, especially</w:t>
      </w:r>
      <w:r>
        <w:rPr>
          <w:spacing w:val="50"/>
          <w:w w:val="150"/>
        </w:rPr>
        <w:t> </w:t>
      </w:r>
      <w:r>
        <w:rPr/>
        <w:t>the</w:t>
      </w:r>
      <w:r>
        <w:rPr>
          <w:spacing w:val="60"/>
          <w:w w:val="150"/>
        </w:rPr>
        <w:t> </w:t>
      </w:r>
      <w:r>
        <w:rPr/>
        <w:t>field</w:t>
      </w:r>
      <w:r>
        <w:rPr>
          <w:spacing w:val="58"/>
          <w:w w:val="150"/>
        </w:rPr>
        <w:t> </w:t>
      </w:r>
      <w:r>
        <w:rPr/>
        <w:t>trip.</w:t>
      </w:r>
      <w:r>
        <w:rPr>
          <w:spacing w:val="59"/>
          <w:w w:val="150"/>
        </w:rPr>
        <w:t>  </w:t>
      </w:r>
      <w:r>
        <w:rPr/>
        <w:t>Logistics</w:t>
      </w:r>
      <w:r>
        <w:rPr>
          <w:spacing w:val="58"/>
          <w:w w:val="150"/>
        </w:rPr>
        <w:t> </w:t>
      </w:r>
      <w:r>
        <w:rPr/>
        <w:t>was</w:t>
      </w:r>
      <w:r>
        <w:rPr>
          <w:spacing w:val="59"/>
          <w:w w:val="150"/>
        </w:rPr>
        <w:t> </w:t>
      </w:r>
      <w:r>
        <w:rPr/>
        <w:t>a</w:t>
      </w:r>
      <w:r>
        <w:rPr>
          <w:spacing w:val="60"/>
          <w:w w:val="150"/>
        </w:rPr>
        <w:t> </w:t>
      </w:r>
      <w:r>
        <w:rPr/>
        <w:t>major</w:t>
      </w:r>
      <w:r>
        <w:rPr>
          <w:spacing w:val="56"/>
          <w:w w:val="150"/>
        </w:rPr>
        <w:t> </w:t>
      </w:r>
      <w:r>
        <w:rPr/>
        <w:t>problem</w:t>
      </w:r>
      <w:r>
        <w:rPr>
          <w:spacing w:val="60"/>
          <w:w w:val="150"/>
        </w:rPr>
        <w:t> </w:t>
      </w:r>
      <w:r>
        <w:rPr/>
        <w:t>as</w:t>
      </w:r>
      <w:r>
        <w:rPr>
          <w:spacing w:val="57"/>
          <w:w w:val="150"/>
        </w:rPr>
        <w:t> </w:t>
      </w:r>
      <w:r>
        <w:rPr/>
        <w:t>trips</w:t>
      </w:r>
      <w:r>
        <w:rPr>
          <w:spacing w:val="61"/>
          <w:w w:val="150"/>
        </w:rPr>
        <w:t> </w:t>
      </w:r>
      <w:r>
        <w:rPr/>
        <w:t>to</w:t>
      </w:r>
      <w:r>
        <w:rPr>
          <w:spacing w:val="59"/>
          <w:w w:val="150"/>
        </w:rPr>
        <w:t> </w:t>
      </w:r>
      <w:r>
        <w:rPr>
          <w:spacing w:val="-2"/>
        </w:rPr>
        <w:t>riverine</w:t>
      </w:r>
    </w:p>
    <w:p>
      <w:pPr>
        <w:spacing w:after="0" w:line="336" w:lineRule="auto"/>
        <w:jc w:val="both"/>
        <w:sectPr>
          <w:pgSz w:w="11910" w:h="16840"/>
          <w:pgMar w:header="0" w:footer="1561" w:top="1340" w:bottom="1760" w:left="720" w:right="180"/>
        </w:sectPr>
      </w:pPr>
    </w:p>
    <w:p>
      <w:pPr>
        <w:pStyle w:val="BodyText"/>
        <w:spacing w:line="336" w:lineRule="auto" w:before="78"/>
        <w:ind w:right="1261"/>
        <w:jc w:val="both"/>
      </w:pPr>
      <w:r>
        <w:rPr/>
        <mc:AlternateContent>
          <mc:Choice Requires="wps">
            <w:drawing>
              <wp:anchor distT="0" distB="0" distL="0" distR="0" allowOverlap="1" layoutInCell="1" locked="0" behindDoc="1" simplePos="0" relativeHeight="480629760">
                <wp:simplePos x="0" y="0"/>
                <wp:positionH relativeFrom="page">
                  <wp:posOffset>-1537026</wp:posOffset>
                </wp:positionH>
                <wp:positionV relativeFrom="page">
                  <wp:posOffset>4900424</wp:posOffset>
                </wp:positionV>
                <wp:extent cx="10669905" cy="914400"/>
                <wp:effectExtent l="0" t="0" r="0" b="0"/>
                <wp:wrapNone/>
                <wp:docPr id="208" name="Textbox 208"/>
                <wp:cNvGraphicFramePr>
                  <a:graphicFrameLocks/>
                </wp:cNvGraphicFramePr>
                <a:graphic>
                  <a:graphicData uri="http://schemas.microsoft.com/office/word/2010/wordprocessingShape">
                    <wps:wsp>
                      <wps:cNvPr id="208" name="Textbox 208"/>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86720;rotation:306" type="#_x0000_t136" fillcolor="#ff5400" stroked="f">
                <o:extrusion v:ext="view" autorotationcenter="t"/>
                <v:textpath style="font-family:&quot;Arial MT&quot;;font-size:72pt;v-text-kern:t;mso-text-shadow:auto" string="UNIVERSITY OF IBADAN"/>
                <w10:wrap type="none"/>
              </v:shape>
            </w:pict>
          </mc:Fallback>
        </mc:AlternateContent>
      </w:r>
      <w:r>
        <w:rPr/>
        <w:t>communities by boats often took hours and sometimes at prohibitive cost.</w:t>
      </w:r>
      <w:r>
        <w:rPr>
          <w:spacing w:val="40"/>
        </w:rPr>
        <w:t> </w:t>
      </w:r>
      <w:r>
        <w:rPr/>
        <w:t>The aforementioned problems made the fieldwork to last longer than was expected. However, these problems did not affect the validity of the findings of the study. Publications such as books, reports, journals, magazines, briefs, internet and newspapers were used to make up for the shortcomings.</w:t>
      </w:r>
    </w:p>
    <w:p>
      <w:pPr>
        <w:spacing w:after="0" w:line="336" w:lineRule="auto"/>
        <w:jc w:val="both"/>
        <w:sectPr>
          <w:pgSz w:w="11910" w:h="16840"/>
          <w:pgMar w:header="0" w:footer="1561" w:top="1340" w:bottom="1760" w:left="720" w:right="180"/>
        </w:sectPr>
      </w:pPr>
    </w:p>
    <w:p>
      <w:pPr>
        <w:pStyle w:val="Heading1"/>
        <w:spacing w:line="360" w:lineRule="auto" w:before="65"/>
        <w:ind w:left="3896" w:right="3654" w:firstLine="741"/>
      </w:pPr>
      <w:r>
        <w:rPr/>
        <mc:AlternateContent>
          <mc:Choice Requires="wps">
            <w:drawing>
              <wp:anchor distT="0" distB="0" distL="0" distR="0" allowOverlap="1" layoutInCell="1" locked="0" behindDoc="1" simplePos="0" relativeHeight="480630272">
                <wp:simplePos x="0" y="0"/>
                <wp:positionH relativeFrom="page">
                  <wp:posOffset>-1537026</wp:posOffset>
                </wp:positionH>
                <wp:positionV relativeFrom="page">
                  <wp:posOffset>4900424</wp:posOffset>
                </wp:positionV>
                <wp:extent cx="10669905" cy="914400"/>
                <wp:effectExtent l="0" t="0" r="0" b="0"/>
                <wp:wrapNone/>
                <wp:docPr id="209" name="Textbox 209"/>
                <wp:cNvGraphicFramePr>
                  <a:graphicFrameLocks/>
                </wp:cNvGraphicFramePr>
                <a:graphic>
                  <a:graphicData uri="http://schemas.microsoft.com/office/word/2010/wordprocessingShape">
                    <wps:wsp>
                      <wps:cNvPr id="209" name="Textbox 209"/>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86208;rotation:306" type="#_x0000_t136" fillcolor="#ff5400" stroked="f">
                <o:extrusion v:ext="view" autorotationcenter="t"/>
                <v:textpath style="font-family:&quot;Arial MT&quot;;font-size:72pt;v-text-kern:t;mso-text-shadow:auto" string="UNIVERSITY OF IBADAN"/>
                <w10:wrap type="none"/>
              </v:shape>
            </w:pict>
          </mc:Fallback>
        </mc:AlternateContent>
      </w:r>
      <w:bookmarkStart w:name="_TOC_250007" w:id="35"/>
      <w:r>
        <w:rPr/>
        <w:t>CHAPTER FOUR RESULTS</w:t>
      </w:r>
      <w:r>
        <w:rPr>
          <w:spacing w:val="-15"/>
        </w:rPr>
        <w:t> </w:t>
      </w:r>
      <w:r>
        <w:rPr/>
        <w:t>AND</w:t>
      </w:r>
      <w:r>
        <w:rPr>
          <w:spacing w:val="-15"/>
        </w:rPr>
        <w:t> </w:t>
      </w:r>
      <w:bookmarkEnd w:id="35"/>
      <w:r>
        <w:rPr/>
        <w:t>DISCUSSIONS</w:t>
      </w:r>
    </w:p>
    <w:p>
      <w:pPr>
        <w:pStyle w:val="BodyText"/>
        <w:spacing w:before="137"/>
        <w:ind w:left="0"/>
        <w:rPr>
          <w:b/>
        </w:rPr>
      </w:pPr>
    </w:p>
    <w:p>
      <w:pPr>
        <w:pStyle w:val="ListParagraph"/>
        <w:numPr>
          <w:ilvl w:val="1"/>
          <w:numId w:val="16"/>
        </w:numPr>
        <w:tabs>
          <w:tab w:pos="2160" w:val="left" w:leader="none"/>
        </w:tabs>
        <w:spacing w:line="240" w:lineRule="auto" w:before="1" w:after="0"/>
        <w:ind w:left="2160" w:right="0" w:hanging="720"/>
        <w:jc w:val="both"/>
        <w:rPr>
          <w:b/>
          <w:sz w:val="24"/>
        </w:rPr>
      </w:pPr>
      <w:r>
        <w:rPr>
          <w:b/>
          <w:spacing w:val="-2"/>
          <w:sz w:val="24"/>
        </w:rPr>
        <w:t>INTRODUCTION</w:t>
      </w:r>
    </w:p>
    <w:p>
      <w:pPr>
        <w:pStyle w:val="BodyText"/>
        <w:spacing w:line="360" w:lineRule="auto" w:before="134"/>
        <w:ind w:right="1263" w:firstLine="720"/>
        <w:jc w:val="both"/>
      </w:pPr>
      <w:r>
        <w:rPr/>
        <w:t>Data obtained from the fieldwork are presented in this chapter.</w:t>
      </w:r>
      <w:r>
        <w:rPr>
          <w:spacing w:val="40"/>
        </w:rPr>
        <w:t> </w:t>
      </w:r>
      <w:r>
        <w:rPr/>
        <w:t>The results from analyses of the data are presented and discussed.</w:t>
      </w:r>
    </w:p>
    <w:p>
      <w:pPr>
        <w:pStyle w:val="BodyText"/>
        <w:spacing w:before="5"/>
        <w:ind w:left="0"/>
      </w:pPr>
    </w:p>
    <w:p>
      <w:pPr>
        <w:pStyle w:val="Heading1"/>
        <w:numPr>
          <w:ilvl w:val="1"/>
          <w:numId w:val="17"/>
        </w:numPr>
        <w:tabs>
          <w:tab w:pos="2117" w:val="left" w:leader="none"/>
          <w:tab w:pos="2160" w:val="left" w:leader="none"/>
        </w:tabs>
        <w:spacing w:line="360" w:lineRule="auto" w:before="0" w:after="0"/>
        <w:ind w:left="2117" w:right="1720" w:hanging="677"/>
        <w:jc w:val="left"/>
      </w:pPr>
      <w:bookmarkStart w:name="_TOC_250006" w:id="36"/>
      <w:r>
        <w:rPr/>
        <w:tab/>
        <w:t>ASSESSMENT</w:t>
      </w:r>
      <w:r>
        <w:rPr>
          <w:spacing w:val="-6"/>
        </w:rPr>
        <w:t> </w:t>
      </w:r>
      <w:r>
        <w:rPr/>
        <w:t>OF</w:t>
      </w:r>
      <w:r>
        <w:rPr>
          <w:spacing w:val="-8"/>
        </w:rPr>
        <w:t> </w:t>
      </w:r>
      <w:r>
        <w:rPr/>
        <w:t>JOINT</w:t>
      </w:r>
      <w:r>
        <w:rPr>
          <w:spacing w:val="-6"/>
        </w:rPr>
        <w:t> </w:t>
      </w:r>
      <w:r>
        <w:rPr/>
        <w:t>MILITARY</w:t>
      </w:r>
      <w:r>
        <w:rPr>
          <w:spacing w:val="-6"/>
        </w:rPr>
        <w:t> </w:t>
      </w:r>
      <w:r>
        <w:rPr/>
        <w:t>TASK</w:t>
      </w:r>
      <w:r>
        <w:rPr>
          <w:spacing w:val="-6"/>
        </w:rPr>
        <w:t> </w:t>
      </w:r>
      <w:r>
        <w:rPr/>
        <w:t>FORCE</w:t>
      </w:r>
      <w:r>
        <w:rPr>
          <w:spacing w:val="-6"/>
        </w:rPr>
        <w:t> </w:t>
      </w:r>
      <w:r>
        <w:rPr/>
        <w:t>AND</w:t>
      </w:r>
      <w:r>
        <w:rPr>
          <w:spacing w:val="-6"/>
        </w:rPr>
        <w:t> </w:t>
      </w:r>
      <w:bookmarkEnd w:id="36"/>
      <w:r>
        <w:rPr/>
        <w:t>NIGER DELTA CONFLICT</w:t>
      </w:r>
    </w:p>
    <w:p>
      <w:pPr>
        <w:pStyle w:val="BodyText"/>
        <w:ind w:left="0"/>
        <w:rPr>
          <w:b/>
        </w:rPr>
      </w:pPr>
    </w:p>
    <w:p>
      <w:pPr>
        <w:pStyle w:val="Heading2"/>
        <w:numPr>
          <w:ilvl w:val="2"/>
          <w:numId w:val="17"/>
        </w:numPr>
        <w:tabs>
          <w:tab w:pos="2160" w:val="left" w:leader="none"/>
        </w:tabs>
        <w:spacing w:line="240" w:lineRule="auto" w:before="1" w:after="0"/>
        <w:ind w:left="2160" w:right="0" w:hanging="720"/>
        <w:jc w:val="both"/>
      </w:pPr>
      <w:r>
        <w:rPr/>
        <w:t>Background</w:t>
      </w:r>
      <w:r>
        <w:rPr>
          <w:spacing w:val="-2"/>
        </w:rPr>
        <w:t> Information</w:t>
      </w:r>
    </w:p>
    <w:p>
      <w:pPr>
        <w:pStyle w:val="BodyText"/>
        <w:spacing w:line="360" w:lineRule="auto" w:before="132"/>
        <w:ind w:right="1257" w:firstLine="720"/>
        <w:jc w:val="both"/>
      </w:pPr>
      <w:r>
        <w:rPr/>
        <w:t>This section gives an overview of the Joint Military Task Force in the Niger Delta by tracing the evolution of military operations in the Niger Delta region, the historical context of JTF, the JTF Rules of Engagement (ROE), JTF mandate and concept of operations.</w:t>
      </w:r>
      <w:r>
        <w:rPr>
          <w:spacing w:val="40"/>
        </w:rPr>
        <w:t> </w:t>
      </w:r>
      <w:r>
        <w:rPr/>
        <w:t>Also presented in this chapter, is the achievement of JTF operation, and an assessment of Operation RESTORE HOPE and Operation FLUSHOUT III. Furthermore, the community perception of JTF operations was also analysed and discussed.</w:t>
      </w:r>
    </w:p>
    <w:p>
      <w:pPr>
        <w:pStyle w:val="Heading2"/>
        <w:numPr>
          <w:ilvl w:val="2"/>
          <w:numId w:val="17"/>
        </w:numPr>
        <w:tabs>
          <w:tab w:pos="2160" w:val="left" w:leader="none"/>
        </w:tabs>
        <w:spacing w:line="240" w:lineRule="auto" w:before="6" w:after="0"/>
        <w:ind w:left="2160" w:right="0" w:hanging="720"/>
        <w:jc w:val="both"/>
      </w:pPr>
      <w:r>
        <w:rPr/>
        <w:t>Overview</w:t>
      </w:r>
      <w:r>
        <w:rPr>
          <w:spacing w:val="-2"/>
        </w:rPr>
        <w:t> </w:t>
      </w:r>
      <w:r>
        <w:rPr/>
        <w:t>of Joint</w:t>
      </w:r>
      <w:r>
        <w:rPr>
          <w:spacing w:val="-1"/>
        </w:rPr>
        <w:t> </w:t>
      </w:r>
      <w:r>
        <w:rPr/>
        <w:t>Military</w:t>
      </w:r>
      <w:r>
        <w:rPr>
          <w:spacing w:val="-1"/>
        </w:rPr>
        <w:t> </w:t>
      </w:r>
      <w:r>
        <w:rPr/>
        <w:t>Task</w:t>
      </w:r>
      <w:r>
        <w:rPr>
          <w:spacing w:val="-1"/>
        </w:rPr>
        <w:t> </w:t>
      </w:r>
      <w:r>
        <w:rPr/>
        <w:t>Force</w:t>
      </w:r>
      <w:r>
        <w:rPr>
          <w:spacing w:val="-2"/>
        </w:rPr>
        <w:t> </w:t>
      </w:r>
      <w:r>
        <w:rPr/>
        <w:t>in the</w:t>
      </w:r>
      <w:r>
        <w:rPr>
          <w:spacing w:val="-2"/>
        </w:rPr>
        <w:t> </w:t>
      </w:r>
      <w:r>
        <w:rPr/>
        <w:t>Niger</w:t>
      </w:r>
      <w:r>
        <w:rPr>
          <w:spacing w:val="-3"/>
        </w:rPr>
        <w:t> </w:t>
      </w:r>
      <w:r>
        <w:rPr>
          <w:spacing w:val="-2"/>
        </w:rPr>
        <w:t>Delta</w:t>
      </w:r>
    </w:p>
    <w:p>
      <w:pPr>
        <w:pStyle w:val="BodyText"/>
        <w:spacing w:line="360" w:lineRule="auto" w:before="132"/>
        <w:ind w:right="1256" w:firstLine="720"/>
        <w:jc w:val="both"/>
      </w:pPr>
      <w:r>
        <w:rPr/>
        <w:t>It is imperative to give an overview of the Joint Military Task Force in the Niger Delta as a prelude to the assessment of the various operations therein.</w:t>
      </w:r>
      <w:r>
        <w:rPr>
          <w:spacing w:val="40"/>
        </w:rPr>
        <w:t> </w:t>
      </w:r>
      <w:r>
        <w:rPr/>
        <w:t>Towards this,</w:t>
      </w:r>
      <w:r>
        <w:rPr>
          <w:spacing w:val="-1"/>
        </w:rPr>
        <w:t> </w:t>
      </w:r>
      <w:r>
        <w:rPr/>
        <w:t>the</w:t>
      </w:r>
      <w:r>
        <w:rPr>
          <w:spacing w:val="-1"/>
        </w:rPr>
        <w:t> </w:t>
      </w:r>
      <w:r>
        <w:rPr/>
        <w:t>evolution</w:t>
      </w:r>
      <w:r>
        <w:rPr>
          <w:spacing w:val="-1"/>
        </w:rPr>
        <w:t> </w:t>
      </w:r>
      <w:r>
        <w:rPr/>
        <w:t>of</w:t>
      </w:r>
      <w:r>
        <w:rPr>
          <w:spacing w:val="-3"/>
        </w:rPr>
        <w:t> </w:t>
      </w:r>
      <w:r>
        <w:rPr/>
        <w:t>military</w:t>
      </w:r>
      <w:r>
        <w:rPr>
          <w:spacing w:val="-5"/>
        </w:rPr>
        <w:t> </w:t>
      </w:r>
      <w:r>
        <w:rPr/>
        <w:t>operation in</w:t>
      </w:r>
      <w:r>
        <w:rPr>
          <w:spacing w:val="-1"/>
        </w:rPr>
        <w:t> </w:t>
      </w:r>
      <w:r>
        <w:rPr/>
        <w:t>the</w:t>
      </w:r>
      <w:r>
        <w:rPr>
          <w:spacing w:val="-1"/>
        </w:rPr>
        <w:t> </w:t>
      </w:r>
      <w:r>
        <w:rPr/>
        <w:t>region,</w:t>
      </w:r>
      <w:r>
        <w:rPr>
          <w:spacing w:val="-1"/>
        </w:rPr>
        <w:t> </w:t>
      </w:r>
      <w:r>
        <w:rPr/>
        <w:t>the</w:t>
      </w:r>
      <w:r>
        <w:rPr>
          <w:spacing w:val="-1"/>
        </w:rPr>
        <w:t> </w:t>
      </w:r>
      <w:r>
        <w:rPr/>
        <w:t>historical</w:t>
      </w:r>
      <w:r>
        <w:rPr>
          <w:spacing w:val="-1"/>
        </w:rPr>
        <w:t> </w:t>
      </w:r>
      <w:r>
        <w:rPr/>
        <w:t>context</w:t>
      </w:r>
      <w:r>
        <w:rPr>
          <w:spacing w:val="-2"/>
        </w:rPr>
        <w:t> </w:t>
      </w:r>
      <w:r>
        <w:rPr/>
        <w:t>of</w:t>
      </w:r>
      <w:r>
        <w:rPr>
          <w:spacing w:val="-1"/>
        </w:rPr>
        <w:t> </w:t>
      </w:r>
      <w:r>
        <w:rPr/>
        <w:t>the</w:t>
      </w:r>
      <w:r>
        <w:rPr>
          <w:spacing w:val="-1"/>
        </w:rPr>
        <w:t> </w:t>
      </w:r>
      <w:r>
        <w:rPr/>
        <w:t>JTF, the Operation RESTORE HOPE mandate, as well as the JTF organisation were discussed. Furthermore, the JTF's concept of operation and its attendant challenges were also highlighted.</w:t>
      </w:r>
    </w:p>
    <w:p>
      <w:pPr>
        <w:pStyle w:val="Heading2"/>
        <w:numPr>
          <w:ilvl w:val="3"/>
          <w:numId w:val="17"/>
        </w:numPr>
        <w:tabs>
          <w:tab w:pos="2160" w:val="left" w:leader="none"/>
        </w:tabs>
        <w:spacing w:line="240" w:lineRule="auto" w:before="5" w:after="0"/>
        <w:ind w:left="2160" w:right="0" w:hanging="720"/>
        <w:jc w:val="both"/>
      </w:pPr>
      <w:r>
        <w:rPr/>
        <w:t>Evolution</w:t>
      </w:r>
      <w:r>
        <w:rPr>
          <w:spacing w:val="-4"/>
        </w:rPr>
        <w:t> </w:t>
      </w:r>
      <w:r>
        <w:rPr/>
        <w:t>of Military</w:t>
      </w:r>
      <w:r>
        <w:rPr>
          <w:spacing w:val="-1"/>
        </w:rPr>
        <w:t> </w:t>
      </w:r>
      <w:r>
        <w:rPr/>
        <w:t>Operations</w:t>
      </w:r>
      <w:r>
        <w:rPr>
          <w:spacing w:val="-1"/>
        </w:rPr>
        <w:t> </w:t>
      </w:r>
      <w:r>
        <w:rPr/>
        <w:t>in the</w:t>
      </w:r>
      <w:r>
        <w:rPr>
          <w:spacing w:val="-2"/>
        </w:rPr>
        <w:t> </w:t>
      </w:r>
      <w:r>
        <w:rPr/>
        <w:t>Niger</w:t>
      </w:r>
      <w:r>
        <w:rPr>
          <w:spacing w:val="-2"/>
        </w:rPr>
        <w:t> Delta</w:t>
      </w:r>
    </w:p>
    <w:p>
      <w:pPr>
        <w:pStyle w:val="BodyText"/>
        <w:spacing w:line="360" w:lineRule="auto" w:before="135"/>
        <w:ind w:right="1257" w:firstLine="720"/>
        <w:jc w:val="both"/>
      </w:pPr>
      <w:r>
        <w:rPr/>
        <w:t>According to Obasi (2005), the military has been deployed in several operations to manage the conflicts in the Niger Delta since 1966.</w:t>
      </w:r>
      <w:r>
        <w:rPr>
          <w:spacing w:val="40"/>
        </w:rPr>
        <w:t> </w:t>
      </w:r>
      <w:r>
        <w:rPr/>
        <w:t>Six major types of military</w:t>
      </w:r>
      <w:r>
        <w:rPr>
          <w:spacing w:val="-8"/>
        </w:rPr>
        <w:t> </w:t>
      </w:r>
      <w:r>
        <w:rPr/>
        <w:t>operations</w:t>
      </w:r>
      <w:r>
        <w:rPr>
          <w:spacing w:val="-1"/>
        </w:rPr>
        <w:t> </w:t>
      </w:r>
      <w:r>
        <w:rPr/>
        <w:t>has</w:t>
      </w:r>
      <w:r>
        <w:rPr>
          <w:spacing w:val="-1"/>
        </w:rPr>
        <w:t> </w:t>
      </w:r>
      <w:r>
        <w:rPr/>
        <w:t>been</w:t>
      </w:r>
      <w:r>
        <w:rPr>
          <w:spacing w:val="-1"/>
        </w:rPr>
        <w:t> </w:t>
      </w:r>
      <w:r>
        <w:rPr/>
        <w:t>identified.</w:t>
      </w:r>
      <w:r>
        <w:rPr>
          <w:spacing w:val="80"/>
        </w:rPr>
        <w:t> </w:t>
      </w:r>
      <w:r>
        <w:rPr/>
        <w:t>First,</w:t>
      </w:r>
      <w:r>
        <w:rPr>
          <w:spacing w:val="-1"/>
        </w:rPr>
        <w:t> </w:t>
      </w:r>
      <w:r>
        <w:rPr/>
        <w:t>the military</w:t>
      </w:r>
      <w:r>
        <w:rPr>
          <w:spacing w:val="-6"/>
        </w:rPr>
        <w:t> </w:t>
      </w:r>
      <w:r>
        <w:rPr/>
        <w:t>clampdown</w:t>
      </w:r>
      <w:r>
        <w:rPr>
          <w:spacing w:val="-2"/>
        </w:rPr>
        <w:t> </w:t>
      </w:r>
      <w:r>
        <w:rPr/>
        <w:t>of Isaac</w:t>
      </w:r>
      <w:r>
        <w:rPr>
          <w:spacing w:val="-2"/>
        </w:rPr>
        <w:t> </w:t>
      </w:r>
      <w:r>
        <w:rPr/>
        <w:t>Adaka Boro Revolt; 23 February – 06 March, 1966.</w:t>
      </w:r>
      <w:r>
        <w:rPr>
          <w:spacing w:val="40"/>
        </w:rPr>
        <w:t> </w:t>
      </w:r>
      <w:r>
        <w:rPr/>
        <w:t>On 23 February, 1966 Major Isaac Adaka Boro and a gang of 158 youth volunteers tagged the Niger Delta Volunteer Force (NDVF) sought to pull the Niger Delta region out of the Nigerian Federation. Within</w:t>
      </w:r>
      <w:r>
        <w:rPr>
          <w:spacing w:val="22"/>
        </w:rPr>
        <w:t> </w:t>
      </w:r>
      <w:r>
        <w:rPr/>
        <w:t>12</w:t>
      </w:r>
      <w:r>
        <w:rPr>
          <w:spacing w:val="24"/>
        </w:rPr>
        <w:t> </w:t>
      </w:r>
      <w:r>
        <w:rPr/>
        <w:t>days,</w:t>
      </w:r>
      <w:r>
        <w:rPr>
          <w:spacing w:val="26"/>
        </w:rPr>
        <w:t> </w:t>
      </w:r>
      <w:r>
        <w:rPr/>
        <w:t>the</w:t>
      </w:r>
      <w:r>
        <w:rPr>
          <w:spacing w:val="24"/>
        </w:rPr>
        <w:t> </w:t>
      </w:r>
      <w:r>
        <w:rPr/>
        <w:t>force</w:t>
      </w:r>
      <w:r>
        <w:rPr>
          <w:spacing w:val="22"/>
        </w:rPr>
        <w:t> </w:t>
      </w:r>
      <w:r>
        <w:rPr/>
        <w:t>overran</w:t>
      </w:r>
      <w:r>
        <w:rPr>
          <w:spacing w:val="26"/>
        </w:rPr>
        <w:t> </w:t>
      </w:r>
      <w:r>
        <w:rPr/>
        <w:t>many</w:t>
      </w:r>
      <w:r>
        <w:rPr>
          <w:spacing w:val="21"/>
        </w:rPr>
        <w:t> </w:t>
      </w:r>
      <w:r>
        <w:rPr/>
        <w:t>communities</w:t>
      </w:r>
      <w:r>
        <w:rPr>
          <w:spacing w:val="24"/>
        </w:rPr>
        <w:t> </w:t>
      </w:r>
      <w:r>
        <w:rPr/>
        <w:t>and</w:t>
      </w:r>
      <w:r>
        <w:rPr>
          <w:spacing w:val="23"/>
        </w:rPr>
        <w:t> </w:t>
      </w:r>
      <w:r>
        <w:rPr/>
        <w:t>disrupted</w:t>
      </w:r>
      <w:r>
        <w:rPr>
          <w:spacing w:val="26"/>
        </w:rPr>
        <w:t> </w:t>
      </w:r>
      <w:r>
        <w:rPr/>
        <w:t>socio-</w:t>
      </w:r>
      <w:r>
        <w:rPr>
          <w:spacing w:val="-2"/>
        </w:rPr>
        <w:t>economic</w:t>
      </w:r>
    </w:p>
    <w:p>
      <w:pPr>
        <w:spacing w:after="0" w:line="360" w:lineRule="auto"/>
        <w:jc w:val="both"/>
        <w:sectPr>
          <w:pgSz w:w="11910" w:h="16840"/>
          <w:pgMar w:header="0" w:footer="1561" w:top="1360" w:bottom="1760" w:left="720" w:right="180"/>
        </w:sectPr>
      </w:pPr>
    </w:p>
    <w:p>
      <w:pPr>
        <w:pStyle w:val="BodyText"/>
        <w:spacing w:line="360" w:lineRule="auto" w:before="60"/>
        <w:ind w:right="1258"/>
        <w:jc w:val="both"/>
      </w:pPr>
      <w:r>
        <w:rPr/>
        <mc:AlternateContent>
          <mc:Choice Requires="wps">
            <w:drawing>
              <wp:anchor distT="0" distB="0" distL="0" distR="0" allowOverlap="1" layoutInCell="1" locked="0" behindDoc="1" simplePos="0" relativeHeight="480630784">
                <wp:simplePos x="0" y="0"/>
                <wp:positionH relativeFrom="page">
                  <wp:posOffset>-1537026</wp:posOffset>
                </wp:positionH>
                <wp:positionV relativeFrom="page">
                  <wp:posOffset>4900424</wp:posOffset>
                </wp:positionV>
                <wp:extent cx="10669905" cy="914400"/>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85696;rotation:306" type="#_x0000_t136" fillcolor="#ff5400" stroked="f">
                <o:extrusion v:ext="view" autorotationcenter="t"/>
                <v:textpath style="font-family:&quot;Arial MT&quot;;font-size:72pt;v-text-kern:t;mso-text-shadow:auto" string="UNIVERSITY OF IBADAN"/>
                <w10:wrap type="none"/>
              </v:shape>
            </w:pict>
          </mc:Fallback>
        </mc:AlternateContent>
      </w:r>
      <w:r>
        <w:rPr/>
        <w:t>activities of the populace including expatriates working on oil installations.</w:t>
      </w:r>
      <w:r>
        <w:rPr>
          <w:spacing w:val="40"/>
        </w:rPr>
        <w:t> </w:t>
      </w:r>
      <w:r>
        <w:rPr/>
        <w:t>The military responded immediately by the deployment of a unit of the Nigerian Army to clampdown on the rebels.</w:t>
      </w:r>
      <w:r>
        <w:rPr>
          <w:spacing w:val="40"/>
        </w:rPr>
        <w:t> </w:t>
      </w:r>
      <w:r>
        <w:rPr/>
        <w:t>(</w:t>
      </w:r>
      <w:r>
        <w:rPr>
          <w:i/>
        </w:rPr>
        <w:t>The Guardian</w:t>
      </w:r>
      <w:r>
        <w:rPr/>
        <w:t>, September 2, 2007: 15)</w:t>
      </w:r>
    </w:p>
    <w:p>
      <w:pPr>
        <w:pStyle w:val="Heading2"/>
        <w:spacing w:before="5"/>
        <w:ind w:left="1500"/>
        <w:jc w:val="both"/>
      </w:pPr>
      <w:r>
        <w:rPr/>
        <w:t>The</w:t>
      </w:r>
      <w:r>
        <w:rPr>
          <w:spacing w:val="-2"/>
        </w:rPr>
        <w:t> </w:t>
      </w:r>
      <w:r>
        <w:rPr/>
        <w:t>Rivers</w:t>
      </w:r>
      <w:r>
        <w:rPr>
          <w:spacing w:val="-1"/>
        </w:rPr>
        <w:t> </w:t>
      </w:r>
      <w:r>
        <w:rPr/>
        <w:t>State</w:t>
      </w:r>
      <w:r>
        <w:rPr>
          <w:spacing w:val="-2"/>
        </w:rPr>
        <w:t> </w:t>
      </w:r>
      <w:r>
        <w:rPr/>
        <w:t>Internal</w:t>
      </w:r>
      <w:r>
        <w:rPr>
          <w:spacing w:val="-1"/>
        </w:rPr>
        <w:t> </w:t>
      </w:r>
      <w:r>
        <w:rPr/>
        <w:t>Security</w:t>
      </w:r>
      <w:r>
        <w:rPr>
          <w:spacing w:val="-1"/>
        </w:rPr>
        <w:t> </w:t>
      </w:r>
      <w:r>
        <w:rPr/>
        <w:t>Task</w:t>
      </w:r>
      <w:r>
        <w:rPr>
          <w:spacing w:val="-1"/>
        </w:rPr>
        <w:t> </w:t>
      </w:r>
      <w:r>
        <w:rPr/>
        <w:t>Force,</w:t>
      </w:r>
      <w:r>
        <w:rPr>
          <w:spacing w:val="-1"/>
        </w:rPr>
        <w:t> </w:t>
      </w:r>
      <w:r>
        <w:rPr/>
        <w:t>1993</w:t>
      </w:r>
      <w:r>
        <w:rPr>
          <w:spacing w:val="3"/>
        </w:rPr>
        <w:t> </w:t>
      </w:r>
      <w:r>
        <w:rPr/>
        <w:t>–</w:t>
      </w:r>
      <w:r>
        <w:rPr>
          <w:spacing w:val="-1"/>
        </w:rPr>
        <w:t> </w:t>
      </w:r>
      <w:r>
        <w:rPr>
          <w:spacing w:val="-4"/>
        </w:rPr>
        <w:t>1998</w:t>
      </w:r>
    </w:p>
    <w:p>
      <w:pPr>
        <w:pStyle w:val="BodyText"/>
        <w:spacing w:line="360" w:lineRule="auto" w:before="134"/>
        <w:ind w:right="1256" w:firstLine="780"/>
        <w:jc w:val="both"/>
      </w:pPr>
      <w:r>
        <w:rPr/>
        <w:t>The Rivers State Internal Security</w:t>
      </w:r>
      <w:r>
        <w:rPr>
          <w:spacing w:val="-5"/>
        </w:rPr>
        <w:t> </w:t>
      </w:r>
      <w:r>
        <w:rPr/>
        <w:t>(IS) Task Force was set up in May</w:t>
      </w:r>
      <w:r>
        <w:rPr>
          <w:spacing w:val="-5"/>
        </w:rPr>
        <w:t> </w:t>
      </w:r>
      <w:r>
        <w:rPr/>
        <w:t>1993 by the Rivers State Government.</w:t>
      </w:r>
      <w:r>
        <w:rPr>
          <w:spacing w:val="80"/>
        </w:rPr>
        <w:t> </w:t>
      </w:r>
      <w:r>
        <w:rPr/>
        <w:t>This was in response to the violent clashes between</w:t>
      </w:r>
      <w:r>
        <w:rPr>
          <w:spacing w:val="40"/>
        </w:rPr>
        <w:t> </w:t>
      </w:r>
      <w:r>
        <w:rPr/>
        <w:t>cult groups and the incessant communal clashes particularly</w:t>
      </w:r>
      <w:r>
        <w:rPr>
          <w:spacing w:val="-4"/>
        </w:rPr>
        <w:t> </w:t>
      </w:r>
      <w:r>
        <w:rPr/>
        <w:t>involving</w:t>
      </w:r>
      <w:r>
        <w:rPr>
          <w:spacing w:val="-1"/>
        </w:rPr>
        <w:t> </w:t>
      </w:r>
      <w:r>
        <w:rPr/>
        <w:t>the Ogonis and their neighbours notably the Afams, the Okrikas and the Andonis. This eventually led to emergence of the Movement for the Survival of Ogonis People (MOSOP)</w:t>
      </w:r>
      <w:r>
        <w:rPr>
          <w:spacing w:val="40"/>
        </w:rPr>
        <w:t> </w:t>
      </w:r>
      <w:r>
        <w:rPr/>
        <w:t>struggles. The inability of the NPF to contain the situation, led to the deployment of military</w:t>
      </w:r>
      <w:r>
        <w:rPr>
          <w:spacing w:val="-7"/>
        </w:rPr>
        <w:t> </w:t>
      </w:r>
      <w:r>
        <w:rPr/>
        <w:t>under</w:t>
      </w:r>
      <w:r>
        <w:rPr>
          <w:spacing w:val="-1"/>
        </w:rPr>
        <w:t> </w:t>
      </w:r>
      <w:r>
        <w:rPr/>
        <w:t>the</w:t>
      </w:r>
      <w:r>
        <w:rPr>
          <w:spacing w:val="-2"/>
        </w:rPr>
        <w:t> </w:t>
      </w:r>
      <w:r>
        <w:rPr/>
        <w:t>auspices</w:t>
      </w:r>
      <w:r>
        <w:rPr>
          <w:spacing w:val="-2"/>
        </w:rPr>
        <w:t> </w:t>
      </w:r>
      <w:r>
        <w:rPr/>
        <w:t>of</w:t>
      </w:r>
      <w:r>
        <w:rPr>
          <w:spacing w:val="-2"/>
        </w:rPr>
        <w:t> </w:t>
      </w:r>
      <w:r>
        <w:rPr/>
        <w:t>the</w:t>
      </w:r>
      <w:r>
        <w:rPr>
          <w:spacing w:val="-3"/>
        </w:rPr>
        <w:t> </w:t>
      </w:r>
      <w:r>
        <w:rPr/>
        <w:t>River</w:t>
      </w:r>
      <w:r>
        <w:rPr>
          <w:spacing w:val="-4"/>
        </w:rPr>
        <w:t> </w:t>
      </w:r>
      <w:r>
        <w:rPr/>
        <w:t>State IS Task</w:t>
      </w:r>
      <w:r>
        <w:rPr>
          <w:spacing w:val="-2"/>
        </w:rPr>
        <w:t> </w:t>
      </w:r>
      <w:r>
        <w:rPr/>
        <w:t>force</w:t>
      </w:r>
      <w:r>
        <w:rPr>
          <w:spacing w:val="-3"/>
        </w:rPr>
        <w:t> </w:t>
      </w:r>
      <w:r>
        <w:rPr/>
        <w:t>led</w:t>
      </w:r>
      <w:r>
        <w:rPr>
          <w:spacing w:val="-2"/>
        </w:rPr>
        <w:t> </w:t>
      </w:r>
      <w:r>
        <w:rPr/>
        <w:t>by</w:t>
      </w:r>
      <w:r>
        <w:rPr>
          <w:spacing w:val="-7"/>
        </w:rPr>
        <w:t> </w:t>
      </w:r>
      <w:r>
        <w:rPr/>
        <w:t>the</w:t>
      </w:r>
      <w:r>
        <w:rPr>
          <w:spacing w:val="-3"/>
        </w:rPr>
        <w:t> </w:t>
      </w:r>
      <w:r>
        <w:rPr/>
        <w:t>then</w:t>
      </w:r>
      <w:r>
        <w:rPr>
          <w:spacing w:val="-1"/>
        </w:rPr>
        <w:t> </w:t>
      </w:r>
      <w:r>
        <w:rPr/>
        <w:t>Major</w:t>
      </w:r>
      <w:r>
        <w:rPr>
          <w:spacing w:val="-3"/>
        </w:rPr>
        <w:t> </w:t>
      </w:r>
      <w:r>
        <w:rPr/>
        <w:t>Paul Okuntimo.</w:t>
      </w:r>
      <w:r>
        <w:rPr>
          <w:spacing w:val="80"/>
        </w:rPr>
        <w:t> </w:t>
      </w:r>
      <w:r>
        <w:rPr/>
        <w:t>A noteworthy</w:t>
      </w:r>
      <w:r>
        <w:rPr>
          <w:spacing w:val="-1"/>
        </w:rPr>
        <w:t> </w:t>
      </w:r>
      <w:r>
        <w:rPr/>
        <w:t>episode in these operations was the sacking</w:t>
      </w:r>
      <w:r>
        <w:rPr>
          <w:spacing w:val="-1"/>
        </w:rPr>
        <w:t> </w:t>
      </w:r>
      <w:r>
        <w:rPr/>
        <w:t>of some Ogoni villages by the River State IS Task Force. According to the MOSOP, between July</w:t>
      </w:r>
      <w:r>
        <w:rPr>
          <w:spacing w:val="40"/>
        </w:rPr>
        <w:t> </w:t>
      </w:r>
      <w:r>
        <w:rPr/>
        <w:t>and September 1993, eight Ogoni villages were attacked and destroyed, leading</w:t>
      </w:r>
      <w:r>
        <w:rPr>
          <w:spacing w:val="-1"/>
        </w:rPr>
        <w:t> </w:t>
      </w:r>
      <w:r>
        <w:rPr/>
        <w:t>to the death of about 1000 people, while 20,000 others were turned into refugees (</w:t>
      </w:r>
      <w:r>
        <w:rPr>
          <w:i/>
        </w:rPr>
        <w:t>The Guardian</w:t>
      </w:r>
      <w:r>
        <w:rPr/>
        <w:t>, December 14, 1993:40). The active involvement of this task force in the Ogoni crisis rendered it suspect and it was therefore accused by both the local and international communities of high handedness and various human rights abuses such as indiscriminate use of road blocks, extortion, torture and rape.</w:t>
      </w:r>
      <w:r>
        <w:rPr>
          <w:spacing w:val="40"/>
        </w:rPr>
        <w:t> </w:t>
      </w:r>
      <w:r>
        <w:rPr/>
        <w:t>The force was later withdrawn with little or no success.</w:t>
      </w:r>
    </w:p>
    <w:p>
      <w:pPr>
        <w:pStyle w:val="BodyText"/>
        <w:spacing w:before="6"/>
        <w:ind w:left="0"/>
      </w:pPr>
    </w:p>
    <w:p>
      <w:pPr>
        <w:pStyle w:val="Heading2"/>
        <w:spacing w:line="360" w:lineRule="auto"/>
        <w:ind w:right="1254"/>
        <w:jc w:val="both"/>
      </w:pPr>
      <w:r>
        <w:rPr/>
        <w:t>Operation HAKURI II for Ijaw Kaiama Declaration, December 1998 – January </w:t>
      </w:r>
      <w:r>
        <w:rPr>
          <w:spacing w:val="-4"/>
        </w:rPr>
        <w:t>1999</w:t>
      </w:r>
    </w:p>
    <w:p>
      <w:pPr>
        <w:pStyle w:val="BodyText"/>
        <w:spacing w:line="360" w:lineRule="auto"/>
        <w:ind w:right="1257" w:firstLine="780"/>
        <w:jc w:val="both"/>
      </w:pPr>
      <w:r>
        <w:rPr/>
        <w:t>On 11 December, 1998, Ijaw Youth Congress (IYC) was formed at a meeting in Kaiama, Bayelsa State.</w:t>
      </w:r>
      <w:r>
        <w:rPr>
          <w:spacing w:val="40"/>
        </w:rPr>
        <w:t> </w:t>
      </w:r>
      <w:r>
        <w:rPr/>
        <w:t>The meetings in its communiqué referred to as “Kaiama Declaration” condemned the underdevelopment and environmental degradation of Ijaw land by the oil companies thereby attributing the Niger Delta crisis to the</w:t>
      </w:r>
      <w:r>
        <w:rPr>
          <w:spacing w:val="40"/>
        </w:rPr>
        <w:t> </w:t>
      </w:r>
      <w:r>
        <w:rPr/>
        <w:t>struggle for the control of oil mineral resources in the region.</w:t>
      </w:r>
      <w:r>
        <w:rPr>
          <w:spacing w:val="80"/>
        </w:rPr>
        <w:t> </w:t>
      </w:r>
      <w:r>
        <w:rPr/>
        <w:t>The declaration also called for the withdrawal of all oil companies from Ijaw land by December 30, 1998 (Ojo, 2003).</w:t>
      </w:r>
      <w:r>
        <w:rPr>
          <w:spacing w:val="40"/>
        </w:rPr>
        <w:t> </w:t>
      </w:r>
      <w:r>
        <w:rPr/>
        <w:t>The youth claimed:</w:t>
      </w:r>
    </w:p>
    <w:p>
      <w:pPr>
        <w:pStyle w:val="BodyText"/>
        <w:spacing w:line="276" w:lineRule="auto"/>
        <w:ind w:left="3601" w:right="3112"/>
      </w:pPr>
      <w:r>
        <w:rPr/>
        <w:t>We are tired of gas flaring, oil spills, blowouts</w:t>
      </w:r>
      <w:r>
        <w:rPr>
          <w:spacing w:val="-10"/>
        </w:rPr>
        <w:t> </w:t>
      </w:r>
      <w:r>
        <w:rPr/>
        <w:t>and</w:t>
      </w:r>
      <w:r>
        <w:rPr>
          <w:spacing w:val="-10"/>
        </w:rPr>
        <w:t> </w:t>
      </w:r>
      <w:r>
        <w:rPr/>
        <w:t>being</w:t>
      </w:r>
      <w:r>
        <w:rPr>
          <w:spacing w:val="-12"/>
        </w:rPr>
        <w:t> </w:t>
      </w:r>
      <w:r>
        <w:rPr/>
        <w:t>labeled</w:t>
      </w:r>
      <w:r>
        <w:rPr>
          <w:spacing w:val="-10"/>
        </w:rPr>
        <w:t> </w:t>
      </w:r>
      <w:r>
        <w:rPr/>
        <w:t>saboteurs</w:t>
      </w:r>
    </w:p>
    <w:p>
      <w:pPr>
        <w:pStyle w:val="BodyText"/>
        <w:spacing w:line="276" w:lineRule="auto"/>
        <w:ind w:left="3601" w:right="2850"/>
      </w:pPr>
      <w:r>
        <w:rPr/>
        <w:t>and terrorists.</w:t>
      </w:r>
      <w:r>
        <w:rPr>
          <w:spacing w:val="40"/>
        </w:rPr>
        <w:t> </w:t>
      </w:r>
      <w:r>
        <w:rPr/>
        <w:t>It is a case of preparing the noose</w:t>
      </w:r>
      <w:r>
        <w:rPr>
          <w:spacing w:val="-7"/>
        </w:rPr>
        <w:t> </w:t>
      </w:r>
      <w:r>
        <w:rPr/>
        <w:t>for</w:t>
      </w:r>
      <w:r>
        <w:rPr>
          <w:spacing w:val="-7"/>
        </w:rPr>
        <w:t> </w:t>
      </w:r>
      <w:r>
        <w:rPr/>
        <w:t>our</w:t>
      </w:r>
      <w:r>
        <w:rPr>
          <w:spacing w:val="-6"/>
        </w:rPr>
        <w:t> </w:t>
      </w:r>
      <w:r>
        <w:rPr/>
        <w:t>hanging.</w:t>
      </w:r>
      <w:r>
        <w:rPr>
          <w:spacing w:val="40"/>
        </w:rPr>
        <w:t> </w:t>
      </w:r>
      <w:r>
        <w:rPr/>
        <w:t>We</w:t>
      </w:r>
      <w:r>
        <w:rPr>
          <w:spacing w:val="-7"/>
        </w:rPr>
        <w:t> </w:t>
      </w:r>
      <w:r>
        <w:rPr/>
        <w:t>reject</w:t>
      </w:r>
      <w:r>
        <w:rPr>
          <w:spacing w:val="-6"/>
        </w:rPr>
        <w:t> </w:t>
      </w:r>
      <w:r>
        <w:rPr/>
        <w:t>this</w:t>
      </w:r>
      <w:r>
        <w:rPr>
          <w:spacing w:val="-4"/>
        </w:rPr>
        <w:t> </w:t>
      </w:r>
      <w:r>
        <w:rPr/>
        <w:t>labeling.</w:t>
      </w:r>
    </w:p>
    <w:p>
      <w:pPr>
        <w:spacing w:after="0" w:line="276" w:lineRule="auto"/>
        <w:sectPr>
          <w:pgSz w:w="11910" w:h="16840"/>
          <w:pgMar w:header="0" w:footer="1561" w:top="1360" w:bottom="1760" w:left="720" w:right="180"/>
        </w:sectPr>
      </w:pPr>
    </w:p>
    <w:p>
      <w:pPr>
        <w:pStyle w:val="BodyText"/>
        <w:spacing w:before="60"/>
        <w:ind w:left="3601"/>
      </w:pPr>
      <w:r>
        <w:rPr/>
        <mc:AlternateContent>
          <mc:Choice Requires="wps">
            <w:drawing>
              <wp:anchor distT="0" distB="0" distL="0" distR="0" allowOverlap="1" layoutInCell="1" locked="0" behindDoc="1" simplePos="0" relativeHeight="480631808">
                <wp:simplePos x="0" y="0"/>
                <wp:positionH relativeFrom="page">
                  <wp:posOffset>-1537026</wp:posOffset>
                </wp:positionH>
                <wp:positionV relativeFrom="page">
                  <wp:posOffset>4900424</wp:posOffset>
                </wp:positionV>
                <wp:extent cx="10669905" cy="914400"/>
                <wp:effectExtent l="0" t="0" r="0" b="0"/>
                <wp:wrapNone/>
                <wp:docPr id="211" name="Textbox 211"/>
                <wp:cNvGraphicFramePr>
                  <a:graphicFrameLocks/>
                </wp:cNvGraphicFramePr>
                <a:graphic>
                  <a:graphicData uri="http://schemas.microsoft.com/office/word/2010/wordprocessingShape">
                    <wps:wsp>
                      <wps:cNvPr id="211" name="Textbox 211"/>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84672;rotation:306" type="#_x0000_t136" fillcolor="#ff5400" stroked="f">
                <o:extrusion v:ext="view" autorotationcenter="t"/>
                <v:textpath style="font-family:&quot;Arial MT&quot;;font-size:72pt;v-text-kern:t;mso-text-shadow:auto" string="UNIVERSITY OF IBADAN"/>
                <w10:wrap type="none"/>
              </v:shape>
            </w:pict>
          </mc:Fallback>
        </mc:AlternateContent>
      </w:r>
      <w:r>
        <w:rPr/>
        <w:t>Hence, we</w:t>
      </w:r>
      <w:r>
        <w:rPr>
          <w:spacing w:val="-1"/>
        </w:rPr>
        <w:t> </w:t>
      </w:r>
      <w:r>
        <w:rPr/>
        <w:t>advice</w:t>
      </w:r>
      <w:r>
        <w:rPr>
          <w:spacing w:val="-3"/>
        </w:rPr>
        <w:t> </w:t>
      </w:r>
      <w:r>
        <w:rPr/>
        <w:t>all</w:t>
      </w:r>
      <w:r>
        <w:rPr>
          <w:spacing w:val="-1"/>
        </w:rPr>
        <w:t> </w:t>
      </w:r>
      <w:r>
        <w:rPr/>
        <w:t>oil</w:t>
      </w:r>
      <w:r>
        <w:rPr>
          <w:spacing w:val="-1"/>
        </w:rPr>
        <w:t> </w:t>
      </w:r>
      <w:r>
        <w:rPr>
          <w:spacing w:val="-2"/>
        </w:rPr>
        <w:t>companies‟</w:t>
      </w:r>
    </w:p>
    <w:p>
      <w:pPr>
        <w:pStyle w:val="BodyText"/>
        <w:spacing w:line="276" w:lineRule="auto" w:before="42"/>
        <w:ind w:left="3601" w:right="3112"/>
      </w:pPr>
      <w:r>
        <w:rPr/>
        <w:t>staff and contractors to withdraw from Ijaw territories</w:t>
      </w:r>
      <w:r>
        <w:rPr>
          <w:spacing w:val="-6"/>
        </w:rPr>
        <w:t> </w:t>
      </w:r>
      <w:r>
        <w:rPr/>
        <w:t>by</w:t>
      </w:r>
      <w:r>
        <w:rPr>
          <w:spacing w:val="-10"/>
        </w:rPr>
        <w:t> </w:t>
      </w:r>
      <w:r>
        <w:rPr/>
        <w:t>the</w:t>
      </w:r>
      <w:r>
        <w:rPr>
          <w:spacing w:val="-6"/>
        </w:rPr>
        <w:t> </w:t>
      </w:r>
      <w:r>
        <w:rPr/>
        <w:t>30</w:t>
      </w:r>
      <w:r>
        <w:rPr>
          <w:vertAlign w:val="superscript"/>
        </w:rPr>
        <w:t>th</w:t>
      </w:r>
      <w:r>
        <w:rPr>
          <w:spacing w:val="-5"/>
          <w:vertAlign w:val="baseline"/>
        </w:rPr>
        <w:t> </w:t>
      </w:r>
      <w:r>
        <w:rPr>
          <w:vertAlign w:val="baseline"/>
        </w:rPr>
        <w:t>December,</w:t>
      </w:r>
      <w:r>
        <w:rPr>
          <w:spacing w:val="-6"/>
          <w:vertAlign w:val="baseline"/>
        </w:rPr>
        <w:t> </w:t>
      </w:r>
      <w:r>
        <w:rPr>
          <w:vertAlign w:val="baseline"/>
        </w:rPr>
        <w:t>1998.</w:t>
      </w:r>
      <w:r>
        <w:rPr>
          <w:spacing w:val="40"/>
          <w:vertAlign w:val="baseline"/>
        </w:rPr>
        <w:t> </w:t>
      </w:r>
      <w:r>
        <w:rPr>
          <w:vertAlign w:val="baseline"/>
        </w:rPr>
        <w:t>(</w:t>
      </w:r>
      <w:r>
        <w:rPr>
          <w:i/>
          <w:vertAlign w:val="baseline"/>
        </w:rPr>
        <w:t>The Guardian</w:t>
      </w:r>
      <w:r>
        <w:rPr>
          <w:vertAlign w:val="baseline"/>
        </w:rPr>
        <w:t>, September 2, 2007: 50)</w:t>
      </w:r>
    </w:p>
    <w:p>
      <w:pPr>
        <w:pStyle w:val="BodyText"/>
        <w:ind w:left="0"/>
        <w:rPr>
          <w:sz w:val="20"/>
        </w:rPr>
      </w:pPr>
    </w:p>
    <w:p>
      <w:pPr>
        <w:pStyle w:val="BodyText"/>
        <w:spacing w:before="115"/>
        <w:ind w:left="0"/>
        <w:rPr>
          <w:sz w:val="20"/>
        </w:rPr>
      </w:pPr>
      <w:r>
        <w:rPr/>
        <mc:AlternateContent>
          <mc:Choice Requires="wps">
            <w:drawing>
              <wp:anchor distT="0" distB="0" distL="0" distR="0" allowOverlap="1" layoutInCell="1" locked="0" behindDoc="1" simplePos="0" relativeHeight="487661056">
                <wp:simplePos x="0" y="0"/>
                <wp:positionH relativeFrom="page">
                  <wp:posOffset>2182558</wp:posOffset>
                </wp:positionH>
                <wp:positionV relativeFrom="paragraph">
                  <wp:posOffset>234838</wp:posOffset>
                </wp:positionV>
                <wp:extent cx="3252470" cy="2098675"/>
                <wp:effectExtent l="0" t="0" r="0" b="0"/>
                <wp:wrapTopAndBottom/>
                <wp:docPr id="212" name="Group 212"/>
                <wp:cNvGraphicFramePr>
                  <a:graphicFrameLocks/>
                </wp:cNvGraphicFramePr>
                <a:graphic>
                  <a:graphicData uri="http://schemas.microsoft.com/office/word/2010/wordprocessingGroup">
                    <wpg:wgp>
                      <wpg:cNvPr id="212" name="Group 212"/>
                      <wpg:cNvGrpSpPr/>
                      <wpg:grpSpPr>
                        <a:xfrm>
                          <a:off x="0" y="0"/>
                          <a:ext cx="3252470" cy="2098675"/>
                          <a:chExt cx="3252470" cy="2098675"/>
                        </a:xfrm>
                      </wpg:grpSpPr>
                      <pic:pic>
                        <pic:nvPicPr>
                          <pic:cNvPr id="213" name="Image 213"/>
                          <pic:cNvPicPr/>
                        </pic:nvPicPr>
                        <pic:blipFill>
                          <a:blip r:embed="rId58" cstate="print"/>
                          <a:stretch>
                            <a:fillRect/>
                          </a:stretch>
                        </pic:blipFill>
                        <pic:spPr>
                          <a:xfrm>
                            <a:off x="28511" y="28511"/>
                            <a:ext cx="3195320" cy="2041525"/>
                          </a:xfrm>
                          <a:prstGeom prst="rect">
                            <a:avLst/>
                          </a:prstGeom>
                        </pic:spPr>
                      </pic:pic>
                      <wps:wsp>
                        <wps:cNvPr id="214" name="Graphic 214"/>
                        <wps:cNvSpPr/>
                        <wps:spPr>
                          <a:xfrm>
                            <a:off x="14287" y="14287"/>
                            <a:ext cx="3223895" cy="2070100"/>
                          </a:xfrm>
                          <a:custGeom>
                            <a:avLst/>
                            <a:gdLst/>
                            <a:ahLst/>
                            <a:cxnLst/>
                            <a:rect l="l" t="t" r="r" b="b"/>
                            <a:pathLst>
                              <a:path w="3223895" h="2070100">
                                <a:moveTo>
                                  <a:pt x="0" y="2070100"/>
                                </a:moveTo>
                                <a:lnTo>
                                  <a:pt x="3223895" y="2070100"/>
                                </a:lnTo>
                                <a:lnTo>
                                  <a:pt x="3223895" y="0"/>
                                </a:lnTo>
                                <a:lnTo>
                                  <a:pt x="0" y="0"/>
                                </a:lnTo>
                                <a:lnTo>
                                  <a:pt x="0" y="2070100"/>
                                </a:lnTo>
                                <a:close/>
                              </a:path>
                            </a:pathLst>
                          </a:custGeom>
                          <a:ln w="285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1.854996pt;margin-top:18.491192pt;width:256.1pt;height:165.25pt;mso-position-horizontal-relative:page;mso-position-vertical-relative:paragraph;z-index:-15655424;mso-wrap-distance-left:0;mso-wrap-distance-right:0" id="docshapegroup96" coordorigin="3437,370" coordsize="5122,3305">
                <v:shape style="position:absolute;left:3482;top:414;width:5032;height:3215" type="#_x0000_t75" id="docshape97" stroked="false">
                  <v:imagedata r:id="rId58" o:title=""/>
                </v:shape>
                <v:rect style="position:absolute;left:3459;top:392;width:5077;height:3260" id="docshape98" filled="false" stroked="true" strokeweight="2.25pt" strokecolor="#000000">
                  <v:stroke dashstyle="solid"/>
                </v:rect>
                <w10:wrap type="topAndBottom"/>
              </v:group>
            </w:pict>
          </mc:Fallback>
        </mc:AlternateContent>
      </w:r>
    </w:p>
    <w:p>
      <w:pPr>
        <w:pStyle w:val="Heading2"/>
        <w:spacing w:line="360" w:lineRule="auto" w:before="241"/>
        <w:ind w:right="1257" w:firstLine="120"/>
        <w:jc w:val="both"/>
      </w:pPr>
      <w:r>
        <w:rPr/>
        <w:t>Plate 35: Niger Delta Community Protesting against Environmental Degradation. Source: </w:t>
      </w:r>
      <w:hyperlink r:id="rId27">
        <w:r>
          <w:rPr/>
          <w:t>www.google.com</w:t>
        </w:r>
      </w:hyperlink>
      <w:r>
        <w:rPr/>
        <w:t> . (Accessed 15/9/10)</w:t>
      </w:r>
    </w:p>
    <w:p>
      <w:pPr>
        <w:pStyle w:val="BodyText"/>
        <w:spacing w:line="360" w:lineRule="auto"/>
        <w:ind w:right="1253" w:firstLine="720"/>
        <w:jc w:val="both"/>
      </w:pPr>
      <w:r>
        <w:rPr/>
        <w:t>Following this threat, the Federal Government established a Joint Task Force codenamed Operation HAKURI II to curtail the Kaima Declaration by the IYC and was mandated to protect lives and property, particularly the oil platforms, pipelines and power installations in the Niger Delta. This Operation HAKURI II culminated</w:t>
      </w:r>
      <w:r>
        <w:rPr>
          <w:spacing w:val="40"/>
        </w:rPr>
        <w:t> </w:t>
      </w:r>
      <w:r>
        <w:rPr/>
        <w:t>into the quelling of the November 1999 Odi uprising with its attendant gruesome </w:t>
      </w:r>
      <w:r>
        <w:rPr>
          <w:spacing w:val="-2"/>
        </w:rPr>
        <w:t>consequences.</w:t>
      </w:r>
    </w:p>
    <w:p>
      <w:pPr>
        <w:pStyle w:val="Heading2"/>
        <w:spacing w:before="1"/>
        <w:ind w:left="1500"/>
        <w:jc w:val="both"/>
      </w:pPr>
      <w:r>
        <w:rPr/>
        <w:t>The</w:t>
      </w:r>
      <w:r>
        <w:rPr>
          <w:spacing w:val="-3"/>
        </w:rPr>
        <w:t> </w:t>
      </w:r>
      <w:r>
        <w:rPr/>
        <w:t>Military</w:t>
      </w:r>
      <w:r>
        <w:rPr>
          <w:spacing w:val="-1"/>
        </w:rPr>
        <w:t> </w:t>
      </w:r>
      <w:r>
        <w:rPr/>
        <w:t>Deployment</w:t>
      </w:r>
      <w:r>
        <w:rPr>
          <w:spacing w:val="-1"/>
        </w:rPr>
        <w:t> </w:t>
      </w:r>
      <w:r>
        <w:rPr/>
        <w:t>to</w:t>
      </w:r>
      <w:r>
        <w:rPr>
          <w:spacing w:val="-1"/>
        </w:rPr>
        <w:t> </w:t>
      </w:r>
      <w:r>
        <w:rPr/>
        <w:t>Quell</w:t>
      </w:r>
      <w:r>
        <w:rPr>
          <w:spacing w:val="-2"/>
        </w:rPr>
        <w:t> </w:t>
      </w:r>
      <w:r>
        <w:rPr/>
        <w:t>the</w:t>
      </w:r>
      <w:r>
        <w:rPr>
          <w:spacing w:val="-2"/>
        </w:rPr>
        <w:t> </w:t>
      </w:r>
      <w:r>
        <w:rPr/>
        <w:t>November</w:t>
      </w:r>
      <w:r>
        <w:rPr>
          <w:spacing w:val="-2"/>
        </w:rPr>
        <w:t> </w:t>
      </w:r>
      <w:r>
        <w:rPr/>
        <w:t>1999</w:t>
      </w:r>
      <w:r>
        <w:rPr>
          <w:spacing w:val="-1"/>
        </w:rPr>
        <w:t> </w:t>
      </w:r>
      <w:r>
        <w:rPr/>
        <w:t>Odi</w:t>
      </w:r>
      <w:r>
        <w:rPr>
          <w:spacing w:val="-1"/>
        </w:rPr>
        <w:t> </w:t>
      </w:r>
      <w:r>
        <w:rPr>
          <w:spacing w:val="-2"/>
        </w:rPr>
        <w:t>Uprising</w:t>
      </w:r>
    </w:p>
    <w:p>
      <w:pPr>
        <w:pStyle w:val="BodyText"/>
        <w:spacing w:line="360" w:lineRule="auto" w:before="132"/>
        <w:ind w:right="1260" w:firstLine="780"/>
        <w:jc w:val="both"/>
      </w:pPr>
      <w:r>
        <w:rPr/>
        <w:t>On 20th November, 1999 the Federal Government ordered the military to restore law and order in Odi town following the killings of some security forces hitherto dispatched to the town for official assignment.</w:t>
      </w:r>
    </w:p>
    <w:p>
      <w:pPr>
        <w:pStyle w:val="BodyText"/>
        <w:spacing w:line="360" w:lineRule="auto" w:before="1"/>
        <w:ind w:right="1253" w:firstLine="720"/>
        <w:jc w:val="both"/>
      </w:pPr>
      <w:r>
        <w:rPr/>
        <w:t>Odi is a community in Kolokuma/Opokuma local Government Area of</w:t>
      </w:r>
      <w:r>
        <w:rPr>
          <w:spacing w:val="40"/>
        </w:rPr>
        <w:t> </w:t>
      </w:r>
      <w:r>
        <w:rPr/>
        <w:t>Bayelsa State. On 9</w:t>
      </w:r>
      <w:r>
        <w:rPr>
          <w:vertAlign w:val="superscript"/>
        </w:rPr>
        <w:t>th</w:t>
      </w:r>
      <w:r>
        <w:rPr>
          <w:vertAlign w:val="baseline"/>
        </w:rPr>
        <w:t> November, 1999, a team of 7 policemen, including a Deputy Commissioner of Police dispatched to Odi for official assignment were abducted and killed by Egbesu militants in Odi. This was closely followed by abduction and killing of 3 soldiers travelling along the Warri-Port Harcourt highway. Consequently on 20</w:t>
      </w:r>
      <w:r>
        <w:rPr>
          <w:vertAlign w:val="superscript"/>
        </w:rPr>
        <w:t>th</w:t>
      </w:r>
      <w:r>
        <w:rPr>
          <w:vertAlign w:val="baseline"/>
        </w:rPr>
        <w:t> November, 1999, the military was ordered by the Federal Government to restore law and order in Odi town.</w:t>
      </w:r>
    </w:p>
    <w:p>
      <w:pPr>
        <w:pStyle w:val="BodyText"/>
        <w:spacing w:line="276" w:lineRule="exact"/>
        <w:ind w:left="2160"/>
        <w:jc w:val="both"/>
      </w:pPr>
      <w:r>
        <w:rPr/>
        <w:t>The operation</w:t>
      </w:r>
      <w:r>
        <w:rPr>
          <w:spacing w:val="2"/>
        </w:rPr>
        <w:t> </w:t>
      </w:r>
      <w:r>
        <w:rPr/>
        <w:t>was</w:t>
      </w:r>
      <w:r>
        <w:rPr>
          <w:spacing w:val="3"/>
        </w:rPr>
        <w:t> </w:t>
      </w:r>
      <w:r>
        <w:rPr/>
        <w:t>supposed</w:t>
      </w:r>
      <w:r>
        <w:rPr>
          <w:spacing w:val="1"/>
        </w:rPr>
        <w:t> </w:t>
      </w:r>
      <w:r>
        <w:rPr/>
        <w:t>to</w:t>
      </w:r>
      <w:r>
        <w:rPr>
          <w:spacing w:val="2"/>
        </w:rPr>
        <w:t> </w:t>
      </w:r>
      <w:r>
        <w:rPr/>
        <w:t>be</w:t>
      </w:r>
      <w:r>
        <w:rPr>
          <w:spacing w:val="2"/>
        </w:rPr>
        <w:t> </w:t>
      </w:r>
      <w:r>
        <w:rPr/>
        <w:t>jointly</w:t>
      </w:r>
      <w:r>
        <w:rPr>
          <w:spacing w:val="-6"/>
        </w:rPr>
        <w:t> </w:t>
      </w:r>
      <w:r>
        <w:rPr/>
        <w:t>conducted</w:t>
      </w:r>
      <w:r>
        <w:rPr>
          <w:spacing w:val="2"/>
        </w:rPr>
        <w:t> </w:t>
      </w:r>
      <w:r>
        <w:rPr/>
        <w:t>by</w:t>
      </w:r>
      <w:r>
        <w:rPr>
          <w:spacing w:val="-2"/>
        </w:rPr>
        <w:t> </w:t>
      </w:r>
      <w:r>
        <w:rPr/>
        <w:t>the</w:t>
      </w:r>
      <w:r>
        <w:rPr>
          <w:spacing w:val="1"/>
        </w:rPr>
        <w:t> </w:t>
      </w:r>
      <w:r>
        <w:rPr/>
        <w:t>Nigerian</w:t>
      </w:r>
      <w:r>
        <w:rPr>
          <w:spacing w:val="2"/>
        </w:rPr>
        <w:t> </w:t>
      </w:r>
      <w:r>
        <w:rPr/>
        <w:t>Army </w:t>
      </w:r>
      <w:r>
        <w:rPr>
          <w:spacing w:val="-5"/>
        </w:rPr>
        <w:t>and</w:t>
      </w:r>
    </w:p>
    <w:p>
      <w:pPr>
        <w:spacing w:after="0" w:line="276" w:lineRule="exact"/>
        <w:jc w:val="both"/>
        <w:sectPr>
          <w:pgSz w:w="11910" w:h="16840"/>
          <w:pgMar w:header="0" w:footer="1561" w:top="1360" w:bottom="1760" w:left="720" w:right="180"/>
        </w:sectPr>
      </w:pPr>
    </w:p>
    <w:p>
      <w:pPr>
        <w:pStyle w:val="BodyText"/>
        <w:spacing w:line="360" w:lineRule="auto" w:before="60"/>
        <w:ind w:right="1256"/>
        <w:jc w:val="both"/>
      </w:pPr>
      <w:r>
        <w:rPr/>
        <mc:AlternateContent>
          <mc:Choice Requires="wps">
            <w:drawing>
              <wp:anchor distT="0" distB="0" distL="0" distR="0" allowOverlap="1" layoutInCell="1" locked="0" behindDoc="1" simplePos="0" relativeHeight="480632320">
                <wp:simplePos x="0" y="0"/>
                <wp:positionH relativeFrom="page">
                  <wp:posOffset>-1537026</wp:posOffset>
                </wp:positionH>
                <wp:positionV relativeFrom="page">
                  <wp:posOffset>4900424</wp:posOffset>
                </wp:positionV>
                <wp:extent cx="10669905" cy="914400"/>
                <wp:effectExtent l="0" t="0" r="0" b="0"/>
                <wp:wrapNone/>
                <wp:docPr id="215" name="Textbox 215"/>
                <wp:cNvGraphicFramePr>
                  <a:graphicFrameLocks/>
                </wp:cNvGraphicFramePr>
                <a:graphic>
                  <a:graphicData uri="http://schemas.microsoft.com/office/word/2010/wordprocessingShape">
                    <wps:wsp>
                      <wps:cNvPr id="215" name="Textbox 215"/>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84160;rotation:306" type="#_x0000_t136" fillcolor="#ff5400" stroked="f">
                <o:extrusion v:ext="view" autorotationcenter="t"/>
                <v:textpath style="font-family:&quot;Arial MT&quot;;font-size:72pt;v-text-kern:t;mso-text-shadow:auto" string="UNIVERSITY OF IBADAN"/>
                <w10:wrap type="none"/>
              </v:shape>
            </w:pict>
          </mc:Fallback>
        </mc:AlternateContent>
      </w:r>
      <w:r>
        <w:rPr/>
        <w:t>the Nigerian Navy troops, but the Navy did not take part due to the Port Harcourt naval base operational exigencies. This lapse arising from communication gap could have been averted if there had been appropriate liaison between the two Services.</w:t>
      </w:r>
      <w:r>
        <w:rPr>
          <w:spacing w:val="40"/>
        </w:rPr>
        <w:t> </w:t>
      </w:r>
      <w:r>
        <w:rPr/>
        <w:t>In effect, failure to conduct joint operations, poor contingency plan and entry strategy, poor leadership at tactical level and ineffective application of information operations were cited to have impacted negatively on Odi operations.</w:t>
      </w:r>
      <w:r>
        <w:rPr>
          <w:spacing w:val="40"/>
        </w:rPr>
        <w:t> </w:t>
      </w:r>
      <w:r>
        <w:rPr/>
        <w:t>The collateral damage in Odi sparked off propaganda war against the Nigerian Army and the Federal Government for allegedly razing Odi town and killing thousands of innocent people.</w:t>
      </w:r>
    </w:p>
    <w:p>
      <w:pPr>
        <w:pStyle w:val="BodyText"/>
        <w:spacing w:line="360" w:lineRule="auto" w:before="1"/>
        <w:ind w:right="1259" w:firstLine="720"/>
        <w:jc w:val="both"/>
      </w:pPr>
      <w:r>
        <w:rPr/>
        <w:t>The negative publicity resulted in international disapproval of the handling of the operation.</w:t>
      </w:r>
      <w:r>
        <w:rPr>
          <w:spacing w:val="40"/>
        </w:rPr>
        <w:t> </w:t>
      </w:r>
      <w:r>
        <w:rPr/>
        <w:t>According</w:t>
      </w:r>
      <w:r>
        <w:rPr>
          <w:spacing w:val="-1"/>
        </w:rPr>
        <w:t> </w:t>
      </w:r>
      <w:r>
        <w:rPr/>
        <w:t>to Human Rights Watch, security forces working under this task forces have "often failed to protect property from damage or civilians from violence,</w:t>
      </w:r>
      <w:r>
        <w:rPr>
          <w:spacing w:val="-2"/>
        </w:rPr>
        <w:t> </w:t>
      </w:r>
      <w:r>
        <w:rPr/>
        <w:t>and</w:t>
      </w:r>
      <w:r>
        <w:rPr>
          <w:spacing w:val="-2"/>
        </w:rPr>
        <w:t> </w:t>
      </w:r>
      <w:r>
        <w:rPr/>
        <w:t>have</w:t>
      </w:r>
      <w:r>
        <w:rPr>
          <w:spacing w:val="-3"/>
        </w:rPr>
        <w:t> </w:t>
      </w:r>
      <w:r>
        <w:rPr/>
        <w:t>themselves</w:t>
      </w:r>
      <w:r>
        <w:rPr>
          <w:spacing w:val="-3"/>
        </w:rPr>
        <w:t> </w:t>
      </w:r>
      <w:r>
        <w:rPr/>
        <w:t>carried</w:t>
      </w:r>
      <w:r>
        <w:rPr>
          <w:spacing w:val="-2"/>
        </w:rPr>
        <w:t> </w:t>
      </w:r>
      <w:r>
        <w:rPr/>
        <w:t>out</w:t>
      </w:r>
      <w:r>
        <w:rPr>
          <w:spacing w:val="-2"/>
        </w:rPr>
        <w:t> </w:t>
      </w:r>
      <w:r>
        <w:rPr/>
        <w:t>serious</w:t>
      </w:r>
      <w:r>
        <w:rPr>
          <w:spacing w:val="-2"/>
        </w:rPr>
        <w:t> </w:t>
      </w:r>
      <w:r>
        <w:rPr/>
        <w:t>and</w:t>
      </w:r>
      <w:r>
        <w:rPr>
          <w:spacing w:val="-2"/>
        </w:rPr>
        <w:t> </w:t>
      </w:r>
      <w:r>
        <w:rPr/>
        <w:t>widespread</w:t>
      </w:r>
      <w:r>
        <w:rPr>
          <w:spacing w:val="-2"/>
        </w:rPr>
        <w:t> </w:t>
      </w:r>
      <w:r>
        <w:rPr/>
        <w:t>violations</w:t>
      </w:r>
      <w:r>
        <w:rPr>
          <w:spacing w:val="-2"/>
        </w:rPr>
        <w:t> </w:t>
      </w:r>
      <w:r>
        <w:rPr/>
        <w:t>of</w:t>
      </w:r>
      <w:r>
        <w:rPr>
          <w:spacing w:val="-3"/>
        </w:rPr>
        <w:t> </w:t>
      </w:r>
      <w:r>
        <w:rPr/>
        <w:t>human rights in response to such incidents" (Human Rights Watch Briefing Paper, 2002:2).</w:t>
      </w:r>
    </w:p>
    <w:p>
      <w:pPr>
        <w:pStyle w:val="BodyText"/>
        <w:spacing w:line="360" w:lineRule="auto"/>
        <w:ind w:right="1260" w:firstLine="720"/>
        <w:jc w:val="both"/>
      </w:pPr>
      <w:r>
        <w:rPr/>
        <w:t>Unfortunately, both the Government and the Nigerian Army</w:t>
      </w:r>
      <w:r>
        <w:rPr>
          <w:spacing w:val="-7"/>
        </w:rPr>
        <w:t> </w:t>
      </w:r>
      <w:r>
        <w:rPr/>
        <w:t>made</w:t>
      </w:r>
      <w:r>
        <w:rPr>
          <w:spacing w:val="-1"/>
        </w:rPr>
        <w:t> </w:t>
      </w:r>
      <w:r>
        <w:rPr/>
        <w:t>no coherent effort to respond because information operation was not part of the overall plan for</w:t>
      </w:r>
      <w:r>
        <w:rPr>
          <w:spacing w:val="40"/>
        </w:rPr>
        <w:t> </w:t>
      </w:r>
      <w:r>
        <w:rPr/>
        <w:t>the Internal Security operation.</w:t>
      </w:r>
      <w:r>
        <w:rPr>
          <w:spacing w:val="40"/>
        </w:rPr>
        <w:t> </w:t>
      </w:r>
      <w:r>
        <w:rPr/>
        <w:t>Effective use of information operation as a veritable tool required to enhance the professional conduct of Internal Security operations was grossly</w:t>
      </w:r>
      <w:r>
        <w:rPr>
          <w:spacing w:val="-6"/>
        </w:rPr>
        <w:t> </w:t>
      </w:r>
      <w:r>
        <w:rPr/>
        <w:t>lacking. In</w:t>
      </w:r>
      <w:r>
        <w:rPr>
          <w:spacing w:val="-1"/>
        </w:rPr>
        <w:t> </w:t>
      </w:r>
      <w:r>
        <w:rPr/>
        <w:t>sum,</w:t>
      </w:r>
      <w:r>
        <w:rPr>
          <w:spacing w:val="-1"/>
        </w:rPr>
        <w:t> </w:t>
      </w:r>
      <w:r>
        <w:rPr/>
        <w:t>some</w:t>
      </w:r>
      <w:r>
        <w:rPr>
          <w:spacing w:val="-2"/>
        </w:rPr>
        <w:t> </w:t>
      </w:r>
      <w:r>
        <w:rPr/>
        <w:t>lapses</w:t>
      </w:r>
      <w:r>
        <w:rPr>
          <w:spacing w:val="-1"/>
        </w:rPr>
        <w:t> </w:t>
      </w:r>
      <w:r>
        <w:rPr/>
        <w:t>at</w:t>
      </w:r>
      <w:r>
        <w:rPr>
          <w:spacing w:val="-1"/>
        </w:rPr>
        <w:t> </w:t>
      </w:r>
      <w:r>
        <w:rPr/>
        <w:t>various</w:t>
      </w:r>
      <w:r>
        <w:rPr>
          <w:spacing w:val="-1"/>
        </w:rPr>
        <w:t> </w:t>
      </w:r>
      <w:r>
        <w:rPr/>
        <w:t>levels</w:t>
      </w:r>
      <w:r>
        <w:rPr>
          <w:spacing w:val="-1"/>
        </w:rPr>
        <w:t> </w:t>
      </w:r>
      <w:r>
        <w:rPr/>
        <w:t>of</w:t>
      </w:r>
      <w:r>
        <w:rPr>
          <w:spacing w:val="-2"/>
        </w:rPr>
        <w:t> </w:t>
      </w:r>
      <w:r>
        <w:rPr/>
        <w:t>leadership</w:t>
      </w:r>
      <w:r>
        <w:rPr>
          <w:spacing w:val="-1"/>
        </w:rPr>
        <w:t> </w:t>
      </w:r>
      <w:r>
        <w:rPr/>
        <w:t>responsible</w:t>
      </w:r>
      <w:r>
        <w:rPr>
          <w:spacing w:val="-2"/>
        </w:rPr>
        <w:t> </w:t>
      </w:r>
      <w:r>
        <w:rPr/>
        <w:t>for</w:t>
      </w:r>
      <w:r>
        <w:rPr>
          <w:spacing w:val="-3"/>
        </w:rPr>
        <w:t> </w:t>
      </w:r>
      <w:r>
        <w:rPr/>
        <w:t>the planning and execution of Odi IS operations impacted negatively on its conduct. The foregoing were the antecedents of the present JTF codenamed Operation RESTORE HOPE, since 2003, which is the focus of this study.</w:t>
      </w:r>
    </w:p>
    <w:p>
      <w:pPr>
        <w:pStyle w:val="Heading2"/>
        <w:spacing w:before="5"/>
        <w:jc w:val="both"/>
      </w:pPr>
      <w:r>
        <w:rPr/>
        <w:t>Operation RESTORE</w:t>
      </w:r>
      <w:r>
        <w:rPr>
          <w:spacing w:val="-3"/>
        </w:rPr>
        <w:t> </w:t>
      </w:r>
      <w:r>
        <w:rPr/>
        <w:t>HOPE</w:t>
      </w:r>
      <w:r>
        <w:rPr>
          <w:spacing w:val="1"/>
        </w:rPr>
        <w:t> </w:t>
      </w:r>
      <w:r>
        <w:rPr/>
        <w:t>–</w:t>
      </w:r>
      <w:r>
        <w:rPr>
          <w:spacing w:val="-1"/>
        </w:rPr>
        <w:t> </w:t>
      </w:r>
      <w:r>
        <w:rPr/>
        <w:t>(2003</w:t>
      </w:r>
      <w:r>
        <w:rPr>
          <w:spacing w:val="-2"/>
        </w:rPr>
        <w:t> </w:t>
      </w:r>
      <w:r>
        <w:rPr/>
        <w:t>– </w:t>
      </w:r>
      <w:r>
        <w:rPr>
          <w:spacing w:val="-2"/>
        </w:rPr>
        <w:t>2009)</w:t>
      </w:r>
    </w:p>
    <w:p>
      <w:pPr>
        <w:pStyle w:val="BodyText"/>
        <w:spacing w:line="360" w:lineRule="auto" w:before="109"/>
        <w:ind w:right="1256" w:firstLine="720"/>
        <w:jc w:val="both"/>
      </w:pPr>
      <w:r>
        <w:rPr/>
        <w:t>The history of the JTF Operation RESTORE HOPE could be traced to the struggle for socio-economic and political dominance of Warri and its adjoining maritime</w:t>
      </w:r>
      <w:r>
        <w:rPr>
          <w:spacing w:val="-1"/>
        </w:rPr>
        <w:t> </w:t>
      </w:r>
      <w:r>
        <w:rPr/>
        <w:t>areas by</w:t>
      </w:r>
      <w:r>
        <w:rPr>
          <w:spacing w:val="-5"/>
        </w:rPr>
        <w:t> </w:t>
      </w:r>
      <w:r>
        <w:rPr/>
        <w:t>the</w:t>
      </w:r>
      <w:r>
        <w:rPr>
          <w:spacing w:val="-1"/>
        </w:rPr>
        <w:t> </w:t>
      </w:r>
      <w:r>
        <w:rPr/>
        <w:t>three</w:t>
      </w:r>
      <w:r>
        <w:rPr>
          <w:spacing w:val="-1"/>
        </w:rPr>
        <w:t> </w:t>
      </w:r>
      <w:r>
        <w:rPr/>
        <w:t>major ethnic groups of Ijaw, Itsekiri and Urhobo. This has been the major cause of the violent conflicts that have taken place in the Niger Delta. These crises had resulted into wanton destruction of lives and property, pipeline vandalisation and</w:t>
      </w:r>
      <w:r>
        <w:rPr>
          <w:spacing w:val="-1"/>
        </w:rPr>
        <w:t> </w:t>
      </w:r>
      <w:r>
        <w:rPr/>
        <w:t>disruption</w:t>
      </w:r>
      <w:r>
        <w:rPr>
          <w:spacing w:val="-1"/>
        </w:rPr>
        <w:t> </w:t>
      </w:r>
      <w:r>
        <w:rPr/>
        <w:t>of</w:t>
      </w:r>
      <w:r>
        <w:rPr>
          <w:spacing w:val="-2"/>
        </w:rPr>
        <w:t> </w:t>
      </w:r>
      <w:r>
        <w:rPr/>
        <w:t>oil</w:t>
      </w:r>
      <w:r>
        <w:rPr>
          <w:spacing w:val="-1"/>
        </w:rPr>
        <w:t> </w:t>
      </w:r>
      <w:r>
        <w:rPr/>
        <w:t>production</w:t>
      </w:r>
      <w:r>
        <w:rPr>
          <w:spacing w:val="-1"/>
        </w:rPr>
        <w:t> </w:t>
      </w:r>
      <w:r>
        <w:rPr/>
        <w:t>in</w:t>
      </w:r>
      <w:r>
        <w:rPr>
          <w:spacing w:val="-1"/>
        </w:rPr>
        <w:t> </w:t>
      </w:r>
      <w:r>
        <w:rPr/>
        <w:t>the</w:t>
      </w:r>
      <w:r>
        <w:rPr>
          <w:spacing w:val="-2"/>
        </w:rPr>
        <w:t> </w:t>
      </w:r>
      <w:r>
        <w:rPr/>
        <w:t>region,</w:t>
      </w:r>
      <w:r>
        <w:rPr>
          <w:spacing w:val="-1"/>
        </w:rPr>
        <w:t> </w:t>
      </w:r>
      <w:r>
        <w:rPr/>
        <w:t>thus</w:t>
      </w:r>
      <w:r>
        <w:rPr>
          <w:spacing w:val="-1"/>
        </w:rPr>
        <w:t> </w:t>
      </w:r>
      <w:r>
        <w:rPr/>
        <w:t>forcing</w:t>
      </w:r>
      <w:r>
        <w:rPr>
          <w:spacing w:val="-3"/>
        </w:rPr>
        <w:t> </w:t>
      </w:r>
      <w:r>
        <w:rPr/>
        <w:t>multinational oil companies to either relocate or completely shut down operations. This situation in Warri and the general insecurity in the Niger Delta region led to the establishment of Joint Task Force codenamed Operation RESTORE HOPE on 19 August 2003.</w:t>
      </w:r>
      <w:r>
        <w:rPr>
          <w:spacing w:val="40"/>
        </w:rPr>
        <w:t> </w:t>
      </w:r>
      <w:r>
        <w:rPr/>
        <w:t>The JTF had its Headquarters in Army Barracks, Effurun-Warri.</w:t>
      </w:r>
      <w:r>
        <w:rPr>
          <w:spacing w:val="40"/>
        </w:rPr>
        <w:t> </w:t>
      </w:r>
      <w:r>
        <w:rPr/>
        <w:t>At its inception, it was mandated</w:t>
      </w:r>
      <w:r>
        <w:rPr>
          <w:spacing w:val="5"/>
        </w:rPr>
        <w:t> </w:t>
      </w:r>
      <w:r>
        <w:rPr/>
        <w:t>primarily</w:t>
      </w:r>
      <w:r>
        <w:rPr>
          <w:spacing w:val="-2"/>
        </w:rPr>
        <w:t> </w:t>
      </w:r>
      <w:r>
        <w:rPr/>
        <w:t>to</w:t>
      </w:r>
      <w:r>
        <w:rPr>
          <w:spacing w:val="7"/>
        </w:rPr>
        <w:t> </w:t>
      </w:r>
      <w:r>
        <w:rPr/>
        <w:t>arrest</w:t>
      </w:r>
      <w:r>
        <w:rPr>
          <w:spacing w:val="6"/>
        </w:rPr>
        <w:t> </w:t>
      </w:r>
      <w:r>
        <w:rPr/>
        <w:t>the</w:t>
      </w:r>
      <w:r>
        <w:rPr>
          <w:spacing w:val="5"/>
        </w:rPr>
        <w:t> </w:t>
      </w:r>
      <w:r>
        <w:rPr/>
        <w:t>criminal</w:t>
      </w:r>
      <w:r>
        <w:rPr>
          <w:spacing w:val="7"/>
        </w:rPr>
        <w:t> </w:t>
      </w:r>
      <w:r>
        <w:rPr/>
        <w:t>activities</w:t>
      </w:r>
      <w:r>
        <w:rPr>
          <w:spacing w:val="5"/>
        </w:rPr>
        <w:t> </w:t>
      </w:r>
      <w:r>
        <w:rPr/>
        <w:t>of</w:t>
      </w:r>
      <w:r>
        <w:rPr>
          <w:spacing w:val="5"/>
        </w:rPr>
        <w:t> </w:t>
      </w:r>
      <w:r>
        <w:rPr/>
        <w:t>militant</w:t>
      </w:r>
      <w:r>
        <w:rPr>
          <w:spacing w:val="4"/>
        </w:rPr>
        <w:t> </w:t>
      </w:r>
      <w:r>
        <w:rPr/>
        <w:t>groups,</w:t>
      </w:r>
      <w:r>
        <w:rPr>
          <w:spacing w:val="5"/>
        </w:rPr>
        <w:t> </w:t>
      </w:r>
      <w:r>
        <w:rPr/>
        <w:t>restore</w:t>
      </w:r>
      <w:r>
        <w:rPr>
          <w:spacing w:val="5"/>
        </w:rPr>
        <w:t> </w:t>
      </w:r>
      <w:r>
        <w:rPr/>
        <w:t>law</w:t>
      </w:r>
      <w:r>
        <w:rPr>
          <w:spacing w:val="6"/>
        </w:rPr>
        <w:t> </w:t>
      </w:r>
      <w:r>
        <w:rPr>
          <w:spacing w:val="-5"/>
        </w:rPr>
        <w:t>and</w:t>
      </w:r>
    </w:p>
    <w:p>
      <w:pPr>
        <w:spacing w:after="0" w:line="360" w:lineRule="auto"/>
        <w:jc w:val="both"/>
        <w:sectPr>
          <w:pgSz w:w="11910" w:h="16840"/>
          <w:pgMar w:header="0" w:footer="1561" w:top="1360" w:bottom="1760" w:left="720" w:right="180"/>
        </w:sectPr>
      </w:pPr>
    </w:p>
    <w:p>
      <w:pPr>
        <w:pStyle w:val="BodyText"/>
        <w:spacing w:line="360" w:lineRule="auto" w:before="60"/>
        <w:ind w:right="1255"/>
        <w:jc w:val="both"/>
      </w:pPr>
      <w:r>
        <w:rPr/>
        <mc:AlternateContent>
          <mc:Choice Requires="wps">
            <w:drawing>
              <wp:anchor distT="0" distB="0" distL="0" distR="0" allowOverlap="1" layoutInCell="1" locked="0" behindDoc="1" simplePos="0" relativeHeight="480632832">
                <wp:simplePos x="0" y="0"/>
                <wp:positionH relativeFrom="page">
                  <wp:posOffset>-1537026</wp:posOffset>
                </wp:positionH>
                <wp:positionV relativeFrom="page">
                  <wp:posOffset>4900424</wp:posOffset>
                </wp:positionV>
                <wp:extent cx="10669905" cy="914400"/>
                <wp:effectExtent l="0" t="0" r="0" b="0"/>
                <wp:wrapNone/>
                <wp:docPr id="216" name="Textbox 216"/>
                <wp:cNvGraphicFramePr>
                  <a:graphicFrameLocks/>
                </wp:cNvGraphicFramePr>
                <a:graphic>
                  <a:graphicData uri="http://schemas.microsoft.com/office/word/2010/wordprocessingShape">
                    <wps:wsp>
                      <wps:cNvPr id="216" name="Textbox 216"/>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83648;rotation:306" type="#_x0000_t136" fillcolor="#ff5400" stroked="f">
                <o:extrusion v:ext="view" autorotationcenter="t"/>
                <v:textpath style="font-family:&quot;Arial MT&quot;;font-size:72pt;v-text-kern:t;mso-text-shadow:auto" string="UNIVERSITY OF IBADAN"/>
                <w10:wrap type="none"/>
              </v:shape>
            </w:pict>
          </mc:Fallback>
        </mc:AlternateContent>
      </w:r>
      <w:r>
        <w:rPr/>
        <w:t>order, as well as ensure a secure and enabling environment for socio-economic activities to thrive in the Niger Delta.</w:t>
      </w:r>
      <w:r>
        <w:rPr>
          <w:spacing w:val="40"/>
        </w:rPr>
        <w:t> </w:t>
      </w:r>
      <w:r>
        <w:rPr/>
        <w:t>The overall objective is the restoration of political and socio-economic stability in the Niger Delta.</w:t>
      </w:r>
      <w:r>
        <w:rPr>
          <w:spacing w:val="40"/>
        </w:rPr>
        <w:t> </w:t>
      </w:r>
      <w:r>
        <w:rPr/>
        <w:t>The JTF Operation RESTORE HOPE is made up of Army Task Group (ATG), Nigerian Navy Task Group (NNTG), Nigerian Air Force Task Group (NAFTG) and State Security</w:t>
      </w:r>
      <w:r>
        <w:rPr>
          <w:spacing w:val="-3"/>
        </w:rPr>
        <w:t> </w:t>
      </w:r>
      <w:r>
        <w:rPr/>
        <w:t>Service Task Group (SSTG).</w:t>
      </w:r>
      <w:r>
        <w:rPr>
          <w:spacing w:val="40"/>
        </w:rPr>
        <w:t> </w:t>
      </w:r>
      <w:r>
        <w:rPr/>
        <w:t>The JTF is presently conducting a Military Operation Other Than War (MOOTW) that oscillates between traditional IS tasks and counter- insurgency operations in the Niger Delta region.</w:t>
      </w:r>
    </w:p>
    <w:p>
      <w:pPr>
        <w:pStyle w:val="BodyText"/>
        <w:spacing w:line="360" w:lineRule="auto" w:before="1"/>
        <w:ind w:right="1253" w:firstLine="720"/>
        <w:jc w:val="both"/>
      </w:pPr>
      <w:r>
        <w:rPr/>
        <w:t>The Task Force was said to have been largely successful in the realization of its mandate particularly in Delta and Bayelsa States.</w:t>
      </w:r>
      <w:r>
        <w:rPr>
          <w:spacing w:val="40"/>
        </w:rPr>
        <w:t> </w:t>
      </w:r>
      <w:r>
        <w:rPr/>
        <w:t>It has been able to locate and destroy some identified militant camps like the Ijaw militant group camp at Clough creek and the Madahor camp around Escravos in late December 2007.</w:t>
      </w:r>
      <w:r>
        <w:rPr>
          <w:spacing w:val="40"/>
        </w:rPr>
        <w:t> </w:t>
      </w:r>
      <w:r>
        <w:rPr/>
        <w:t>Between 15</w:t>
      </w:r>
      <w:r>
        <w:rPr>
          <w:vertAlign w:val="superscript"/>
        </w:rPr>
        <w:t>th</w:t>
      </w:r>
      <w:r>
        <w:rPr>
          <w:vertAlign w:val="baseline"/>
        </w:rPr>
        <w:t> and 20th May, 2009, the JTF troops destroyed camps 5 and 2 at Okerenkoko and Diebu creek respectively (</w:t>
      </w:r>
      <w:r>
        <w:rPr>
          <w:i/>
          <w:vertAlign w:val="baseline"/>
        </w:rPr>
        <w:t>Sunday Sun, </w:t>
      </w:r>
      <w:r>
        <w:rPr>
          <w:vertAlign w:val="baseline"/>
        </w:rPr>
        <w:t>May 24, 2009).</w:t>
      </w:r>
      <w:r>
        <w:rPr>
          <w:spacing w:val="40"/>
          <w:vertAlign w:val="baseline"/>
        </w:rPr>
        <w:t> </w:t>
      </w:r>
      <w:r>
        <w:rPr>
          <w:vertAlign w:val="baseline"/>
        </w:rPr>
        <w:t>The JTF also controlled inter and intra-communal violence, provided relative security for oil/gas companies and made several arrests to check illegal oil bunkering activities.</w:t>
      </w:r>
    </w:p>
    <w:p>
      <w:pPr>
        <w:pStyle w:val="Heading2"/>
        <w:spacing w:before="6"/>
        <w:jc w:val="both"/>
      </w:pPr>
      <w:r>
        <w:rPr/>
        <w:t>Operation</w:t>
      </w:r>
      <w:r>
        <w:rPr>
          <w:spacing w:val="59"/>
        </w:rPr>
        <w:t> </w:t>
      </w:r>
      <w:r>
        <w:rPr/>
        <w:t>FLUSHOUT</w:t>
      </w:r>
      <w:r>
        <w:rPr>
          <w:spacing w:val="-1"/>
        </w:rPr>
        <w:t> </w:t>
      </w:r>
      <w:r>
        <w:rPr/>
        <w:t>III</w:t>
      </w:r>
      <w:r>
        <w:rPr>
          <w:spacing w:val="-1"/>
        </w:rPr>
        <w:t> </w:t>
      </w:r>
      <w:r>
        <w:rPr/>
        <w:t>(2004 – </w:t>
      </w:r>
      <w:r>
        <w:rPr>
          <w:spacing w:val="-2"/>
        </w:rPr>
        <w:t>2009)</w:t>
      </w:r>
    </w:p>
    <w:p>
      <w:pPr>
        <w:pStyle w:val="BodyText"/>
        <w:spacing w:line="360" w:lineRule="auto" w:before="132"/>
        <w:ind w:right="1255" w:firstLine="780"/>
        <w:jc w:val="both"/>
      </w:pPr>
      <w:r>
        <w:rPr/>
        <w:t>Militant and criminal activities in Rivers State were at its lower ebb in early 2004. However, from May 2004 inter-militant conflicts broke out in Buguma and Okrika over control of area of influence or having access to illegal oil bunkering and other related criminal activities during which sophisticated weapons were used. The violence escalated to Port Harcourt city and its environs, which resulted in the killing and maiming of innocent citizens, hostage taking and economic sabotage. The high level of insecurity therefore led to the establishment of Operation FLUSHOUT III on 4 September 2004. According</w:t>
      </w:r>
      <w:r>
        <w:rPr>
          <w:spacing w:val="-1"/>
        </w:rPr>
        <w:t> </w:t>
      </w:r>
      <w:r>
        <w:rPr/>
        <w:t>to the</w:t>
      </w:r>
      <w:r>
        <w:rPr>
          <w:spacing w:val="-1"/>
        </w:rPr>
        <w:t> </w:t>
      </w:r>
      <w:r>
        <w:rPr/>
        <w:t>then JTF</w:t>
      </w:r>
      <w:r>
        <w:rPr>
          <w:spacing w:val="-2"/>
        </w:rPr>
        <w:t> </w:t>
      </w:r>
      <w:r>
        <w:rPr/>
        <w:t>operation FLUSHOUT III</w:t>
      </w:r>
      <w:r>
        <w:rPr>
          <w:spacing w:val="-3"/>
        </w:rPr>
        <w:t> </w:t>
      </w:r>
      <w:r>
        <w:rPr/>
        <w:t>Commander, Brigadier General Sarkin Yaki Bello, it was tasked to "checkmate the activities of the militant groups and provide an enabling environment for both government and socio- economic activities to thrive in Rivers State”.</w:t>
      </w:r>
    </w:p>
    <w:p>
      <w:pPr>
        <w:pStyle w:val="BodyText"/>
        <w:spacing w:line="360" w:lineRule="auto"/>
        <w:ind w:right="1260" w:firstLine="720"/>
        <w:jc w:val="both"/>
      </w:pPr>
      <w:r>
        <w:rPr/>
        <w:t>During</w:t>
      </w:r>
      <w:r>
        <w:rPr>
          <w:spacing w:val="-3"/>
        </w:rPr>
        <w:t> </w:t>
      </w:r>
      <w:r>
        <w:rPr/>
        <w:t>this</w:t>
      </w:r>
      <w:r>
        <w:rPr>
          <w:spacing w:val="-1"/>
        </w:rPr>
        <w:t> </w:t>
      </w:r>
      <w:r>
        <w:rPr/>
        <w:t>period,</w:t>
      </w:r>
      <w:r>
        <w:rPr>
          <w:spacing w:val="-2"/>
        </w:rPr>
        <w:t> </w:t>
      </w:r>
      <w:r>
        <w:rPr/>
        <w:t>there was</w:t>
      </w:r>
      <w:r>
        <w:rPr>
          <w:spacing w:val="-1"/>
        </w:rPr>
        <w:t> </w:t>
      </w:r>
      <w:r>
        <w:rPr/>
        <w:t>also</w:t>
      </w:r>
      <w:r>
        <w:rPr>
          <w:spacing w:val="-1"/>
        </w:rPr>
        <w:t> </w:t>
      </w:r>
      <w:r>
        <w:rPr/>
        <w:t>the</w:t>
      </w:r>
      <w:r>
        <w:rPr>
          <w:spacing w:val="-2"/>
        </w:rPr>
        <w:t> </w:t>
      </w:r>
      <w:r>
        <w:rPr/>
        <w:t>„Arms</w:t>
      </w:r>
      <w:r>
        <w:rPr>
          <w:spacing w:val="-2"/>
        </w:rPr>
        <w:t> </w:t>
      </w:r>
      <w:r>
        <w:rPr/>
        <w:t>Buy</w:t>
      </w:r>
      <w:r>
        <w:rPr>
          <w:spacing w:val="-4"/>
        </w:rPr>
        <w:t> </w:t>
      </w:r>
      <w:r>
        <w:rPr/>
        <w:t>Back</w:t>
      </w:r>
      <w:r>
        <w:rPr>
          <w:spacing w:val="-2"/>
        </w:rPr>
        <w:t> </w:t>
      </w:r>
      <w:r>
        <w:rPr/>
        <w:t>Deal‟</w:t>
      </w:r>
      <w:r>
        <w:rPr>
          <w:spacing w:val="-2"/>
        </w:rPr>
        <w:t> </w:t>
      </w:r>
      <w:r>
        <w:rPr/>
        <w:t>between</w:t>
      </w:r>
      <w:r>
        <w:rPr>
          <w:spacing w:val="-2"/>
        </w:rPr>
        <w:t> </w:t>
      </w:r>
      <w:r>
        <w:rPr/>
        <w:t>militias and government.</w:t>
      </w:r>
      <w:r>
        <w:rPr>
          <w:spacing w:val="40"/>
        </w:rPr>
        <w:t> </w:t>
      </w:r>
      <w:r>
        <w:rPr/>
        <w:t>The Rivers State government called the Niger Delta People‟s Volunteer Force (NDPVF) for dialogue in 2004.</w:t>
      </w:r>
      <w:r>
        <w:rPr>
          <w:spacing w:val="40"/>
        </w:rPr>
        <w:t> </w:t>
      </w:r>
      <w:r>
        <w:rPr/>
        <w:t>The peaceful dialogue led to an agreed ceasefire and disarmament.</w:t>
      </w:r>
      <w:r>
        <w:rPr>
          <w:spacing w:val="80"/>
        </w:rPr>
        <w:t> </w:t>
      </w:r>
      <w:r>
        <w:rPr/>
        <w:t>The militias that turn in their arms were reported to</w:t>
      </w:r>
      <w:r>
        <w:rPr>
          <w:spacing w:val="62"/>
        </w:rPr>
        <w:t> </w:t>
      </w:r>
      <w:r>
        <w:rPr/>
        <w:t>have</w:t>
      </w:r>
      <w:r>
        <w:rPr>
          <w:spacing w:val="63"/>
        </w:rPr>
        <w:t> </w:t>
      </w:r>
      <w:r>
        <w:rPr/>
        <w:t>been</w:t>
      </w:r>
      <w:r>
        <w:rPr>
          <w:spacing w:val="64"/>
        </w:rPr>
        <w:t> </w:t>
      </w:r>
      <w:r>
        <w:rPr/>
        <w:t>paid</w:t>
      </w:r>
      <w:r>
        <w:rPr>
          <w:spacing w:val="65"/>
        </w:rPr>
        <w:t> </w:t>
      </w:r>
      <w:r>
        <w:rPr/>
        <w:t>150,000.00</w:t>
      </w:r>
      <w:r>
        <w:rPr>
          <w:spacing w:val="64"/>
        </w:rPr>
        <w:t> </w:t>
      </w:r>
      <w:r>
        <w:rPr/>
        <w:t>naira</w:t>
      </w:r>
      <w:r>
        <w:rPr>
          <w:spacing w:val="63"/>
        </w:rPr>
        <w:t> </w:t>
      </w:r>
      <w:r>
        <w:rPr/>
        <w:t>for</w:t>
      </w:r>
      <w:r>
        <w:rPr>
          <w:spacing w:val="62"/>
        </w:rPr>
        <w:t> </w:t>
      </w:r>
      <w:r>
        <w:rPr/>
        <w:t>every</w:t>
      </w:r>
      <w:r>
        <w:rPr>
          <w:spacing w:val="62"/>
        </w:rPr>
        <w:t> </w:t>
      </w:r>
      <w:r>
        <w:rPr/>
        <w:t>single</w:t>
      </w:r>
      <w:r>
        <w:rPr>
          <w:spacing w:val="64"/>
        </w:rPr>
        <w:t> </w:t>
      </w:r>
      <w:r>
        <w:rPr/>
        <w:t>weapon</w:t>
      </w:r>
      <w:r>
        <w:rPr>
          <w:spacing w:val="64"/>
        </w:rPr>
        <w:t> </w:t>
      </w:r>
      <w:r>
        <w:rPr/>
        <w:t>surrendered</w:t>
      </w:r>
      <w:r>
        <w:rPr>
          <w:spacing w:val="64"/>
        </w:rPr>
        <w:t> </w:t>
      </w:r>
      <w:r>
        <w:rPr/>
        <w:t>to</w:t>
      </w:r>
      <w:r>
        <w:rPr>
          <w:spacing w:val="65"/>
        </w:rPr>
        <w:t> </w:t>
      </w:r>
      <w:r>
        <w:rPr>
          <w:spacing w:val="-5"/>
        </w:rPr>
        <w:t>the</w:t>
      </w:r>
    </w:p>
    <w:p>
      <w:pPr>
        <w:spacing w:after="0" w:line="360" w:lineRule="auto"/>
        <w:jc w:val="both"/>
        <w:sectPr>
          <w:pgSz w:w="11910" w:h="16840"/>
          <w:pgMar w:header="0" w:footer="1561" w:top="1360" w:bottom="1760" w:left="720" w:right="180"/>
        </w:sectPr>
      </w:pPr>
    </w:p>
    <w:p>
      <w:pPr>
        <w:pStyle w:val="BodyText"/>
        <w:spacing w:line="360" w:lineRule="auto" w:before="60"/>
        <w:ind w:right="1257"/>
        <w:jc w:val="both"/>
      </w:pPr>
      <w:r>
        <w:rPr/>
        <mc:AlternateContent>
          <mc:Choice Requires="wps">
            <w:drawing>
              <wp:anchor distT="0" distB="0" distL="0" distR="0" allowOverlap="1" layoutInCell="1" locked="0" behindDoc="1" simplePos="0" relativeHeight="480633344">
                <wp:simplePos x="0" y="0"/>
                <wp:positionH relativeFrom="page">
                  <wp:posOffset>-1537026</wp:posOffset>
                </wp:positionH>
                <wp:positionV relativeFrom="page">
                  <wp:posOffset>4900424</wp:posOffset>
                </wp:positionV>
                <wp:extent cx="10669905" cy="914400"/>
                <wp:effectExtent l="0" t="0" r="0" b="0"/>
                <wp:wrapNone/>
                <wp:docPr id="217" name="Textbox 217"/>
                <wp:cNvGraphicFramePr>
                  <a:graphicFrameLocks/>
                </wp:cNvGraphicFramePr>
                <a:graphic>
                  <a:graphicData uri="http://schemas.microsoft.com/office/word/2010/wordprocessingShape">
                    <wps:wsp>
                      <wps:cNvPr id="217" name="Textbox 217"/>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83136;rotation:306" type="#_x0000_t136" fillcolor="#ff5400" stroked="f">
                <o:extrusion v:ext="view" autorotationcenter="t"/>
                <v:textpath style="font-family:&quot;Arial MT&quot;;font-size:72pt;v-text-kern:t;mso-text-shadow:auto" string="UNIVERSITY OF IBADAN"/>
                <w10:wrap type="none"/>
              </v:shape>
            </w:pict>
          </mc:Fallback>
        </mc:AlternateContent>
      </w:r>
      <w:r>
        <w:rPr/>
        <w:t>Government Committee on Disarmament of the militias.</w:t>
      </w:r>
      <w:r>
        <w:rPr>
          <w:spacing w:val="40"/>
        </w:rPr>
        <w:t> </w:t>
      </w:r>
      <w:r>
        <w:rPr/>
        <w:t>Thus, as at 30th November 2004, a total of 854 „guns‟, 1353 rounds (assorted ammunition), 2 grenades and 11 pieces of explosives has been handed over to the Military JTF Operation</w:t>
      </w:r>
      <w:r>
        <w:rPr>
          <w:spacing w:val="80"/>
        </w:rPr>
        <w:t> </w:t>
      </w:r>
      <w:r>
        <w:rPr/>
        <w:t>FLUSHOUT III</w:t>
      </w:r>
      <w:r>
        <w:rPr>
          <w:spacing w:val="-2"/>
        </w:rPr>
        <w:t> </w:t>
      </w:r>
      <w:r>
        <w:rPr/>
        <w:t>in Rivers State by</w:t>
      </w:r>
      <w:r>
        <w:rPr>
          <w:spacing w:val="-6"/>
        </w:rPr>
        <w:t> </w:t>
      </w:r>
      <w:r>
        <w:rPr/>
        <w:t>the NDPVF (</w:t>
      </w:r>
      <w:r>
        <w:rPr>
          <w:i/>
        </w:rPr>
        <w:t>The Guardian </w:t>
      </w:r>
      <w:r>
        <w:rPr/>
        <w:t>(Lagos) November 16, 2004 : 2).</w:t>
      </w:r>
    </w:p>
    <w:p>
      <w:pPr>
        <w:pStyle w:val="BodyText"/>
        <w:spacing w:line="360" w:lineRule="auto"/>
        <w:ind w:right="1255" w:firstLine="720"/>
        <w:jc w:val="both"/>
      </w:pPr>
      <w:r>
        <w:rPr/>
        <w:t>The operation started in 2004 with very little riverine and amphibious equipment and only</w:t>
      </w:r>
      <w:r>
        <w:rPr>
          <w:spacing w:val="-3"/>
        </w:rPr>
        <w:t> </w:t>
      </w:r>
      <w:r>
        <w:rPr/>
        <w:t>about a battalion troops, mainly</w:t>
      </w:r>
      <w:r>
        <w:rPr>
          <w:spacing w:val="-3"/>
        </w:rPr>
        <w:t> </w:t>
      </w:r>
      <w:r>
        <w:rPr/>
        <w:t>from the Nigerian Army.</w:t>
      </w:r>
      <w:r>
        <w:rPr>
          <w:spacing w:val="40"/>
        </w:rPr>
        <w:t> </w:t>
      </w:r>
      <w:r>
        <w:rPr/>
        <w:t>This is against the truism that Riverine operation is a very costly business in terms of logistics, manpower (amphibious troops and special forces) and specialized</w:t>
      </w:r>
      <w:r>
        <w:rPr>
          <w:spacing w:val="40"/>
        </w:rPr>
        <w:t> </w:t>
      </w:r>
      <w:r>
        <w:rPr/>
        <w:t>equipment (flat bottom boats, gunboats and helicopter gunships).</w:t>
      </w:r>
      <w:r>
        <w:rPr>
          <w:vertAlign w:val="superscript"/>
        </w:rPr>
        <w:t>1</w:t>
      </w:r>
      <w:r>
        <w:rPr>
          <w:spacing w:val="80"/>
          <w:vertAlign w:val="baseline"/>
        </w:rPr>
        <w:t> </w:t>
      </w:r>
      <w:r>
        <w:rPr>
          <w:vertAlign w:val="baseline"/>
        </w:rPr>
        <w:t>Therefore, the contingency plan and entry strategy was ineffective because, the forces deployed could not contain the threats, even within Port Harcourt city. For instance, on 31 December 2004, militants attacked two police stations and killed four policemen and thirteen civilians in Port Harcourt. Hence, the leadership at the strategic level did not assess the threat situation correctly</w:t>
      </w:r>
      <w:r>
        <w:rPr>
          <w:spacing w:val="-4"/>
          <w:vertAlign w:val="baseline"/>
        </w:rPr>
        <w:t> </w:t>
      </w:r>
      <w:r>
        <w:rPr>
          <w:vertAlign w:val="baseline"/>
        </w:rPr>
        <w:t>before deciding</w:t>
      </w:r>
      <w:r>
        <w:rPr>
          <w:spacing w:val="-2"/>
          <w:vertAlign w:val="baseline"/>
        </w:rPr>
        <w:t> </w:t>
      </w:r>
      <w:r>
        <w:rPr>
          <w:vertAlign w:val="baseline"/>
        </w:rPr>
        <w:t>on the force size for</w:t>
      </w:r>
      <w:r>
        <w:rPr>
          <w:spacing w:val="-1"/>
          <w:vertAlign w:val="baseline"/>
        </w:rPr>
        <w:t> </w:t>
      </w:r>
      <w:r>
        <w:rPr>
          <w:vertAlign w:val="baseline"/>
        </w:rPr>
        <w:t>the operation. Thus, the ineffective contingency plan impacted negatively on the professional conduct of the operation.</w:t>
      </w:r>
    </w:p>
    <w:p>
      <w:pPr>
        <w:pStyle w:val="BodyText"/>
        <w:spacing w:line="360" w:lineRule="auto" w:before="1"/>
        <w:ind w:right="1256" w:firstLine="720"/>
        <w:jc w:val="both"/>
      </w:pPr>
      <w:r>
        <w:rPr/>
        <w:t>Following series of requests, the number of troops was gradually increased.</w:t>
      </w:r>
      <w:r>
        <w:rPr>
          <w:spacing w:val="80"/>
        </w:rPr>
        <w:t> </w:t>
      </w:r>
      <w:r>
        <w:rPr/>
        <w:t>By July 2008, the number had increased to about a brigade troops all ranks. Thereafter, the JTF operations recorded some successes, including dislodging some militant cult groups from their enclaves within Port Harcourt and environs. Likewise, the JTF captured some of the militants' arms and ammunitions. Thus, increase in the strength of troops enhanced professional conduct of the JTF operations.</w:t>
      </w:r>
      <w:r>
        <w:rPr>
          <w:spacing w:val="80"/>
          <w:w w:val="150"/>
        </w:rPr>
        <w:t> </w:t>
      </w:r>
      <w:r>
        <w:rPr/>
        <w:t>For</w:t>
      </w:r>
      <w:r>
        <w:rPr>
          <w:spacing w:val="40"/>
        </w:rPr>
        <w:t> </w:t>
      </w:r>
      <w:r>
        <w:rPr/>
        <w:t>example, on 17</w:t>
      </w:r>
      <w:r>
        <w:rPr>
          <w:vertAlign w:val="superscript"/>
        </w:rPr>
        <w:t>th</w:t>
      </w:r>
      <w:r>
        <w:rPr>
          <w:vertAlign w:val="baseline"/>
        </w:rPr>
        <w:t> December 2008 Operation FLUSH OUT III troops raided the Mbiama hideout of some oil bunkerers in Ahoada West Local Government Area of Rivers State.</w:t>
      </w:r>
      <w:r>
        <w:rPr>
          <w:spacing w:val="40"/>
          <w:vertAlign w:val="baseline"/>
        </w:rPr>
        <w:t> </w:t>
      </w:r>
      <w:r>
        <w:rPr>
          <w:vertAlign w:val="baseline"/>
        </w:rPr>
        <w:t>The gang escaped into the bush and abandoned 9 boats loaded with crude oil.</w:t>
      </w:r>
    </w:p>
    <w:p>
      <w:pPr>
        <w:pStyle w:val="BodyText"/>
        <w:spacing w:line="360" w:lineRule="auto" w:before="1"/>
        <w:ind w:right="1260" w:firstLine="782"/>
        <w:jc w:val="both"/>
      </w:pPr>
      <w:r>
        <w:rPr/>
        <w:t>Likewise, on the 28</w:t>
      </w:r>
      <w:r>
        <w:rPr>
          <w:vertAlign w:val="superscript"/>
        </w:rPr>
        <w:t>th</w:t>
      </w:r>
      <w:r>
        <w:rPr>
          <w:vertAlign w:val="baseline"/>
        </w:rPr>
        <w:t> December, 2008 Operation FLUSH OUT III reported that the JTF troops succeeded in arresting one militant leader, Sogboma Jackrich alias Egberipapa in Buguma, Rivers State.</w:t>
      </w:r>
      <w:r>
        <w:rPr>
          <w:spacing w:val="40"/>
          <w:vertAlign w:val="baseline"/>
        </w:rPr>
        <w:t> </w:t>
      </w:r>
      <w:r>
        <w:rPr>
          <w:vertAlign w:val="baseline"/>
        </w:rPr>
        <w:t>The militant who is aligned to another militant leader – Fara Dagogo has been responsible for series of kidnapping, piracy, armed robbery and attacks on security forces and oil installations.</w:t>
      </w:r>
      <w:r>
        <w:rPr>
          <w:spacing w:val="40"/>
          <w:vertAlign w:val="baseline"/>
        </w:rPr>
        <w:t> </w:t>
      </w:r>
      <w:r>
        <w:rPr>
          <w:vertAlign w:val="baseline"/>
        </w:rPr>
        <w:t>Further probing of the</w:t>
      </w:r>
    </w:p>
    <w:p>
      <w:pPr>
        <w:spacing w:after="0" w:line="360" w:lineRule="auto"/>
        <w:jc w:val="both"/>
        <w:sectPr>
          <w:pgSz w:w="11910" w:h="16840"/>
          <w:pgMar w:header="0" w:footer="1561" w:top="1360" w:bottom="1760" w:left="720" w:right="180"/>
        </w:sectPr>
      </w:pPr>
    </w:p>
    <w:p>
      <w:pPr>
        <w:pStyle w:val="BodyText"/>
        <w:spacing w:line="360" w:lineRule="auto" w:before="60"/>
        <w:ind w:right="1260"/>
      </w:pPr>
      <w:r>
        <w:rPr/>
        <mc:AlternateContent>
          <mc:Choice Requires="wps">
            <w:drawing>
              <wp:anchor distT="0" distB="0" distL="0" distR="0" allowOverlap="1" layoutInCell="1" locked="0" behindDoc="1" simplePos="0" relativeHeight="480634368">
                <wp:simplePos x="0" y="0"/>
                <wp:positionH relativeFrom="page">
                  <wp:posOffset>-1537026</wp:posOffset>
                </wp:positionH>
                <wp:positionV relativeFrom="page">
                  <wp:posOffset>4900424</wp:posOffset>
                </wp:positionV>
                <wp:extent cx="10669905" cy="914400"/>
                <wp:effectExtent l="0" t="0" r="0" b="0"/>
                <wp:wrapNone/>
                <wp:docPr id="218" name="Textbox 218"/>
                <wp:cNvGraphicFramePr>
                  <a:graphicFrameLocks/>
                </wp:cNvGraphicFramePr>
                <a:graphic>
                  <a:graphicData uri="http://schemas.microsoft.com/office/word/2010/wordprocessingShape">
                    <wps:wsp>
                      <wps:cNvPr id="218" name="Textbox 218"/>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82112;rotation:306" type="#_x0000_t136" fillcolor="#ff5400" stroked="f">
                <o:extrusion v:ext="view" autorotationcenter="t"/>
                <v:textpath style="font-family:&quot;Arial MT&quot;;font-size:72pt;v-text-kern:t;mso-text-shadow:auto" string="UNIVERSITY OF IBADAN"/>
                <w10:wrap type="none"/>
              </v:shape>
            </w:pict>
          </mc:Fallback>
        </mc:AlternateContent>
      </w:r>
      <w:r>
        <w:rPr/>
        <w:t>area of operation of the militant, led to the recovery of 3 AK 47 rifles, 6 AK 47 rifle</w:t>
      </w:r>
      <w:r>
        <w:rPr>
          <w:spacing w:val="40"/>
        </w:rPr>
        <w:t> </w:t>
      </w:r>
      <w:r>
        <w:rPr/>
        <w:t>magazines and some ammunition.</w:t>
      </w:r>
    </w:p>
    <w:p>
      <w:pPr>
        <w:pStyle w:val="BodyText"/>
        <w:spacing w:before="130"/>
        <w:ind w:left="0"/>
        <w:rPr>
          <w:sz w:val="20"/>
        </w:rPr>
      </w:pPr>
      <w:r>
        <w:rPr/>
        <mc:AlternateContent>
          <mc:Choice Requires="wps">
            <w:drawing>
              <wp:anchor distT="0" distB="0" distL="0" distR="0" allowOverlap="1" layoutInCell="1" locked="0" behindDoc="1" simplePos="0" relativeHeight="487663616">
                <wp:simplePos x="0" y="0"/>
                <wp:positionH relativeFrom="page">
                  <wp:posOffset>1992058</wp:posOffset>
                </wp:positionH>
                <wp:positionV relativeFrom="paragraph">
                  <wp:posOffset>244710</wp:posOffset>
                </wp:positionV>
                <wp:extent cx="3260090" cy="1922145"/>
                <wp:effectExtent l="0" t="0" r="0" b="0"/>
                <wp:wrapTopAndBottom/>
                <wp:docPr id="219" name="Group 219"/>
                <wp:cNvGraphicFramePr>
                  <a:graphicFrameLocks/>
                </wp:cNvGraphicFramePr>
                <a:graphic>
                  <a:graphicData uri="http://schemas.microsoft.com/office/word/2010/wordprocessingGroup">
                    <wpg:wgp>
                      <wpg:cNvPr id="219" name="Group 219"/>
                      <wpg:cNvGrpSpPr/>
                      <wpg:grpSpPr>
                        <a:xfrm>
                          <a:off x="0" y="0"/>
                          <a:ext cx="3260090" cy="1922145"/>
                          <a:chExt cx="3260090" cy="1922145"/>
                        </a:xfrm>
                      </wpg:grpSpPr>
                      <pic:pic>
                        <pic:nvPicPr>
                          <pic:cNvPr id="220" name="Image 220"/>
                          <pic:cNvPicPr/>
                        </pic:nvPicPr>
                        <pic:blipFill>
                          <a:blip r:embed="rId59" cstate="print"/>
                          <a:stretch>
                            <a:fillRect/>
                          </a:stretch>
                        </pic:blipFill>
                        <pic:spPr>
                          <a:xfrm>
                            <a:off x="28511" y="28511"/>
                            <a:ext cx="3202939" cy="1864995"/>
                          </a:xfrm>
                          <a:prstGeom prst="rect">
                            <a:avLst/>
                          </a:prstGeom>
                        </pic:spPr>
                      </pic:pic>
                      <wps:wsp>
                        <wps:cNvPr id="221" name="Graphic 221"/>
                        <wps:cNvSpPr/>
                        <wps:spPr>
                          <a:xfrm>
                            <a:off x="14287" y="14287"/>
                            <a:ext cx="3231515" cy="1893570"/>
                          </a:xfrm>
                          <a:custGeom>
                            <a:avLst/>
                            <a:gdLst/>
                            <a:ahLst/>
                            <a:cxnLst/>
                            <a:rect l="l" t="t" r="r" b="b"/>
                            <a:pathLst>
                              <a:path w="3231515" h="1893570">
                                <a:moveTo>
                                  <a:pt x="0" y="1893570"/>
                                </a:moveTo>
                                <a:lnTo>
                                  <a:pt x="3231514" y="1893570"/>
                                </a:lnTo>
                                <a:lnTo>
                                  <a:pt x="3231514" y="0"/>
                                </a:lnTo>
                                <a:lnTo>
                                  <a:pt x="0" y="0"/>
                                </a:lnTo>
                                <a:lnTo>
                                  <a:pt x="0" y="1893570"/>
                                </a:lnTo>
                                <a:close/>
                              </a:path>
                            </a:pathLst>
                          </a:custGeom>
                          <a:ln w="2857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56.854996pt;margin-top:19.268517pt;width:256.7pt;height:151.35pt;mso-position-horizontal-relative:page;mso-position-vertical-relative:paragraph;z-index:-15652864;mso-wrap-distance-left:0;mso-wrap-distance-right:0" id="docshapegroup99" coordorigin="3137,385" coordsize="5134,3027">
                <v:shape style="position:absolute;left:3182;top:430;width:5044;height:2937" type="#_x0000_t75" id="docshape100" stroked="false">
                  <v:imagedata r:id="rId59" o:title=""/>
                </v:shape>
                <v:rect style="position:absolute;left:3159;top:407;width:5089;height:2982" id="docshape101" filled="false" stroked="true" strokeweight="2.25pt" strokecolor="#000000">
                  <v:stroke dashstyle="solid"/>
                </v:rect>
                <w10:wrap type="topAndBottom"/>
              </v:group>
            </w:pict>
          </mc:Fallback>
        </mc:AlternateContent>
      </w:r>
    </w:p>
    <w:p>
      <w:pPr>
        <w:pStyle w:val="BodyText"/>
        <w:spacing w:before="43"/>
        <w:ind w:left="0"/>
      </w:pPr>
    </w:p>
    <w:p>
      <w:pPr>
        <w:pStyle w:val="Heading2"/>
        <w:spacing w:line="360" w:lineRule="auto"/>
        <w:ind w:left="2160" w:right="2080"/>
      </w:pPr>
      <w:r>
        <w:rPr/>
        <w:t>Plate</w:t>
      </w:r>
      <w:r>
        <w:rPr>
          <w:spacing w:val="-5"/>
        </w:rPr>
        <w:t> </w:t>
      </w:r>
      <w:r>
        <w:rPr/>
        <w:t>36:</w:t>
      </w:r>
      <w:r>
        <w:rPr>
          <w:spacing w:val="-5"/>
        </w:rPr>
        <w:t> </w:t>
      </w:r>
      <w:r>
        <w:rPr/>
        <w:t>Recovered</w:t>
      </w:r>
      <w:r>
        <w:rPr>
          <w:spacing w:val="-4"/>
        </w:rPr>
        <w:t> </w:t>
      </w:r>
      <w:r>
        <w:rPr/>
        <w:t>Arms</w:t>
      </w:r>
      <w:r>
        <w:rPr>
          <w:spacing w:val="-4"/>
        </w:rPr>
        <w:t> </w:t>
      </w:r>
      <w:r>
        <w:rPr/>
        <w:t>from</w:t>
      </w:r>
      <w:r>
        <w:rPr>
          <w:spacing w:val="-5"/>
        </w:rPr>
        <w:t> </w:t>
      </w:r>
      <w:r>
        <w:rPr/>
        <w:t>the</w:t>
      </w:r>
      <w:r>
        <w:rPr>
          <w:spacing w:val="-4"/>
        </w:rPr>
        <w:t> </w:t>
      </w:r>
      <w:r>
        <w:rPr/>
        <w:t>Militants</w:t>
      </w:r>
      <w:r>
        <w:rPr>
          <w:spacing w:val="-4"/>
        </w:rPr>
        <w:t> </w:t>
      </w:r>
      <w:r>
        <w:rPr/>
        <w:t>during</w:t>
      </w:r>
      <w:r>
        <w:rPr>
          <w:spacing w:val="-4"/>
        </w:rPr>
        <w:t> </w:t>
      </w:r>
      <w:r>
        <w:rPr/>
        <w:t>JTF</w:t>
      </w:r>
      <w:r>
        <w:rPr>
          <w:spacing w:val="-6"/>
        </w:rPr>
        <w:t> </w:t>
      </w:r>
      <w:r>
        <w:rPr/>
        <w:t>Raid Source: Army Headquarters Department of Operation, 2009</w:t>
      </w:r>
    </w:p>
    <w:p>
      <w:pPr>
        <w:pStyle w:val="BodyText"/>
        <w:spacing w:before="134"/>
        <w:ind w:left="0"/>
        <w:rPr>
          <w:b/>
        </w:rPr>
      </w:pPr>
    </w:p>
    <w:p>
      <w:pPr>
        <w:pStyle w:val="BodyText"/>
        <w:spacing w:line="360" w:lineRule="auto"/>
        <w:ind w:right="1256" w:firstLine="840"/>
        <w:jc w:val="both"/>
      </w:pPr>
      <w:r>
        <w:rPr/>
        <w:t>The Assistant Director Army Public Relations, Lieutenant Colonel Sagir Musa confirmed the arrest and subsequent handing over to the State Security</w:t>
      </w:r>
      <w:r>
        <w:rPr>
          <w:spacing w:val="-3"/>
        </w:rPr>
        <w:t> </w:t>
      </w:r>
      <w:r>
        <w:rPr/>
        <w:t>Services for further interrogation.</w:t>
      </w:r>
      <w:r>
        <w:rPr>
          <w:vertAlign w:val="superscript"/>
        </w:rPr>
        <w:t>2</w:t>
      </w:r>
      <w:r>
        <w:rPr>
          <w:spacing w:val="40"/>
          <w:vertAlign w:val="baseline"/>
        </w:rPr>
        <w:t> </w:t>
      </w:r>
      <w:r>
        <w:rPr>
          <w:vertAlign w:val="baseline"/>
        </w:rPr>
        <w:t>The Commander, Operation FLUSH OUT III Major General Sarkin Yakin Bello observed that, considering the difficult terrain, proliferation of militant camps and general insecurity, more would have been accomplished if adequate troops trained for special operations and equipped with special riverine equipment were available.</w:t>
      </w:r>
      <w:r>
        <w:rPr>
          <w:vertAlign w:val="superscript"/>
        </w:rPr>
        <w:t>3</w:t>
      </w:r>
      <w:r>
        <w:rPr>
          <w:vertAlign w:val="baseline"/>
        </w:rPr>
        <w:t> Special riverine operations‟ equipment such as gunboats, house boats, helicopter gunships, casualty evacuation helicopters, Global Positioning System (GPS) facilities were regarded as high-value equipment required for the effective conduct of military operations in the Niger Delta. In summary, inadequate planning was responsible for the weak entry strategy of the operation. The resources provided for the operation at inception were inadequate compared to the threats. With subsequent increase in the number of troops and equipment, the troops recorded successes against the militants. However, inadequate special equipment and troops trained for special operations impacted negatively on</w:t>
      </w:r>
      <w:r>
        <w:rPr>
          <w:spacing w:val="80"/>
          <w:vertAlign w:val="baseline"/>
        </w:rPr>
        <w:t> </w:t>
      </w:r>
      <w:r>
        <w:rPr>
          <w:vertAlign w:val="baseline"/>
        </w:rPr>
        <w:t>the professional conduct of this operation by the armed forces.</w:t>
      </w:r>
    </w:p>
    <w:p>
      <w:pPr>
        <w:pStyle w:val="BodyText"/>
        <w:spacing w:line="360" w:lineRule="auto" w:before="2"/>
        <w:ind w:right="1260" w:firstLine="720"/>
        <w:jc w:val="both"/>
      </w:pPr>
      <w:r>
        <w:rPr/>
        <w:t>This attests to what the commander, JTF Operation FLUSH OUT III, Major General Sarkin Yaki Bello said about the operational challenges of the operations:</w:t>
      </w:r>
    </w:p>
    <w:p>
      <w:pPr>
        <w:spacing w:after="0" w:line="360" w:lineRule="auto"/>
        <w:jc w:val="both"/>
        <w:sectPr>
          <w:pgSz w:w="11910" w:h="16840"/>
          <w:pgMar w:header="0" w:footer="1561" w:top="1360" w:bottom="1760" w:left="720" w:right="180"/>
        </w:sectPr>
      </w:pPr>
    </w:p>
    <w:p>
      <w:pPr>
        <w:pStyle w:val="BodyText"/>
        <w:spacing w:before="60"/>
        <w:ind w:left="3481"/>
      </w:pPr>
      <w:r>
        <w:rPr/>
        <mc:AlternateContent>
          <mc:Choice Requires="wps">
            <w:drawing>
              <wp:anchor distT="0" distB="0" distL="0" distR="0" allowOverlap="1" layoutInCell="1" locked="0" behindDoc="1" simplePos="0" relativeHeight="480635904">
                <wp:simplePos x="0" y="0"/>
                <wp:positionH relativeFrom="page">
                  <wp:posOffset>-1537026</wp:posOffset>
                </wp:positionH>
                <wp:positionV relativeFrom="page">
                  <wp:posOffset>4900424</wp:posOffset>
                </wp:positionV>
                <wp:extent cx="10669905" cy="914400"/>
                <wp:effectExtent l="0" t="0" r="0" b="0"/>
                <wp:wrapNone/>
                <wp:docPr id="222" name="Textbox 222"/>
                <wp:cNvGraphicFramePr>
                  <a:graphicFrameLocks/>
                </wp:cNvGraphicFramePr>
                <a:graphic>
                  <a:graphicData uri="http://schemas.microsoft.com/office/word/2010/wordprocessingShape">
                    <wps:wsp>
                      <wps:cNvPr id="222" name="Textbox 222"/>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80576;rotation:306" type="#_x0000_t136" fillcolor="#ff5400" stroked="f">
                <o:extrusion v:ext="view" autorotationcenter="t"/>
                <v:textpath style="font-family:&quot;Arial MT&quot;;font-size:72pt;v-text-kern:t;mso-text-shadow:auto" string="UNIVERSITY OF IBADAN"/>
                <w10:wrap type="none"/>
              </v:shape>
            </w:pict>
          </mc:Fallback>
        </mc:AlternateContent>
      </w:r>
      <w:r>
        <w:rPr/>
        <w:t>There</w:t>
      </w:r>
      <w:r>
        <w:rPr>
          <w:spacing w:val="-2"/>
        </w:rPr>
        <w:t> </w:t>
      </w:r>
      <w:r>
        <w:rPr/>
        <w:t>are</w:t>
      </w:r>
      <w:r>
        <w:rPr>
          <w:spacing w:val="-1"/>
        </w:rPr>
        <w:t> </w:t>
      </w:r>
      <w:r>
        <w:rPr/>
        <w:t>many</w:t>
      </w:r>
      <w:r>
        <w:rPr>
          <w:spacing w:val="-3"/>
        </w:rPr>
        <w:t> </w:t>
      </w:r>
      <w:r>
        <w:rPr/>
        <w:t>causes;</w:t>
      </w:r>
      <w:r>
        <w:rPr>
          <w:spacing w:val="-1"/>
        </w:rPr>
        <w:t> </w:t>
      </w:r>
      <w:r>
        <w:rPr>
          <w:spacing w:val="-2"/>
        </w:rPr>
        <w:t>availability</w:t>
      </w:r>
    </w:p>
    <w:p>
      <w:pPr>
        <w:pStyle w:val="BodyText"/>
        <w:spacing w:line="276" w:lineRule="auto" w:before="42"/>
        <w:ind w:left="3601" w:right="3037"/>
      </w:pPr>
      <w:r>
        <w:rPr/>
        <w:t>of weapons.</w:t>
      </w:r>
      <w:r>
        <w:rPr>
          <w:spacing w:val="40"/>
        </w:rPr>
        <w:t> </w:t>
      </w:r>
      <w:r>
        <w:rPr/>
        <w:t>That is proliferation of illegal weapons in the region has been one of reasons</w:t>
      </w:r>
      <w:r>
        <w:rPr>
          <w:spacing w:val="-5"/>
        </w:rPr>
        <w:t> </w:t>
      </w:r>
      <w:r>
        <w:rPr/>
        <w:t>that</w:t>
      </w:r>
      <w:r>
        <w:rPr>
          <w:spacing w:val="-5"/>
        </w:rPr>
        <w:t> </w:t>
      </w:r>
      <w:r>
        <w:rPr/>
        <w:t>has</w:t>
      </w:r>
      <w:r>
        <w:rPr>
          <w:spacing w:val="-4"/>
        </w:rPr>
        <w:t> </w:t>
      </w:r>
      <w:r>
        <w:rPr/>
        <w:t>aided</w:t>
      </w:r>
      <w:r>
        <w:rPr>
          <w:spacing w:val="-5"/>
        </w:rPr>
        <w:t> </w:t>
      </w:r>
      <w:r>
        <w:rPr/>
        <w:t>insecurity.</w:t>
      </w:r>
      <w:r>
        <w:rPr>
          <w:spacing w:val="40"/>
        </w:rPr>
        <w:t> </w:t>
      </w:r>
      <w:r>
        <w:rPr/>
        <w:t>Inadequate logistics is also a problem.</w:t>
      </w:r>
      <w:r>
        <w:rPr>
          <w:spacing w:val="40"/>
        </w:rPr>
        <w:t> </w:t>
      </w:r>
      <w:r>
        <w:rPr/>
        <w:t>In many fora,</w:t>
      </w:r>
      <w:r>
        <w:rPr>
          <w:spacing w:val="40"/>
        </w:rPr>
        <w:t> </w:t>
      </w:r>
      <w:r>
        <w:rPr/>
        <w:t>I have</w:t>
      </w:r>
      <w:r>
        <w:rPr>
          <w:spacing w:val="-7"/>
        </w:rPr>
        <w:t> </w:t>
      </w:r>
      <w:r>
        <w:rPr/>
        <w:t>always</w:t>
      </w:r>
      <w:r>
        <w:rPr>
          <w:spacing w:val="-4"/>
        </w:rPr>
        <w:t> </w:t>
      </w:r>
      <w:r>
        <w:rPr/>
        <w:t>asked</w:t>
      </w:r>
      <w:r>
        <w:rPr>
          <w:spacing w:val="-5"/>
        </w:rPr>
        <w:t> </w:t>
      </w:r>
      <w:r>
        <w:rPr/>
        <w:t>for</w:t>
      </w:r>
      <w:r>
        <w:rPr>
          <w:spacing w:val="-8"/>
        </w:rPr>
        <w:t> </w:t>
      </w:r>
      <w:r>
        <w:rPr/>
        <w:t>more</w:t>
      </w:r>
      <w:r>
        <w:rPr>
          <w:spacing w:val="-7"/>
        </w:rPr>
        <w:t> </w:t>
      </w:r>
      <w:r>
        <w:rPr/>
        <w:t>platforms</w:t>
      </w:r>
      <w:r>
        <w:rPr>
          <w:spacing w:val="-6"/>
        </w:rPr>
        <w:t> </w:t>
      </w:r>
      <w:r>
        <w:rPr/>
        <w:t>for</w:t>
      </w:r>
      <w:r>
        <w:rPr>
          <w:spacing w:val="-6"/>
        </w:rPr>
        <w:t> </w:t>
      </w:r>
      <w:r>
        <w:rPr/>
        <w:t>the Nigerian Navy; for more radar coverage, for more</w:t>
      </w:r>
      <w:r>
        <w:rPr>
          <w:spacing w:val="-6"/>
        </w:rPr>
        <w:t> </w:t>
      </w:r>
      <w:r>
        <w:rPr/>
        <w:t>suiveillance</w:t>
      </w:r>
      <w:r>
        <w:rPr>
          <w:spacing w:val="-5"/>
        </w:rPr>
        <w:t> </w:t>
      </w:r>
      <w:r>
        <w:rPr/>
        <w:t>to</w:t>
      </w:r>
      <w:r>
        <w:rPr>
          <w:spacing w:val="-4"/>
        </w:rPr>
        <w:t> </w:t>
      </w:r>
      <w:r>
        <w:rPr/>
        <w:t>monitor</w:t>
      </w:r>
      <w:r>
        <w:rPr>
          <w:spacing w:val="-5"/>
        </w:rPr>
        <w:t> </w:t>
      </w:r>
      <w:r>
        <w:rPr/>
        <w:t>what</w:t>
      </w:r>
      <w:r>
        <w:rPr>
          <w:spacing w:val="-2"/>
        </w:rPr>
        <w:t> </w:t>
      </w:r>
      <w:r>
        <w:rPr/>
        <w:t>goes</w:t>
      </w:r>
      <w:r>
        <w:rPr>
          <w:spacing w:val="-4"/>
        </w:rPr>
        <w:t> </w:t>
      </w:r>
      <w:r>
        <w:rPr/>
        <w:t>on</w:t>
      </w:r>
      <w:r>
        <w:rPr>
          <w:spacing w:val="-4"/>
        </w:rPr>
        <w:t> </w:t>
      </w:r>
      <w:r>
        <w:rPr/>
        <w:t>in</w:t>
      </w:r>
    </w:p>
    <w:p>
      <w:pPr>
        <w:pStyle w:val="BodyText"/>
        <w:spacing w:line="276" w:lineRule="auto"/>
        <w:ind w:left="3601" w:right="2566"/>
      </w:pPr>
      <w:r>
        <w:rPr/>
        <mc:AlternateContent>
          <mc:Choice Requires="wps">
            <w:drawing>
              <wp:anchor distT="0" distB="0" distL="0" distR="0" allowOverlap="1" layoutInCell="1" locked="0" behindDoc="1" simplePos="0" relativeHeight="487664640">
                <wp:simplePos x="0" y="0"/>
                <wp:positionH relativeFrom="page">
                  <wp:posOffset>1854898</wp:posOffset>
                </wp:positionH>
                <wp:positionV relativeFrom="paragraph">
                  <wp:posOffset>823090</wp:posOffset>
                </wp:positionV>
                <wp:extent cx="3159125" cy="2086610"/>
                <wp:effectExtent l="0" t="0" r="0" b="0"/>
                <wp:wrapTopAndBottom/>
                <wp:docPr id="223" name="Group 223"/>
                <wp:cNvGraphicFramePr>
                  <a:graphicFrameLocks/>
                </wp:cNvGraphicFramePr>
                <a:graphic>
                  <a:graphicData uri="http://schemas.microsoft.com/office/word/2010/wordprocessingGroup">
                    <wpg:wgp>
                      <wpg:cNvPr id="223" name="Group 223"/>
                      <wpg:cNvGrpSpPr/>
                      <wpg:grpSpPr>
                        <a:xfrm>
                          <a:off x="0" y="0"/>
                          <a:ext cx="3159125" cy="2086610"/>
                          <a:chExt cx="3159125" cy="2086610"/>
                        </a:xfrm>
                      </wpg:grpSpPr>
                      <pic:pic>
                        <pic:nvPicPr>
                          <pic:cNvPr id="224" name="Image 224"/>
                          <pic:cNvPicPr/>
                        </pic:nvPicPr>
                        <pic:blipFill>
                          <a:blip r:embed="rId60" cstate="print"/>
                          <a:stretch>
                            <a:fillRect/>
                          </a:stretch>
                        </pic:blipFill>
                        <pic:spPr>
                          <a:xfrm>
                            <a:off x="28511" y="28511"/>
                            <a:ext cx="3101975" cy="2029460"/>
                          </a:xfrm>
                          <a:prstGeom prst="rect">
                            <a:avLst/>
                          </a:prstGeom>
                        </pic:spPr>
                      </pic:pic>
                      <wps:wsp>
                        <wps:cNvPr id="225" name="Graphic 225"/>
                        <wps:cNvSpPr/>
                        <wps:spPr>
                          <a:xfrm>
                            <a:off x="14287" y="14287"/>
                            <a:ext cx="3130550" cy="2058035"/>
                          </a:xfrm>
                          <a:custGeom>
                            <a:avLst/>
                            <a:gdLst/>
                            <a:ahLst/>
                            <a:cxnLst/>
                            <a:rect l="l" t="t" r="r" b="b"/>
                            <a:pathLst>
                              <a:path w="3130550" h="2058035">
                                <a:moveTo>
                                  <a:pt x="0" y="2058035"/>
                                </a:moveTo>
                                <a:lnTo>
                                  <a:pt x="3130550" y="2058035"/>
                                </a:lnTo>
                                <a:lnTo>
                                  <a:pt x="3130550" y="0"/>
                                </a:lnTo>
                                <a:lnTo>
                                  <a:pt x="0" y="0"/>
                                </a:lnTo>
                                <a:lnTo>
                                  <a:pt x="0" y="2058035"/>
                                </a:lnTo>
                                <a:close/>
                              </a:path>
                            </a:pathLst>
                          </a:custGeom>
                          <a:ln w="285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6.054993pt;margin-top:64.810295pt;width:248.75pt;height:164.3pt;mso-position-horizontal-relative:page;mso-position-vertical-relative:paragraph;z-index:-15651840;mso-wrap-distance-left:0;mso-wrap-distance-right:0" id="docshapegroup102" coordorigin="2921,1296" coordsize="4975,3286">
                <v:shape style="position:absolute;left:2966;top:1341;width:4885;height:3196" type="#_x0000_t75" id="docshape103" stroked="false">
                  <v:imagedata r:id="rId60" o:title=""/>
                </v:shape>
                <v:rect style="position:absolute;left:2943;top:1318;width:4930;height:3241" id="docshape104" filled="false" stroked="true" strokeweight="2.25pt" strokecolor="#000000">
                  <v:stroke dashstyle="solid"/>
                </v:rect>
                <w10:wrap type="topAndBottom"/>
              </v:group>
            </w:pict>
          </mc:Fallback>
        </mc:AlternateContent>
      </w:r>
      <w:r>
        <w:rPr/>
        <w:t>Nigerian waters.</w:t>
      </w:r>
      <w:r>
        <w:rPr>
          <w:spacing w:val="40"/>
        </w:rPr>
        <w:t> </w:t>
      </w:r>
      <w:r>
        <w:rPr/>
        <w:t>Other problems include illegal oil bunkering and communal clashes.</w:t>
      </w:r>
      <w:r>
        <w:rPr>
          <w:spacing w:val="40"/>
        </w:rPr>
        <w:t> </w:t>
      </w:r>
      <w:r>
        <w:rPr/>
        <w:t>The government</w:t>
      </w:r>
      <w:r>
        <w:rPr>
          <w:spacing w:val="-6"/>
        </w:rPr>
        <w:t> </w:t>
      </w:r>
      <w:r>
        <w:rPr/>
        <w:t>was</w:t>
      </w:r>
      <w:r>
        <w:rPr>
          <w:spacing w:val="-4"/>
        </w:rPr>
        <w:t> </w:t>
      </w:r>
      <w:r>
        <w:rPr/>
        <w:t>also</w:t>
      </w:r>
      <w:r>
        <w:rPr>
          <w:spacing w:val="-6"/>
        </w:rPr>
        <w:t> </w:t>
      </w:r>
      <w:r>
        <w:rPr/>
        <w:t>battling</w:t>
      </w:r>
      <w:r>
        <w:rPr>
          <w:spacing w:val="-9"/>
        </w:rPr>
        <w:t> </w:t>
      </w:r>
      <w:r>
        <w:rPr/>
        <w:t>with</w:t>
      </w:r>
      <w:r>
        <w:rPr>
          <w:spacing w:val="-6"/>
        </w:rPr>
        <w:t> </w:t>
      </w:r>
      <w:r>
        <w:rPr/>
        <w:t>a</w:t>
      </w:r>
      <w:r>
        <w:rPr>
          <w:spacing w:val="-6"/>
        </w:rPr>
        <w:t> </w:t>
      </w:r>
      <w:r>
        <w:rPr/>
        <w:t>large</w:t>
      </w:r>
      <w:r>
        <w:rPr>
          <w:spacing w:val="-7"/>
        </w:rPr>
        <w:t> </w:t>
      </w:r>
      <w:r>
        <w:rPr/>
        <w:t>amount of unemployed youths.</w:t>
      </w:r>
      <w:r>
        <w:rPr>
          <w:vertAlign w:val="superscript"/>
        </w:rPr>
        <w:t>4</w:t>
      </w:r>
    </w:p>
    <w:p>
      <w:pPr>
        <w:spacing w:before="0"/>
        <w:ind w:left="2160" w:right="0" w:firstLine="0"/>
        <w:jc w:val="left"/>
        <w:rPr>
          <w:b/>
          <w:sz w:val="24"/>
        </w:rPr>
      </w:pPr>
      <w:r>
        <w:rPr>
          <w:b/>
          <w:sz w:val="24"/>
        </w:rPr>
        <w:t>Plate</w:t>
      </w:r>
      <w:r>
        <w:rPr>
          <w:b/>
          <w:spacing w:val="-3"/>
          <w:sz w:val="24"/>
        </w:rPr>
        <w:t> </w:t>
      </w:r>
      <w:r>
        <w:rPr>
          <w:b/>
          <w:sz w:val="24"/>
        </w:rPr>
        <w:t>37</w:t>
      </w:r>
      <w:r>
        <w:rPr>
          <w:b/>
          <w:spacing w:val="-1"/>
          <w:sz w:val="24"/>
        </w:rPr>
        <w:t> </w:t>
      </w:r>
      <w:r>
        <w:rPr>
          <w:b/>
          <w:sz w:val="24"/>
        </w:rPr>
        <w:t>:</w:t>
      </w:r>
      <w:r>
        <w:rPr>
          <w:b/>
          <w:spacing w:val="28"/>
          <w:sz w:val="24"/>
        </w:rPr>
        <w:t>  </w:t>
      </w:r>
      <w:r>
        <w:rPr>
          <w:b/>
          <w:sz w:val="24"/>
        </w:rPr>
        <w:t>Captured Militant’s</w:t>
      </w:r>
      <w:r>
        <w:rPr>
          <w:b/>
          <w:spacing w:val="-2"/>
          <w:sz w:val="24"/>
        </w:rPr>
        <w:t> Weapons</w:t>
      </w:r>
    </w:p>
    <w:p>
      <w:pPr>
        <w:spacing w:before="99"/>
        <w:ind w:left="2160" w:right="0" w:firstLine="0"/>
        <w:jc w:val="left"/>
        <w:rPr>
          <w:b/>
          <w:sz w:val="24"/>
        </w:rPr>
      </w:pPr>
      <w:r>
        <w:rPr>
          <w:b/>
          <w:sz w:val="24"/>
        </w:rPr>
        <w:t>Source:</w:t>
      </w:r>
      <w:r>
        <w:rPr>
          <w:b/>
          <w:spacing w:val="-2"/>
          <w:sz w:val="24"/>
        </w:rPr>
        <w:t> </w:t>
      </w:r>
      <w:r>
        <w:rPr>
          <w:b/>
          <w:sz w:val="24"/>
        </w:rPr>
        <w:t>Army</w:t>
      </w:r>
      <w:r>
        <w:rPr>
          <w:b/>
          <w:spacing w:val="-1"/>
          <w:sz w:val="24"/>
        </w:rPr>
        <w:t> </w:t>
      </w:r>
      <w:r>
        <w:rPr>
          <w:b/>
          <w:sz w:val="24"/>
        </w:rPr>
        <w:t>Headquarters</w:t>
      </w:r>
      <w:r>
        <w:rPr>
          <w:b/>
          <w:spacing w:val="-1"/>
          <w:sz w:val="24"/>
        </w:rPr>
        <w:t> </w:t>
      </w:r>
      <w:r>
        <w:rPr>
          <w:b/>
          <w:sz w:val="24"/>
        </w:rPr>
        <w:t>Department</w:t>
      </w:r>
      <w:r>
        <w:rPr>
          <w:b/>
          <w:spacing w:val="-2"/>
          <w:sz w:val="24"/>
        </w:rPr>
        <w:t> </w:t>
      </w:r>
      <w:r>
        <w:rPr>
          <w:b/>
          <w:sz w:val="24"/>
        </w:rPr>
        <w:t>of</w:t>
      </w:r>
      <w:r>
        <w:rPr>
          <w:b/>
          <w:spacing w:val="-1"/>
          <w:sz w:val="24"/>
        </w:rPr>
        <w:t> </w:t>
      </w:r>
      <w:r>
        <w:rPr>
          <w:b/>
          <w:sz w:val="24"/>
        </w:rPr>
        <w:t>Operations,</w:t>
      </w:r>
      <w:r>
        <w:rPr>
          <w:b/>
          <w:spacing w:val="-1"/>
          <w:sz w:val="24"/>
        </w:rPr>
        <w:t> </w:t>
      </w:r>
      <w:r>
        <w:rPr>
          <w:b/>
          <w:spacing w:val="-4"/>
          <w:sz w:val="24"/>
        </w:rPr>
        <w:t>2009</w:t>
      </w:r>
    </w:p>
    <w:p>
      <w:pPr>
        <w:pStyle w:val="BodyText"/>
        <w:spacing w:before="5"/>
        <w:ind w:left="0"/>
        <w:rPr>
          <w:b/>
          <w:sz w:val="8"/>
        </w:rPr>
      </w:pPr>
      <w:r>
        <w:rPr/>
        <mc:AlternateContent>
          <mc:Choice Requires="wps">
            <w:drawing>
              <wp:anchor distT="0" distB="0" distL="0" distR="0" allowOverlap="1" layoutInCell="1" locked="0" behindDoc="1" simplePos="0" relativeHeight="487665152">
                <wp:simplePos x="0" y="0"/>
                <wp:positionH relativeFrom="page">
                  <wp:posOffset>1668208</wp:posOffset>
                </wp:positionH>
                <wp:positionV relativeFrom="paragraph">
                  <wp:posOffset>77440</wp:posOffset>
                </wp:positionV>
                <wp:extent cx="3948429" cy="2844165"/>
                <wp:effectExtent l="0" t="0" r="0" b="0"/>
                <wp:wrapTopAndBottom/>
                <wp:docPr id="226" name="Group 226"/>
                <wp:cNvGraphicFramePr>
                  <a:graphicFrameLocks/>
                </wp:cNvGraphicFramePr>
                <a:graphic>
                  <a:graphicData uri="http://schemas.microsoft.com/office/word/2010/wordprocessingGroup">
                    <wpg:wgp>
                      <wpg:cNvPr id="226" name="Group 226"/>
                      <wpg:cNvGrpSpPr/>
                      <wpg:grpSpPr>
                        <a:xfrm>
                          <a:off x="0" y="0"/>
                          <a:ext cx="3948429" cy="2844165"/>
                          <a:chExt cx="3948429" cy="2844165"/>
                        </a:xfrm>
                      </wpg:grpSpPr>
                      <pic:pic>
                        <pic:nvPicPr>
                          <pic:cNvPr id="227" name="Image 227"/>
                          <pic:cNvPicPr/>
                        </pic:nvPicPr>
                        <pic:blipFill>
                          <a:blip r:embed="rId61" cstate="print"/>
                          <a:stretch>
                            <a:fillRect/>
                          </a:stretch>
                        </pic:blipFill>
                        <pic:spPr>
                          <a:xfrm>
                            <a:off x="28511" y="28511"/>
                            <a:ext cx="3891279" cy="2787014"/>
                          </a:xfrm>
                          <a:prstGeom prst="rect">
                            <a:avLst/>
                          </a:prstGeom>
                        </pic:spPr>
                      </pic:pic>
                      <wps:wsp>
                        <wps:cNvPr id="228" name="Graphic 228"/>
                        <wps:cNvSpPr/>
                        <wps:spPr>
                          <a:xfrm>
                            <a:off x="14287" y="14287"/>
                            <a:ext cx="3919854" cy="2815590"/>
                          </a:xfrm>
                          <a:custGeom>
                            <a:avLst/>
                            <a:gdLst/>
                            <a:ahLst/>
                            <a:cxnLst/>
                            <a:rect l="l" t="t" r="r" b="b"/>
                            <a:pathLst>
                              <a:path w="3919854" h="2815590">
                                <a:moveTo>
                                  <a:pt x="0" y="2815590"/>
                                </a:moveTo>
                                <a:lnTo>
                                  <a:pt x="3919854" y="2815590"/>
                                </a:lnTo>
                                <a:lnTo>
                                  <a:pt x="3919854" y="0"/>
                                </a:lnTo>
                                <a:lnTo>
                                  <a:pt x="0" y="0"/>
                                </a:lnTo>
                                <a:lnTo>
                                  <a:pt x="0" y="2815590"/>
                                </a:lnTo>
                                <a:close/>
                              </a:path>
                            </a:pathLst>
                          </a:custGeom>
                          <a:ln w="285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1.354996pt;margin-top:6.097652pt;width:310.9pt;height:223.95pt;mso-position-horizontal-relative:page;mso-position-vertical-relative:paragraph;z-index:-15651328;mso-wrap-distance-left:0;mso-wrap-distance-right:0" id="docshapegroup105" coordorigin="2627,122" coordsize="6218,4479">
                <v:shape style="position:absolute;left:2672;top:166;width:6128;height:4389" type="#_x0000_t75" id="docshape106" stroked="false">
                  <v:imagedata r:id="rId61" o:title=""/>
                </v:shape>
                <v:rect style="position:absolute;left:2649;top:144;width:6173;height:4434" id="docshape107" filled="false" stroked="true" strokeweight="2.25pt" strokecolor="#000000">
                  <v:stroke dashstyle="solid"/>
                </v:rect>
                <w10:wrap type="topAndBottom"/>
              </v:group>
            </w:pict>
          </mc:Fallback>
        </mc:AlternateContent>
      </w:r>
    </w:p>
    <w:p>
      <w:pPr>
        <w:spacing w:line="360" w:lineRule="auto" w:before="94"/>
        <w:ind w:left="2400" w:right="2080" w:firstLine="0"/>
        <w:jc w:val="left"/>
        <w:rPr>
          <w:b/>
          <w:sz w:val="24"/>
        </w:rPr>
      </w:pPr>
      <w:r>
        <w:rPr>
          <w:b/>
          <w:sz w:val="24"/>
        </w:rPr>
        <w:t>Plate</w:t>
      </w:r>
      <w:r>
        <w:rPr>
          <w:b/>
          <w:spacing w:val="-6"/>
          <w:sz w:val="24"/>
        </w:rPr>
        <w:t> </w:t>
      </w:r>
      <w:r>
        <w:rPr>
          <w:b/>
          <w:sz w:val="24"/>
        </w:rPr>
        <w:t>38</w:t>
      </w:r>
      <w:r>
        <w:rPr>
          <w:b/>
          <w:spacing w:val="40"/>
          <w:sz w:val="24"/>
        </w:rPr>
        <w:t> </w:t>
      </w:r>
      <w:r>
        <w:rPr>
          <w:b/>
          <w:sz w:val="24"/>
        </w:rPr>
        <w:t>:</w:t>
      </w:r>
      <w:r>
        <w:rPr>
          <w:b/>
          <w:spacing w:val="-6"/>
          <w:sz w:val="24"/>
        </w:rPr>
        <w:t> </w:t>
      </w:r>
      <w:r>
        <w:rPr>
          <w:b/>
          <w:sz w:val="24"/>
        </w:rPr>
        <w:t>Confiscated</w:t>
      </w:r>
      <w:r>
        <w:rPr>
          <w:b/>
          <w:spacing w:val="-5"/>
          <w:sz w:val="24"/>
        </w:rPr>
        <w:t> </w:t>
      </w:r>
      <w:r>
        <w:rPr>
          <w:b/>
          <w:sz w:val="24"/>
        </w:rPr>
        <w:t>Outboard</w:t>
      </w:r>
      <w:r>
        <w:rPr>
          <w:b/>
          <w:spacing w:val="-7"/>
          <w:sz w:val="24"/>
        </w:rPr>
        <w:t> </w:t>
      </w:r>
      <w:r>
        <w:rPr>
          <w:b/>
          <w:sz w:val="24"/>
        </w:rPr>
        <w:t>Boat</w:t>
      </w:r>
      <w:r>
        <w:rPr>
          <w:b/>
          <w:spacing w:val="-5"/>
          <w:sz w:val="24"/>
        </w:rPr>
        <w:t> </w:t>
      </w:r>
      <w:r>
        <w:rPr>
          <w:b/>
          <w:sz w:val="24"/>
        </w:rPr>
        <w:t>Engines</w:t>
      </w:r>
      <w:r>
        <w:rPr>
          <w:b/>
          <w:spacing w:val="-5"/>
          <w:sz w:val="24"/>
        </w:rPr>
        <w:t> </w:t>
      </w:r>
      <w:r>
        <w:rPr>
          <w:b/>
          <w:sz w:val="24"/>
        </w:rPr>
        <w:t>of</w:t>
      </w:r>
      <w:r>
        <w:rPr>
          <w:b/>
          <w:spacing w:val="-6"/>
          <w:sz w:val="24"/>
        </w:rPr>
        <w:t> </w:t>
      </w:r>
      <w:r>
        <w:rPr>
          <w:b/>
          <w:sz w:val="24"/>
        </w:rPr>
        <w:t>Bunkerers Source : Researcher’s Fieldwork, 20 September,2010</w:t>
      </w:r>
    </w:p>
    <w:p>
      <w:pPr>
        <w:spacing w:after="0" w:line="360" w:lineRule="auto"/>
        <w:jc w:val="left"/>
        <w:rPr>
          <w:sz w:val="24"/>
        </w:rPr>
        <w:sectPr>
          <w:pgSz w:w="11910" w:h="16840"/>
          <w:pgMar w:header="0" w:footer="1561" w:top="1360" w:bottom="1760" w:left="720" w:right="180"/>
        </w:sectPr>
      </w:pPr>
    </w:p>
    <w:p>
      <w:pPr>
        <w:pStyle w:val="BodyText"/>
        <w:spacing w:line="360" w:lineRule="auto" w:before="60"/>
        <w:ind w:right="1254" w:firstLine="1140"/>
        <w:jc w:val="both"/>
      </w:pPr>
      <w:r>
        <w:rPr/>
        <mc:AlternateContent>
          <mc:Choice Requires="wps">
            <w:drawing>
              <wp:anchor distT="0" distB="0" distL="0" distR="0" allowOverlap="1" layoutInCell="1" locked="0" behindDoc="1" simplePos="0" relativeHeight="480636416">
                <wp:simplePos x="0" y="0"/>
                <wp:positionH relativeFrom="page">
                  <wp:posOffset>-1537026</wp:posOffset>
                </wp:positionH>
                <wp:positionV relativeFrom="page">
                  <wp:posOffset>4900424</wp:posOffset>
                </wp:positionV>
                <wp:extent cx="10669905" cy="914400"/>
                <wp:effectExtent l="0" t="0" r="0" b="0"/>
                <wp:wrapNone/>
                <wp:docPr id="229" name="Textbox 229"/>
                <wp:cNvGraphicFramePr>
                  <a:graphicFrameLocks/>
                </wp:cNvGraphicFramePr>
                <a:graphic>
                  <a:graphicData uri="http://schemas.microsoft.com/office/word/2010/wordprocessingShape">
                    <wps:wsp>
                      <wps:cNvPr id="229" name="Textbox 229"/>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80064;rotation:306" type="#_x0000_t136" fillcolor="#ff5400" stroked="f">
                <o:extrusion v:ext="view" autorotationcenter="t"/>
                <v:textpath style="font-family:&quot;Arial MT&quot;;font-size:72pt;v-text-kern:t;mso-text-shadow:auto" string="UNIVERSITY OF IBADAN"/>
                <w10:wrap type="none"/>
              </v:shape>
            </w:pict>
          </mc:Fallback>
        </mc:AlternateContent>
      </w:r>
      <w:r>
        <w:rPr/>
        <w:t>Government policies, exemplified by the Rivers State Government‟s “arms-buy-back” programme, have not been effective and therefore have clearly missed the point.</w:t>
      </w:r>
      <w:r>
        <w:rPr>
          <w:spacing w:val="80"/>
        </w:rPr>
        <w:t> </w:t>
      </w:r>
      <w:r>
        <w:rPr/>
        <w:t>In the same vein, when the military‟s JTF intervened in August 2007 to combat warring gangs, many Port Harcourt residents welcomed the move in principle</w:t>
      </w:r>
      <w:r>
        <w:rPr>
          <w:spacing w:val="-1"/>
        </w:rPr>
        <w:t> </w:t>
      </w:r>
      <w:r>
        <w:rPr/>
        <w:t>but worried that the</w:t>
      </w:r>
      <w:r>
        <w:rPr>
          <w:spacing w:val="-1"/>
        </w:rPr>
        <w:t> </w:t>
      </w:r>
      <w:r>
        <w:rPr/>
        <w:t>gesture</w:t>
      </w:r>
      <w:r>
        <w:rPr>
          <w:spacing w:val="-1"/>
        </w:rPr>
        <w:t> </w:t>
      </w:r>
      <w:r>
        <w:rPr/>
        <w:t>would prove pointless unless the</w:t>
      </w:r>
      <w:r>
        <w:rPr>
          <w:spacing w:val="-1"/>
        </w:rPr>
        <w:t> </w:t>
      </w:r>
      <w:r>
        <w:rPr/>
        <w:t>politicians</w:t>
      </w:r>
      <w:r>
        <w:rPr>
          <w:spacing w:val="-1"/>
        </w:rPr>
        <w:t> </w:t>
      </w:r>
      <w:r>
        <w:rPr/>
        <w:t>who sponsored and help armed these gangs were held accountable.</w:t>
      </w:r>
      <w:r>
        <w:rPr>
          <w:spacing w:val="80"/>
        </w:rPr>
        <w:t> </w:t>
      </w:r>
      <w:r>
        <w:rPr/>
        <w:t>One interviewee</w:t>
      </w:r>
      <w:r>
        <w:rPr>
          <w:spacing w:val="40"/>
        </w:rPr>
        <w:t> </w:t>
      </w:r>
      <w:r>
        <w:rPr/>
        <w:t>attests that “what will this military</w:t>
      </w:r>
      <w:r>
        <w:rPr>
          <w:spacing w:val="-3"/>
        </w:rPr>
        <w:t> </w:t>
      </w:r>
      <w:r>
        <w:rPr/>
        <w:t>intervention do to the whole idea of the politicians paying, motivating, recruiting and keeping as well as protecting these militants, including encouraging them to carry out illegal oil bunkering” (Human Rights Watch Briefing Paper, 2002:2).</w:t>
      </w:r>
    </w:p>
    <w:p>
      <w:pPr>
        <w:pStyle w:val="BodyText"/>
        <w:spacing w:before="6"/>
        <w:ind w:left="0"/>
      </w:pPr>
    </w:p>
    <w:p>
      <w:pPr>
        <w:pStyle w:val="Heading2"/>
        <w:spacing w:before="1"/>
      </w:pPr>
      <w:r>
        <w:rPr/>
        <w:t>Operation</w:t>
      </w:r>
      <w:r>
        <w:rPr>
          <w:spacing w:val="-1"/>
        </w:rPr>
        <w:t> </w:t>
      </w:r>
      <w:r>
        <w:rPr/>
        <w:t>RESTORE</w:t>
      </w:r>
      <w:r>
        <w:rPr>
          <w:spacing w:val="-3"/>
        </w:rPr>
        <w:t> </w:t>
      </w:r>
      <w:r>
        <w:rPr/>
        <w:t>HOPE</w:t>
      </w:r>
      <w:r>
        <w:rPr>
          <w:spacing w:val="-1"/>
        </w:rPr>
        <w:t> </w:t>
      </w:r>
      <w:r>
        <w:rPr/>
        <w:t>(2009</w:t>
      </w:r>
      <w:r>
        <w:rPr>
          <w:spacing w:val="1"/>
        </w:rPr>
        <w:t> </w:t>
      </w:r>
      <w:r>
        <w:rPr/>
        <w:t>–</w:t>
      </w:r>
      <w:r>
        <w:rPr>
          <w:spacing w:val="-1"/>
        </w:rPr>
        <w:t> </w:t>
      </w:r>
      <w:r>
        <w:rPr>
          <w:spacing w:val="-2"/>
        </w:rPr>
        <w:t>2011)</w:t>
      </w:r>
    </w:p>
    <w:p>
      <w:pPr>
        <w:pStyle w:val="BodyText"/>
        <w:spacing w:line="360" w:lineRule="auto" w:before="132"/>
        <w:ind w:right="1258" w:firstLine="720"/>
        <w:jc w:val="both"/>
      </w:pPr>
      <w:r>
        <w:rPr/>
        <w:t>The merger of the activities and duties of JTF Operation RESTORE HOPE</w:t>
      </w:r>
      <w:r>
        <w:rPr>
          <w:spacing w:val="40"/>
        </w:rPr>
        <w:t> </w:t>
      </w:r>
      <w:r>
        <w:rPr/>
        <w:t>and Operation FLUSHOUT III was therefore borne out of the need for coordinated and harmonized efforts to sustain the modest achievements recorded so far then.</w:t>
      </w:r>
      <w:r>
        <w:rPr>
          <w:spacing w:val="40"/>
        </w:rPr>
        <w:t> </w:t>
      </w:r>
      <w:r>
        <w:rPr/>
        <w:t>It was also to stamp out the trend and waves of criminality in the Niger Delta.</w:t>
      </w:r>
      <w:r>
        <w:rPr>
          <w:spacing w:val="40"/>
        </w:rPr>
        <w:t> </w:t>
      </w:r>
      <w:r>
        <w:rPr/>
        <w:t>It was designed to achieve high level of operational and professional competence through effective coordination, synergy of efforts, judicious utilization of resources and effective management of information.</w:t>
      </w:r>
      <w:r>
        <w:rPr>
          <w:spacing w:val="80"/>
        </w:rPr>
        <w:t> </w:t>
      </w:r>
      <w:r>
        <w:rPr/>
        <w:t>However, as the new JTF was taking shape,</w:t>
      </w:r>
      <w:r>
        <w:rPr>
          <w:spacing w:val="40"/>
        </w:rPr>
        <w:t> </w:t>
      </w:r>
      <w:r>
        <w:rPr/>
        <w:t>the unprovoked militants‟ attack on two separate JTF Land Component (JTFLC) patrols on 13th May 2009 and the subsequent rescue operation conducted by JTF on 15th May 2009 changed the entire landscape.</w:t>
      </w:r>
    </w:p>
    <w:p>
      <w:pPr>
        <w:pStyle w:val="BodyText"/>
        <w:spacing w:line="360" w:lineRule="auto"/>
        <w:ind w:right="1256" w:firstLine="780"/>
        <w:jc w:val="both"/>
      </w:pPr>
      <w:r>
        <w:rPr/>
        <w:t>Colonel Rabe Abubakar, Coordinator of the JTF Media Campaign Centre, Warri gave the genesis of the JTF troops versus militants to be the unprovoked attack by the militants on the JTF troops on 13</w:t>
      </w:r>
      <w:r>
        <w:rPr>
          <w:vertAlign w:val="superscript"/>
        </w:rPr>
        <w:t>th</w:t>
      </w:r>
      <w:r>
        <w:rPr>
          <w:vertAlign w:val="baseline"/>
        </w:rPr>
        <w:t> May 2009 along the Chanomi creek, Warri South-West L.G.A, Delta State Plate 12. In his words:</w:t>
      </w:r>
    </w:p>
    <w:p>
      <w:pPr>
        <w:pStyle w:val="BodyText"/>
        <w:spacing w:line="276" w:lineRule="auto" w:before="1"/>
        <w:ind w:left="2940" w:right="3323"/>
        <w:jc w:val="both"/>
      </w:pPr>
      <w:r>
        <w:rPr/>
        <w:t>JTF</w:t>
      </w:r>
      <w:r>
        <w:rPr>
          <w:spacing w:val="-7"/>
        </w:rPr>
        <w:t> </w:t>
      </w:r>
      <w:r>
        <w:rPr/>
        <w:t>troops</w:t>
      </w:r>
      <w:r>
        <w:rPr>
          <w:spacing w:val="-5"/>
        </w:rPr>
        <w:t> </w:t>
      </w:r>
      <w:r>
        <w:rPr/>
        <w:t>detailed</w:t>
      </w:r>
      <w:r>
        <w:rPr>
          <w:spacing w:val="-5"/>
        </w:rPr>
        <w:t> </w:t>
      </w:r>
      <w:r>
        <w:rPr/>
        <w:t>as</w:t>
      </w:r>
      <w:r>
        <w:rPr>
          <w:spacing w:val="-5"/>
        </w:rPr>
        <w:t> </w:t>
      </w:r>
      <w:r>
        <w:rPr/>
        <w:t>escort</w:t>
      </w:r>
      <w:r>
        <w:rPr>
          <w:spacing w:val="-5"/>
        </w:rPr>
        <w:t> </w:t>
      </w:r>
      <w:r>
        <w:rPr/>
        <w:t>to</w:t>
      </w:r>
      <w:r>
        <w:rPr>
          <w:spacing w:val="-5"/>
        </w:rPr>
        <w:t> </w:t>
      </w:r>
      <w:r>
        <w:rPr/>
        <w:t>MC</w:t>
      </w:r>
      <w:r>
        <w:rPr>
          <w:spacing w:val="-5"/>
        </w:rPr>
        <w:t> </w:t>
      </w:r>
      <w:r>
        <w:rPr/>
        <w:t>Spirit-NNPC chartered</w:t>
      </w:r>
      <w:r>
        <w:rPr>
          <w:spacing w:val="-5"/>
        </w:rPr>
        <w:t> </w:t>
      </w:r>
      <w:r>
        <w:rPr/>
        <w:t>vessel</w:t>
      </w:r>
      <w:r>
        <w:rPr>
          <w:spacing w:val="-5"/>
        </w:rPr>
        <w:t> </w:t>
      </w:r>
      <w:r>
        <w:rPr/>
        <w:t>carrying</w:t>
      </w:r>
      <w:r>
        <w:rPr>
          <w:spacing w:val="-8"/>
        </w:rPr>
        <w:t> </w:t>
      </w:r>
      <w:r>
        <w:rPr/>
        <w:t>20,000</w:t>
      </w:r>
      <w:r>
        <w:rPr>
          <w:spacing w:val="-5"/>
        </w:rPr>
        <w:t> </w:t>
      </w:r>
      <w:r>
        <w:rPr/>
        <w:t>metric</w:t>
      </w:r>
      <w:r>
        <w:rPr>
          <w:spacing w:val="-5"/>
        </w:rPr>
        <w:t> </w:t>
      </w:r>
      <w:r>
        <w:rPr/>
        <w:t>tonnes</w:t>
      </w:r>
      <w:r>
        <w:rPr>
          <w:spacing w:val="-5"/>
        </w:rPr>
        <w:t> </w:t>
      </w:r>
      <w:r>
        <w:rPr/>
        <w:t>of petrol to Warri as well as those troops on</w:t>
      </w:r>
    </w:p>
    <w:p>
      <w:pPr>
        <w:pStyle w:val="BodyText"/>
        <w:spacing w:line="276" w:lineRule="auto" w:before="1"/>
        <w:ind w:left="2940" w:right="2827"/>
      </w:pPr>
      <w:r>
        <w:rPr/>
        <w:t>relief</w:t>
      </w:r>
      <w:r>
        <w:rPr>
          <w:spacing w:val="-7"/>
        </w:rPr>
        <w:t> </w:t>
      </w:r>
      <w:r>
        <w:rPr/>
        <w:t>duties</w:t>
      </w:r>
      <w:r>
        <w:rPr>
          <w:spacing w:val="-7"/>
        </w:rPr>
        <w:t> </w:t>
      </w:r>
      <w:r>
        <w:rPr/>
        <w:t>were</w:t>
      </w:r>
      <w:r>
        <w:rPr>
          <w:spacing w:val="-9"/>
        </w:rPr>
        <w:t> </w:t>
      </w:r>
      <w:r>
        <w:rPr/>
        <w:t>simultaneously</w:t>
      </w:r>
      <w:r>
        <w:rPr>
          <w:spacing w:val="-9"/>
        </w:rPr>
        <w:t> </w:t>
      </w:r>
      <w:r>
        <w:rPr/>
        <w:t>attacked.</w:t>
      </w:r>
      <w:r>
        <w:rPr>
          <w:spacing w:val="-4"/>
        </w:rPr>
        <w:t> </w:t>
      </w:r>
      <w:r>
        <w:rPr/>
        <w:t>Also,</w:t>
      </w:r>
      <w:r>
        <w:rPr>
          <w:spacing w:val="-5"/>
        </w:rPr>
        <w:t> </w:t>
      </w:r>
      <w:r>
        <w:rPr/>
        <w:t>crew members mostly Filipinos equally hijacked while another cargo ship with 22 Ukrainians were also hijacked by the same militants. The JTF responded</w:t>
      </w:r>
    </w:p>
    <w:p>
      <w:pPr>
        <w:pStyle w:val="BodyText"/>
        <w:spacing w:line="276" w:lineRule="auto"/>
        <w:ind w:left="2940" w:right="3112"/>
      </w:pPr>
      <w:r>
        <w:rPr/>
        <w:t>to</w:t>
      </w:r>
      <w:r>
        <w:rPr>
          <w:spacing w:val="-4"/>
        </w:rPr>
        <w:t> </w:t>
      </w:r>
      <w:r>
        <w:rPr/>
        <w:t>these</w:t>
      </w:r>
      <w:r>
        <w:rPr>
          <w:spacing w:val="-5"/>
        </w:rPr>
        <w:t> </w:t>
      </w:r>
      <w:r>
        <w:rPr/>
        <w:t>attacks</w:t>
      </w:r>
      <w:r>
        <w:rPr>
          <w:spacing w:val="-4"/>
        </w:rPr>
        <w:t> </w:t>
      </w:r>
      <w:r>
        <w:rPr/>
        <w:t>by</w:t>
      </w:r>
      <w:r>
        <w:rPr>
          <w:spacing w:val="-9"/>
        </w:rPr>
        <w:t> </w:t>
      </w:r>
      <w:r>
        <w:rPr/>
        <w:t>organising</w:t>
      </w:r>
      <w:r>
        <w:rPr>
          <w:spacing w:val="-4"/>
        </w:rPr>
        <w:t> </w:t>
      </w:r>
      <w:r>
        <w:rPr/>
        <w:t>a</w:t>
      </w:r>
      <w:r>
        <w:rPr>
          <w:spacing w:val="-5"/>
        </w:rPr>
        <w:t> </w:t>
      </w:r>
      <w:r>
        <w:rPr/>
        <w:t>Search</w:t>
      </w:r>
      <w:r>
        <w:rPr>
          <w:spacing w:val="-4"/>
        </w:rPr>
        <w:t> </w:t>
      </w:r>
      <w:r>
        <w:rPr/>
        <w:t>and</w:t>
      </w:r>
      <w:r>
        <w:rPr>
          <w:spacing w:val="-4"/>
        </w:rPr>
        <w:t> </w:t>
      </w:r>
      <w:r>
        <w:rPr/>
        <w:t>Rescue operations on 15</w:t>
      </w:r>
      <w:r>
        <w:rPr>
          <w:vertAlign w:val="superscript"/>
        </w:rPr>
        <w:t>th</w:t>
      </w:r>
      <w:r>
        <w:rPr>
          <w:vertAlign w:val="baseline"/>
        </w:rPr>
        <w:t> May 2009…</w:t>
      </w:r>
      <w:r>
        <w:rPr>
          <w:vertAlign w:val="superscript"/>
        </w:rPr>
        <w:t>5</w:t>
      </w:r>
    </w:p>
    <w:p>
      <w:pPr>
        <w:spacing w:after="0" w:line="276" w:lineRule="auto"/>
        <w:sectPr>
          <w:pgSz w:w="11910" w:h="16840"/>
          <w:pgMar w:header="0" w:footer="1561" w:top="1360" w:bottom="1760" w:left="720" w:right="180"/>
        </w:sectPr>
      </w:pPr>
    </w:p>
    <w:p>
      <w:pPr>
        <w:pStyle w:val="BodyText"/>
        <w:spacing w:line="360" w:lineRule="auto" w:before="60"/>
        <w:ind w:right="1256" w:firstLine="780"/>
        <w:jc w:val="both"/>
      </w:pPr>
      <w:r>
        <w:rPr/>
        <mc:AlternateContent>
          <mc:Choice Requires="wps">
            <w:drawing>
              <wp:anchor distT="0" distB="0" distL="0" distR="0" allowOverlap="1" layoutInCell="1" locked="0" behindDoc="1" simplePos="0" relativeHeight="480636928">
                <wp:simplePos x="0" y="0"/>
                <wp:positionH relativeFrom="page">
                  <wp:posOffset>-1537026</wp:posOffset>
                </wp:positionH>
                <wp:positionV relativeFrom="page">
                  <wp:posOffset>4900424</wp:posOffset>
                </wp:positionV>
                <wp:extent cx="10669905" cy="914400"/>
                <wp:effectExtent l="0" t="0" r="0" b="0"/>
                <wp:wrapNone/>
                <wp:docPr id="230" name="Textbox 230"/>
                <wp:cNvGraphicFramePr>
                  <a:graphicFrameLocks/>
                </wp:cNvGraphicFramePr>
                <a:graphic>
                  <a:graphicData uri="http://schemas.microsoft.com/office/word/2010/wordprocessingShape">
                    <wps:wsp>
                      <wps:cNvPr id="230" name="Textbox 230"/>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79552;rotation:306" type="#_x0000_t136" fillcolor="#ff5400" stroked="f">
                <o:extrusion v:ext="view" autorotationcenter="t"/>
                <v:textpath style="font-family:&quot;Arial MT&quot;;font-size:72pt;v-text-kern:t;mso-text-shadow:auto" string="UNIVERSITY OF IBADAN"/>
                <w10:wrap type="none"/>
              </v:shape>
            </w:pict>
          </mc:Fallback>
        </mc:AlternateContent>
      </w:r>
      <w:r>
        <w:rPr/>
        <w:t>Reports following the counter-attack indicated that although casualties were sustained by the JTF as well as the militants, the collateral damages were high (</w:t>
      </w:r>
      <w:r>
        <w:rPr>
          <w:i/>
        </w:rPr>
        <w:t>Newswatch, </w:t>
      </w:r>
      <w:r>
        <w:rPr/>
        <w:t>June 8, 2009:38-43; </w:t>
      </w:r>
      <w:r>
        <w:rPr>
          <w:i/>
        </w:rPr>
        <w:t>Sunday Sun</w:t>
      </w:r>
      <w:r>
        <w:rPr/>
        <w:t>, May 24, 2009). However, some Ijaw leaders were emphatic that …</w:t>
      </w:r>
    </w:p>
    <w:p>
      <w:pPr>
        <w:pStyle w:val="BodyText"/>
        <w:spacing w:line="276" w:lineRule="auto" w:before="1"/>
        <w:ind w:left="2940" w:right="3344"/>
      </w:pPr>
      <w:r>
        <w:rPr/>
        <w:t>it was criminal and unjustified for the JTF to have declared full military operations on Ijaw communities</w:t>
      </w:r>
      <w:r>
        <w:rPr>
          <w:spacing w:val="-6"/>
        </w:rPr>
        <w:t> </w:t>
      </w:r>
      <w:r>
        <w:rPr/>
        <w:t>in</w:t>
      </w:r>
      <w:r>
        <w:rPr>
          <w:spacing w:val="-6"/>
        </w:rPr>
        <w:t> </w:t>
      </w:r>
      <w:r>
        <w:rPr/>
        <w:t>the</w:t>
      </w:r>
      <w:r>
        <w:rPr>
          <w:spacing w:val="-7"/>
        </w:rPr>
        <w:t> </w:t>
      </w:r>
      <w:r>
        <w:rPr/>
        <w:t>guise</w:t>
      </w:r>
      <w:r>
        <w:rPr>
          <w:spacing w:val="-6"/>
        </w:rPr>
        <w:t> </w:t>
      </w:r>
      <w:r>
        <w:rPr/>
        <w:t>of</w:t>
      </w:r>
      <w:r>
        <w:rPr>
          <w:spacing w:val="-7"/>
        </w:rPr>
        <w:t> </w:t>
      </w:r>
      <w:r>
        <w:rPr/>
        <w:t>undertaking</w:t>
      </w:r>
      <w:r>
        <w:rPr>
          <w:spacing w:val="-6"/>
        </w:rPr>
        <w:t> </w:t>
      </w:r>
      <w:r>
        <w:rPr/>
        <w:t>a</w:t>
      </w:r>
      <w:r>
        <w:rPr>
          <w:spacing w:val="-7"/>
        </w:rPr>
        <w:t> </w:t>
      </w:r>
      <w:r>
        <w:rPr/>
        <w:t>search and rescue mission for hostages and missing </w:t>
      </w:r>
      <w:r>
        <w:rPr>
          <w:spacing w:val="-2"/>
        </w:rPr>
        <w:t>personnel.</w:t>
      </w:r>
      <w:r>
        <w:rPr>
          <w:spacing w:val="-2"/>
          <w:vertAlign w:val="superscript"/>
        </w:rPr>
        <w:t>6</w:t>
      </w:r>
    </w:p>
    <w:p>
      <w:pPr>
        <w:pStyle w:val="BodyText"/>
        <w:spacing w:line="360" w:lineRule="auto" w:before="240"/>
        <w:ind w:right="1256" w:firstLine="720"/>
        <w:jc w:val="both"/>
      </w:pPr>
      <w:r>
        <w:rPr/>
        <w:t>But Colonel Rabe Abubakar, coordinator of the media campaign of JTF in Warri, told Newswatch Newsmagazine Special Report Correspondence, Chris Ajaero </w:t>
      </w:r>
      <w:r>
        <w:rPr>
          <w:spacing w:val="-2"/>
        </w:rPr>
        <w:t>that….</w:t>
      </w:r>
    </w:p>
    <w:p>
      <w:pPr>
        <w:pStyle w:val="BodyText"/>
        <w:spacing w:line="276" w:lineRule="auto" w:before="1"/>
        <w:ind w:left="2880" w:right="3112"/>
      </w:pPr>
      <w:r>
        <w:rPr/>
        <w:t>It was wrong for Ijaw leaders to equate their (JTF) action</w:t>
      </w:r>
      <w:r>
        <w:rPr>
          <w:spacing w:val="-5"/>
        </w:rPr>
        <w:t> </w:t>
      </w:r>
      <w:r>
        <w:rPr/>
        <w:t>to</w:t>
      </w:r>
      <w:r>
        <w:rPr>
          <w:spacing w:val="-5"/>
        </w:rPr>
        <w:t> </w:t>
      </w:r>
      <w:r>
        <w:rPr/>
        <w:t>genocide.</w:t>
      </w:r>
      <w:r>
        <w:rPr>
          <w:spacing w:val="40"/>
        </w:rPr>
        <w:t> </w:t>
      </w:r>
      <w:r>
        <w:rPr/>
        <w:t>Rather,</w:t>
      </w:r>
      <w:r>
        <w:rPr>
          <w:spacing w:val="-5"/>
        </w:rPr>
        <w:t> </w:t>
      </w:r>
      <w:r>
        <w:rPr/>
        <w:t>he</w:t>
      </w:r>
      <w:r>
        <w:rPr>
          <w:spacing w:val="-6"/>
        </w:rPr>
        <w:t> </w:t>
      </w:r>
      <w:r>
        <w:rPr/>
        <w:t>accused</w:t>
      </w:r>
      <w:r>
        <w:rPr>
          <w:spacing w:val="-5"/>
        </w:rPr>
        <w:t> </w:t>
      </w:r>
      <w:r>
        <w:rPr/>
        <w:t>the</w:t>
      </w:r>
      <w:r>
        <w:rPr>
          <w:spacing w:val="-5"/>
        </w:rPr>
        <w:t> </w:t>
      </w:r>
      <w:r>
        <w:rPr/>
        <w:t>militants in camp 5 led by Government Ekpomupolo</w:t>
      </w:r>
    </w:p>
    <w:p>
      <w:pPr>
        <w:pStyle w:val="BodyText"/>
        <w:spacing w:line="276" w:lineRule="auto"/>
        <w:ind w:left="2880" w:right="3197"/>
      </w:pPr>
      <w:r>
        <w:rPr/>
        <w:t>(alias Topompolo) of</w:t>
      </w:r>
      <w:r>
        <w:rPr>
          <w:spacing w:val="40"/>
        </w:rPr>
        <w:t> </w:t>
      </w:r>
      <w:r>
        <w:rPr/>
        <w:t>attacking the JTF unprovoked</w:t>
      </w:r>
      <w:r>
        <w:rPr>
          <w:spacing w:val="-6"/>
        </w:rPr>
        <w:t> </w:t>
      </w:r>
      <w:r>
        <w:rPr/>
        <w:t>at</w:t>
      </w:r>
      <w:r>
        <w:rPr>
          <w:spacing w:val="-6"/>
        </w:rPr>
        <w:t> </w:t>
      </w:r>
      <w:r>
        <w:rPr/>
        <w:t>the</w:t>
      </w:r>
      <w:r>
        <w:rPr>
          <w:spacing w:val="-7"/>
        </w:rPr>
        <w:t> </w:t>
      </w:r>
      <w:r>
        <w:rPr/>
        <w:t>Chanomi</w:t>
      </w:r>
      <w:r>
        <w:rPr>
          <w:spacing w:val="-6"/>
        </w:rPr>
        <w:t> </w:t>
      </w:r>
      <w:r>
        <w:rPr/>
        <w:t>creek,</w:t>
      </w:r>
      <w:r>
        <w:rPr>
          <w:spacing w:val="-6"/>
        </w:rPr>
        <w:t> </w:t>
      </w:r>
      <w:r>
        <w:rPr/>
        <w:t>thereby</w:t>
      </w:r>
      <w:r>
        <w:rPr>
          <w:spacing w:val="-10"/>
        </w:rPr>
        <w:t> </w:t>
      </w:r>
      <w:r>
        <w:rPr/>
        <w:t>leading to the counter attack by the soldiers (</w:t>
      </w:r>
      <w:r>
        <w:rPr>
          <w:i/>
        </w:rPr>
        <w:t>Newswatch</w:t>
      </w:r>
      <w:r>
        <w:rPr/>
        <w:t>, June 8, 2009 : 42 – 43)</w:t>
      </w:r>
      <w:r>
        <w:rPr>
          <w:vertAlign w:val="superscript"/>
        </w:rPr>
        <w:t>7</w:t>
      </w:r>
    </w:p>
    <w:p>
      <w:pPr>
        <w:pStyle w:val="BodyText"/>
        <w:spacing w:line="360" w:lineRule="auto" w:before="239"/>
        <w:ind w:right="1260" w:firstLine="720"/>
      </w:pPr>
      <w:r>
        <w:rPr/>
        <w:t>Furthermore,</w:t>
      </w:r>
      <w:r>
        <w:rPr>
          <w:spacing w:val="-2"/>
        </w:rPr>
        <w:t> </w:t>
      </w:r>
      <w:r>
        <w:rPr/>
        <w:t>he</w:t>
      </w:r>
      <w:r>
        <w:rPr>
          <w:spacing w:val="-3"/>
        </w:rPr>
        <w:t> </w:t>
      </w:r>
      <w:r>
        <w:rPr/>
        <w:t>said,</w:t>
      </w:r>
      <w:r>
        <w:rPr>
          <w:spacing w:val="-2"/>
        </w:rPr>
        <w:t> </w:t>
      </w:r>
      <w:r>
        <w:rPr/>
        <w:t>“we</w:t>
      </w:r>
      <w:r>
        <w:rPr>
          <w:spacing w:val="-3"/>
        </w:rPr>
        <w:t> </w:t>
      </w:r>
      <w:r>
        <w:rPr/>
        <w:t>are</w:t>
      </w:r>
      <w:r>
        <w:rPr>
          <w:spacing w:val="-4"/>
        </w:rPr>
        <w:t> </w:t>
      </w:r>
      <w:r>
        <w:rPr/>
        <w:t>not</w:t>
      </w:r>
      <w:r>
        <w:rPr>
          <w:spacing w:val="-2"/>
        </w:rPr>
        <w:t> </w:t>
      </w:r>
      <w:r>
        <w:rPr/>
        <w:t>targeting</w:t>
      </w:r>
      <w:r>
        <w:rPr>
          <w:spacing w:val="-5"/>
        </w:rPr>
        <w:t> </w:t>
      </w:r>
      <w:r>
        <w:rPr/>
        <w:t>anybody</w:t>
      </w:r>
      <w:r>
        <w:rPr>
          <w:spacing w:val="-7"/>
        </w:rPr>
        <w:t> </w:t>
      </w:r>
      <w:r>
        <w:rPr/>
        <w:t>or</w:t>
      </w:r>
      <w:r>
        <w:rPr>
          <w:spacing w:val="-2"/>
        </w:rPr>
        <w:t> </w:t>
      </w:r>
      <w:r>
        <w:rPr/>
        <w:t>any</w:t>
      </w:r>
      <w:r>
        <w:rPr>
          <w:spacing w:val="-7"/>
        </w:rPr>
        <w:t> </w:t>
      </w:r>
      <w:r>
        <w:rPr/>
        <w:t>ethnic</w:t>
      </w:r>
      <w:r>
        <w:rPr>
          <w:spacing w:val="-2"/>
        </w:rPr>
        <w:t> </w:t>
      </w:r>
      <w:r>
        <w:rPr/>
        <w:t>group.</w:t>
      </w:r>
      <w:r>
        <w:rPr>
          <w:spacing w:val="40"/>
        </w:rPr>
        <w:t> </w:t>
      </w:r>
      <w:r>
        <w:rPr/>
        <w:t>We targeted only the militants in camp 5 who attacked our men and hijacked the </w:t>
      </w:r>
      <w:r>
        <w:rPr>
          <w:spacing w:val="-2"/>
        </w:rPr>
        <w:t>expatriates”.</w:t>
      </w:r>
    </w:p>
    <w:p>
      <w:pPr>
        <w:pStyle w:val="BodyText"/>
        <w:spacing w:line="360" w:lineRule="auto" w:before="201"/>
        <w:ind w:right="1260" w:firstLine="720"/>
      </w:pPr>
      <w:r>
        <w:rPr/>
        <w:t>These incidents nurtured</w:t>
      </w:r>
      <w:r>
        <w:rPr>
          <w:spacing w:val="28"/>
        </w:rPr>
        <w:t> </w:t>
      </w:r>
      <w:r>
        <w:rPr/>
        <w:t>the basis of the Presidential unconditional amnesty</w:t>
      </w:r>
      <w:r>
        <w:rPr>
          <w:spacing w:val="40"/>
        </w:rPr>
        <w:t> </w:t>
      </w:r>
      <w:r>
        <w:rPr/>
        <w:t>granted to militants in Niger Delta.</w:t>
      </w:r>
    </w:p>
    <w:p>
      <w:pPr>
        <w:pStyle w:val="BodyText"/>
        <w:spacing w:line="360" w:lineRule="auto"/>
        <w:ind w:right="1256" w:firstLine="720"/>
        <w:jc w:val="both"/>
      </w:pPr>
      <w:r>
        <w:rPr/>
        <w:t>During the amnesty period, the JTF observed absolute ceasefire as directed by higher Headquarters to enable the militants respond positively to the Presidential amnesty</w:t>
      </w:r>
      <w:r>
        <w:rPr>
          <w:spacing w:val="-2"/>
        </w:rPr>
        <w:t> </w:t>
      </w:r>
      <w:r>
        <w:rPr/>
        <w:t>offer.</w:t>
      </w:r>
      <w:r>
        <w:rPr>
          <w:spacing w:val="40"/>
        </w:rPr>
        <w:t> </w:t>
      </w:r>
      <w:r>
        <w:rPr/>
        <w:t>To the JTF, the amnesty</w:t>
      </w:r>
      <w:r>
        <w:rPr>
          <w:spacing w:val="-4"/>
        </w:rPr>
        <w:t> </w:t>
      </w:r>
      <w:r>
        <w:rPr/>
        <w:t>period was a window for capacity building to upgrade its state of combat efficiency.</w:t>
      </w:r>
      <w:r>
        <w:rPr>
          <w:spacing w:val="40"/>
        </w:rPr>
        <w:t> </w:t>
      </w:r>
      <w:r>
        <w:rPr/>
        <w:t>It was a period for building intelligence data base, appraising plans and deployments.</w:t>
      </w:r>
      <w:r>
        <w:rPr>
          <w:spacing w:val="40"/>
        </w:rPr>
        <w:t> </w:t>
      </w:r>
      <w:r>
        <w:rPr/>
        <w:t>The period also provided opportunity for acquisition and repair of equipment and platforms as well as logistic acquisition, distribution and dumping.</w:t>
      </w:r>
      <w:r>
        <w:rPr>
          <w:spacing w:val="40"/>
        </w:rPr>
        <w:t> </w:t>
      </w:r>
      <w:r>
        <w:rPr/>
        <w:t>According to the Commander JTF Land Component, Brigadier General Ugwu Chima, it has done all within its purview to prepare for the post-amnesty challenges.</w:t>
      </w:r>
      <w:r>
        <w:rPr>
          <w:vertAlign w:val="superscript"/>
        </w:rPr>
        <w:t>8</w:t>
      </w:r>
      <w:r>
        <w:rPr>
          <w:vertAlign w:val="baseline"/>
        </w:rPr>
        <w:t> He remarked that, the mandate of the JTF is clear and unambiguous;</w:t>
      </w:r>
      <w:r>
        <w:rPr>
          <w:spacing w:val="29"/>
          <w:vertAlign w:val="baseline"/>
        </w:rPr>
        <w:t> </w:t>
      </w:r>
      <w:r>
        <w:rPr>
          <w:vertAlign w:val="baseline"/>
        </w:rPr>
        <w:t>to</w:t>
      </w:r>
      <w:r>
        <w:rPr>
          <w:spacing w:val="32"/>
          <w:vertAlign w:val="baseline"/>
        </w:rPr>
        <w:t> </w:t>
      </w:r>
      <w:r>
        <w:rPr>
          <w:vertAlign w:val="baseline"/>
        </w:rPr>
        <w:t>stop</w:t>
      </w:r>
      <w:r>
        <w:rPr>
          <w:spacing w:val="33"/>
          <w:vertAlign w:val="baseline"/>
        </w:rPr>
        <w:t> </w:t>
      </w:r>
      <w:r>
        <w:rPr>
          <w:vertAlign w:val="baseline"/>
        </w:rPr>
        <w:t>illegal</w:t>
      </w:r>
      <w:r>
        <w:rPr>
          <w:spacing w:val="32"/>
          <w:vertAlign w:val="baseline"/>
        </w:rPr>
        <w:t> </w:t>
      </w:r>
      <w:r>
        <w:rPr>
          <w:vertAlign w:val="baseline"/>
        </w:rPr>
        <w:t>oil</w:t>
      </w:r>
      <w:r>
        <w:rPr>
          <w:spacing w:val="32"/>
          <w:vertAlign w:val="baseline"/>
        </w:rPr>
        <w:t> </w:t>
      </w:r>
      <w:r>
        <w:rPr>
          <w:vertAlign w:val="baseline"/>
        </w:rPr>
        <w:t>bunkering</w:t>
      </w:r>
      <w:r>
        <w:rPr>
          <w:spacing w:val="29"/>
          <w:vertAlign w:val="baseline"/>
        </w:rPr>
        <w:t> </w:t>
      </w:r>
      <w:r>
        <w:rPr>
          <w:vertAlign w:val="baseline"/>
        </w:rPr>
        <w:t>activities,</w:t>
      </w:r>
      <w:r>
        <w:rPr>
          <w:spacing w:val="32"/>
          <w:vertAlign w:val="baseline"/>
        </w:rPr>
        <w:t> </w:t>
      </w:r>
      <w:r>
        <w:rPr>
          <w:vertAlign w:val="baseline"/>
        </w:rPr>
        <w:t>pipeline</w:t>
      </w:r>
      <w:r>
        <w:rPr>
          <w:spacing w:val="31"/>
          <w:vertAlign w:val="baseline"/>
        </w:rPr>
        <w:t> </w:t>
      </w:r>
      <w:r>
        <w:rPr>
          <w:vertAlign w:val="baseline"/>
        </w:rPr>
        <w:t>vandalism</w:t>
      </w:r>
      <w:r>
        <w:rPr>
          <w:spacing w:val="30"/>
          <w:vertAlign w:val="baseline"/>
        </w:rPr>
        <w:t> </w:t>
      </w:r>
      <w:r>
        <w:rPr>
          <w:vertAlign w:val="baseline"/>
        </w:rPr>
        <w:t>and</w:t>
      </w:r>
      <w:r>
        <w:rPr>
          <w:spacing w:val="32"/>
          <w:vertAlign w:val="baseline"/>
        </w:rPr>
        <w:t> </w:t>
      </w:r>
      <w:r>
        <w:rPr>
          <w:spacing w:val="-2"/>
          <w:vertAlign w:val="baseline"/>
        </w:rPr>
        <w:t>stamp</w:t>
      </w:r>
    </w:p>
    <w:p>
      <w:pPr>
        <w:spacing w:after="0" w:line="360" w:lineRule="auto"/>
        <w:jc w:val="both"/>
        <w:sectPr>
          <w:pgSz w:w="11910" w:h="16840"/>
          <w:pgMar w:header="0" w:footer="1561" w:top="1360" w:bottom="1760" w:left="720" w:right="180"/>
        </w:sectPr>
      </w:pPr>
    </w:p>
    <w:p>
      <w:pPr>
        <w:pStyle w:val="BodyText"/>
        <w:spacing w:line="360" w:lineRule="auto" w:before="60"/>
        <w:ind w:right="1258"/>
        <w:jc w:val="both"/>
      </w:pPr>
      <w:r>
        <w:rPr/>
        <mc:AlternateContent>
          <mc:Choice Requires="wps">
            <w:drawing>
              <wp:anchor distT="0" distB="0" distL="0" distR="0" allowOverlap="1" layoutInCell="1" locked="0" behindDoc="1" simplePos="0" relativeHeight="480637440">
                <wp:simplePos x="0" y="0"/>
                <wp:positionH relativeFrom="page">
                  <wp:posOffset>-1537026</wp:posOffset>
                </wp:positionH>
                <wp:positionV relativeFrom="page">
                  <wp:posOffset>4900424</wp:posOffset>
                </wp:positionV>
                <wp:extent cx="10669905" cy="914400"/>
                <wp:effectExtent l="0" t="0" r="0" b="0"/>
                <wp:wrapNone/>
                <wp:docPr id="231" name="Textbox 231"/>
                <wp:cNvGraphicFramePr>
                  <a:graphicFrameLocks/>
                </wp:cNvGraphicFramePr>
                <a:graphic>
                  <a:graphicData uri="http://schemas.microsoft.com/office/word/2010/wordprocessingShape">
                    <wps:wsp>
                      <wps:cNvPr id="231" name="Textbox 231"/>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79040;rotation:306" type="#_x0000_t136" fillcolor="#ff5400" stroked="f">
                <o:extrusion v:ext="view" autorotationcenter="t"/>
                <v:textpath style="font-family:&quot;Arial MT&quot;;font-size:72pt;v-text-kern:t;mso-text-shadow:auto" string="UNIVERSITY OF IBADAN"/>
                <w10:wrap type="none"/>
              </v:shape>
            </w:pict>
          </mc:Fallback>
        </mc:AlternateContent>
      </w:r>
      <w:r>
        <w:rPr/>
        <w:t>out sundry crimes being perpetrated by renegade and ex-militants within (Area of Responsibility) AOR in all its ramifications.</w:t>
      </w:r>
    </w:p>
    <w:p>
      <w:pPr>
        <w:pStyle w:val="BodyText"/>
        <w:spacing w:line="360" w:lineRule="auto" w:before="1"/>
        <w:ind w:right="1256" w:firstLine="720"/>
        <w:jc w:val="both"/>
      </w:pPr>
      <w:r>
        <w:rPr/>
        <w:t>The Headquarters is located at Yenagoa, Bayelsa State.</w:t>
      </w:r>
      <w:r>
        <w:rPr>
          <w:spacing w:val="40"/>
        </w:rPr>
        <w:t> </w:t>
      </w:r>
      <w:r>
        <w:rPr/>
        <w:t>The mandate of the JTF covers only the three core States of the Niger Delta namely: Delta, Bayelsa and Rivers.</w:t>
      </w:r>
      <w:r>
        <w:rPr>
          <w:spacing w:val="40"/>
        </w:rPr>
        <w:t> </w:t>
      </w:r>
      <w:r>
        <w:rPr/>
        <w:t>For ease of command and control therefore the AOR has been divided into three Sectors with each covering a State. Sector 1 covers Delta State with Headquarters located in Warri. The sector is being commanded by a colonel with a brigade plus strength. The study reveals that the prevailing security situation greately determines the disposition of units under command to contain emerging threats.</w:t>
      </w:r>
      <w:r>
        <w:rPr>
          <w:spacing w:val="40"/>
        </w:rPr>
        <w:t> </w:t>
      </w:r>
      <w:r>
        <w:rPr/>
        <w:t>Sector 2 covers Bayelsa State with Headquarters located at Yenagoa. The sector is also commanded by a colonel. Lastly,</w:t>
      </w:r>
      <w:r>
        <w:rPr>
          <w:spacing w:val="40"/>
        </w:rPr>
        <w:t> </w:t>
      </w:r>
      <w:r>
        <w:rPr/>
        <w:t>is Sector 3 that covers the entire Rivers State. The sector Headquarters is located in Harry‟s Town.</w:t>
      </w:r>
    </w:p>
    <w:p>
      <w:pPr>
        <w:pStyle w:val="BodyText"/>
        <w:spacing w:before="142"/>
        <w:ind w:left="0"/>
      </w:pPr>
    </w:p>
    <w:p>
      <w:pPr>
        <w:pStyle w:val="Heading1"/>
        <w:numPr>
          <w:ilvl w:val="3"/>
          <w:numId w:val="17"/>
        </w:numPr>
        <w:tabs>
          <w:tab w:pos="2220" w:val="left" w:leader="none"/>
        </w:tabs>
        <w:spacing w:line="240" w:lineRule="auto" w:before="0" w:after="0"/>
        <w:ind w:left="2220" w:right="0" w:hanging="780"/>
        <w:jc w:val="left"/>
      </w:pPr>
      <w:r>
        <w:rPr/>
        <w:t>HISTORICAL</w:t>
      </w:r>
      <w:r>
        <w:rPr>
          <w:spacing w:val="-1"/>
        </w:rPr>
        <w:t> </w:t>
      </w:r>
      <w:r>
        <w:rPr/>
        <w:t>CONTEXT</w:t>
      </w:r>
      <w:r>
        <w:rPr>
          <w:spacing w:val="-1"/>
        </w:rPr>
        <w:t> </w:t>
      </w:r>
      <w:r>
        <w:rPr/>
        <w:t>OF</w:t>
      </w:r>
      <w:r>
        <w:rPr>
          <w:spacing w:val="-4"/>
        </w:rPr>
        <w:t> </w:t>
      </w:r>
      <w:r>
        <w:rPr/>
        <w:t>THE </w:t>
      </w:r>
      <w:r>
        <w:rPr>
          <w:spacing w:val="-5"/>
        </w:rPr>
        <w:t>JTF</w:t>
      </w:r>
    </w:p>
    <w:p>
      <w:pPr>
        <w:pStyle w:val="BodyText"/>
        <w:spacing w:line="360" w:lineRule="auto" w:before="135"/>
        <w:ind w:right="1251" w:firstLine="720"/>
        <w:jc w:val="both"/>
      </w:pPr>
      <w:r>
        <w:rPr/>
        <w:t>The military has conducted two types of internal security operations or Joint Task Force in the Niger Delta since 2003.</w:t>
      </w:r>
      <w:r>
        <w:rPr>
          <w:spacing w:val="40"/>
        </w:rPr>
        <w:t> </w:t>
      </w:r>
      <w:r>
        <w:rPr/>
        <w:t>This comprised operation RESTORE HOPE and operation FLUSHOUT III. In August 2003, the Federal Government responded to the deepening crisis in Warri and its environs by deploying JTF operation RESTORE HOPE.</w:t>
      </w:r>
      <w:r>
        <w:rPr>
          <w:spacing w:val="40"/>
        </w:rPr>
        <w:t> </w:t>
      </w:r>
      <w:r>
        <w:rPr/>
        <w:t>The AOR covered the entire Niger Delta, until JTF operation FLUSHOUT III was established for internal security in Rivers State on 4th September 2004.</w:t>
      </w:r>
      <w:r>
        <w:rPr>
          <w:spacing w:val="40"/>
        </w:rPr>
        <w:t> </w:t>
      </w:r>
      <w:r>
        <w:rPr/>
        <w:t>The JTF Operation RESTORE HOPE is made up of Army Task Group (ATG), Nigerian Navy Task Group (NNTG), Nigerian Air Force Task (NAFTG) and State Security Service Task Group (SSSTG).</w:t>
      </w:r>
    </w:p>
    <w:p>
      <w:pPr>
        <w:pStyle w:val="BodyText"/>
        <w:spacing w:line="360" w:lineRule="auto"/>
        <w:ind w:right="1258" w:firstLine="720"/>
        <w:jc w:val="both"/>
      </w:pPr>
      <w:r>
        <w:rPr/>
        <w:t>Operation RESTORE HOPE and operation FLUSHOUT III were conducted simultaneously but independently in the Niger Delta until 2009 when both operations were harmonized under operation RESTORE HOPE.</w:t>
      </w:r>
      <w:r>
        <w:rPr>
          <w:spacing w:val="40"/>
        </w:rPr>
        <w:t> </w:t>
      </w:r>
      <w:r>
        <w:rPr/>
        <w:t>This was done by the military higher command to cater for better command and control.</w:t>
      </w:r>
      <w:r>
        <w:rPr>
          <w:spacing w:val="40"/>
        </w:rPr>
        <w:t> </w:t>
      </w:r>
      <w:r>
        <w:rPr/>
        <w:t>However, operation FLUSHOUT III and the Amnesty programme will be briefly highlighted in the ensuing paragraphs.</w:t>
      </w:r>
    </w:p>
    <w:p>
      <w:pPr>
        <w:pStyle w:val="BodyText"/>
        <w:spacing w:before="144"/>
        <w:ind w:left="0"/>
      </w:pPr>
    </w:p>
    <w:p>
      <w:pPr>
        <w:pStyle w:val="Heading2"/>
        <w:numPr>
          <w:ilvl w:val="3"/>
          <w:numId w:val="17"/>
        </w:numPr>
        <w:tabs>
          <w:tab w:pos="2160" w:val="left" w:leader="none"/>
        </w:tabs>
        <w:spacing w:line="240" w:lineRule="auto" w:before="0" w:after="0"/>
        <w:ind w:left="2160" w:right="0" w:hanging="720"/>
        <w:jc w:val="left"/>
      </w:pPr>
      <w:r>
        <w:rPr/>
        <w:t>Operations</w:t>
      </w:r>
      <w:r>
        <w:rPr>
          <w:spacing w:val="-1"/>
        </w:rPr>
        <w:t> </w:t>
      </w:r>
      <w:r>
        <w:rPr/>
        <w:t>of the Joint</w:t>
      </w:r>
      <w:r>
        <w:rPr>
          <w:spacing w:val="-2"/>
        </w:rPr>
        <w:t> </w:t>
      </w:r>
      <w:r>
        <w:rPr/>
        <w:t>Tasks </w:t>
      </w:r>
      <w:r>
        <w:rPr>
          <w:spacing w:val="-4"/>
        </w:rPr>
        <w:t>Force</w:t>
      </w:r>
    </w:p>
    <w:p>
      <w:pPr>
        <w:pStyle w:val="BodyText"/>
        <w:spacing w:line="360" w:lineRule="auto" w:before="107"/>
        <w:ind w:right="1257" w:firstLine="631"/>
        <w:jc w:val="both"/>
      </w:pPr>
      <w:r>
        <w:rPr/>
        <w:t>In August 2003, the Federal Government responded to the deepening crisis in Warri</w:t>
      </w:r>
      <w:r>
        <w:rPr>
          <w:spacing w:val="67"/>
          <w:w w:val="150"/>
        </w:rPr>
        <w:t> </w:t>
      </w:r>
      <w:r>
        <w:rPr/>
        <w:t>and</w:t>
      </w:r>
      <w:r>
        <w:rPr>
          <w:spacing w:val="68"/>
          <w:w w:val="150"/>
        </w:rPr>
        <w:t> </w:t>
      </w:r>
      <w:r>
        <w:rPr/>
        <w:t>its</w:t>
      </w:r>
      <w:r>
        <w:rPr>
          <w:spacing w:val="68"/>
          <w:w w:val="150"/>
        </w:rPr>
        <w:t> </w:t>
      </w:r>
      <w:r>
        <w:rPr/>
        <w:t>environs,</w:t>
      </w:r>
      <w:r>
        <w:rPr>
          <w:spacing w:val="67"/>
          <w:w w:val="150"/>
        </w:rPr>
        <w:t> </w:t>
      </w:r>
      <w:r>
        <w:rPr/>
        <w:t>by</w:t>
      </w:r>
      <w:r>
        <w:rPr>
          <w:spacing w:val="60"/>
          <w:w w:val="150"/>
        </w:rPr>
        <w:t> </w:t>
      </w:r>
      <w:r>
        <w:rPr/>
        <w:t>deploying</w:t>
      </w:r>
      <w:r>
        <w:rPr>
          <w:spacing w:val="65"/>
          <w:w w:val="150"/>
        </w:rPr>
        <w:t> </w:t>
      </w:r>
      <w:r>
        <w:rPr/>
        <w:t>JTF</w:t>
      </w:r>
      <w:r>
        <w:rPr>
          <w:spacing w:val="65"/>
          <w:w w:val="150"/>
        </w:rPr>
        <w:t> </w:t>
      </w:r>
      <w:r>
        <w:rPr/>
        <w:t>Operation</w:t>
      </w:r>
      <w:r>
        <w:rPr>
          <w:spacing w:val="68"/>
          <w:w w:val="150"/>
        </w:rPr>
        <w:t> </w:t>
      </w:r>
      <w:r>
        <w:rPr/>
        <w:t>RESTORE</w:t>
      </w:r>
      <w:r>
        <w:rPr>
          <w:spacing w:val="67"/>
          <w:w w:val="150"/>
        </w:rPr>
        <w:t> </w:t>
      </w:r>
      <w:r>
        <w:rPr/>
        <w:t>HOPE,</w:t>
      </w:r>
      <w:r>
        <w:rPr>
          <w:spacing w:val="67"/>
          <w:w w:val="150"/>
        </w:rPr>
        <w:t> </w:t>
      </w:r>
      <w:r>
        <w:rPr>
          <w:spacing w:val="-4"/>
        </w:rPr>
        <w:t>with</w:t>
      </w:r>
    </w:p>
    <w:p>
      <w:pPr>
        <w:spacing w:after="0" w:line="360" w:lineRule="auto"/>
        <w:jc w:val="both"/>
        <w:sectPr>
          <w:pgSz w:w="11910" w:h="16840"/>
          <w:pgMar w:header="0" w:footer="1561" w:top="1360" w:bottom="1760" w:left="720" w:right="180"/>
        </w:sectPr>
      </w:pPr>
    </w:p>
    <w:p>
      <w:pPr>
        <w:pStyle w:val="BodyText"/>
        <w:spacing w:line="360" w:lineRule="auto" w:before="60"/>
        <w:ind w:right="1253"/>
        <w:jc w:val="both"/>
      </w:pPr>
      <w:r>
        <w:rPr/>
        <mc:AlternateContent>
          <mc:Choice Requires="wps">
            <w:drawing>
              <wp:anchor distT="0" distB="0" distL="0" distR="0" allowOverlap="1" layoutInCell="1" locked="0" behindDoc="1" simplePos="0" relativeHeight="480637952">
                <wp:simplePos x="0" y="0"/>
                <wp:positionH relativeFrom="page">
                  <wp:posOffset>-1537026</wp:posOffset>
                </wp:positionH>
                <wp:positionV relativeFrom="page">
                  <wp:posOffset>4900424</wp:posOffset>
                </wp:positionV>
                <wp:extent cx="10669905" cy="914400"/>
                <wp:effectExtent l="0" t="0" r="0" b="0"/>
                <wp:wrapNone/>
                <wp:docPr id="232" name="Textbox 232"/>
                <wp:cNvGraphicFramePr>
                  <a:graphicFrameLocks/>
                </wp:cNvGraphicFramePr>
                <a:graphic>
                  <a:graphicData uri="http://schemas.microsoft.com/office/word/2010/wordprocessingShape">
                    <wps:wsp>
                      <wps:cNvPr id="232" name="Textbox 232"/>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78528;rotation:306" type="#_x0000_t136" fillcolor="#ff5400" stroked="f">
                <o:extrusion v:ext="view" autorotationcenter="t"/>
                <v:textpath style="font-family:&quot;Arial MT&quot;;font-size:72pt;v-text-kern:t;mso-text-shadow:auto" string="UNIVERSITY OF IBADAN"/>
                <w10:wrap type="none"/>
              </v:shape>
            </w:pict>
          </mc:Fallback>
        </mc:AlternateContent>
      </w:r>
      <w:r>
        <w:rPr/>
        <w:t>Headquarters in Army Barracks, Effurun-Warri. The JTF at its inception was mandated primarily to arrest the criminal activities of militant groups in Niger Delta, restore law and order, as well as ensure a secure an enabling environment for socio- economic activities to thrive.</w:t>
      </w:r>
      <w:r>
        <w:rPr>
          <w:spacing w:val="80"/>
        </w:rPr>
        <w:t> </w:t>
      </w:r>
      <w:r>
        <w:rPr/>
        <w:t>The overall objective was the restoration of political</w:t>
      </w:r>
      <w:r>
        <w:rPr>
          <w:spacing w:val="40"/>
        </w:rPr>
        <w:t> </w:t>
      </w:r>
      <w:r>
        <w:rPr/>
        <w:t>and socio-economic stability in the Niger Delta.</w:t>
      </w:r>
      <w:r>
        <w:rPr>
          <w:spacing w:val="80"/>
        </w:rPr>
        <w:t> </w:t>
      </w:r>
      <w:r>
        <w:rPr/>
        <w:t>The Task Force was said to have been largely</w:t>
      </w:r>
      <w:r>
        <w:rPr>
          <w:spacing w:val="-5"/>
        </w:rPr>
        <w:t> </w:t>
      </w:r>
      <w:r>
        <w:rPr/>
        <w:t>successful in the</w:t>
      </w:r>
      <w:r>
        <w:rPr>
          <w:spacing w:val="-1"/>
        </w:rPr>
        <w:t> </w:t>
      </w:r>
      <w:r>
        <w:rPr/>
        <w:t>realization of</w:t>
      </w:r>
      <w:r>
        <w:rPr>
          <w:spacing w:val="-1"/>
        </w:rPr>
        <w:t> </w:t>
      </w:r>
      <w:r>
        <w:rPr/>
        <w:t>its</w:t>
      </w:r>
      <w:r>
        <w:rPr>
          <w:spacing w:val="-2"/>
        </w:rPr>
        <w:t> </w:t>
      </w:r>
      <w:r>
        <w:rPr/>
        <w:t>mandate.</w:t>
      </w:r>
      <w:r>
        <w:rPr>
          <w:spacing w:val="40"/>
        </w:rPr>
        <w:t> </w:t>
      </w:r>
      <w:r>
        <w:rPr/>
        <w:t>It has been able</w:t>
      </w:r>
      <w:r>
        <w:rPr>
          <w:spacing w:val="-1"/>
        </w:rPr>
        <w:t> </w:t>
      </w:r>
      <w:r>
        <w:rPr/>
        <w:t>to locate</w:t>
      </w:r>
      <w:r>
        <w:rPr>
          <w:spacing w:val="-1"/>
        </w:rPr>
        <w:t> </w:t>
      </w:r>
      <w:r>
        <w:rPr/>
        <w:t>and destroy some identified militant camps like the Ijaw militant group camp at Clough creek and the Madahor camp around Escravos in late December 2007.</w:t>
      </w:r>
      <w:r>
        <w:rPr>
          <w:spacing w:val="40"/>
        </w:rPr>
        <w:t> </w:t>
      </w:r>
      <w:r>
        <w:rPr/>
        <w:t>Between 15- 20th May 2009, the JTF troops destroyed camps 5 and 2 at Okerenkoko and Diebu creek respectively.</w:t>
      </w:r>
      <w:r>
        <w:rPr>
          <w:spacing w:val="40"/>
        </w:rPr>
        <w:t> </w:t>
      </w:r>
      <w:r>
        <w:rPr/>
        <w:t>Appendix 4 shows details of identified militant camps in the region. The JTF also controlled inter and intra-communal violence provided relative security for oil/gas companies and made several arrests to check illegal oil bunkering </w:t>
      </w:r>
      <w:r>
        <w:rPr>
          <w:spacing w:val="-2"/>
        </w:rPr>
        <w:t>activities.</w:t>
      </w:r>
    </w:p>
    <w:p>
      <w:pPr>
        <w:pStyle w:val="BodyText"/>
        <w:spacing w:line="360" w:lineRule="auto" w:before="1"/>
        <w:ind w:right="1257" w:firstLine="448"/>
        <w:jc w:val="both"/>
      </w:pPr>
      <w:r>
        <w:rPr/>
        <w:t>Nonetheless, the DHQ had made a strategic mistake in that, the initial mandate given to Operation RESTORE HOPE as the Task Force was for only a period of 90 days (time limitation).</w:t>
      </w:r>
      <w:r>
        <w:rPr>
          <w:spacing w:val="80"/>
        </w:rPr>
        <w:t> </w:t>
      </w:r>
      <w:r>
        <w:rPr/>
        <w:t>Since such a timeline had been specified, the mandate given for the operation could have since been reviewed in line with new developments and in</w:t>
      </w:r>
      <w:r>
        <w:rPr>
          <w:spacing w:val="-2"/>
        </w:rPr>
        <w:t> </w:t>
      </w:r>
      <w:r>
        <w:rPr/>
        <w:t>consonance</w:t>
      </w:r>
      <w:r>
        <w:rPr>
          <w:spacing w:val="-3"/>
        </w:rPr>
        <w:t> </w:t>
      </w:r>
      <w:r>
        <w:rPr/>
        <w:t>with</w:t>
      </w:r>
      <w:r>
        <w:rPr>
          <w:spacing w:val="-2"/>
        </w:rPr>
        <w:t> </w:t>
      </w:r>
      <w:r>
        <w:rPr/>
        <w:t>current</w:t>
      </w:r>
      <w:r>
        <w:rPr>
          <w:spacing w:val="-3"/>
        </w:rPr>
        <w:t> </w:t>
      </w:r>
      <w:r>
        <w:rPr/>
        <w:t>situation</w:t>
      </w:r>
      <w:r>
        <w:rPr>
          <w:spacing w:val="-2"/>
        </w:rPr>
        <w:t> </w:t>
      </w:r>
      <w:r>
        <w:rPr/>
        <w:t>of</w:t>
      </w:r>
      <w:r>
        <w:rPr>
          <w:spacing w:val="-3"/>
        </w:rPr>
        <w:t> </w:t>
      </w:r>
      <w:r>
        <w:rPr/>
        <w:t>the</w:t>
      </w:r>
      <w:r>
        <w:rPr>
          <w:spacing w:val="-3"/>
        </w:rPr>
        <w:t> </w:t>
      </w:r>
      <w:r>
        <w:rPr/>
        <w:t>mission.</w:t>
      </w:r>
      <w:r>
        <w:rPr>
          <w:spacing w:val="40"/>
        </w:rPr>
        <w:t> </w:t>
      </w:r>
      <w:r>
        <w:rPr/>
        <w:t>It</w:t>
      </w:r>
      <w:r>
        <w:rPr>
          <w:spacing w:val="-2"/>
        </w:rPr>
        <w:t> </w:t>
      </w:r>
      <w:r>
        <w:rPr/>
        <w:t>could</w:t>
      </w:r>
      <w:r>
        <w:rPr>
          <w:spacing w:val="-1"/>
        </w:rPr>
        <w:t> </w:t>
      </w:r>
      <w:r>
        <w:rPr/>
        <w:t>be</w:t>
      </w:r>
      <w:r>
        <w:rPr>
          <w:spacing w:val="-2"/>
        </w:rPr>
        <w:t> </w:t>
      </w:r>
      <w:r>
        <w:rPr/>
        <w:t>argued,</w:t>
      </w:r>
      <w:r>
        <w:rPr>
          <w:spacing w:val="-1"/>
        </w:rPr>
        <w:t> </w:t>
      </w:r>
      <w:r>
        <w:rPr/>
        <w:t>that</w:t>
      </w:r>
      <w:r>
        <w:rPr>
          <w:spacing w:val="-2"/>
        </w:rPr>
        <w:t> </w:t>
      </w:r>
      <w:r>
        <w:rPr/>
        <w:t>such</w:t>
      </w:r>
      <w:r>
        <w:rPr>
          <w:spacing w:val="-3"/>
        </w:rPr>
        <w:t> </w:t>
      </w:r>
      <w:r>
        <w:rPr/>
        <w:t>non- renewal of missions' mandate has led to what the American military term 'mission</w:t>
      </w:r>
    </w:p>
    <w:p>
      <w:pPr>
        <w:pStyle w:val="BodyText"/>
        <w:spacing w:before="139"/>
        <w:ind w:left="0"/>
      </w:pPr>
    </w:p>
    <w:p>
      <w:pPr>
        <w:pStyle w:val="BodyText"/>
        <w:spacing w:line="360" w:lineRule="auto" w:before="1"/>
        <w:ind w:right="1256"/>
        <w:jc w:val="both"/>
      </w:pPr>
      <w:r>
        <w:rPr/>
        <w:t>creep'.</w:t>
      </w:r>
      <w:r>
        <w:rPr>
          <w:spacing w:val="40"/>
        </w:rPr>
        <w:t> </w:t>
      </w:r>
      <w:r>
        <w:rPr/>
        <w:t>The danger of not completing the military operation on time has a tendency</w:t>
      </w:r>
      <w:r>
        <w:rPr>
          <w:spacing w:val="-3"/>
        </w:rPr>
        <w:t> </w:t>
      </w:r>
      <w:r>
        <w:rPr/>
        <w:t>of exacerbating the hitherto already fluid situation in the Niger Delta.</w:t>
      </w:r>
    </w:p>
    <w:p>
      <w:pPr>
        <w:pStyle w:val="BodyText"/>
        <w:spacing w:before="141"/>
        <w:ind w:left="0"/>
      </w:pPr>
    </w:p>
    <w:p>
      <w:pPr>
        <w:pStyle w:val="Heading2"/>
        <w:numPr>
          <w:ilvl w:val="3"/>
          <w:numId w:val="17"/>
        </w:numPr>
        <w:tabs>
          <w:tab w:pos="2160" w:val="left" w:leader="none"/>
        </w:tabs>
        <w:spacing w:line="240" w:lineRule="auto" w:before="0" w:after="0"/>
        <w:ind w:left="2160" w:right="0" w:hanging="720"/>
        <w:jc w:val="both"/>
      </w:pPr>
      <w:r>
        <w:rPr/>
        <w:t>The</w:t>
      </w:r>
      <w:r>
        <w:rPr>
          <w:spacing w:val="-1"/>
        </w:rPr>
        <w:t> </w:t>
      </w:r>
      <w:r>
        <w:rPr/>
        <w:t>JTF</w:t>
      </w:r>
      <w:r>
        <w:rPr>
          <w:spacing w:val="-2"/>
        </w:rPr>
        <w:t> Mandate</w:t>
      </w:r>
    </w:p>
    <w:p>
      <w:pPr>
        <w:pStyle w:val="BodyText"/>
        <w:spacing w:line="360" w:lineRule="auto" w:before="109"/>
        <w:ind w:right="1253" w:firstLine="720"/>
        <w:jc w:val="both"/>
      </w:pPr>
      <w:r>
        <w:rPr/>
        <w:t>The JTF operation RESTORE HOPE at inception was mandated primarily to contain the</w:t>
      </w:r>
      <w:r>
        <w:rPr>
          <w:spacing w:val="-1"/>
        </w:rPr>
        <w:t> </w:t>
      </w:r>
      <w:r>
        <w:rPr/>
        <w:t>criminal activities</w:t>
      </w:r>
      <w:r>
        <w:rPr>
          <w:spacing w:val="-1"/>
        </w:rPr>
        <w:t> </w:t>
      </w:r>
      <w:r>
        <w:rPr/>
        <w:t>of</w:t>
      </w:r>
      <w:r>
        <w:rPr>
          <w:spacing w:val="-1"/>
        </w:rPr>
        <w:t> </w:t>
      </w:r>
      <w:r>
        <w:rPr/>
        <w:t>militant groups</w:t>
      </w:r>
      <w:r>
        <w:rPr>
          <w:spacing w:val="-1"/>
        </w:rPr>
        <w:t> </w:t>
      </w:r>
      <w:r>
        <w:rPr/>
        <w:t>in Niger</w:t>
      </w:r>
      <w:r>
        <w:rPr>
          <w:spacing w:val="-1"/>
        </w:rPr>
        <w:t> </w:t>
      </w:r>
      <w:r>
        <w:rPr/>
        <w:t>Delta, restore law and order, as well as ensure a secured and enabling environment for socio-economic activities to thrive. The overall objective is to achieve a long-term peace settlement and reinstate political and socio-economic stability in the Niger Delta. As earlier noted, the JTF</w:t>
      </w:r>
      <w:r>
        <w:rPr>
          <w:spacing w:val="40"/>
        </w:rPr>
        <w:t> </w:t>
      </w:r>
      <w:r>
        <w:rPr/>
        <w:t>was to be deployed to the Niger Delta Region for a period of 90 days to conduct military operation accordingly.</w:t>
      </w:r>
      <w:r>
        <w:rPr>
          <w:spacing w:val="40"/>
        </w:rPr>
        <w:t> </w:t>
      </w:r>
      <w:r>
        <w:rPr/>
        <w:t>It was noted that the mandate itself could not bring about the containment of the state of insecurity</w:t>
      </w:r>
      <w:r>
        <w:rPr>
          <w:spacing w:val="-3"/>
        </w:rPr>
        <w:t> </w:t>
      </w:r>
      <w:r>
        <w:rPr/>
        <w:t>in the Niger Delta given the perceived force</w:t>
      </w:r>
      <w:r>
        <w:rPr>
          <w:spacing w:val="17"/>
        </w:rPr>
        <w:t> </w:t>
      </w:r>
      <w:r>
        <w:rPr/>
        <w:t>capability</w:t>
      </w:r>
      <w:r>
        <w:rPr>
          <w:spacing w:val="16"/>
        </w:rPr>
        <w:t> </w:t>
      </w:r>
      <w:r>
        <w:rPr/>
        <w:t>vis-</w:t>
      </w:r>
      <w:r>
        <w:rPr>
          <w:spacing w:val="20"/>
        </w:rPr>
        <w:t> </w:t>
      </w:r>
      <w:r>
        <w:rPr/>
        <w:t>a-</w:t>
      </w:r>
      <w:r>
        <w:rPr>
          <w:spacing w:val="19"/>
        </w:rPr>
        <w:t> </w:t>
      </w:r>
      <w:r>
        <w:rPr/>
        <w:t>vis</w:t>
      </w:r>
      <w:r>
        <w:rPr>
          <w:spacing w:val="22"/>
        </w:rPr>
        <w:t> </w:t>
      </w:r>
      <w:r>
        <w:rPr/>
        <w:t>its</w:t>
      </w:r>
      <w:r>
        <w:rPr>
          <w:spacing w:val="19"/>
        </w:rPr>
        <w:t> </w:t>
      </w:r>
      <w:r>
        <w:rPr/>
        <w:t>ROE</w:t>
      </w:r>
      <w:r>
        <w:rPr>
          <w:spacing w:val="19"/>
        </w:rPr>
        <w:t> </w:t>
      </w:r>
      <w:r>
        <w:rPr/>
        <w:t>for</w:t>
      </w:r>
      <w:r>
        <w:rPr>
          <w:spacing w:val="19"/>
        </w:rPr>
        <w:t> </w:t>
      </w:r>
      <w:r>
        <w:rPr/>
        <w:t>now.</w:t>
      </w:r>
      <w:r>
        <w:rPr>
          <w:spacing w:val="71"/>
          <w:w w:val="150"/>
        </w:rPr>
        <w:t> </w:t>
      </w:r>
      <w:r>
        <w:rPr/>
        <w:t>It</w:t>
      </w:r>
      <w:r>
        <w:rPr>
          <w:spacing w:val="21"/>
        </w:rPr>
        <w:t> </w:t>
      </w:r>
      <w:r>
        <w:rPr/>
        <w:t>is,</w:t>
      </w:r>
      <w:r>
        <w:rPr>
          <w:spacing w:val="21"/>
        </w:rPr>
        <w:t> </w:t>
      </w:r>
      <w:r>
        <w:rPr/>
        <w:t>therefore,</w:t>
      </w:r>
      <w:r>
        <w:rPr>
          <w:spacing w:val="20"/>
        </w:rPr>
        <w:t> </w:t>
      </w:r>
      <w:r>
        <w:rPr/>
        <w:t>necessary</w:t>
      </w:r>
      <w:r>
        <w:rPr>
          <w:spacing w:val="14"/>
        </w:rPr>
        <w:t> </w:t>
      </w:r>
      <w:r>
        <w:rPr/>
        <w:t>to</w:t>
      </w:r>
      <w:r>
        <w:rPr>
          <w:spacing w:val="24"/>
        </w:rPr>
        <w:t> </w:t>
      </w:r>
      <w:r>
        <w:rPr>
          <w:spacing w:val="-2"/>
        </w:rPr>
        <w:t>determine</w:t>
      </w:r>
    </w:p>
    <w:p>
      <w:pPr>
        <w:spacing w:after="0" w:line="360" w:lineRule="auto"/>
        <w:jc w:val="both"/>
        <w:sectPr>
          <w:pgSz w:w="11910" w:h="16840"/>
          <w:pgMar w:header="0" w:footer="1561" w:top="1360" w:bottom="1760" w:left="720" w:right="180"/>
        </w:sectPr>
      </w:pPr>
    </w:p>
    <w:p>
      <w:pPr>
        <w:pStyle w:val="BodyText"/>
        <w:spacing w:line="360" w:lineRule="auto" w:before="60"/>
        <w:ind w:right="1255"/>
        <w:jc w:val="both"/>
      </w:pPr>
      <w:r>
        <w:rPr/>
        <mc:AlternateContent>
          <mc:Choice Requires="wps">
            <w:drawing>
              <wp:anchor distT="0" distB="0" distL="0" distR="0" allowOverlap="1" layoutInCell="1" locked="0" behindDoc="1" simplePos="0" relativeHeight="480638464">
                <wp:simplePos x="0" y="0"/>
                <wp:positionH relativeFrom="page">
                  <wp:posOffset>-1537026</wp:posOffset>
                </wp:positionH>
                <wp:positionV relativeFrom="page">
                  <wp:posOffset>4900424</wp:posOffset>
                </wp:positionV>
                <wp:extent cx="10669905" cy="914400"/>
                <wp:effectExtent l="0" t="0" r="0" b="0"/>
                <wp:wrapNone/>
                <wp:docPr id="233" name="Textbox 233"/>
                <wp:cNvGraphicFramePr>
                  <a:graphicFrameLocks/>
                </wp:cNvGraphicFramePr>
                <a:graphic>
                  <a:graphicData uri="http://schemas.microsoft.com/office/word/2010/wordprocessingShape">
                    <wps:wsp>
                      <wps:cNvPr id="233" name="Textbox 233"/>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78016;rotation:306" type="#_x0000_t136" fillcolor="#ff5400" stroked="f">
                <o:extrusion v:ext="view" autorotationcenter="t"/>
                <v:textpath style="font-family:&quot;Arial MT&quot;;font-size:72pt;v-text-kern:t;mso-text-shadow:auto" string="UNIVERSITY OF IBADAN"/>
                <w10:wrap type="none"/>
              </v:shape>
            </w:pict>
          </mc:Fallback>
        </mc:AlternateContent>
      </w:r>
      <w:r>
        <w:rPr/>
        <w:t>whether the mandate of the JTF can effectively contain the insecurity problems prevailing in the Niger Delta.</w:t>
      </w:r>
      <w:r>
        <w:rPr>
          <w:spacing w:val="40"/>
        </w:rPr>
        <w:t> </w:t>
      </w:r>
      <w:r>
        <w:rPr/>
        <w:t>As time went on, the tasks assigned to the JTF were expanded</w:t>
      </w:r>
      <w:r>
        <w:rPr>
          <w:spacing w:val="-3"/>
        </w:rPr>
        <w:t> </w:t>
      </w:r>
      <w:r>
        <w:rPr/>
        <w:t>to</w:t>
      </w:r>
      <w:r>
        <w:rPr>
          <w:spacing w:val="-3"/>
        </w:rPr>
        <w:t> </w:t>
      </w:r>
      <w:r>
        <w:rPr/>
        <w:t>include</w:t>
      </w:r>
      <w:r>
        <w:rPr>
          <w:spacing w:val="-3"/>
        </w:rPr>
        <w:t> </w:t>
      </w:r>
      <w:r>
        <w:rPr/>
        <w:t>low level</w:t>
      </w:r>
      <w:r>
        <w:rPr>
          <w:spacing w:val="-1"/>
        </w:rPr>
        <w:t> </w:t>
      </w:r>
      <w:r>
        <w:rPr/>
        <w:t>IS</w:t>
      </w:r>
      <w:r>
        <w:rPr>
          <w:spacing w:val="-3"/>
        </w:rPr>
        <w:t> </w:t>
      </w:r>
      <w:r>
        <w:rPr/>
        <w:t>operation,</w:t>
      </w:r>
      <w:r>
        <w:rPr>
          <w:spacing w:val="-3"/>
        </w:rPr>
        <w:t> </w:t>
      </w:r>
      <w:r>
        <w:rPr/>
        <w:t>maintenance</w:t>
      </w:r>
      <w:r>
        <w:rPr>
          <w:spacing w:val="-4"/>
        </w:rPr>
        <w:t> </w:t>
      </w:r>
      <w:r>
        <w:rPr/>
        <w:t>of</w:t>
      </w:r>
      <w:r>
        <w:rPr>
          <w:spacing w:val="-2"/>
        </w:rPr>
        <w:t> </w:t>
      </w:r>
      <w:r>
        <w:rPr/>
        <w:t>law</w:t>
      </w:r>
      <w:r>
        <w:rPr>
          <w:spacing w:val="-2"/>
        </w:rPr>
        <w:t> </w:t>
      </w:r>
      <w:r>
        <w:rPr/>
        <w:t>and</w:t>
      </w:r>
      <w:r>
        <w:rPr>
          <w:spacing w:val="-3"/>
        </w:rPr>
        <w:t> </w:t>
      </w:r>
      <w:r>
        <w:rPr/>
        <w:t>order, oil</w:t>
      </w:r>
      <w:r>
        <w:rPr>
          <w:spacing w:val="-3"/>
        </w:rPr>
        <w:t> </w:t>
      </w:r>
      <w:r>
        <w:rPr/>
        <w:t>pipeline surveillance, aerial surveillance of oil/gas assets and reconnaissance/escort.</w:t>
      </w:r>
      <w:r>
        <w:rPr>
          <w:spacing w:val="80"/>
        </w:rPr>
        <w:t> </w:t>
      </w:r>
      <w:r>
        <w:rPr/>
        <w:t>Others are maritime air patrol, protection of on-shore/ off-shore oil facilities, destruction of militant camps and blockade of creeks and re-entrant of rivers among others.</w:t>
      </w:r>
      <w:r>
        <w:rPr>
          <w:spacing w:val="40"/>
        </w:rPr>
        <w:t> </w:t>
      </w:r>
      <w:r>
        <w:rPr/>
        <w:t>An appraisal of these tasks against some factors like militant capabilities, difficult and complex terrain and operational readiness of the JTF troops brought out some worrisome revelations.</w:t>
      </w:r>
      <w:r>
        <w:rPr>
          <w:spacing w:val="40"/>
        </w:rPr>
        <w:t> </w:t>
      </w:r>
      <w:r>
        <w:rPr/>
        <w:t>First, the state of insecurity prevailing in the Niger Delta region has remained high due to increased scale and tempo of militant activities since the commencement of JTF in August 2003. Appendix 4 contains number of reported militant camps the JTF are not at inception expected to engage unless in self defence.</w:t>
      </w:r>
    </w:p>
    <w:p>
      <w:pPr>
        <w:pStyle w:val="BodyText"/>
        <w:spacing w:line="360" w:lineRule="auto" w:before="2"/>
        <w:ind w:right="1259" w:firstLine="720"/>
        <w:jc w:val="both"/>
      </w:pPr>
      <w:r>
        <w:rPr/>
        <w:t>Nonetheless,</w:t>
      </w:r>
      <w:r>
        <w:rPr>
          <w:spacing w:val="-1"/>
        </w:rPr>
        <w:t> </w:t>
      </w:r>
      <w:r>
        <w:rPr/>
        <w:t>the</w:t>
      </w:r>
      <w:r>
        <w:rPr>
          <w:spacing w:val="-2"/>
        </w:rPr>
        <w:t> </w:t>
      </w:r>
      <w:r>
        <w:rPr/>
        <w:t>DHQ</w:t>
      </w:r>
      <w:r>
        <w:rPr>
          <w:spacing w:val="-2"/>
        </w:rPr>
        <w:t> </w:t>
      </w:r>
      <w:r>
        <w:rPr/>
        <w:t>had</w:t>
      </w:r>
      <w:r>
        <w:rPr>
          <w:spacing w:val="-1"/>
        </w:rPr>
        <w:t> </w:t>
      </w:r>
      <w:r>
        <w:rPr/>
        <w:t>made</w:t>
      </w:r>
      <w:r>
        <w:rPr>
          <w:spacing w:val="-3"/>
        </w:rPr>
        <w:t> </w:t>
      </w:r>
      <w:r>
        <w:rPr/>
        <w:t>a</w:t>
      </w:r>
      <w:r>
        <w:rPr>
          <w:spacing w:val="-2"/>
        </w:rPr>
        <w:t> </w:t>
      </w:r>
      <w:r>
        <w:rPr/>
        <w:t>strategic</w:t>
      </w:r>
      <w:r>
        <w:rPr>
          <w:spacing w:val="-2"/>
        </w:rPr>
        <w:t> </w:t>
      </w:r>
      <w:r>
        <w:rPr/>
        <w:t>mistake</w:t>
      </w:r>
      <w:r>
        <w:rPr>
          <w:spacing w:val="-3"/>
        </w:rPr>
        <w:t> </w:t>
      </w:r>
      <w:r>
        <w:rPr/>
        <w:t>in</w:t>
      </w:r>
      <w:r>
        <w:rPr>
          <w:spacing w:val="-1"/>
        </w:rPr>
        <w:t> </w:t>
      </w:r>
      <w:r>
        <w:rPr/>
        <w:t>that,</w:t>
      </w:r>
      <w:r>
        <w:rPr>
          <w:spacing w:val="-1"/>
        </w:rPr>
        <w:t> </w:t>
      </w:r>
      <w:r>
        <w:rPr/>
        <w:t>the</w:t>
      </w:r>
      <w:r>
        <w:rPr>
          <w:spacing w:val="-2"/>
        </w:rPr>
        <w:t> </w:t>
      </w:r>
      <w:r>
        <w:rPr/>
        <w:t>initial</w:t>
      </w:r>
      <w:r>
        <w:rPr>
          <w:spacing w:val="-1"/>
        </w:rPr>
        <w:t> </w:t>
      </w:r>
      <w:r>
        <w:rPr/>
        <w:t>mandate given to Operation RESTORE HOPE as the Task Force was for only a period of 90 days (time limitation).</w:t>
      </w:r>
      <w:r>
        <w:rPr>
          <w:spacing w:val="40"/>
        </w:rPr>
        <w:t> </w:t>
      </w:r>
      <w:r>
        <w:rPr/>
        <w:t>The operation which has lasted for 8 years is still ongoing without</w:t>
      </w:r>
      <w:r>
        <w:rPr>
          <w:spacing w:val="-1"/>
        </w:rPr>
        <w:t> </w:t>
      </w:r>
      <w:r>
        <w:rPr/>
        <w:t>achieving</w:t>
      </w:r>
      <w:r>
        <w:rPr>
          <w:spacing w:val="-4"/>
        </w:rPr>
        <w:t> </w:t>
      </w:r>
      <w:r>
        <w:rPr/>
        <w:t>the</w:t>
      </w:r>
      <w:r>
        <w:rPr>
          <w:spacing w:val="-2"/>
        </w:rPr>
        <w:t> </w:t>
      </w:r>
      <w:r>
        <w:rPr/>
        <w:t>desirable</w:t>
      </w:r>
      <w:r>
        <w:rPr>
          <w:spacing w:val="-2"/>
        </w:rPr>
        <w:t> </w:t>
      </w:r>
      <w:r>
        <w:rPr/>
        <w:t>end –</w:t>
      </w:r>
      <w:r>
        <w:rPr>
          <w:spacing w:val="-1"/>
        </w:rPr>
        <w:t> </w:t>
      </w:r>
      <w:r>
        <w:rPr/>
        <w:t>state.</w:t>
      </w:r>
      <w:r>
        <w:rPr>
          <w:spacing w:val="80"/>
        </w:rPr>
        <w:t> </w:t>
      </w:r>
      <w:r>
        <w:rPr/>
        <w:t>Since</w:t>
      </w:r>
      <w:r>
        <w:rPr>
          <w:spacing w:val="-2"/>
        </w:rPr>
        <w:t> </w:t>
      </w:r>
      <w:r>
        <w:rPr/>
        <w:t>such</w:t>
      </w:r>
      <w:r>
        <w:rPr>
          <w:spacing w:val="-2"/>
        </w:rPr>
        <w:t> </w:t>
      </w:r>
      <w:r>
        <w:rPr/>
        <w:t>a</w:t>
      </w:r>
      <w:r>
        <w:rPr>
          <w:spacing w:val="-2"/>
        </w:rPr>
        <w:t> </w:t>
      </w:r>
      <w:r>
        <w:rPr/>
        <w:t>timeline</w:t>
      </w:r>
      <w:r>
        <w:rPr>
          <w:spacing w:val="-2"/>
        </w:rPr>
        <w:t> </w:t>
      </w:r>
      <w:r>
        <w:rPr/>
        <w:t>had</w:t>
      </w:r>
      <w:r>
        <w:rPr>
          <w:spacing w:val="-1"/>
        </w:rPr>
        <w:t> </w:t>
      </w:r>
      <w:r>
        <w:rPr/>
        <w:t>been</w:t>
      </w:r>
      <w:r>
        <w:rPr>
          <w:spacing w:val="-1"/>
        </w:rPr>
        <w:t> </w:t>
      </w:r>
      <w:r>
        <w:rPr/>
        <w:t>specified, the mandate given for the operation could have since been reviewed in line with new developments and in consonance with current situation of the mission.</w:t>
      </w:r>
      <w:r>
        <w:rPr>
          <w:spacing w:val="40"/>
        </w:rPr>
        <w:t> </w:t>
      </w:r>
      <w:r>
        <w:rPr/>
        <w:t>It could be argued, that such non-renewal of missions' mandate has led to what the American military term 'mission creep'.</w:t>
      </w:r>
      <w:r>
        <w:rPr>
          <w:spacing w:val="40"/>
        </w:rPr>
        <w:t> </w:t>
      </w:r>
      <w:r>
        <w:rPr/>
        <w:t>The danger of not completing the military operation on</w:t>
      </w:r>
    </w:p>
    <w:p>
      <w:pPr>
        <w:pStyle w:val="BodyText"/>
        <w:spacing w:before="137"/>
        <w:ind w:left="0"/>
      </w:pPr>
    </w:p>
    <w:p>
      <w:pPr>
        <w:pStyle w:val="BodyText"/>
        <w:spacing w:line="360" w:lineRule="auto"/>
        <w:ind w:right="1265"/>
        <w:jc w:val="both"/>
      </w:pPr>
      <w:r>
        <w:rPr/>
        <w:t>time has a tendency of exacerbating the hitherto already fluid situation in the Niger </w:t>
      </w:r>
      <w:r>
        <w:rPr>
          <w:spacing w:val="-2"/>
        </w:rPr>
        <w:t>Delta.</w:t>
      </w:r>
    </w:p>
    <w:p>
      <w:pPr>
        <w:pStyle w:val="BodyText"/>
        <w:spacing w:before="144"/>
        <w:ind w:left="0"/>
      </w:pPr>
    </w:p>
    <w:p>
      <w:pPr>
        <w:pStyle w:val="Heading2"/>
        <w:numPr>
          <w:ilvl w:val="3"/>
          <w:numId w:val="17"/>
        </w:numPr>
        <w:tabs>
          <w:tab w:pos="2160" w:val="left" w:leader="none"/>
        </w:tabs>
        <w:spacing w:line="240" w:lineRule="auto" w:before="0" w:after="0"/>
        <w:ind w:left="2160" w:right="0" w:hanging="720"/>
        <w:jc w:val="both"/>
      </w:pPr>
      <w:r>
        <w:rPr/>
        <w:t>Rules</w:t>
      </w:r>
      <w:r>
        <w:rPr>
          <w:spacing w:val="-5"/>
        </w:rPr>
        <w:t> </w:t>
      </w:r>
      <w:r>
        <w:rPr/>
        <w:t>of</w:t>
      </w:r>
      <w:r>
        <w:rPr>
          <w:spacing w:val="-1"/>
        </w:rPr>
        <w:t> </w:t>
      </w:r>
      <w:r>
        <w:rPr/>
        <w:t>Engagement</w:t>
      </w:r>
      <w:r>
        <w:rPr>
          <w:spacing w:val="-2"/>
        </w:rPr>
        <w:t> (ROE)</w:t>
      </w:r>
    </w:p>
    <w:p>
      <w:pPr>
        <w:pStyle w:val="BodyText"/>
        <w:spacing w:line="360" w:lineRule="auto" w:before="132"/>
        <w:ind w:right="1255" w:firstLine="720"/>
        <w:jc w:val="both"/>
      </w:pPr>
      <w:r>
        <w:rPr/>
        <w:t>At inception, the ROE allow for the application of minimum force in self- defence when JTF personnel were attacked.</w:t>
      </w:r>
      <w:r>
        <w:rPr>
          <w:spacing w:val="40"/>
        </w:rPr>
        <w:t> </w:t>
      </w:r>
      <w:r>
        <w:rPr/>
        <w:t>This, by implication, restricts offensive action against militants' camps and such other targets as may be presented by militant </w:t>
      </w:r>
      <w:r>
        <w:rPr>
          <w:spacing w:val="-2"/>
        </w:rPr>
        <w:t>groups.</w:t>
      </w:r>
    </w:p>
    <w:p>
      <w:pPr>
        <w:pStyle w:val="BodyText"/>
        <w:spacing w:line="360" w:lineRule="auto"/>
        <w:ind w:right="1257" w:firstLine="720"/>
        <w:jc w:val="both"/>
      </w:pPr>
      <w:r>
        <w:rPr/>
        <w:t>An exception to this rule occurred recently (15-20 May 2009) when the militants came under reprisal attack by the JTF in self defence and in an effort to retrieve their (JTF) soldiers missing in action plus their equipment as claimed by the Task</w:t>
      </w:r>
      <w:r>
        <w:rPr>
          <w:spacing w:val="4"/>
        </w:rPr>
        <w:t> </w:t>
      </w:r>
      <w:r>
        <w:rPr/>
        <w:t>Forces.</w:t>
      </w:r>
      <w:r>
        <w:rPr>
          <w:spacing w:val="5"/>
        </w:rPr>
        <w:t> </w:t>
      </w:r>
      <w:r>
        <w:rPr/>
        <w:t>Perhaps,</w:t>
      </w:r>
      <w:r>
        <w:rPr>
          <w:spacing w:val="6"/>
        </w:rPr>
        <w:t> </w:t>
      </w:r>
      <w:r>
        <w:rPr/>
        <w:t>this</w:t>
      </w:r>
      <w:r>
        <w:rPr>
          <w:spacing w:val="6"/>
        </w:rPr>
        <w:t> </w:t>
      </w:r>
      <w:r>
        <w:rPr/>
        <w:t>position</w:t>
      </w:r>
      <w:r>
        <w:rPr>
          <w:spacing w:val="5"/>
        </w:rPr>
        <w:t> </w:t>
      </w:r>
      <w:r>
        <w:rPr/>
        <w:t>justifies</w:t>
      </w:r>
      <w:r>
        <w:rPr>
          <w:spacing w:val="5"/>
        </w:rPr>
        <w:t> </w:t>
      </w:r>
      <w:r>
        <w:rPr/>
        <w:t>the</w:t>
      </w:r>
      <w:r>
        <w:rPr>
          <w:spacing w:val="5"/>
        </w:rPr>
        <w:t> </w:t>
      </w:r>
      <w:r>
        <w:rPr/>
        <w:t>common</w:t>
      </w:r>
      <w:r>
        <w:rPr>
          <w:spacing w:val="6"/>
        </w:rPr>
        <w:t> </w:t>
      </w:r>
      <w:r>
        <w:rPr/>
        <w:t>doctrine</w:t>
      </w:r>
      <w:r>
        <w:rPr>
          <w:spacing w:val="5"/>
        </w:rPr>
        <w:t> </w:t>
      </w:r>
      <w:r>
        <w:rPr/>
        <w:t>that</w:t>
      </w:r>
      <w:r>
        <w:rPr>
          <w:spacing w:val="5"/>
        </w:rPr>
        <w:t> </w:t>
      </w:r>
      <w:r>
        <w:rPr/>
        <w:t>minimum</w:t>
      </w:r>
      <w:r>
        <w:rPr>
          <w:spacing w:val="6"/>
        </w:rPr>
        <w:t> </w:t>
      </w:r>
      <w:r>
        <w:rPr>
          <w:spacing w:val="-2"/>
        </w:rPr>
        <w:t>force</w:t>
      </w:r>
    </w:p>
    <w:p>
      <w:pPr>
        <w:spacing w:after="0" w:line="360" w:lineRule="auto"/>
        <w:jc w:val="both"/>
        <w:sectPr>
          <w:pgSz w:w="11910" w:h="16840"/>
          <w:pgMar w:header="0" w:footer="1561" w:top="1360" w:bottom="1760" w:left="720" w:right="180"/>
        </w:sectPr>
      </w:pPr>
    </w:p>
    <w:p>
      <w:pPr>
        <w:pStyle w:val="BodyText"/>
        <w:spacing w:line="360" w:lineRule="auto" w:before="60"/>
        <w:ind w:right="1260"/>
        <w:jc w:val="both"/>
      </w:pPr>
      <w:r>
        <w:rPr/>
        <mc:AlternateContent>
          <mc:Choice Requires="wps">
            <w:drawing>
              <wp:anchor distT="0" distB="0" distL="0" distR="0" allowOverlap="1" layoutInCell="1" locked="0" behindDoc="1" simplePos="0" relativeHeight="480638976">
                <wp:simplePos x="0" y="0"/>
                <wp:positionH relativeFrom="page">
                  <wp:posOffset>-1537026</wp:posOffset>
                </wp:positionH>
                <wp:positionV relativeFrom="page">
                  <wp:posOffset>4900424</wp:posOffset>
                </wp:positionV>
                <wp:extent cx="10669905" cy="914400"/>
                <wp:effectExtent l="0" t="0" r="0" b="0"/>
                <wp:wrapNone/>
                <wp:docPr id="234" name="Textbox 234"/>
                <wp:cNvGraphicFramePr>
                  <a:graphicFrameLocks/>
                </wp:cNvGraphicFramePr>
                <a:graphic>
                  <a:graphicData uri="http://schemas.microsoft.com/office/word/2010/wordprocessingShape">
                    <wps:wsp>
                      <wps:cNvPr id="234" name="Textbox 234"/>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77504;rotation:306" type="#_x0000_t136" fillcolor="#ff5400" stroked="f">
                <o:extrusion v:ext="view" autorotationcenter="t"/>
                <v:textpath style="font-family:&quot;Arial MT&quot;;font-size:72pt;v-text-kern:t;mso-text-shadow:auto" string="UNIVERSITY OF IBADAN"/>
                <w10:wrap type="none"/>
              </v:shape>
            </w:pict>
          </mc:Fallback>
        </mc:AlternateContent>
      </w:r>
      <w:r>
        <w:rPr/>
        <w:t>is relative to threat.</w:t>
      </w:r>
      <w:r>
        <w:rPr>
          <w:spacing w:val="40"/>
        </w:rPr>
        <w:t> </w:t>
      </w:r>
      <w:r>
        <w:rPr/>
        <w:t>Thus, the ROE have not been reviewed to cater for the offensive action that may be required to meet the new realities of militants' activities and capabilities.</w:t>
      </w:r>
      <w:r>
        <w:rPr>
          <w:spacing w:val="40"/>
        </w:rPr>
        <w:t> </w:t>
      </w:r>
      <w:r>
        <w:rPr/>
        <w:t>This rather restrictive ROE has hindered the success of Operation RESTORE</w:t>
      </w:r>
      <w:r>
        <w:rPr>
          <w:spacing w:val="-3"/>
        </w:rPr>
        <w:t> </w:t>
      </w:r>
      <w:r>
        <w:rPr/>
        <w:t>HOPE</w:t>
      </w:r>
      <w:r>
        <w:rPr>
          <w:spacing w:val="-3"/>
        </w:rPr>
        <w:t> </w:t>
      </w:r>
      <w:r>
        <w:rPr/>
        <w:t>in</w:t>
      </w:r>
      <w:r>
        <w:rPr>
          <w:spacing w:val="-3"/>
        </w:rPr>
        <w:t> </w:t>
      </w:r>
      <w:r>
        <w:rPr/>
        <w:t>the</w:t>
      </w:r>
      <w:r>
        <w:rPr>
          <w:spacing w:val="-4"/>
        </w:rPr>
        <w:t> </w:t>
      </w:r>
      <w:r>
        <w:rPr/>
        <w:t>region.</w:t>
      </w:r>
      <w:r>
        <w:rPr>
          <w:spacing w:val="40"/>
        </w:rPr>
        <w:t> </w:t>
      </w:r>
      <w:r>
        <w:rPr/>
        <w:t>The</w:t>
      </w:r>
      <w:r>
        <w:rPr>
          <w:spacing w:val="-4"/>
        </w:rPr>
        <w:t> </w:t>
      </w:r>
      <w:r>
        <w:rPr/>
        <w:t>poor</w:t>
      </w:r>
      <w:r>
        <w:rPr>
          <w:spacing w:val="-3"/>
        </w:rPr>
        <w:t> </w:t>
      </w:r>
      <w:r>
        <w:rPr/>
        <w:t>performance</w:t>
      </w:r>
      <w:r>
        <w:rPr>
          <w:spacing w:val="-4"/>
        </w:rPr>
        <w:t> </w:t>
      </w:r>
      <w:r>
        <w:rPr/>
        <w:t>of</w:t>
      </w:r>
      <w:r>
        <w:rPr>
          <w:spacing w:val="-2"/>
        </w:rPr>
        <w:t> </w:t>
      </w:r>
      <w:r>
        <w:rPr/>
        <w:t>the</w:t>
      </w:r>
      <w:r>
        <w:rPr>
          <w:spacing w:val="-3"/>
        </w:rPr>
        <w:t> </w:t>
      </w:r>
      <w:r>
        <w:rPr/>
        <w:t>force</w:t>
      </w:r>
      <w:r>
        <w:rPr>
          <w:spacing w:val="-4"/>
        </w:rPr>
        <w:t> </w:t>
      </w:r>
      <w:r>
        <w:rPr/>
        <w:t>has</w:t>
      </w:r>
      <w:r>
        <w:rPr>
          <w:spacing w:val="-1"/>
        </w:rPr>
        <w:t> </w:t>
      </w:r>
      <w:r>
        <w:rPr/>
        <w:t>given</w:t>
      </w:r>
      <w:r>
        <w:rPr>
          <w:spacing w:val="-3"/>
        </w:rPr>
        <w:t> </w:t>
      </w:r>
      <w:r>
        <w:rPr/>
        <w:t>room</w:t>
      </w:r>
      <w:r>
        <w:rPr>
          <w:spacing w:val="-3"/>
        </w:rPr>
        <w:t> </w:t>
      </w:r>
      <w:r>
        <w:rPr/>
        <w:t>to proliferation of militant camps as well as unwarranted casualties incurred by JTF troops and other security agencies.</w:t>
      </w:r>
      <w:r>
        <w:rPr>
          <w:spacing w:val="40"/>
        </w:rPr>
        <w:t> </w:t>
      </w:r>
      <w:r>
        <w:rPr/>
        <w:t>The ROE needs to be reviewed and made robust enough to enable commanders in the field take timely and decisive actions.</w:t>
      </w:r>
    </w:p>
    <w:p>
      <w:pPr>
        <w:pStyle w:val="BodyText"/>
        <w:spacing w:before="144"/>
        <w:ind w:left="0"/>
      </w:pPr>
    </w:p>
    <w:p>
      <w:pPr>
        <w:pStyle w:val="Heading2"/>
        <w:numPr>
          <w:ilvl w:val="3"/>
          <w:numId w:val="17"/>
        </w:numPr>
        <w:tabs>
          <w:tab w:pos="2160" w:val="left" w:leader="none"/>
        </w:tabs>
        <w:spacing w:line="240" w:lineRule="auto" w:before="0" w:after="0"/>
        <w:ind w:left="2160" w:right="0" w:hanging="720"/>
        <w:jc w:val="both"/>
      </w:pPr>
      <w:r>
        <w:rPr/>
        <w:t>Organization</w:t>
      </w:r>
      <w:r>
        <w:rPr>
          <w:spacing w:val="-2"/>
        </w:rPr>
        <w:t> </w:t>
      </w:r>
      <w:r>
        <w:rPr/>
        <w:t>of</w:t>
      </w:r>
      <w:r>
        <w:rPr>
          <w:spacing w:val="-1"/>
        </w:rPr>
        <w:t> </w:t>
      </w:r>
      <w:r>
        <w:rPr/>
        <w:t>Operation</w:t>
      </w:r>
      <w:r>
        <w:rPr>
          <w:spacing w:val="-1"/>
        </w:rPr>
        <w:t> </w:t>
      </w:r>
      <w:r>
        <w:rPr/>
        <w:t>RESTORE</w:t>
      </w:r>
      <w:r>
        <w:rPr>
          <w:spacing w:val="-2"/>
        </w:rPr>
        <w:t> </w:t>
      </w:r>
      <w:r>
        <w:rPr>
          <w:spacing w:val="-4"/>
        </w:rPr>
        <w:t>HOPE</w:t>
      </w:r>
    </w:p>
    <w:p>
      <w:pPr>
        <w:pStyle w:val="BodyText"/>
        <w:spacing w:line="360" w:lineRule="auto" w:before="132"/>
        <w:ind w:right="1255" w:firstLine="720"/>
        <w:jc w:val="both"/>
      </w:pPr>
      <w:r>
        <w:rPr/>
        <w:t>The JTF is made up of the Armed Forces, NPF and SSS. According to JTF Commander Operation RESTORE HOPE, the Task Force comprises a headquarters and five field Task Force Groups.</w:t>
      </w:r>
      <w:r>
        <w:rPr>
          <w:spacing w:val="80"/>
        </w:rPr>
        <w:t> </w:t>
      </w:r>
      <w:r>
        <w:rPr/>
        <w:t>The organogram showing the JTF organization is</w:t>
      </w:r>
      <w:r>
        <w:rPr>
          <w:spacing w:val="40"/>
        </w:rPr>
        <w:t> </w:t>
      </w:r>
      <w:r>
        <w:rPr/>
        <w:t>at Figure 5. The staffing of the headquarters reflects the joint nature of the operations consisting of the Army, Navy and Air Force Task groups. Others are the NPF Task Group and SSS Task Group.</w:t>
      </w:r>
      <w:r>
        <w:rPr>
          <w:spacing w:val="40"/>
        </w:rPr>
        <w:t> </w:t>
      </w:r>
      <w:r>
        <w:rPr/>
        <w:t>The Army Task Group (ATG) which is the land component is responsible for land operations in co-operation with the other Task Force components.</w:t>
      </w:r>
      <w:r>
        <w:rPr>
          <w:spacing w:val="40"/>
        </w:rPr>
        <w:t> </w:t>
      </w:r>
      <w:r>
        <w:rPr/>
        <w:t>Their tasks include reconnaissance, patrols, cordon and search as well as low level IS operations. The Nigerian Navy Task Group (NNTG) which is the maritime component of the Task Force is responsible for maritime operations in co- operation with other task groups.</w:t>
      </w:r>
      <w:r>
        <w:rPr>
          <w:spacing w:val="40"/>
        </w:rPr>
        <w:t> </w:t>
      </w:r>
      <w:r>
        <w:rPr/>
        <w:t>Its tasks include protection of offshore oil installations, escort duties, maritime air patrol and blockade of creeks/estuaries of major</w:t>
      </w:r>
      <w:r>
        <w:rPr>
          <w:spacing w:val="14"/>
        </w:rPr>
        <w:t> </w:t>
      </w:r>
      <w:r>
        <w:rPr/>
        <w:t>waterways.</w:t>
      </w:r>
      <w:r>
        <w:rPr>
          <w:spacing w:val="18"/>
        </w:rPr>
        <w:t> </w:t>
      </w:r>
      <w:r>
        <w:rPr/>
        <w:t>The</w:t>
      </w:r>
      <w:r>
        <w:rPr>
          <w:spacing w:val="17"/>
        </w:rPr>
        <w:t> </w:t>
      </w:r>
      <w:r>
        <w:rPr/>
        <w:t>Nigerian</w:t>
      </w:r>
      <w:r>
        <w:rPr>
          <w:spacing w:val="17"/>
        </w:rPr>
        <w:t> </w:t>
      </w:r>
      <w:r>
        <w:rPr/>
        <w:t>Air</w:t>
      </w:r>
      <w:r>
        <w:rPr>
          <w:spacing w:val="19"/>
        </w:rPr>
        <w:t> </w:t>
      </w:r>
      <w:r>
        <w:rPr/>
        <w:t>Force</w:t>
      </w:r>
      <w:r>
        <w:rPr>
          <w:spacing w:val="18"/>
        </w:rPr>
        <w:t> </w:t>
      </w:r>
      <w:r>
        <w:rPr/>
        <w:t>Task</w:t>
      </w:r>
      <w:r>
        <w:rPr>
          <w:spacing w:val="20"/>
        </w:rPr>
        <w:t> </w:t>
      </w:r>
      <w:r>
        <w:rPr/>
        <w:t>Group</w:t>
      </w:r>
      <w:r>
        <w:rPr>
          <w:spacing w:val="17"/>
        </w:rPr>
        <w:t> </w:t>
      </w:r>
      <w:r>
        <w:rPr/>
        <w:t>(NAFTG)</w:t>
      </w:r>
      <w:r>
        <w:rPr>
          <w:spacing w:val="17"/>
        </w:rPr>
        <w:t> </w:t>
      </w:r>
      <w:r>
        <w:rPr/>
        <w:t>equipped</w:t>
      </w:r>
      <w:r>
        <w:rPr>
          <w:spacing w:val="17"/>
        </w:rPr>
        <w:t> </w:t>
      </w:r>
      <w:r>
        <w:rPr/>
        <w:t>with</w:t>
      </w:r>
      <w:r>
        <w:rPr>
          <w:spacing w:val="18"/>
        </w:rPr>
        <w:t> </w:t>
      </w:r>
      <w:r>
        <w:rPr>
          <w:spacing w:val="-5"/>
        </w:rPr>
        <w:t>Mi-</w:t>
      </w:r>
    </w:p>
    <w:p>
      <w:pPr>
        <w:pStyle w:val="BodyText"/>
        <w:spacing w:line="360" w:lineRule="auto" w:before="3"/>
        <w:ind w:right="1257"/>
        <w:jc w:val="both"/>
      </w:pPr>
      <w:r>
        <w:rPr/>
        <w:t>35 helicopter gunships provide close air support, maritime air patrol, armed reconnaissance and pipeline surveillance in support of the JTF.</w:t>
      </w:r>
    </w:p>
    <w:p>
      <w:pPr>
        <w:pStyle w:val="BodyText"/>
        <w:spacing w:line="360" w:lineRule="auto" w:before="199"/>
        <w:ind w:right="1256" w:firstLine="660"/>
        <w:jc w:val="both"/>
      </w:pPr>
      <w:r>
        <w:rPr/>
        <w:t>The Task Force also has the Nigeria Police Task Group (NPTG) that is made</w:t>
      </w:r>
      <w:r>
        <w:rPr>
          <w:spacing w:val="80"/>
        </w:rPr>
        <w:t> </w:t>
      </w:r>
      <w:r>
        <w:rPr/>
        <w:t>of personnel of the Police Mobile Force drawn from various squadrons.</w:t>
      </w:r>
      <w:r>
        <w:rPr>
          <w:spacing w:val="40"/>
        </w:rPr>
        <w:t> </w:t>
      </w:r>
      <w:r>
        <w:rPr/>
        <w:t>Their tasks include operating with other components of the Task Force at checkpoints, deployment at creeks and IS duties.</w:t>
      </w:r>
      <w:r>
        <w:rPr>
          <w:spacing w:val="40"/>
        </w:rPr>
        <w:t> </w:t>
      </w:r>
      <w:r>
        <w:rPr/>
        <w:t>There is also the State Security Service Task Group (SSSTG).</w:t>
      </w:r>
      <w:r>
        <w:rPr>
          <w:spacing w:val="40"/>
        </w:rPr>
        <w:t> </w:t>
      </w:r>
      <w:r>
        <w:rPr/>
        <w:t>The group consists of operatives working in conjunction with other security</w:t>
      </w:r>
      <w:r>
        <w:rPr>
          <w:spacing w:val="-4"/>
        </w:rPr>
        <w:t> </w:t>
      </w:r>
      <w:r>
        <w:rPr/>
        <w:t>agencies to provide real time information/intelligence to the Task Force.</w:t>
      </w:r>
      <w:r>
        <w:rPr>
          <w:spacing w:val="40"/>
        </w:rPr>
        <w:t> </w:t>
      </w:r>
      <w:r>
        <w:rPr/>
        <w:t>It is obvious from the foregoing, that the JTF was appropriately organized to meet the objectives for which it was established.</w:t>
      </w:r>
    </w:p>
    <w:p>
      <w:pPr>
        <w:spacing w:after="0" w:line="360" w:lineRule="auto"/>
        <w:jc w:val="both"/>
        <w:sectPr>
          <w:pgSz w:w="11910" w:h="16840"/>
          <w:pgMar w:header="0" w:footer="1561" w:top="1360" w:bottom="1760" w:left="720" w:right="180"/>
        </w:sectPr>
      </w:pPr>
    </w:p>
    <w:p>
      <w:pPr>
        <w:pStyle w:val="BodyText"/>
        <w:ind w:left="0"/>
        <w:rPr>
          <w:sz w:val="20"/>
        </w:rPr>
      </w:pPr>
      <w:r>
        <w:rPr/>
        <mc:AlternateContent>
          <mc:Choice Requires="wps">
            <w:drawing>
              <wp:anchor distT="0" distB="0" distL="0" distR="0" allowOverlap="1" layoutInCell="1" locked="0" behindDoc="1" simplePos="0" relativeHeight="480641024">
                <wp:simplePos x="0" y="0"/>
                <wp:positionH relativeFrom="page">
                  <wp:posOffset>-1537026</wp:posOffset>
                </wp:positionH>
                <wp:positionV relativeFrom="page">
                  <wp:posOffset>4900424</wp:posOffset>
                </wp:positionV>
                <wp:extent cx="10669905" cy="914400"/>
                <wp:effectExtent l="0" t="0" r="0" b="0"/>
                <wp:wrapNone/>
                <wp:docPr id="235" name="Textbox 235"/>
                <wp:cNvGraphicFramePr>
                  <a:graphicFrameLocks/>
                </wp:cNvGraphicFramePr>
                <a:graphic>
                  <a:graphicData uri="http://schemas.microsoft.com/office/word/2010/wordprocessingShape">
                    <wps:wsp>
                      <wps:cNvPr id="235" name="Textbox 235"/>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75456;rotation:306" type="#_x0000_t136" fillcolor="#ff5400" stroked="f">
                <o:extrusion v:ext="view" autorotationcenter="t"/>
                <v:textpath style="font-family:&quot;Arial MT&quot;;font-size:72pt;v-text-kern:t;mso-text-shadow:auto" string="UNIVERSITY OF IBADAN"/>
                <w10:wrap type="none"/>
              </v:shape>
            </w:pict>
          </mc:Fallback>
        </mc:AlternateContent>
      </w:r>
      <w:r>
        <w:rPr/>
        <w:drawing>
          <wp:anchor distT="0" distB="0" distL="0" distR="0" allowOverlap="1" layoutInCell="1" locked="0" behindDoc="0" simplePos="0" relativeHeight="15812096">
            <wp:simplePos x="0" y="0"/>
            <wp:positionH relativeFrom="page">
              <wp:posOffset>1035761</wp:posOffset>
            </wp:positionH>
            <wp:positionV relativeFrom="page">
              <wp:posOffset>922654</wp:posOffset>
            </wp:positionV>
            <wp:extent cx="5754242" cy="3527424"/>
            <wp:effectExtent l="0" t="0" r="0" b="0"/>
            <wp:wrapNone/>
            <wp:docPr id="236" name="Image 236"/>
            <wp:cNvGraphicFramePr>
              <a:graphicFrameLocks/>
            </wp:cNvGraphicFramePr>
            <a:graphic>
              <a:graphicData uri="http://schemas.openxmlformats.org/drawingml/2006/picture">
                <pic:pic>
                  <pic:nvPicPr>
                    <pic:cNvPr id="236" name="Image 236"/>
                    <pic:cNvPicPr/>
                  </pic:nvPicPr>
                  <pic:blipFill>
                    <a:blip r:embed="rId62" cstate="print"/>
                    <a:stretch>
                      <a:fillRect/>
                    </a:stretch>
                  </pic:blipFill>
                  <pic:spPr>
                    <a:xfrm>
                      <a:off x="0" y="0"/>
                      <a:ext cx="5754242" cy="3527424"/>
                    </a:xfrm>
                    <a:prstGeom prst="rect">
                      <a:avLst/>
                    </a:prstGeom>
                  </pic:spPr>
                </pic:pic>
              </a:graphicData>
            </a:graphic>
          </wp:anchor>
        </w:drawing>
      </w:r>
    </w:p>
    <w:p>
      <w:pPr>
        <w:pStyle w:val="BodyText"/>
        <w:spacing w:before="49"/>
        <w:ind w:left="0"/>
        <w:rPr>
          <w:sz w:val="20"/>
        </w:rPr>
      </w:pPr>
    </w:p>
    <w:p>
      <w:pPr>
        <w:pStyle w:val="BodyText"/>
        <w:ind w:left="3661"/>
        <w:rPr>
          <w:sz w:val="20"/>
        </w:rPr>
      </w:pPr>
      <w:r>
        <w:rPr>
          <w:sz w:val="20"/>
        </w:rPr>
        <mc:AlternateContent>
          <mc:Choice Requires="wps">
            <w:drawing>
              <wp:inline distT="0" distB="0" distL="0" distR="0">
                <wp:extent cx="147320" cy="168910"/>
                <wp:effectExtent l="0" t="0" r="0" b="0"/>
                <wp:docPr id="237" name="Group 237"/>
                <wp:cNvGraphicFramePr>
                  <a:graphicFrameLocks/>
                </wp:cNvGraphicFramePr>
                <a:graphic>
                  <a:graphicData uri="http://schemas.microsoft.com/office/word/2010/wordprocessingGroup">
                    <wpg:wgp>
                      <wpg:cNvPr id="237" name="Group 237"/>
                      <wpg:cNvGrpSpPr/>
                      <wpg:grpSpPr>
                        <a:xfrm>
                          <a:off x="0" y="0"/>
                          <a:ext cx="147320" cy="168910"/>
                          <a:chExt cx="147320" cy="168910"/>
                        </a:xfrm>
                      </wpg:grpSpPr>
                      <wps:wsp>
                        <wps:cNvPr id="238" name="Textbox 238"/>
                        <wps:cNvSpPr txBox="1"/>
                        <wps:spPr>
                          <a:xfrm>
                            <a:off x="0" y="0"/>
                            <a:ext cx="147320" cy="168910"/>
                          </a:xfrm>
                          <a:prstGeom prst="rect">
                            <a:avLst/>
                          </a:prstGeom>
                        </wps:spPr>
                        <wps:txbx>
                          <w:txbxContent>
                            <w:p>
                              <w:pPr>
                                <w:spacing w:line="266" w:lineRule="exact" w:before="0"/>
                                <w:ind w:left="0" w:right="0" w:firstLine="0"/>
                                <w:jc w:val="left"/>
                                <w:rPr>
                                  <w:sz w:val="24"/>
                                </w:rPr>
                              </w:pPr>
                              <w:r>
                                <w:rPr>
                                  <w:spacing w:val="-5"/>
                                  <w:sz w:val="24"/>
                                </w:rPr>
                                <w:t>aa</w:t>
                              </w:r>
                            </w:p>
                          </w:txbxContent>
                        </wps:txbx>
                        <wps:bodyPr wrap="square" lIns="0" tIns="0" rIns="0" bIns="0" rtlCol="0">
                          <a:noAutofit/>
                        </wps:bodyPr>
                      </wps:wsp>
                    </wpg:wgp>
                  </a:graphicData>
                </a:graphic>
              </wp:inline>
            </w:drawing>
          </mc:Choice>
          <mc:Fallback>
            <w:pict>
              <v:group style="width:11.6pt;height:13.3pt;mso-position-horizontal-relative:char;mso-position-vertical-relative:line" id="docshapegroup108" coordorigin="0,0" coordsize="232,266">
                <v:shape style="position:absolute;left:0;top:0;width:232;height:266" type="#_x0000_t202" id="docshape109" filled="false" stroked="false">
                  <v:textbox inset="0,0,0,0">
                    <w:txbxContent>
                      <w:p>
                        <w:pPr>
                          <w:spacing w:line="266" w:lineRule="exact" w:before="0"/>
                          <w:ind w:left="0" w:right="0" w:firstLine="0"/>
                          <w:jc w:val="left"/>
                          <w:rPr>
                            <w:sz w:val="24"/>
                          </w:rPr>
                        </w:pPr>
                        <w:r>
                          <w:rPr>
                            <w:spacing w:val="-5"/>
                            <w:sz w:val="24"/>
                          </w:rPr>
                          <w:t>aa</w:t>
                        </w:r>
                      </w:p>
                    </w:txbxContent>
                  </v:textbox>
                  <w10:wrap type="none"/>
                </v:shape>
              </v:group>
            </w:pict>
          </mc:Fallback>
        </mc:AlternateContent>
      </w:r>
      <w:r>
        <w:rPr>
          <w:sz w:val="20"/>
        </w:rPr>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65"/>
        <w:ind w:left="0"/>
        <w:rPr>
          <w:sz w:val="20"/>
        </w:rPr>
      </w:pPr>
      <w:r>
        <w:rPr/>
        <mc:AlternateContent>
          <mc:Choice Requires="wps">
            <w:drawing>
              <wp:anchor distT="0" distB="0" distL="0" distR="0" allowOverlap="1" layoutInCell="1" locked="0" behindDoc="1" simplePos="0" relativeHeight="487669760">
                <wp:simplePos x="0" y="0"/>
                <wp:positionH relativeFrom="page">
                  <wp:posOffset>925830</wp:posOffset>
                </wp:positionH>
                <wp:positionV relativeFrom="paragraph">
                  <wp:posOffset>202564</wp:posOffset>
                </wp:positionV>
                <wp:extent cx="2861945" cy="292735"/>
                <wp:effectExtent l="0" t="0" r="0" b="0"/>
                <wp:wrapTopAndBottom/>
                <wp:docPr id="239" name="Graphic 239"/>
                <wp:cNvGraphicFramePr>
                  <a:graphicFrameLocks/>
                </wp:cNvGraphicFramePr>
                <a:graphic>
                  <a:graphicData uri="http://schemas.microsoft.com/office/word/2010/wordprocessingShape">
                    <wps:wsp>
                      <wps:cNvPr id="239" name="Graphic 239"/>
                      <wps:cNvSpPr/>
                      <wps:spPr>
                        <a:xfrm>
                          <a:off x="0" y="0"/>
                          <a:ext cx="2861945" cy="292735"/>
                        </a:xfrm>
                        <a:custGeom>
                          <a:avLst/>
                          <a:gdLst/>
                          <a:ahLst/>
                          <a:cxnLst/>
                          <a:rect l="l" t="t" r="r" b="b"/>
                          <a:pathLst>
                            <a:path w="2861945" h="292735">
                              <a:moveTo>
                                <a:pt x="2861945" y="0"/>
                              </a:moveTo>
                              <a:lnTo>
                                <a:pt x="0" y="0"/>
                              </a:lnTo>
                              <a:lnTo>
                                <a:pt x="0" y="292734"/>
                              </a:lnTo>
                              <a:lnTo>
                                <a:pt x="2861945" y="292734"/>
                              </a:lnTo>
                              <a:lnTo>
                                <a:pt x="286194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900002pt;margin-top:15.949961pt;width:225.35pt;height:23.05pt;mso-position-horizontal-relative:page;mso-position-vertical-relative:paragraph;z-index:-15646720;mso-wrap-distance-left:0;mso-wrap-distance-right:0" id="docshape110" filled="true" fillcolor="#ffffff" stroked="false">
                <v:fill type="solid"/>
                <w10:wrap type="topAndBottom"/>
              </v:rect>
            </w:pict>
          </mc:Fallback>
        </mc:AlternateContent>
      </w:r>
    </w:p>
    <w:p>
      <w:pPr>
        <w:spacing w:line="360" w:lineRule="auto" w:before="0"/>
        <w:ind w:left="1440" w:right="2827" w:firstLine="0"/>
        <w:jc w:val="left"/>
        <w:rPr>
          <w:b/>
          <w:sz w:val="24"/>
        </w:rPr>
      </w:pPr>
      <w:r>
        <w:rPr>
          <w:b/>
          <w:sz w:val="24"/>
        </w:rPr>
        <w:t>Figure</w:t>
      </w:r>
      <w:r>
        <w:rPr>
          <w:b/>
          <w:spacing w:val="-5"/>
          <w:sz w:val="24"/>
        </w:rPr>
        <w:t> </w:t>
      </w:r>
      <w:r>
        <w:rPr>
          <w:b/>
          <w:sz w:val="24"/>
        </w:rPr>
        <w:t>5:</w:t>
      </w:r>
      <w:r>
        <w:rPr>
          <w:b/>
          <w:spacing w:val="40"/>
          <w:sz w:val="24"/>
        </w:rPr>
        <w:t> </w:t>
      </w:r>
      <w:r>
        <w:rPr>
          <w:b/>
          <w:sz w:val="24"/>
        </w:rPr>
        <w:t>Organogram</w:t>
      </w:r>
      <w:r>
        <w:rPr>
          <w:b/>
          <w:spacing w:val="-5"/>
          <w:sz w:val="24"/>
        </w:rPr>
        <w:t> </w:t>
      </w:r>
      <w:r>
        <w:rPr>
          <w:b/>
          <w:sz w:val="24"/>
        </w:rPr>
        <w:t>showing</w:t>
      </w:r>
      <w:r>
        <w:rPr>
          <w:b/>
          <w:spacing w:val="-4"/>
          <w:sz w:val="24"/>
        </w:rPr>
        <w:t> </w:t>
      </w:r>
      <w:r>
        <w:rPr>
          <w:b/>
          <w:sz w:val="24"/>
        </w:rPr>
        <w:t>the</w:t>
      </w:r>
      <w:r>
        <w:rPr>
          <w:b/>
          <w:spacing w:val="-5"/>
          <w:sz w:val="24"/>
        </w:rPr>
        <w:t> </w:t>
      </w:r>
      <w:r>
        <w:rPr>
          <w:b/>
          <w:sz w:val="24"/>
        </w:rPr>
        <w:t>JTF</w:t>
      </w:r>
      <w:r>
        <w:rPr>
          <w:b/>
          <w:spacing w:val="-6"/>
          <w:sz w:val="24"/>
        </w:rPr>
        <w:t> </w:t>
      </w:r>
      <w:r>
        <w:rPr>
          <w:b/>
          <w:sz w:val="24"/>
        </w:rPr>
        <w:t>Organization</w:t>
      </w:r>
      <w:r>
        <w:rPr>
          <w:b/>
          <w:spacing w:val="-3"/>
          <w:sz w:val="24"/>
        </w:rPr>
        <w:t> </w:t>
      </w:r>
      <w:r>
        <w:rPr>
          <w:b/>
          <w:sz w:val="24"/>
        </w:rPr>
        <w:t>as</w:t>
      </w:r>
      <w:r>
        <w:rPr>
          <w:b/>
          <w:spacing w:val="-4"/>
          <w:sz w:val="24"/>
        </w:rPr>
        <w:t> </w:t>
      </w:r>
      <w:r>
        <w:rPr>
          <w:b/>
          <w:sz w:val="24"/>
        </w:rPr>
        <w:t>at</w:t>
      </w:r>
      <w:r>
        <w:rPr>
          <w:b/>
          <w:spacing w:val="-4"/>
          <w:sz w:val="24"/>
        </w:rPr>
        <w:t> </w:t>
      </w:r>
      <w:r>
        <w:rPr>
          <w:b/>
          <w:sz w:val="24"/>
        </w:rPr>
        <w:t>2008 Source: Researcher’s</w:t>
      </w:r>
      <w:r>
        <w:rPr>
          <w:b/>
          <w:spacing w:val="40"/>
          <w:sz w:val="24"/>
        </w:rPr>
        <w:t> </w:t>
      </w:r>
      <w:r>
        <w:rPr>
          <w:b/>
          <w:sz w:val="24"/>
        </w:rPr>
        <w:t>Fieldwork, 2008</w:t>
      </w:r>
    </w:p>
    <w:p>
      <w:pPr>
        <w:pStyle w:val="BodyText"/>
        <w:spacing w:before="144"/>
        <w:ind w:left="0"/>
        <w:rPr>
          <w:b/>
          <w:sz w:val="20"/>
        </w:rPr>
      </w:pPr>
      <w:r>
        <w:rPr/>
        <w:drawing>
          <wp:anchor distT="0" distB="0" distL="0" distR="0" allowOverlap="1" layoutInCell="1" locked="0" behindDoc="1" simplePos="0" relativeHeight="487670272">
            <wp:simplePos x="0" y="0"/>
            <wp:positionH relativeFrom="page">
              <wp:posOffset>1370964</wp:posOffset>
            </wp:positionH>
            <wp:positionV relativeFrom="paragraph">
              <wp:posOffset>253028</wp:posOffset>
            </wp:positionV>
            <wp:extent cx="4402736" cy="2937891"/>
            <wp:effectExtent l="0" t="0" r="0" b="0"/>
            <wp:wrapTopAndBottom/>
            <wp:docPr id="240" name="Image 240"/>
            <wp:cNvGraphicFramePr>
              <a:graphicFrameLocks/>
            </wp:cNvGraphicFramePr>
            <a:graphic>
              <a:graphicData uri="http://schemas.openxmlformats.org/drawingml/2006/picture">
                <pic:pic>
                  <pic:nvPicPr>
                    <pic:cNvPr id="240" name="Image 240"/>
                    <pic:cNvPicPr/>
                  </pic:nvPicPr>
                  <pic:blipFill>
                    <a:blip r:embed="rId63" cstate="print"/>
                    <a:stretch>
                      <a:fillRect/>
                    </a:stretch>
                  </pic:blipFill>
                  <pic:spPr>
                    <a:xfrm>
                      <a:off x="0" y="0"/>
                      <a:ext cx="4402736" cy="2937891"/>
                    </a:xfrm>
                    <a:prstGeom prst="rect">
                      <a:avLst/>
                    </a:prstGeom>
                  </pic:spPr>
                </pic:pic>
              </a:graphicData>
            </a:graphic>
          </wp:anchor>
        </w:drawing>
      </w:r>
    </w:p>
    <w:p>
      <w:pPr>
        <w:spacing w:line="242" w:lineRule="auto" w:before="224"/>
        <w:ind w:left="1440" w:right="1260" w:firstLine="0"/>
        <w:jc w:val="left"/>
        <w:rPr>
          <w:b/>
          <w:sz w:val="24"/>
        </w:rPr>
      </w:pPr>
      <w:r>
        <w:rPr>
          <w:b/>
          <w:sz w:val="24"/>
        </w:rPr>
        <w:t>Plate</w:t>
      </w:r>
      <w:r>
        <w:rPr>
          <w:b/>
          <w:spacing w:val="-5"/>
          <w:sz w:val="24"/>
        </w:rPr>
        <w:t> </w:t>
      </w:r>
      <w:r>
        <w:rPr>
          <w:b/>
          <w:sz w:val="24"/>
        </w:rPr>
        <w:t>39:</w:t>
      </w:r>
      <w:r>
        <w:rPr>
          <w:b/>
          <w:spacing w:val="-4"/>
          <w:sz w:val="24"/>
        </w:rPr>
        <w:t> </w:t>
      </w:r>
      <w:r>
        <w:rPr>
          <w:b/>
          <w:sz w:val="24"/>
        </w:rPr>
        <w:t>Interview</w:t>
      </w:r>
      <w:r>
        <w:rPr>
          <w:b/>
          <w:spacing w:val="-3"/>
          <w:sz w:val="24"/>
        </w:rPr>
        <w:t> </w:t>
      </w:r>
      <w:r>
        <w:rPr>
          <w:b/>
          <w:sz w:val="24"/>
        </w:rPr>
        <w:t>with</w:t>
      </w:r>
      <w:r>
        <w:rPr>
          <w:b/>
          <w:spacing w:val="-4"/>
          <w:sz w:val="24"/>
        </w:rPr>
        <w:t> </w:t>
      </w:r>
      <w:r>
        <w:rPr>
          <w:b/>
          <w:sz w:val="24"/>
        </w:rPr>
        <w:t>CSP</w:t>
      </w:r>
      <w:r>
        <w:rPr>
          <w:b/>
          <w:spacing w:val="-6"/>
          <w:sz w:val="24"/>
        </w:rPr>
        <w:t> </w:t>
      </w:r>
      <w:r>
        <w:rPr>
          <w:b/>
          <w:sz w:val="24"/>
        </w:rPr>
        <w:t>Ahmed</w:t>
      </w:r>
      <w:r>
        <w:rPr>
          <w:b/>
          <w:spacing w:val="-4"/>
          <w:sz w:val="24"/>
        </w:rPr>
        <w:t> </w:t>
      </w:r>
      <w:r>
        <w:rPr>
          <w:b/>
          <w:sz w:val="24"/>
        </w:rPr>
        <w:t>Magaji</w:t>
      </w:r>
      <w:r>
        <w:rPr>
          <w:b/>
          <w:spacing w:val="-4"/>
          <w:sz w:val="24"/>
        </w:rPr>
        <w:t> </w:t>
      </w:r>
      <w:r>
        <w:rPr>
          <w:b/>
          <w:sz w:val="24"/>
        </w:rPr>
        <w:t>JTF</w:t>
      </w:r>
      <w:r>
        <w:rPr>
          <w:b/>
          <w:spacing w:val="-6"/>
          <w:sz w:val="24"/>
        </w:rPr>
        <w:t> </w:t>
      </w:r>
      <w:r>
        <w:rPr>
          <w:b/>
          <w:sz w:val="24"/>
        </w:rPr>
        <w:t>NPF</w:t>
      </w:r>
      <w:r>
        <w:rPr>
          <w:b/>
          <w:spacing w:val="-6"/>
          <w:sz w:val="24"/>
        </w:rPr>
        <w:t> </w:t>
      </w:r>
      <w:r>
        <w:rPr>
          <w:b/>
          <w:sz w:val="24"/>
        </w:rPr>
        <w:t>Task</w:t>
      </w:r>
      <w:r>
        <w:rPr>
          <w:b/>
          <w:spacing w:val="-4"/>
          <w:sz w:val="24"/>
        </w:rPr>
        <w:t> </w:t>
      </w:r>
      <w:r>
        <w:rPr>
          <w:b/>
          <w:sz w:val="24"/>
        </w:rPr>
        <w:t>Group</w:t>
      </w:r>
      <w:r>
        <w:rPr>
          <w:b/>
          <w:spacing w:val="-3"/>
          <w:sz w:val="24"/>
        </w:rPr>
        <w:t> </w:t>
      </w:r>
      <w:r>
        <w:rPr>
          <w:b/>
          <w:sz w:val="24"/>
        </w:rPr>
        <w:t>Commander Source:Researcher’s Fieldwork,2009</w:t>
      </w:r>
    </w:p>
    <w:p>
      <w:pPr>
        <w:spacing w:after="0" w:line="242" w:lineRule="auto"/>
        <w:jc w:val="left"/>
        <w:rPr>
          <w:sz w:val="24"/>
        </w:rPr>
        <w:sectPr>
          <w:pgSz w:w="11910" w:h="16840"/>
          <w:pgMar w:header="0" w:footer="1561" w:top="1440" w:bottom="1760" w:left="720" w:right="180"/>
        </w:sectPr>
      </w:pPr>
    </w:p>
    <w:p>
      <w:pPr>
        <w:pStyle w:val="ListParagraph"/>
        <w:numPr>
          <w:ilvl w:val="3"/>
          <w:numId w:val="17"/>
        </w:numPr>
        <w:tabs>
          <w:tab w:pos="2160" w:val="left" w:leader="none"/>
        </w:tabs>
        <w:spacing w:line="240" w:lineRule="auto" w:before="65" w:after="0"/>
        <w:ind w:left="2160" w:right="0" w:hanging="720"/>
        <w:jc w:val="left"/>
        <w:rPr>
          <w:b/>
          <w:sz w:val="24"/>
        </w:rPr>
      </w:pPr>
      <w:r>
        <w:rPr/>
        <mc:AlternateContent>
          <mc:Choice Requires="wps">
            <w:drawing>
              <wp:anchor distT="0" distB="0" distL="0" distR="0" allowOverlap="1" layoutInCell="1" locked="0" behindDoc="1" simplePos="0" relativeHeight="480642048">
                <wp:simplePos x="0" y="0"/>
                <wp:positionH relativeFrom="page">
                  <wp:posOffset>-1537026</wp:posOffset>
                </wp:positionH>
                <wp:positionV relativeFrom="page">
                  <wp:posOffset>4900424</wp:posOffset>
                </wp:positionV>
                <wp:extent cx="10669905" cy="914400"/>
                <wp:effectExtent l="0" t="0" r="0" b="0"/>
                <wp:wrapNone/>
                <wp:docPr id="241" name="Textbox 241"/>
                <wp:cNvGraphicFramePr>
                  <a:graphicFrameLocks/>
                </wp:cNvGraphicFramePr>
                <a:graphic>
                  <a:graphicData uri="http://schemas.microsoft.com/office/word/2010/wordprocessingShape">
                    <wps:wsp>
                      <wps:cNvPr id="241" name="Textbox 241"/>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74432;rotation:306" type="#_x0000_t136" fillcolor="#ff5400" stroked="f">
                <o:extrusion v:ext="view" autorotationcenter="t"/>
                <v:textpath style="font-family:&quot;Arial MT&quot;;font-size:72pt;v-text-kern:t;mso-text-shadow:auto" string="UNIVERSITY OF IBADAN"/>
                <w10:wrap type="none"/>
              </v:shape>
            </w:pict>
          </mc:Fallback>
        </mc:AlternateContent>
      </w:r>
      <w:r>
        <w:rPr>
          <w:b/>
          <w:sz w:val="24"/>
        </w:rPr>
        <w:t>Assessments</w:t>
      </w:r>
      <w:r>
        <w:rPr>
          <w:b/>
          <w:spacing w:val="-2"/>
          <w:sz w:val="24"/>
        </w:rPr>
        <w:t> </w:t>
      </w:r>
      <w:r>
        <w:rPr>
          <w:b/>
          <w:sz w:val="24"/>
        </w:rPr>
        <w:t>of</w:t>
      </w:r>
      <w:r>
        <w:rPr>
          <w:b/>
          <w:spacing w:val="-1"/>
          <w:sz w:val="24"/>
        </w:rPr>
        <w:t> </w:t>
      </w:r>
      <w:r>
        <w:rPr>
          <w:b/>
          <w:sz w:val="24"/>
        </w:rPr>
        <w:t>JTF</w:t>
      </w:r>
      <w:r>
        <w:rPr>
          <w:b/>
          <w:spacing w:val="-3"/>
          <w:sz w:val="24"/>
        </w:rPr>
        <w:t> </w:t>
      </w:r>
      <w:r>
        <w:rPr>
          <w:b/>
          <w:sz w:val="24"/>
        </w:rPr>
        <w:t>Operation</w:t>
      </w:r>
      <w:r>
        <w:rPr>
          <w:b/>
          <w:spacing w:val="1"/>
          <w:sz w:val="24"/>
        </w:rPr>
        <w:t> </w:t>
      </w:r>
      <w:r>
        <w:rPr>
          <w:b/>
          <w:sz w:val="24"/>
        </w:rPr>
        <w:t>RESTORE</w:t>
      </w:r>
      <w:r>
        <w:rPr>
          <w:b/>
          <w:spacing w:val="-1"/>
          <w:sz w:val="24"/>
        </w:rPr>
        <w:t> </w:t>
      </w:r>
      <w:r>
        <w:rPr>
          <w:b/>
          <w:spacing w:val="-4"/>
          <w:sz w:val="24"/>
        </w:rPr>
        <w:t>HOPE</w:t>
      </w:r>
    </w:p>
    <w:p>
      <w:pPr>
        <w:pStyle w:val="BodyText"/>
        <w:spacing w:line="360" w:lineRule="auto" w:before="133"/>
        <w:ind w:right="1260" w:firstLine="720"/>
        <w:jc w:val="both"/>
      </w:pPr>
      <w:r>
        <w:rPr/>
        <w:t>Operation RESTORE HOPE will be assessed using the parameters of JTF concept of operations, operational readiness, mandate, Rule of Engagement (ROE), scope of tasks and achievements.</w:t>
      </w:r>
      <w:r>
        <w:rPr>
          <w:spacing w:val="40"/>
        </w:rPr>
        <w:t> </w:t>
      </w:r>
      <w:r>
        <w:rPr/>
        <w:t>This is done in succeeding paragraphs. First, Operation RESTORE HOPE is hereby being assessed for a better understanding of</w:t>
      </w:r>
      <w:r>
        <w:rPr>
          <w:spacing w:val="40"/>
        </w:rPr>
        <w:t> </w:t>
      </w:r>
      <w:r>
        <w:rPr/>
        <w:t>the general conduct of the JTF</w:t>
      </w:r>
      <w:r>
        <w:rPr>
          <w:spacing w:val="-1"/>
        </w:rPr>
        <w:t> </w:t>
      </w:r>
      <w:r>
        <w:rPr/>
        <w:t>operations in the Niger Delta. There is thus</w:t>
      </w:r>
      <w:r>
        <w:rPr>
          <w:spacing w:val="-1"/>
        </w:rPr>
        <w:t> </w:t>
      </w:r>
      <w:r>
        <w:rPr/>
        <w:t>the need to highlight the existing threat within the</w:t>
      </w:r>
      <w:r>
        <w:rPr>
          <w:spacing w:val="40"/>
        </w:rPr>
        <w:t> </w:t>
      </w:r>
      <w:r>
        <w:rPr/>
        <w:t>Task</w:t>
      </w:r>
      <w:r>
        <w:rPr>
          <w:spacing w:val="40"/>
        </w:rPr>
        <w:t> </w:t>
      </w:r>
      <w:r>
        <w:rPr/>
        <w:t>Force</w:t>
      </w:r>
      <w:r>
        <w:rPr>
          <w:spacing w:val="40"/>
        </w:rPr>
        <w:t> </w:t>
      </w:r>
      <w:r>
        <w:rPr/>
        <w:t>Area of</w:t>
      </w:r>
      <w:r>
        <w:rPr>
          <w:spacing w:val="40"/>
        </w:rPr>
        <w:t> </w:t>
      </w:r>
      <w:r>
        <w:rPr/>
        <w:t>Responsibility (AOR). The JTF concept of operations will also be discussed in the subsequent paragraphs.</w:t>
      </w:r>
    </w:p>
    <w:p>
      <w:pPr>
        <w:pStyle w:val="BodyText"/>
        <w:spacing w:line="360" w:lineRule="auto" w:before="1"/>
        <w:ind w:right="1260" w:firstLine="720"/>
        <w:jc w:val="both"/>
      </w:pPr>
      <w:r>
        <w:rPr/>
        <w:drawing>
          <wp:anchor distT="0" distB="0" distL="0" distR="0" allowOverlap="1" layoutInCell="1" locked="0" behindDoc="0" simplePos="0" relativeHeight="15813120">
            <wp:simplePos x="0" y="0"/>
            <wp:positionH relativeFrom="page">
              <wp:posOffset>1390650</wp:posOffset>
            </wp:positionH>
            <wp:positionV relativeFrom="paragraph">
              <wp:posOffset>2633135</wp:posOffset>
            </wp:positionV>
            <wp:extent cx="5981700" cy="2971292"/>
            <wp:effectExtent l="0" t="0" r="0" b="0"/>
            <wp:wrapNone/>
            <wp:docPr id="242" name="Image 242" descr="18BE4EC7"/>
            <wp:cNvGraphicFramePr>
              <a:graphicFrameLocks/>
            </wp:cNvGraphicFramePr>
            <a:graphic>
              <a:graphicData uri="http://schemas.openxmlformats.org/drawingml/2006/picture">
                <pic:pic>
                  <pic:nvPicPr>
                    <pic:cNvPr id="242" name="Image 242" descr="18BE4EC7"/>
                    <pic:cNvPicPr/>
                  </pic:nvPicPr>
                  <pic:blipFill>
                    <a:blip r:embed="rId64" cstate="print"/>
                    <a:stretch>
                      <a:fillRect/>
                    </a:stretch>
                  </pic:blipFill>
                  <pic:spPr>
                    <a:xfrm>
                      <a:off x="0" y="0"/>
                      <a:ext cx="5981700" cy="2971292"/>
                    </a:xfrm>
                    <a:prstGeom prst="rect">
                      <a:avLst/>
                    </a:prstGeom>
                  </pic:spPr>
                </pic:pic>
              </a:graphicData>
            </a:graphic>
          </wp:anchor>
        </w:drawing>
      </w:r>
      <w:r>
        <w:rPr/>
        <w:t>The existing threat involves armed militants that have good knowledge of the terrain aside from being equipped with sophisticated weapons and communication gadgets.</w:t>
      </w:r>
      <w:r>
        <w:rPr>
          <w:spacing w:val="40"/>
        </w:rPr>
        <w:t> </w:t>
      </w:r>
      <w:r>
        <w:rPr/>
        <w:t>The activities</w:t>
      </w:r>
      <w:r>
        <w:rPr>
          <w:spacing w:val="-1"/>
        </w:rPr>
        <w:t> </w:t>
      </w:r>
      <w:r>
        <w:rPr/>
        <w:t>of</w:t>
      </w:r>
      <w:r>
        <w:rPr>
          <w:spacing w:val="-1"/>
        </w:rPr>
        <w:t> </w:t>
      </w:r>
      <w:r>
        <w:rPr/>
        <w:t>these militants have</w:t>
      </w:r>
      <w:r>
        <w:rPr>
          <w:spacing w:val="-1"/>
        </w:rPr>
        <w:t> </w:t>
      </w:r>
      <w:r>
        <w:rPr/>
        <w:t>increased the</w:t>
      </w:r>
      <w:r>
        <w:rPr>
          <w:spacing w:val="-1"/>
        </w:rPr>
        <w:t> </w:t>
      </w:r>
      <w:r>
        <w:rPr/>
        <w:t>proliferation of</w:t>
      </w:r>
      <w:r>
        <w:rPr>
          <w:spacing w:val="-1"/>
        </w:rPr>
        <w:t> </w:t>
      </w:r>
      <w:r>
        <w:rPr/>
        <w:t>SALW in the Niger Delta, thereby aiding the sustenance of violence in the region.</w:t>
      </w:r>
      <w:r>
        <w:rPr>
          <w:spacing w:val="40"/>
        </w:rPr>
        <w:t> </w:t>
      </w:r>
      <w:r>
        <w:rPr/>
        <w:t>They have also attracted international attention with the intent of internationalizing the conflict. In addition, they were reported to have been involved in illegal oil bunkering, sabotage, sea piracy and other criminal activities. The Technical Committee Report</w:t>
      </w:r>
      <w:r>
        <w:rPr>
          <w:spacing w:val="40"/>
        </w:rPr>
        <w:t> </w:t>
      </w:r>
      <w:r>
        <w:rPr/>
        <w:t>on the Niger Delta revealed that, the estimated loss to illegal oil bunkering is 700,000 barrels of daily production.</w: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270"/>
        <w:ind w:left="0"/>
      </w:pPr>
    </w:p>
    <w:p>
      <w:pPr>
        <w:pStyle w:val="Heading2"/>
        <w:spacing w:line="360" w:lineRule="auto"/>
        <w:ind w:right="1260"/>
      </w:pPr>
      <w:r>
        <w:rPr/>
        <w:t>Plate</w:t>
      </w:r>
      <w:r>
        <w:rPr>
          <w:spacing w:val="-5"/>
        </w:rPr>
        <w:t> </w:t>
      </w:r>
      <w:r>
        <w:rPr/>
        <w:t>40:</w:t>
      </w:r>
      <w:r>
        <w:rPr>
          <w:spacing w:val="-5"/>
        </w:rPr>
        <w:t> </w:t>
      </w:r>
      <w:r>
        <w:rPr/>
        <w:t>Illegal</w:t>
      </w:r>
      <w:r>
        <w:rPr>
          <w:spacing w:val="-4"/>
        </w:rPr>
        <w:t> </w:t>
      </w:r>
      <w:r>
        <w:rPr/>
        <w:t>Oil</w:t>
      </w:r>
      <w:r>
        <w:rPr>
          <w:spacing w:val="-4"/>
        </w:rPr>
        <w:t> </w:t>
      </w:r>
      <w:r>
        <w:rPr/>
        <w:t>Bunkering</w:t>
      </w:r>
      <w:r>
        <w:rPr>
          <w:spacing w:val="-4"/>
        </w:rPr>
        <w:t> </w:t>
      </w:r>
      <w:r>
        <w:rPr/>
        <w:t>(Seized</w:t>
      </w:r>
      <w:r>
        <w:rPr>
          <w:spacing w:val="-4"/>
        </w:rPr>
        <w:t> </w:t>
      </w:r>
      <w:r>
        <w:rPr/>
        <w:t>Boats</w:t>
      </w:r>
      <w:r>
        <w:rPr>
          <w:spacing w:val="-4"/>
        </w:rPr>
        <w:t> </w:t>
      </w:r>
      <w:r>
        <w:rPr/>
        <w:t>Loaded</w:t>
      </w:r>
      <w:r>
        <w:rPr>
          <w:spacing w:val="-4"/>
        </w:rPr>
        <w:t> </w:t>
      </w:r>
      <w:r>
        <w:rPr/>
        <w:t>with</w:t>
      </w:r>
      <w:r>
        <w:rPr>
          <w:spacing w:val="-4"/>
        </w:rPr>
        <w:t> </w:t>
      </w:r>
      <w:r>
        <w:rPr/>
        <w:t>Crude</w:t>
      </w:r>
      <w:r>
        <w:rPr>
          <w:spacing w:val="-5"/>
        </w:rPr>
        <w:t> </w:t>
      </w:r>
      <w:r>
        <w:rPr/>
        <w:t>Oil</w:t>
      </w:r>
      <w:r>
        <w:rPr>
          <w:spacing w:val="-4"/>
        </w:rPr>
        <w:t> </w:t>
      </w:r>
      <w:r>
        <w:rPr/>
        <w:t>Products) Source: Researcher’s Fieldwork,2010</w:t>
      </w:r>
    </w:p>
    <w:p>
      <w:pPr>
        <w:spacing w:after="0" w:line="360" w:lineRule="auto"/>
        <w:sectPr>
          <w:pgSz w:w="11910" w:h="16840"/>
          <w:pgMar w:header="0" w:footer="1561" w:top="1360" w:bottom="1760" w:left="720" w:right="180"/>
        </w:sectPr>
      </w:pPr>
    </w:p>
    <w:p>
      <w:pPr>
        <w:pStyle w:val="BodyText"/>
        <w:spacing w:line="360" w:lineRule="auto" w:before="60"/>
        <w:ind w:right="1258" w:firstLine="600"/>
        <w:jc w:val="both"/>
      </w:pPr>
      <w:r>
        <w:rPr/>
        <mc:AlternateContent>
          <mc:Choice Requires="wps">
            <w:drawing>
              <wp:anchor distT="0" distB="0" distL="0" distR="0" allowOverlap="1" layoutInCell="1" locked="0" behindDoc="1" simplePos="0" relativeHeight="480643072">
                <wp:simplePos x="0" y="0"/>
                <wp:positionH relativeFrom="page">
                  <wp:posOffset>-1537026</wp:posOffset>
                </wp:positionH>
                <wp:positionV relativeFrom="page">
                  <wp:posOffset>4900424</wp:posOffset>
                </wp:positionV>
                <wp:extent cx="10669905" cy="914400"/>
                <wp:effectExtent l="0" t="0" r="0" b="0"/>
                <wp:wrapNone/>
                <wp:docPr id="243" name="Textbox 243"/>
                <wp:cNvGraphicFramePr>
                  <a:graphicFrameLocks/>
                </wp:cNvGraphicFramePr>
                <a:graphic>
                  <a:graphicData uri="http://schemas.microsoft.com/office/word/2010/wordprocessingShape">
                    <wps:wsp>
                      <wps:cNvPr id="243" name="Textbox 243"/>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73408;rotation:306" type="#_x0000_t136" fillcolor="#ff5400" stroked="f">
                <o:extrusion v:ext="view" autorotationcenter="t"/>
                <v:textpath style="font-family:&quot;Arial MT&quot;;font-size:72pt;v-text-kern:t;mso-text-shadow:auto" string="UNIVERSITY OF IBADAN"/>
                <w10:wrap type="none"/>
              </v:shape>
            </w:pict>
          </mc:Fallback>
        </mc:AlternateContent>
      </w:r>
      <w:r>
        <w:rPr/>
        <w:t>Therefore, the trend in the Niger Delta has remained militancy and criminality over the years.</w:t>
      </w:r>
      <w:r>
        <w:rPr>
          <w:spacing w:val="40"/>
        </w:rPr>
        <w:t> </w:t>
      </w:r>
      <w:r>
        <w:rPr/>
        <w:t>At present, operation RESTORE HOPE is not adequately trained and equipped to deal with these threats in the Niger Delta. Aside, the Federal Government lacks the political will to resolve the Niger Delta conflict.</w:t>
      </w:r>
    </w:p>
    <w:p>
      <w:pPr>
        <w:pStyle w:val="BodyText"/>
        <w:spacing w:line="360" w:lineRule="auto" w:before="1"/>
        <w:ind w:right="1255" w:firstLine="720"/>
        <w:jc w:val="both"/>
      </w:pPr>
      <w:r>
        <w:rPr/>
        <w:t>The</w:t>
      </w:r>
      <w:r>
        <w:rPr>
          <w:spacing w:val="-2"/>
        </w:rPr>
        <w:t> </w:t>
      </w:r>
      <w:r>
        <w:rPr/>
        <w:t>concept of</w:t>
      </w:r>
      <w:r>
        <w:rPr>
          <w:spacing w:val="-1"/>
        </w:rPr>
        <w:t> </w:t>
      </w:r>
      <w:r>
        <w:rPr/>
        <w:t>operations of</w:t>
      </w:r>
      <w:r>
        <w:rPr>
          <w:spacing w:val="-1"/>
        </w:rPr>
        <w:t> </w:t>
      </w:r>
      <w:r>
        <w:rPr/>
        <w:t>the JTF</w:t>
      </w:r>
      <w:r>
        <w:rPr>
          <w:spacing w:val="-2"/>
        </w:rPr>
        <w:t> </w:t>
      </w:r>
      <w:r>
        <w:rPr/>
        <w:t>operation RESTORE</w:t>
      </w:r>
      <w:r>
        <w:rPr>
          <w:spacing w:val="-1"/>
        </w:rPr>
        <w:t> </w:t>
      </w:r>
      <w:r>
        <w:rPr/>
        <w:t>HOPE</w:t>
      </w:r>
      <w:r>
        <w:rPr>
          <w:spacing w:val="-1"/>
        </w:rPr>
        <w:t> </w:t>
      </w:r>
      <w:r>
        <w:rPr/>
        <w:t>involves the use of dialogue to resolve issues.</w:t>
      </w:r>
      <w:r>
        <w:rPr>
          <w:spacing w:val="40"/>
        </w:rPr>
        <w:t> </w:t>
      </w:r>
      <w:r>
        <w:rPr/>
        <w:t>Occasionally, the use of force against militant attacks and destruction of militant camps become necessary.</w:t>
      </w:r>
      <w:r>
        <w:rPr>
          <w:spacing w:val="40"/>
        </w:rPr>
        <w:t> </w:t>
      </w:r>
      <w:r>
        <w:rPr/>
        <w:t>The JTF employs the Army, Naval and NPF Task groups to secure strategic areas.</w:t>
      </w:r>
      <w:r>
        <w:rPr>
          <w:spacing w:val="40"/>
        </w:rPr>
        <w:t> </w:t>
      </w:r>
      <w:r>
        <w:rPr/>
        <w:t>They are deployed primarily in static roles to guard oil facilities and multinational oil companies, on- shore and off-shore.</w:t>
      </w:r>
      <w:r>
        <w:rPr>
          <w:spacing w:val="40"/>
        </w:rPr>
        <w:t> </w:t>
      </w:r>
      <w:r>
        <w:rPr/>
        <w:t>Hence, the concept of operation which revolves mainly around dialogue and the principles of MOOTW operations are in line with universal</w:t>
      </w:r>
      <w:r>
        <w:rPr>
          <w:spacing w:val="40"/>
        </w:rPr>
        <w:t> </w:t>
      </w:r>
      <w:r>
        <w:rPr/>
        <w:t>practices.</w:t>
      </w:r>
      <w:r>
        <w:rPr>
          <w:spacing w:val="40"/>
        </w:rPr>
        <w:t> </w:t>
      </w:r>
      <w:r>
        <w:rPr/>
        <w:t>This concept must have been thought out to reflect the JTFs rather rigid ROE mandate and tasks as well as the need to minimize collateral damages that may have occurred during military operations. Thus prolonging the end to the conflict.</w:t>
      </w:r>
    </w:p>
    <w:p>
      <w:pPr>
        <w:pStyle w:val="BodyText"/>
        <w:spacing w:line="360" w:lineRule="auto" w:before="1"/>
        <w:ind w:right="1255" w:firstLine="720"/>
        <w:jc w:val="both"/>
      </w:pPr>
      <w:r>
        <w:rPr/>
        <w:t>The contingency plan for the operation prepared by Defence Headquarters (DHQ) demonstrated visionary leadership.</w:t>
      </w:r>
      <w:r>
        <w:rPr>
          <w:spacing w:val="80"/>
        </w:rPr>
        <w:t> </w:t>
      </w:r>
      <w:r>
        <w:rPr/>
        <w:t>Based on the Force composition, there was evidence of detailed threat analysis.</w:t>
      </w:r>
      <w:r>
        <w:rPr>
          <w:spacing w:val="40"/>
        </w:rPr>
        <w:t> </w:t>
      </w:r>
      <w:r>
        <w:rPr/>
        <w:t>The plan, therefore, aimed at achieving effective entry strategy, though it contained nothing on exit strategy, but it was explicitly</w:t>
      </w:r>
      <w:r>
        <w:rPr>
          <w:spacing w:val="-2"/>
        </w:rPr>
        <w:t> </w:t>
      </w:r>
      <w:r>
        <w:rPr/>
        <w:t>stated that the JTF operation would last for 90 days.</w:t>
      </w:r>
      <w:r>
        <w:rPr>
          <w:spacing w:val="40"/>
        </w:rPr>
        <w:t> </w:t>
      </w:r>
      <w:r>
        <w:rPr/>
        <w:t>Nonetheless, the three military Services did not comply with the directive on force generation.</w:t>
      </w:r>
      <w:r>
        <w:rPr>
          <w:spacing w:val="40"/>
        </w:rPr>
        <w:t> </w:t>
      </w:r>
      <w:r>
        <w:rPr/>
        <w:t>That is, the Services weakened the entry strategy by not providing the required troops and equipment that resulted into a poor start at the inception of the operation. According</w:t>
      </w:r>
      <w:r>
        <w:rPr>
          <w:spacing w:val="40"/>
        </w:rPr>
        <w:t> </w:t>
      </w:r>
      <w:r>
        <w:rPr/>
        <w:t>to information gathered during interview with field commanders, "as at December 2008, only the Nigerian Army came close to providing the troops and equipment as tasked in the contingency plan of 2003".</w:t>
      </w:r>
      <w:r>
        <w:rPr>
          <w:spacing w:val="80"/>
        </w:rPr>
        <w:t> </w:t>
      </w:r>
      <w:r>
        <w:rPr/>
        <w:t>This accounted for the weak start at the onset of the operation, which was responsible for its inability to dominate the entire Niger Delta as planned.</w:t>
      </w:r>
      <w:r>
        <w:rPr>
          <w:spacing w:val="40"/>
        </w:rPr>
        <w:t> </w:t>
      </w:r>
      <w:r>
        <w:rPr/>
        <w:t>In essence, failure to comply as tasked by the contingency plan impacted negatively on the military Joint Task Force operation.</w:t>
      </w:r>
    </w:p>
    <w:p>
      <w:pPr>
        <w:pStyle w:val="BodyText"/>
        <w:spacing w:line="360" w:lineRule="auto" w:before="1"/>
        <w:ind w:right="1262" w:firstLine="720"/>
        <w:jc w:val="both"/>
      </w:pPr>
      <w:r>
        <w:rPr/>
        <w:t>Operational readiness:</w:t>
      </w:r>
      <w:r>
        <w:rPr>
          <w:spacing w:val="40"/>
        </w:rPr>
        <w:t> </w:t>
      </w:r>
      <w:r>
        <w:rPr/>
        <w:t>This is a function of units' preparedness for mission or operation in terms of having adequate Table of Organization and Equipment (TOE), maintenance capability, trained personnel, training and troops' welfare.</w:t>
      </w:r>
      <w:r>
        <w:rPr>
          <w:spacing w:val="40"/>
        </w:rPr>
        <w:t> </w:t>
      </w:r>
      <w:r>
        <w:rPr/>
        <w:t>These parameters will be examined holistically.</w:t>
      </w:r>
    </w:p>
    <w:p>
      <w:pPr>
        <w:pStyle w:val="BodyText"/>
        <w:ind w:left="2160"/>
        <w:jc w:val="both"/>
      </w:pPr>
      <w:r>
        <w:rPr/>
        <w:t>Table</w:t>
      </w:r>
      <w:r>
        <w:rPr>
          <w:spacing w:val="-1"/>
        </w:rPr>
        <w:t> </w:t>
      </w:r>
      <w:r>
        <w:rPr/>
        <w:t>of</w:t>
      </w:r>
      <w:r>
        <w:rPr>
          <w:spacing w:val="1"/>
        </w:rPr>
        <w:t> </w:t>
      </w:r>
      <w:r>
        <w:rPr/>
        <w:t>Organization</w:t>
      </w:r>
      <w:r>
        <w:rPr>
          <w:spacing w:val="2"/>
        </w:rPr>
        <w:t> </w:t>
      </w:r>
      <w:r>
        <w:rPr/>
        <w:t>and</w:t>
      </w:r>
      <w:r>
        <w:rPr>
          <w:spacing w:val="2"/>
        </w:rPr>
        <w:t> </w:t>
      </w:r>
      <w:r>
        <w:rPr/>
        <w:t>Equipment:</w:t>
      </w:r>
      <w:r>
        <w:rPr>
          <w:spacing w:val="3"/>
        </w:rPr>
        <w:t> </w:t>
      </w:r>
      <w:r>
        <w:rPr/>
        <w:t>In</w:t>
      </w:r>
      <w:r>
        <w:rPr>
          <w:spacing w:val="2"/>
        </w:rPr>
        <w:t> </w:t>
      </w:r>
      <w:r>
        <w:rPr/>
        <w:t>terms</w:t>
      </w:r>
      <w:r>
        <w:rPr>
          <w:spacing w:val="3"/>
        </w:rPr>
        <w:t> </w:t>
      </w:r>
      <w:r>
        <w:rPr/>
        <w:t>of</w:t>
      </w:r>
      <w:r>
        <w:rPr>
          <w:spacing w:val="4"/>
        </w:rPr>
        <w:t> </w:t>
      </w:r>
      <w:r>
        <w:rPr/>
        <w:t>TOE,</w:t>
      </w:r>
      <w:r>
        <w:rPr>
          <w:spacing w:val="2"/>
        </w:rPr>
        <w:t> </w:t>
      </w:r>
      <w:r>
        <w:rPr/>
        <w:t>Operation</w:t>
      </w:r>
      <w:r>
        <w:rPr>
          <w:spacing w:val="2"/>
        </w:rPr>
        <w:t> </w:t>
      </w:r>
      <w:r>
        <w:rPr>
          <w:spacing w:val="-2"/>
        </w:rPr>
        <w:t>RESTORE</w:t>
      </w:r>
    </w:p>
    <w:p>
      <w:pPr>
        <w:spacing w:after="0"/>
        <w:jc w:val="both"/>
        <w:sectPr>
          <w:pgSz w:w="11910" w:h="16840"/>
          <w:pgMar w:header="0" w:footer="1561" w:top="1360" w:bottom="1760" w:left="720" w:right="180"/>
        </w:sectPr>
      </w:pPr>
    </w:p>
    <w:p>
      <w:pPr>
        <w:pStyle w:val="BodyText"/>
        <w:spacing w:line="360" w:lineRule="auto" w:before="60"/>
        <w:ind w:right="1253"/>
        <w:jc w:val="both"/>
      </w:pPr>
      <w:r>
        <w:rPr/>
        <mc:AlternateContent>
          <mc:Choice Requires="wps">
            <w:drawing>
              <wp:anchor distT="0" distB="0" distL="0" distR="0" allowOverlap="1" layoutInCell="1" locked="0" behindDoc="1" simplePos="0" relativeHeight="480643584">
                <wp:simplePos x="0" y="0"/>
                <wp:positionH relativeFrom="page">
                  <wp:posOffset>-1537026</wp:posOffset>
                </wp:positionH>
                <wp:positionV relativeFrom="page">
                  <wp:posOffset>4900424</wp:posOffset>
                </wp:positionV>
                <wp:extent cx="10669905" cy="914400"/>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72896;rotation:306" type="#_x0000_t136" fillcolor="#ff5400" stroked="f">
                <o:extrusion v:ext="view" autorotationcenter="t"/>
                <v:textpath style="font-family:&quot;Arial MT&quot;;font-size:72pt;v-text-kern:t;mso-text-shadow:auto" string="UNIVERSITY OF IBADAN"/>
                <w10:wrap type="none"/>
              </v:shape>
            </w:pict>
          </mc:Fallback>
        </mc:AlternateContent>
      </w:r>
      <w:r>
        <w:rPr/>
        <w:t>HOPE</w:t>
      </w:r>
      <w:r>
        <w:rPr>
          <w:spacing w:val="-2"/>
        </w:rPr>
        <w:t> </w:t>
      </w:r>
      <w:r>
        <w:rPr/>
        <w:t>is</w:t>
      </w:r>
      <w:r>
        <w:rPr>
          <w:spacing w:val="-2"/>
        </w:rPr>
        <w:t> </w:t>
      </w:r>
      <w:r>
        <w:rPr/>
        <w:t>not</w:t>
      </w:r>
      <w:r>
        <w:rPr>
          <w:spacing w:val="-2"/>
        </w:rPr>
        <w:t> </w:t>
      </w:r>
      <w:r>
        <w:rPr/>
        <w:t>adequately</w:t>
      </w:r>
      <w:r>
        <w:rPr>
          <w:spacing w:val="-5"/>
        </w:rPr>
        <w:t> </w:t>
      </w:r>
      <w:r>
        <w:rPr/>
        <w:t>equipped</w:t>
      </w:r>
      <w:r>
        <w:rPr>
          <w:spacing w:val="-2"/>
        </w:rPr>
        <w:t> </w:t>
      </w:r>
      <w:r>
        <w:rPr/>
        <w:t>to</w:t>
      </w:r>
      <w:r>
        <w:rPr>
          <w:spacing w:val="-2"/>
        </w:rPr>
        <w:t> </w:t>
      </w:r>
      <w:r>
        <w:rPr/>
        <w:t>conduct effective</w:t>
      </w:r>
      <w:r>
        <w:rPr>
          <w:spacing w:val="-3"/>
        </w:rPr>
        <w:t> </w:t>
      </w:r>
      <w:r>
        <w:rPr/>
        <w:t>military</w:t>
      </w:r>
      <w:r>
        <w:rPr>
          <w:spacing w:val="-7"/>
        </w:rPr>
        <w:t> </w:t>
      </w:r>
      <w:r>
        <w:rPr/>
        <w:t>operations in</w:t>
      </w:r>
      <w:r>
        <w:rPr>
          <w:spacing w:val="-2"/>
        </w:rPr>
        <w:t> </w:t>
      </w:r>
      <w:r>
        <w:rPr/>
        <w:t>the</w:t>
      </w:r>
      <w:r>
        <w:rPr>
          <w:spacing w:val="-3"/>
        </w:rPr>
        <w:t> </w:t>
      </w:r>
      <w:r>
        <w:rPr/>
        <w:t>Niger Delta.</w:t>
      </w:r>
      <w:r>
        <w:rPr>
          <w:spacing w:val="80"/>
        </w:rPr>
        <w:t> </w:t>
      </w:r>
      <w:r>
        <w:rPr/>
        <w:t>For instance, NNS Delta which ought to have a posted</w:t>
      </w:r>
      <w:r>
        <w:rPr>
          <w:spacing w:val="80"/>
        </w:rPr>
        <w:t> </w:t>
      </w:r>
      <w:r>
        <w:rPr/>
        <w:t>strength of 875 all ranks is currently having 359 personnel. This falls short of over 50% of the required unit strength.</w:t>
      </w:r>
      <w:r>
        <w:rPr>
          <w:spacing w:val="40"/>
        </w:rPr>
        <w:t> </w:t>
      </w:r>
      <w:r>
        <w:rPr/>
        <w:t>Furthermore, an interview with the JTF</w:t>
      </w:r>
      <w:r>
        <w:rPr>
          <w:spacing w:val="-1"/>
        </w:rPr>
        <w:t> </w:t>
      </w:r>
      <w:r>
        <w:rPr/>
        <w:t>Commander Naval Task Group (NTG) revealed that the NTG ratings are equipped with FN rifles and lack assault rifles like AK-47, GPMG and grenades. Conversely, most militants were armed with AK-47 rifles, GPMG, BMG, RPG7, speed boats and anti-aircraft gun.</w:t>
      </w:r>
      <w:r>
        <w:rPr>
          <w:spacing w:val="40"/>
        </w:rPr>
        <w:t> </w:t>
      </w:r>
      <w:r>
        <w:rPr/>
        <w:t>This explains the high level of casualties being recorded whenever naval personnel come under attack.</w:t>
      </w:r>
      <w:r>
        <w:rPr>
          <w:spacing w:val="40"/>
        </w:rPr>
        <w:t> </w:t>
      </w:r>
      <w:r>
        <w:rPr/>
        <w:t>The</w:t>
      </w:r>
      <w:r>
        <w:rPr>
          <w:spacing w:val="-4"/>
        </w:rPr>
        <w:t> </w:t>
      </w:r>
      <w:r>
        <w:rPr/>
        <w:t>current</w:t>
      </w:r>
      <w:r>
        <w:rPr>
          <w:spacing w:val="-3"/>
        </w:rPr>
        <w:t> </w:t>
      </w:r>
      <w:r>
        <w:rPr/>
        <w:t>level</w:t>
      </w:r>
      <w:r>
        <w:rPr>
          <w:spacing w:val="-1"/>
        </w:rPr>
        <w:t> </w:t>
      </w:r>
      <w:r>
        <w:rPr/>
        <w:t>of</w:t>
      </w:r>
      <w:r>
        <w:rPr>
          <w:spacing w:val="-4"/>
        </w:rPr>
        <w:t> </w:t>
      </w:r>
      <w:r>
        <w:rPr/>
        <w:t>equipment</w:t>
      </w:r>
      <w:r>
        <w:rPr>
          <w:spacing w:val="-3"/>
        </w:rPr>
        <w:t> </w:t>
      </w:r>
      <w:r>
        <w:rPr/>
        <w:t>in</w:t>
      </w:r>
      <w:r>
        <w:rPr>
          <w:spacing w:val="-3"/>
        </w:rPr>
        <w:t> </w:t>
      </w:r>
      <w:r>
        <w:rPr/>
        <w:t>the</w:t>
      </w:r>
      <w:r>
        <w:rPr>
          <w:spacing w:val="-3"/>
        </w:rPr>
        <w:t> </w:t>
      </w:r>
      <w:r>
        <w:rPr/>
        <w:t>Operation</w:t>
      </w:r>
      <w:r>
        <w:rPr>
          <w:spacing w:val="-3"/>
        </w:rPr>
        <w:t> </w:t>
      </w:r>
      <w:r>
        <w:rPr/>
        <w:t>RESTORE</w:t>
      </w:r>
      <w:r>
        <w:rPr>
          <w:spacing w:val="-3"/>
        </w:rPr>
        <w:t> </w:t>
      </w:r>
      <w:r>
        <w:rPr/>
        <w:t>HOPE</w:t>
      </w:r>
      <w:r>
        <w:rPr>
          <w:spacing w:val="-3"/>
        </w:rPr>
        <w:t> </w:t>
      </w:r>
      <w:r>
        <w:rPr/>
        <w:t>is</w:t>
      </w:r>
      <w:r>
        <w:rPr>
          <w:spacing w:val="-3"/>
        </w:rPr>
        <w:t> </w:t>
      </w:r>
      <w:r>
        <w:rPr/>
        <w:t>therefore inadequate.</w:t>
      </w:r>
      <w:r>
        <w:rPr>
          <w:spacing w:val="40"/>
        </w:rPr>
        <w:t> </w:t>
      </w:r>
      <w:r>
        <w:rPr/>
        <w:t>Likewise, Petroleum Oil and Lubricant (POL) are not sufficiently available</w:t>
      </w:r>
      <w:r>
        <w:rPr>
          <w:spacing w:val="-3"/>
        </w:rPr>
        <w:t> </w:t>
      </w:r>
      <w:r>
        <w:rPr/>
        <w:t>for</w:t>
      </w:r>
      <w:r>
        <w:rPr>
          <w:spacing w:val="-2"/>
        </w:rPr>
        <w:t> </w:t>
      </w:r>
      <w:r>
        <w:rPr/>
        <w:t>the</w:t>
      </w:r>
      <w:r>
        <w:rPr>
          <w:spacing w:val="-4"/>
        </w:rPr>
        <w:t> </w:t>
      </w:r>
      <w:r>
        <w:rPr/>
        <w:t>JTF</w:t>
      </w:r>
      <w:r>
        <w:rPr>
          <w:spacing w:val="-4"/>
        </w:rPr>
        <w:t> </w:t>
      </w:r>
      <w:r>
        <w:rPr/>
        <w:t>conduct</w:t>
      </w:r>
      <w:r>
        <w:rPr>
          <w:spacing w:val="-2"/>
        </w:rPr>
        <w:t> </w:t>
      </w:r>
      <w:r>
        <w:rPr/>
        <w:t>of</w:t>
      </w:r>
      <w:r>
        <w:rPr>
          <w:spacing w:val="-2"/>
        </w:rPr>
        <w:t> </w:t>
      </w:r>
      <w:r>
        <w:rPr/>
        <w:t>operation.</w:t>
      </w:r>
      <w:r>
        <w:rPr>
          <w:spacing w:val="40"/>
        </w:rPr>
        <w:t> </w:t>
      </w:r>
      <w:r>
        <w:rPr/>
        <w:t>The</w:t>
      </w:r>
      <w:r>
        <w:rPr>
          <w:spacing w:val="-2"/>
        </w:rPr>
        <w:t> </w:t>
      </w:r>
      <w:r>
        <w:rPr/>
        <w:t>riverine</w:t>
      </w:r>
      <w:r>
        <w:rPr>
          <w:spacing w:val="-4"/>
        </w:rPr>
        <w:t> </w:t>
      </w:r>
      <w:r>
        <w:rPr/>
        <w:t>nature</w:t>
      </w:r>
      <w:r>
        <w:rPr>
          <w:spacing w:val="-3"/>
        </w:rPr>
        <w:t> </w:t>
      </w:r>
      <w:r>
        <w:rPr/>
        <w:t>of</w:t>
      </w:r>
      <w:r>
        <w:rPr>
          <w:spacing w:val="-2"/>
        </w:rPr>
        <w:t> </w:t>
      </w:r>
      <w:r>
        <w:rPr/>
        <w:t>the</w:t>
      </w:r>
      <w:r>
        <w:rPr>
          <w:spacing w:val="-3"/>
        </w:rPr>
        <w:t> </w:t>
      </w:r>
      <w:r>
        <w:rPr/>
        <w:t>JTF</w:t>
      </w:r>
      <w:r>
        <w:rPr>
          <w:spacing w:val="-2"/>
        </w:rPr>
        <w:t> </w:t>
      </w:r>
      <w:r>
        <w:rPr/>
        <w:t>AOR</w:t>
      </w:r>
      <w:r>
        <w:rPr>
          <w:spacing w:val="-2"/>
        </w:rPr>
        <w:t> </w:t>
      </w:r>
      <w:r>
        <w:rPr/>
        <w:t>exerts serious strain on the POL available for the operation.</w:t>
      </w:r>
      <w:r>
        <w:rPr>
          <w:spacing w:val="40"/>
        </w:rPr>
        <w:t> </w:t>
      </w:r>
      <w:r>
        <w:rPr/>
        <w:t>For instance, a ship that takes 60,000 litres of diesel oil would only</w:t>
      </w:r>
      <w:r>
        <w:rPr>
          <w:spacing w:val="-2"/>
        </w:rPr>
        <w:t> </w:t>
      </w:r>
      <w:r>
        <w:rPr/>
        <w:t>be able to remain at sea for only 2 weeks before refueling. Noteworthy therefore, is the constraint being posed by the high fuel consumption of the JTF Fast Patrol Craft (FPC).</w:t>
      </w:r>
      <w:r>
        <w:rPr>
          <w:spacing w:val="40"/>
        </w:rPr>
        <w:t> </w:t>
      </w:r>
      <w:r>
        <w:rPr/>
        <w:t>The dependence on Oil Company‟s source for POL requirement sometimes becomes inevitable.</w:t>
      </w:r>
      <w:r>
        <w:rPr>
          <w:spacing w:val="40"/>
        </w:rPr>
        <w:t> </w:t>
      </w:r>
      <w:r>
        <w:rPr/>
        <w:t>This causes delays and sometimes cancellation of scheduled missions.</w:t>
      </w:r>
    </w:p>
    <w:p>
      <w:pPr>
        <w:pStyle w:val="BodyText"/>
        <w:spacing w:line="360" w:lineRule="auto" w:before="1"/>
        <w:ind w:right="1254" w:firstLine="720"/>
        <w:jc w:val="both"/>
      </w:pPr>
      <w:r>
        <w:rPr/>
        <w:t>Maintenance Capability: At JTF</w:t>
      </w:r>
      <w:r>
        <w:rPr>
          <w:spacing w:val="-1"/>
        </w:rPr>
        <w:t> </w:t>
      </w:r>
      <w:r>
        <w:rPr/>
        <w:t>inception, the DHQ issued 28 patrol vehicles, most of which are now worn out due to poor maintenance culture. Besides, JTF has over 57 gunboats, dozens of Armoured Personnel Carriers (APC) - 4 APCs were delivered in December 2008 and dozens of FPC among others. Of course, all these, require top level maintenance. At the onset, there was no integral maintenance outfit even against the enormous resources and equipment that are in the JTF inventory requiring maintenance. They range from gunboats, vehicles, communication equipment and weapon systems to water treatment plants.</w:t>
      </w:r>
      <w:r>
        <w:rPr>
          <w:spacing w:val="40"/>
        </w:rPr>
        <w:t> </w:t>
      </w:r>
      <w:r>
        <w:rPr/>
        <w:t>However, the then ATG and present Land Component could only boast of few tool boxes and about one company of personnel of the Nigerian Army Electrical and Maintenance and Engineers (NAEME).</w:t>
      </w:r>
      <w:r>
        <w:rPr>
          <w:spacing w:val="80"/>
        </w:rPr>
        <w:t> </w:t>
      </w:r>
      <w:r>
        <w:rPr/>
        <w:t>The employment of armoured vehicles in the current</w:t>
      </w:r>
      <w:r>
        <w:rPr>
          <w:spacing w:val="40"/>
        </w:rPr>
        <w:t> </w:t>
      </w:r>
      <w:r>
        <w:rPr/>
        <w:t>operations of the Task Force further necessitated the need for a mobile and functional workshop which is lacking. The JTF maintenance capability</w:t>
      </w:r>
      <w:r>
        <w:rPr>
          <w:spacing w:val="-2"/>
        </w:rPr>
        <w:t> </w:t>
      </w:r>
      <w:r>
        <w:rPr/>
        <w:t>could be inferred to have fallen below expectation.</w:t>
      </w:r>
    </w:p>
    <w:p>
      <w:pPr>
        <w:pStyle w:val="BodyText"/>
        <w:spacing w:line="360" w:lineRule="auto"/>
        <w:ind w:right="1263" w:firstLine="720"/>
        <w:jc w:val="both"/>
      </w:pPr>
      <w:r>
        <w:rPr/>
        <w:t>Trained Personnel: To ensure an all time combat readiness and optimum capacity</w:t>
      </w:r>
      <w:r>
        <w:rPr>
          <w:spacing w:val="21"/>
        </w:rPr>
        <w:t> </w:t>
      </w:r>
      <w:r>
        <w:rPr/>
        <w:t>utilization</w:t>
      </w:r>
      <w:r>
        <w:rPr>
          <w:spacing w:val="29"/>
        </w:rPr>
        <w:t> </w:t>
      </w:r>
      <w:r>
        <w:rPr/>
        <w:t>of</w:t>
      </w:r>
      <w:r>
        <w:rPr>
          <w:spacing w:val="28"/>
        </w:rPr>
        <w:t> </w:t>
      </w:r>
      <w:r>
        <w:rPr/>
        <w:t>troops;</w:t>
      </w:r>
      <w:r>
        <w:rPr>
          <w:spacing w:val="30"/>
        </w:rPr>
        <w:t> </w:t>
      </w:r>
      <w:r>
        <w:rPr/>
        <w:t>the</w:t>
      </w:r>
      <w:r>
        <w:rPr>
          <w:spacing w:val="29"/>
        </w:rPr>
        <w:t> </w:t>
      </w:r>
      <w:r>
        <w:rPr/>
        <w:t>troops</w:t>
      </w:r>
      <w:r>
        <w:rPr>
          <w:spacing w:val="28"/>
        </w:rPr>
        <w:t> </w:t>
      </w:r>
      <w:r>
        <w:rPr/>
        <w:t>must</w:t>
      </w:r>
      <w:r>
        <w:rPr>
          <w:spacing w:val="30"/>
        </w:rPr>
        <w:t> </w:t>
      </w:r>
      <w:r>
        <w:rPr/>
        <w:t>be</w:t>
      </w:r>
      <w:r>
        <w:rPr>
          <w:spacing w:val="28"/>
        </w:rPr>
        <w:t> </w:t>
      </w:r>
      <w:r>
        <w:rPr/>
        <w:t>adequately</w:t>
      </w:r>
      <w:r>
        <w:rPr>
          <w:spacing w:val="27"/>
        </w:rPr>
        <w:t> </w:t>
      </w:r>
      <w:r>
        <w:rPr/>
        <w:t>and</w:t>
      </w:r>
      <w:r>
        <w:rPr>
          <w:spacing w:val="29"/>
        </w:rPr>
        <w:t> </w:t>
      </w:r>
      <w:r>
        <w:rPr/>
        <w:t>constantly</w:t>
      </w:r>
      <w:r>
        <w:rPr>
          <w:spacing w:val="24"/>
        </w:rPr>
        <w:t> </w:t>
      </w:r>
      <w:r>
        <w:rPr>
          <w:spacing w:val="-2"/>
        </w:rPr>
        <w:t>trained.</w:t>
      </w:r>
    </w:p>
    <w:p>
      <w:pPr>
        <w:spacing w:after="0" w:line="360" w:lineRule="auto"/>
        <w:jc w:val="both"/>
        <w:sectPr>
          <w:pgSz w:w="11910" w:h="16840"/>
          <w:pgMar w:header="0" w:footer="1561" w:top="1360" w:bottom="1760" w:left="720" w:right="180"/>
        </w:sectPr>
      </w:pPr>
    </w:p>
    <w:p>
      <w:pPr>
        <w:pStyle w:val="BodyText"/>
        <w:spacing w:line="360" w:lineRule="auto" w:before="60"/>
        <w:ind w:right="1258"/>
        <w:jc w:val="both"/>
      </w:pPr>
      <w:r>
        <w:rPr/>
        <mc:AlternateContent>
          <mc:Choice Requires="wps">
            <w:drawing>
              <wp:anchor distT="0" distB="0" distL="0" distR="0" allowOverlap="1" layoutInCell="1" locked="0" behindDoc="1" simplePos="0" relativeHeight="480644096">
                <wp:simplePos x="0" y="0"/>
                <wp:positionH relativeFrom="page">
                  <wp:posOffset>-1537026</wp:posOffset>
                </wp:positionH>
                <wp:positionV relativeFrom="page">
                  <wp:posOffset>4900424</wp:posOffset>
                </wp:positionV>
                <wp:extent cx="10669905" cy="914400"/>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72384;rotation:306" type="#_x0000_t136" fillcolor="#ff5400" stroked="f">
                <o:extrusion v:ext="view" autorotationcenter="t"/>
                <v:textpath style="font-family:&quot;Arial MT&quot;;font-size:72pt;v-text-kern:t;mso-text-shadow:auto" string="UNIVERSITY OF IBADAN"/>
                <w10:wrap type="none"/>
              </v:shape>
            </w:pict>
          </mc:Fallback>
        </mc:AlternateContent>
      </w:r>
      <w:r>
        <w:rPr/>
        <w:t>With the JTF, induction training, in situ training and joint operation training ought to have received attention which is not the case here.</w:t>
      </w:r>
      <w:r>
        <w:rPr>
          <w:spacing w:val="40"/>
        </w:rPr>
        <w:t> </w:t>
      </w:r>
      <w:r>
        <w:rPr/>
        <w:t>For instance, most of the troops enter a boat for the first time on arrival at the mission area and are then required to</w:t>
      </w:r>
      <w:r>
        <w:rPr>
          <w:spacing w:val="40"/>
        </w:rPr>
        <w:t> </w:t>
      </w:r>
      <w:r>
        <w:rPr/>
        <w:t>fire their weapons from the platform, like the gunboat without any previous experience.</w:t>
      </w:r>
      <w:r>
        <w:rPr>
          <w:spacing w:val="40"/>
        </w:rPr>
        <w:t> </w:t>
      </w:r>
      <w:r>
        <w:rPr/>
        <w:t>Akin to this is the inability of most of the troops to swim and are thus afraid of the creeks and the rivers.</w:t>
      </w:r>
    </w:p>
    <w:p>
      <w:pPr>
        <w:pStyle w:val="BodyText"/>
        <w:spacing w:line="360" w:lineRule="auto" w:before="1"/>
        <w:ind w:right="1259" w:firstLine="720"/>
        <w:jc w:val="both"/>
      </w:pPr>
      <w:r>
        <w:rPr/>
        <w:t>Troop‟s</w:t>
      </w:r>
      <w:r>
        <w:rPr>
          <w:spacing w:val="-6"/>
        </w:rPr>
        <w:t> </w:t>
      </w:r>
      <w:r>
        <w:rPr/>
        <w:t>Welfare:</w:t>
      </w:r>
      <w:r>
        <w:rPr>
          <w:spacing w:val="-5"/>
        </w:rPr>
        <w:t> </w:t>
      </w:r>
      <w:r>
        <w:rPr/>
        <w:t>Undoubtedly,</w:t>
      </w:r>
      <w:r>
        <w:rPr>
          <w:spacing w:val="-3"/>
        </w:rPr>
        <w:t> </w:t>
      </w:r>
      <w:r>
        <w:rPr/>
        <w:t>welfare</w:t>
      </w:r>
      <w:r>
        <w:rPr>
          <w:spacing w:val="-5"/>
        </w:rPr>
        <w:t> </w:t>
      </w:r>
      <w:r>
        <w:rPr/>
        <w:t>is</w:t>
      </w:r>
      <w:r>
        <w:rPr>
          <w:spacing w:val="-6"/>
        </w:rPr>
        <w:t> </w:t>
      </w:r>
      <w:r>
        <w:rPr/>
        <w:t>a</w:t>
      </w:r>
      <w:r>
        <w:rPr>
          <w:spacing w:val="-5"/>
        </w:rPr>
        <w:t> </w:t>
      </w:r>
      <w:r>
        <w:rPr/>
        <w:t>morale</w:t>
      </w:r>
      <w:r>
        <w:rPr>
          <w:spacing w:val="-6"/>
        </w:rPr>
        <w:t> </w:t>
      </w:r>
      <w:r>
        <w:rPr/>
        <w:t>booster</w:t>
      </w:r>
      <w:r>
        <w:rPr>
          <w:spacing w:val="-4"/>
        </w:rPr>
        <w:t> </w:t>
      </w:r>
      <w:r>
        <w:rPr/>
        <w:t>and</w:t>
      </w:r>
      <w:r>
        <w:rPr>
          <w:spacing w:val="-5"/>
        </w:rPr>
        <w:t> </w:t>
      </w:r>
      <w:r>
        <w:rPr/>
        <w:t>thus</w:t>
      </w:r>
      <w:r>
        <w:rPr>
          <w:spacing w:val="-3"/>
        </w:rPr>
        <w:t> </w:t>
      </w:r>
      <w:r>
        <w:rPr/>
        <w:t>a</w:t>
      </w:r>
      <w:r>
        <w:rPr>
          <w:spacing w:val="-6"/>
        </w:rPr>
        <w:t> </w:t>
      </w:r>
      <w:r>
        <w:rPr/>
        <w:t>sine</w:t>
      </w:r>
      <w:r>
        <w:rPr>
          <w:spacing w:val="-2"/>
        </w:rPr>
        <w:t> </w:t>
      </w:r>
      <w:r>
        <w:rPr/>
        <w:t>qua non for success in military operations.</w:t>
      </w:r>
      <w:r>
        <w:rPr>
          <w:spacing w:val="40"/>
        </w:rPr>
        <w:t> </w:t>
      </w:r>
      <w:r>
        <w:rPr/>
        <w:t>Thus, the need for special attention to the well being of troops participating in Operation RESTORE HOPE is required.</w:t>
      </w:r>
      <w:r>
        <w:rPr>
          <w:spacing w:val="40"/>
        </w:rPr>
        <w:t> </w:t>
      </w:r>
      <w:r>
        <w:rPr/>
        <w:t>This is expected to be achieved through ensuring good feeding, prompt payment of allowances, medical cover to include proper casualty evacuation. Similarly important is the need for provision of adequate clothing stores such as uniform, rain boot, rain coats, taking cognizance of the climatic condition of the prevalent JTF AOR. Ironically however, most of these items were not adequately available for replenishment to troops. Similarly, a military operation of this magnitude requires a dedicated helicopter for casualty evacuation.</w:t>
      </w:r>
      <w:r>
        <w:rPr>
          <w:spacing w:val="40"/>
        </w:rPr>
        <w:t> </w:t>
      </w:r>
      <w:r>
        <w:rPr/>
        <w:t>However, JTF only relies on the unpredictable magnanimity of oil companies.</w:t>
      </w:r>
      <w:r>
        <w:rPr>
          <w:spacing w:val="40"/>
        </w:rPr>
        <w:t> </w:t>
      </w:r>
      <w:r>
        <w:rPr/>
        <w:t>It is glaring therefore that operation RESTORE HOPE welfare capability still requires improvement.</w:t>
      </w:r>
    </w:p>
    <w:p>
      <w:pPr>
        <w:pStyle w:val="BodyText"/>
        <w:spacing w:line="360" w:lineRule="auto" w:before="1"/>
        <w:ind w:right="1261" w:firstLine="720"/>
        <w:jc w:val="both"/>
      </w:pPr>
      <w:r>
        <w:rPr/>
        <w:t>Furthermore, the conduct of the JTF operations was assessed and evaluated against its achievement or otherwise. The evaluation involves:</w:t>
      </w:r>
    </w:p>
    <w:p>
      <w:pPr>
        <w:pStyle w:val="ListParagraph"/>
        <w:numPr>
          <w:ilvl w:val="0"/>
          <w:numId w:val="18"/>
        </w:numPr>
        <w:tabs>
          <w:tab w:pos="2160" w:val="left" w:leader="none"/>
        </w:tabs>
        <w:spacing w:line="240" w:lineRule="auto" w:before="1" w:after="0"/>
        <w:ind w:left="2160" w:right="0" w:hanging="720"/>
        <w:jc w:val="both"/>
        <w:rPr>
          <w:sz w:val="24"/>
        </w:rPr>
      </w:pPr>
      <w:r>
        <w:rPr>
          <w:sz w:val="24"/>
        </w:rPr>
        <w:t>What </w:t>
      </w:r>
      <w:r>
        <w:rPr>
          <w:spacing w:val="-2"/>
          <w:sz w:val="24"/>
        </w:rPr>
        <w:t>worked?</w:t>
      </w:r>
    </w:p>
    <w:p>
      <w:pPr>
        <w:pStyle w:val="ListParagraph"/>
        <w:numPr>
          <w:ilvl w:val="0"/>
          <w:numId w:val="18"/>
        </w:numPr>
        <w:tabs>
          <w:tab w:pos="2160" w:val="left" w:leader="none"/>
        </w:tabs>
        <w:spacing w:line="240" w:lineRule="auto" w:before="136" w:after="0"/>
        <w:ind w:left="2160" w:right="0" w:hanging="720"/>
        <w:jc w:val="both"/>
        <w:rPr>
          <w:sz w:val="24"/>
        </w:rPr>
      </w:pPr>
      <w:r>
        <w:rPr>
          <w:sz w:val="24"/>
        </w:rPr>
        <w:t>What</w:t>
      </w:r>
      <w:r>
        <w:rPr>
          <w:spacing w:val="-2"/>
          <w:sz w:val="24"/>
        </w:rPr>
        <w:t> </w:t>
      </w:r>
      <w:r>
        <w:rPr>
          <w:sz w:val="24"/>
        </w:rPr>
        <w:t>did not </w:t>
      </w:r>
      <w:r>
        <w:rPr>
          <w:spacing w:val="-4"/>
          <w:sz w:val="24"/>
        </w:rPr>
        <w:t>work?</w:t>
      </w:r>
    </w:p>
    <w:p>
      <w:pPr>
        <w:pStyle w:val="ListParagraph"/>
        <w:numPr>
          <w:ilvl w:val="0"/>
          <w:numId w:val="18"/>
        </w:numPr>
        <w:tabs>
          <w:tab w:pos="2160" w:val="left" w:leader="none"/>
        </w:tabs>
        <w:spacing w:line="360" w:lineRule="auto" w:before="140" w:after="0"/>
        <w:ind w:left="2160" w:right="1592" w:hanging="720"/>
        <w:jc w:val="both"/>
        <w:rPr>
          <w:sz w:val="24"/>
        </w:rPr>
      </w:pPr>
      <w:r>
        <w:rPr>
          <w:sz w:val="24"/>
        </w:rPr>
        <w:t>Change</w:t>
      </w:r>
      <w:r>
        <w:rPr>
          <w:spacing w:val="-5"/>
          <w:sz w:val="24"/>
        </w:rPr>
        <w:t> </w:t>
      </w:r>
      <w:r>
        <w:rPr>
          <w:sz w:val="24"/>
        </w:rPr>
        <w:t>of</w:t>
      </w:r>
      <w:r>
        <w:rPr>
          <w:spacing w:val="-4"/>
          <w:sz w:val="24"/>
        </w:rPr>
        <w:t> </w:t>
      </w:r>
      <w:r>
        <w:rPr>
          <w:sz w:val="24"/>
        </w:rPr>
        <w:t>leadership</w:t>
      </w:r>
      <w:r>
        <w:rPr>
          <w:spacing w:val="-4"/>
          <w:sz w:val="24"/>
        </w:rPr>
        <w:t> </w:t>
      </w:r>
      <w:r>
        <w:rPr>
          <w:sz w:val="24"/>
        </w:rPr>
        <w:t>in</w:t>
      </w:r>
      <w:r>
        <w:rPr>
          <w:spacing w:val="-4"/>
          <w:sz w:val="24"/>
        </w:rPr>
        <w:t> </w:t>
      </w:r>
      <w:r>
        <w:rPr>
          <w:sz w:val="24"/>
        </w:rPr>
        <w:t>JTF</w:t>
      </w:r>
      <w:r>
        <w:rPr>
          <w:spacing w:val="-6"/>
          <w:sz w:val="24"/>
        </w:rPr>
        <w:t> </w:t>
      </w:r>
      <w:r>
        <w:rPr>
          <w:sz w:val="24"/>
        </w:rPr>
        <w:t>and</w:t>
      </w:r>
      <w:r>
        <w:rPr>
          <w:spacing w:val="-4"/>
          <w:sz w:val="24"/>
        </w:rPr>
        <w:t> </w:t>
      </w:r>
      <w:r>
        <w:rPr>
          <w:sz w:val="24"/>
        </w:rPr>
        <w:t>why;</w:t>
      </w:r>
      <w:r>
        <w:rPr>
          <w:spacing w:val="-4"/>
          <w:sz w:val="24"/>
        </w:rPr>
        <w:t> </w:t>
      </w:r>
      <w:r>
        <w:rPr>
          <w:sz w:val="24"/>
        </w:rPr>
        <w:t>their</w:t>
      </w:r>
      <w:r>
        <w:rPr>
          <w:spacing w:val="-4"/>
          <w:sz w:val="24"/>
        </w:rPr>
        <w:t> </w:t>
      </w:r>
      <w:r>
        <w:rPr>
          <w:sz w:val="24"/>
        </w:rPr>
        <w:t>involvement</w:t>
      </w:r>
      <w:r>
        <w:rPr>
          <w:spacing w:val="-4"/>
          <w:sz w:val="24"/>
        </w:rPr>
        <w:t> </w:t>
      </w:r>
      <w:r>
        <w:rPr>
          <w:sz w:val="24"/>
        </w:rPr>
        <w:t>in</w:t>
      </w:r>
      <w:r>
        <w:rPr>
          <w:spacing w:val="-4"/>
          <w:sz w:val="24"/>
        </w:rPr>
        <w:t> </w:t>
      </w:r>
      <w:r>
        <w:rPr>
          <w:sz w:val="24"/>
        </w:rPr>
        <w:t>what</w:t>
      </w:r>
      <w:r>
        <w:rPr>
          <w:spacing w:val="-4"/>
          <w:sz w:val="24"/>
        </w:rPr>
        <w:t> </w:t>
      </w:r>
      <w:r>
        <w:rPr>
          <w:sz w:val="24"/>
        </w:rPr>
        <w:t>operations and where.</w:t>
      </w:r>
    </w:p>
    <w:p>
      <w:pPr>
        <w:pStyle w:val="BodyText"/>
        <w:spacing w:line="360" w:lineRule="auto"/>
        <w:ind w:right="1255" w:firstLine="720"/>
        <w:jc w:val="both"/>
      </w:pPr>
      <w:r>
        <w:rPr/>
        <w:t>The insecurity</w:t>
      </w:r>
      <w:r>
        <w:rPr>
          <w:spacing w:val="-3"/>
        </w:rPr>
        <w:t> </w:t>
      </w:r>
      <w:r>
        <w:rPr/>
        <w:t>in the Niger Delta started as agitation for resource control. This however, degenerated into an all time high occurrences of vandalization of oil installations, seizure and occupation of flow stations and oil installations, illegal oil bunkering, attacks on security agencies, hostage taking/hijacking, terrorism, sea robbery and proliferations of SALW.</w:t>
      </w:r>
      <w:r>
        <w:rPr>
          <w:spacing w:val="40"/>
        </w:rPr>
        <w:t> </w:t>
      </w:r>
      <w:r>
        <w:rPr/>
        <w:t>The resultant near collapse of socio-economic activities in the region necessitated the Government to deploy the JTF to restore </w:t>
      </w:r>
      <w:r>
        <w:rPr>
          <w:spacing w:val="-2"/>
        </w:rPr>
        <w:t>normalcy.</w:t>
      </w:r>
    </w:p>
    <w:p>
      <w:pPr>
        <w:pStyle w:val="BodyText"/>
        <w:spacing w:line="360" w:lineRule="auto"/>
        <w:ind w:right="1260" w:firstLine="720"/>
        <w:jc w:val="both"/>
      </w:pPr>
      <w:r>
        <w:rPr/>
        <w:t>The result of the study reveals that the level of preparedness of troops for optimum</w:t>
      </w:r>
      <w:r>
        <w:rPr>
          <w:spacing w:val="21"/>
        </w:rPr>
        <w:t> </w:t>
      </w:r>
      <w:r>
        <w:rPr/>
        <w:t>performance</w:t>
      </w:r>
      <w:r>
        <w:rPr>
          <w:spacing w:val="21"/>
        </w:rPr>
        <w:t> </w:t>
      </w:r>
      <w:r>
        <w:rPr/>
        <w:t>as</w:t>
      </w:r>
      <w:r>
        <w:rPr>
          <w:spacing w:val="25"/>
        </w:rPr>
        <w:t> </w:t>
      </w:r>
      <w:r>
        <w:rPr/>
        <w:t>required</w:t>
      </w:r>
      <w:r>
        <w:rPr>
          <w:spacing w:val="22"/>
        </w:rPr>
        <w:t> </w:t>
      </w:r>
      <w:r>
        <w:rPr/>
        <w:t>by</w:t>
      </w:r>
      <w:r>
        <w:rPr>
          <w:spacing w:val="15"/>
        </w:rPr>
        <w:t> </w:t>
      </w:r>
      <w:r>
        <w:rPr/>
        <w:t>the</w:t>
      </w:r>
      <w:r>
        <w:rPr>
          <w:spacing w:val="22"/>
        </w:rPr>
        <w:t> </w:t>
      </w:r>
      <w:r>
        <w:rPr/>
        <w:t>mandate</w:t>
      </w:r>
      <w:r>
        <w:rPr>
          <w:spacing w:val="22"/>
        </w:rPr>
        <w:t> </w:t>
      </w:r>
      <w:r>
        <w:rPr/>
        <w:t>was</w:t>
      </w:r>
      <w:r>
        <w:rPr>
          <w:spacing w:val="23"/>
        </w:rPr>
        <w:t> </w:t>
      </w:r>
      <w:r>
        <w:rPr/>
        <w:t>low.</w:t>
      </w:r>
      <w:r>
        <w:rPr>
          <w:spacing w:val="75"/>
          <w:w w:val="150"/>
        </w:rPr>
        <w:t> </w:t>
      </w:r>
      <w:r>
        <w:rPr/>
        <w:t>This</w:t>
      </w:r>
      <w:r>
        <w:rPr>
          <w:spacing w:val="23"/>
        </w:rPr>
        <w:t> </w:t>
      </w:r>
      <w:r>
        <w:rPr/>
        <w:t>becomes</w:t>
      </w:r>
      <w:r>
        <w:rPr>
          <w:spacing w:val="23"/>
        </w:rPr>
        <w:t> </w:t>
      </w:r>
      <w:r>
        <w:rPr>
          <w:spacing w:val="-2"/>
        </w:rPr>
        <w:t>apparent</w:t>
      </w:r>
    </w:p>
    <w:p>
      <w:pPr>
        <w:spacing w:after="0" w:line="360" w:lineRule="auto"/>
        <w:jc w:val="both"/>
        <w:sectPr>
          <w:pgSz w:w="11910" w:h="16840"/>
          <w:pgMar w:header="0" w:footer="1561" w:top="1360" w:bottom="1760" w:left="720" w:right="180"/>
        </w:sectPr>
      </w:pPr>
    </w:p>
    <w:p>
      <w:pPr>
        <w:pStyle w:val="BodyText"/>
        <w:spacing w:line="360" w:lineRule="auto" w:before="60"/>
        <w:ind w:right="1256"/>
        <w:jc w:val="both"/>
      </w:pPr>
      <w:r>
        <w:rPr/>
        <mc:AlternateContent>
          <mc:Choice Requires="wps">
            <w:drawing>
              <wp:anchor distT="0" distB="0" distL="0" distR="0" allowOverlap="1" layoutInCell="1" locked="0" behindDoc="1" simplePos="0" relativeHeight="480644608">
                <wp:simplePos x="0" y="0"/>
                <wp:positionH relativeFrom="page">
                  <wp:posOffset>-1537026</wp:posOffset>
                </wp:positionH>
                <wp:positionV relativeFrom="page">
                  <wp:posOffset>4900424</wp:posOffset>
                </wp:positionV>
                <wp:extent cx="10669905" cy="914400"/>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71872;rotation:306" type="#_x0000_t136" fillcolor="#ff5400" stroked="f">
                <o:extrusion v:ext="view" autorotationcenter="t"/>
                <v:textpath style="font-family:&quot;Arial MT&quot;;font-size:72pt;v-text-kern:t;mso-text-shadow:auto" string="UNIVERSITY OF IBADAN"/>
                <w10:wrap type="none"/>
              </v:shape>
            </w:pict>
          </mc:Fallback>
        </mc:AlternateContent>
      </w:r>
      <w:r>
        <w:rPr/>
        <w:t>when considered against the backdrop of manpower, training, equipment, logistics</w:t>
      </w:r>
      <w:r>
        <w:rPr>
          <w:spacing w:val="40"/>
        </w:rPr>
        <w:t> </w:t>
      </w:r>
      <w:r>
        <w:rPr/>
        <w:t>and welfare.</w:t>
      </w:r>
      <w:r>
        <w:rPr>
          <w:spacing w:val="80"/>
        </w:rPr>
        <w:t> </w:t>
      </w:r>
      <w:r>
        <w:rPr/>
        <w:t>A combination of these factors has hampered operational efficiency.</w:t>
      </w:r>
      <w:r>
        <w:rPr>
          <w:spacing w:val="40"/>
        </w:rPr>
        <w:t> </w:t>
      </w:r>
      <w:r>
        <w:rPr/>
        <w:t>The study sought views of JTF commanders on the appropriateness of the mandate under which they operate.</w:t>
      </w:r>
      <w:r>
        <w:rPr>
          <w:spacing w:val="40"/>
        </w:rPr>
        <w:t> </w:t>
      </w:r>
      <w:r>
        <w:rPr/>
        <w:t>From an aggregate of their views, inadequate man-power, equipment, joint training, logistics and communication are the major problems.</w:t>
      </w:r>
      <w:r>
        <w:rPr>
          <w:spacing w:val="40"/>
        </w:rPr>
        <w:t> </w:t>
      </w:r>
      <w:r>
        <w:rPr/>
        <w:t>In view of these, operation RESTORE HOPE has not achieved those tasks it was mandated to carry out. For instance, training, equipment, logistics and other requirements have not been stepped up to meet the emerging threats and challenges. By inference, equipment, logistics, troops' preparedness and training required are supposed to have changed.</w:t>
      </w:r>
      <w:r>
        <w:rPr>
          <w:spacing w:val="40"/>
        </w:rPr>
        <w:t> </w:t>
      </w:r>
      <w:r>
        <w:rPr/>
        <w:t>Likewise, it can be argued that operation RESTORE HOPE</w:t>
      </w:r>
      <w:r>
        <w:rPr>
          <w:spacing w:val="-1"/>
        </w:rPr>
        <w:t> </w:t>
      </w:r>
      <w:r>
        <w:rPr/>
        <w:t>that was supposed to have</w:t>
      </w:r>
      <w:r>
        <w:rPr>
          <w:spacing w:val="-1"/>
        </w:rPr>
        <w:t> </w:t>
      </w:r>
      <w:r>
        <w:rPr/>
        <w:t>lasted for</w:t>
      </w:r>
      <w:r>
        <w:rPr>
          <w:spacing w:val="-1"/>
        </w:rPr>
        <w:t> </w:t>
      </w:r>
      <w:r>
        <w:rPr/>
        <w:t>90 days initially</w:t>
      </w:r>
      <w:r>
        <w:rPr>
          <w:spacing w:val="-8"/>
        </w:rPr>
        <w:t> </w:t>
      </w:r>
      <w:r>
        <w:rPr/>
        <w:t>is ongoing</w:t>
      </w:r>
      <w:r>
        <w:rPr>
          <w:spacing w:val="-3"/>
        </w:rPr>
        <w:t> </w:t>
      </w:r>
      <w:r>
        <w:rPr/>
        <w:t>for eight years now without achieving the end-state.</w:t>
      </w:r>
      <w:r>
        <w:rPr>
          <w:spacing w:val="40"/>
        </w:rPr>
        <w:t> </w:t>
      </w:r>
      <w:r>
        <w:rPr/>
        <w:t>This could lead to 'mission creep' as prolongation of the operation of the JTF in the region would complicate the already delicate security situation in the Niger Delta.</w:t>
      </w:r>
      <w:r>
        <w:rPr>
          <w:spacing w:val="80"/>
        </w:rPr>
        <w:t> </w:t>
      </w:r>
      <w:r>
        <w:rPr/>
        <w:t>There is therefore, the need to review the JTF mandate to effectively contain the present state of insecurity in the Niger </w:t>
      </w:r>
      <w:r>
        <w:rPr>
          <w:spacing w:val="-2"/>
        </w:rPr>
        <w:t>Delta.</w:t>
      </w:r>
    </w:p>
    <w:p>
      <w:pPr>
        <w:pStyle w:val="BodyText"/>
        <w:spacing w:line="360" w:lineRule="auto" w:before="2"/>
        <w:ind w:right="1259" w:firstLine="600"/>
        <w:jc w:val="both"/>
      </w:pPr>
      <w:r>
        <w:rPr/>
        <w:t>The mandate given the JTF was not robust enough to adequately meet up with the enormity of the task as posed by the existing security threat in the region. Incidental to this was the inability</w:t>
      </w:r>
      <w:r>
        <w:rPr>
          <w:spacing w:val="-3"/>
        </w:rPr>
        <w:t> </w:t>
      </w:r>
      <w:r>
        <w:rPr/>
        <w:t>of the Task Force to accomplish its mandate within the initial timeline of 90 days.</w:t>
      </w:r>
      <w:r>
        <w:rPr>
          <w:spacing w:val="40"/>
        </w:rPr>
        <w:t> </w:t>
      </w:r>
      <w:r>
        <w:rPr/>
        <w:t>It was revealed that Rule of Engagement for the JTF task was too restrictive for offensive action because, a state of insurgency</w:t>
      </w:r>
      <w:r>
        <w:rPr>
          <w:spacing w:val="-3"/>
        </w:rPr>
        <w:t> </w:t>
      </w:r>
      <w:r>
        <w:rPr/>
        <w:t>has hitherto not been declared.</w:t>
      </w:r>
    </w:p>
    <w:p>
      <w:pPr>
        <w:pStyle w:val="BodyText"/>
        <w:spacing w:line="360" w:lineRule="auto" w:before="1"/>
        <w:ind w:right="1252" w:firstLine="720"/>
        <w:jc w:val="both"/>
      </w:pPr>
      <w:r>
        <w:rPr/>
        <w:t>Akin to the period of mandate of the JTF is the nature and scope of duties of the Task Force.</w:t>
      </w:r>
      <w:r>
        <w:rPr>
          <w:spacing w:val="40"/>
        </w:rPr>
        <w:t> </w:t>
      </w:r>
      <w:r>
        <w:rPr/>
        <w:t>The scope of tasks derivable from the mandate of the JTF was reported by the field commanders as being too ambitious.</w:t>
      </w:r>
      <w:r>
        <w:rPr>
          <w:spacing w:val="40"/>
        </w:rPr>
        <w:t> </w:t>
      </w:r>
      <w:r>
        <w:rPr/>
        <w:t>These tasks included maintenance of law and order, prevention of sabotage, security/guarding of Key</w:t>
      </w:r>
      <w:r>
        <w:rPr>
          <w:spacing w:val="40"/>
        </w:rPr>
        <w:t> </w:t>
      </w:r>
      <w:r>
        <w:rPr/>
        <w:t>Points (KPs) and Vulnerable Points (VPs), arrest of illegal oil bunkering, escort</w:t>
      </w:r>
      <w:r>
        <w:rPr>
          <w:spacing w:val="40"/>
        </w:rPr>
        <w:t> </w:t>
      </w:r>
      <w:r>
        <w:rPr/>
        <w:t>duties, oil pipeline surveillance among others. By implication, the JTF was saddled with a lot of responsibilities which makes concentration and co-ordination of effort rather difficult.</w:t>
      </w:r>
    </w:p>
    <w:p>
      <w:pPr>
        <w:pStyle w:val="BodyText"/>
        <w:spacing w:line="360" w:lineRule="auto"/>
        <w:ind w:right="1258" w:firstLine="720"/>
        <w:jc w:val="both"/>
      </w:pPr>
      <w:r>
        <w:rPr/>
        <w:t>Consequently, Operation RESTORE HOPE has not effectively perform its assigned tasks. For instance, estimated crude oil loss in 2008 due to theft was put at 700,000</w:t>
      </w:r>
      <w:r>
        <w:rPr>
          <w:spacing w:val="37"/>
        </w:rPr>
        <w:t> </w:t>
      </w:r>
      <w:r>
        <w:rPr/>
        <w:t>barrels</w:t>
      </w:r>
      <w:r>
        <w:rPr>
          <w:spacing w:val="41"/>
        </w:rPr>
        <w:t> </w:t>
      </w:r>
      <w:r>
        <w:rPr/>
        <w:t>per</w:t>
      </w:r>
      <w:r>
        <w:rPr>
          <w:spacing w:val="38"/>
        </w:rPr>
        <w:t> </w:t>
      </w:r>
      <w:r>
        <w:rPr/>
        <w:t>day</w:t>
      </w:r>
      <w:r>
        <w:rPr>
          <w:spacing w:val="38"/>
        </w:rPr>
        <w:t> </w:t>
      </w:r>
      <w:r>
        <w:rPr/>
        <w:t>as</w:t>
      </w:r>
      <w:r>
        <w:rPr>
          <w:spacing w:val="39"/>
        </w:rPr>
        <w:t> </w:t>
      </w:r>
      <w:r>
        <w:rPr/>
        <w:t>against</w:t>
      </w:r>
      <w:r>
        <w:rPr>
          <w:spacing w:val="41"/>
        </w:rPr>
        <w:t> </w:t>
      </w:r>
      <w:r>
        <w:rPr/>
        <w:t>between</w:t>
      </w:r>
      <w:r>
        <w:rPr>
          <w:spacing w:val="39"/>
        </w:rPr>
        <w:t> </w:t>
      </w:r>
      <w:r>
        <w:rPr/>
        <w:t>200,000</w:t>
      </w:r>
      <w:r>
        <w:rPr>
          <w:spacing w:val="40"/>
        </w:rPr>
        <w:t> </w:t>
      </w:r>
      <w:r>
        <w:rPr/>
        <w:t>to</w:t>
      </w:r>
      <w:r>
        <w:rPr>
          <w:spacing w:val="40"/>
        </w:rPr>
        <w:t> </w:t>
      </w:r>
      <w:r>
        <w:rPr/>
        <w:t>300,000</w:t>
      </w:r>
      <w:r>
        <w:rPr>
          <w:spacing w:val="40"/>
        </w:rPr>
        <w:t> </w:t>
      </w:r>
      <w:r>
        <w:rPr/>
        <w:t>barrels</w:t>
      </w:r>
      <w:r>
        <w:rPr>
          <w:spacing w:val="40"/>
        </w:rPr>
        <w:t> </w:t>
      </w:r>
      <w:r>
        <w:rPr/>
        <w:t>per</w:t>
      </w:r>
      <w:r>
        <w:rPr>
          <w:spacing w:val="39"/>
        </w:rPr>
        <w:t> </w:t>
      </w:r>
      <w:r>
        <w:rPr/>
        <w:t>day</w:t>
      </w:r>
      <w:r>
        <w:rPr>
          <w:spacing w:val="35"/>
        </w:rPr>
        <w:t> </w:t>
      </w:r>
      <w:r>
        <w:rPr>
          <w:spacing w:val="-5"/>
        </w:rPr>
        <w:t>in</w:t>
      </w:r>
    </w:p>
    <w:p>
      <w:pPr>
        <w:spacing w:after="0" w:line="360" w:lineRule="auto"/>
        <w:jc w:val="both"/>
        <w:sectPr>
          <w:pgSz w:w="11910" w:h="16840"/>
          <w:pgMar w:header="0" w:footer="1561" w:top="1360" w:bottom="1760" w:left="720" w:right="180"/>
        </w:sectPr>
      </w:pPr>
    </w:p>
    <w:p>
      <w:pPr>
        <w:pStyle w:val="BodyText"/>
        <w:spacing w:line="360" w:lineRule="auto" w:before="60"/>
        <w:ind w:right="1261"/>
        <w:jc w:val="both"/>
      </w:pPr>
      <w:r>
        <w:rPr/>
        <mc:AlternateContent>
          <mc:Choice Requires="wps">
            <w:drawing>
              <wp:anchor distT="0" distB="0" distL="0" distR="0" allowOverlap="1" layoutInCell="1" locked="0" behindDoc="1" simplePos="0" relativeHeight="480645120">
                <wp:simplePos x="0" y="0"/>
                <wp:positionH relativeFrom="page">
                  <wp:posOffset>-1537026</wp:posOffset>
                </wp:positionH>
                <wp:positionV relativeFrom="page">
                  <wp:posOffset>4900424</wp:posOffset>
                </wp:positionV>
                <wp:extent cx="10669905" cy="914400"/>
                <wp:effectExtent l="0" t="0" r="0" b="0"/>
                <wp:wrapNone/>
                <wp:docPr id="247" name="Textbox 247"/>
                <wp:cNvGraphicFramePr>
                  <a:graphicFrameLocks/>
                </wp:cNvGraphicFramePr>
                <a:graphic>
                  <a:graphicData uri="http://schemas.microsoft.com/office/word/2010/wordprocessingShape">
                    <wps:wsp>
                      <wps:cNvPr id="247" name="Textbox 247"/>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71360;rotation:306" type="#_x0000_t136" fillcolor="#ff5400" stroked="f">
                <o:extrusion v:ext="view" autorotationcenter="t"/>
                <v:textpath style="font-family:&quot;Arial MT&quot;;font-size:72pt;v-text-kern:t;mso-text-shadow:auto" string="UNIVERSITY OF IBADAN"/>
                <w10:wrap type="none"/>
              </v:shape>
            </w:pict>
          </mc:Fallback>
        </mc:AlternateContent>
      </w:r>
      <w:r>
        <w:rPr/>
        <w:t>2003.</w:t>
      </w:r>
      <w:r>
        <w:rPr>
          <w:spacing w:val="40"/>
        </w:rPr>
        <w:t> </w:t>
      </w:r>
      <w:r>
        <w:rPr/>
        <w:t>There is, therefore, the need to re-appraise and streamline the JTF tasks to enable it achieve its mandate within a given time frame.</w:t>
      </w:r>
    </w:p>
    <w:p>
      <w:pPr>
        <w:pStyle w:val="BodyText"/>
        <w:spacing w:line="360" w:lineRule="auto" w:before="1"/>
        <w:ind w:right="1260" w:firstLine="720"/>
        <w:jc w:val="both"/>
      </w:pPr>
      <w:r>
        <w:rPr/>
        <w:t>However, the mission analysis for the JTF invariably did not adequately disclose the real nature and tasks of the operations as most of the implied tasks manifested as the operation unfolds.</w:t>
      </w:r>
      <w:r>
        <w:rPr>
          <w:spacing w:val="75"/>
        </w:rPr>
        <w:t> </w:t>
      </w:r>
      <w:r>
        <w:rPr/>
        <w:t>It could be argued therefore; that there has been a mismatch between the operational readiness of the units involved and the tasks of operation RESTORE HOPE.</w:t>
      </w:r>
      <w:r>
        <w:rPr>
          <w:spacing w:val="40"/>
        </w:rPr>
        <w:t> </w:t>
      </w:r>
      <w:r>
        <w:rPr/>
        <w:t>Efforts to bridge the gap between this operational readiness and the mission have been too slow to create the level of' effectiveness.</w:t>
      </w:r>
      <w:r>
        <w:rPr>
          <w:spacing w:val="80"/>
        </w:rPr>
        <w:t> </w:t>
      </w:r>
      <w:r>
        <w:rPr/>
        <w:t>This would have however been possible if the political will to decisively resolve the Niger Delta conflict is engendered in the government political solution as well as the military line of action. From the foregoing, the tasks derived from the mandate need</w:t>
      </w:r>
      <w:r>
        <w:rPr>
          <w:spacing w:val="40"/>
        </w:rPr>
        <w:t> </w:t>
      </w:r>
      <w:r>
        <w:rPr/>
        <w:t>to be reviewed.</w:t>
      </w:r>
    </w:p>
    <w:p>
      <w:pPr>
        <w:pStyle w:val="BodyText"/>
        <w:spacing w:line="360" w:lineRule="auto" w:before="1"/>
        <w:ind w:right="1259" w:firstLine="720"/>
        <w:jc w:val="both"/>
      </w:pPr>
      <w:r>
        <w:rPr/>
        <w:t>In conducting military operations in the Niger Delta region, operation RESTORE HOPE faced many challenges which include lack of robust mandate, inadequate logistics such as platforms, communication, equipment and inadequate manpower.</w:t>
      </w:r>
      <w:r>
        <w:rPr>
          <w:spacing w:val="80"/>
        </w:rPr>
        <w:t> </w:t>
      </w:r>
      <w:r>
        <w:rPr/>
        <w:t>Others are lack of effective command and control, proliferation of SALW, poor level of co-operation and co-ordination among the stakeholders and lack of political will on the part of the Federal Government.</w:t>
      </w:r>
      <w:r>
        <w:rPr>
          <w:spacing w:val="40"/>
        </w:rPr>
        <w:t> </w:t>
      </w:r>
      <w:r>
        <w:rPr/>
        <w:t>An interview granted by the JTF Maritime Task Group Commander, Commodore Henry Babalola also confirmed </w:t>
      </w:r>
      <w:r>
        <w:rPr>
          <w:spacing w:val="-2"/>
        </w:rPr>
        <w:t>that:</w:t>
      </w:r>
    </w:p>
    <w:p>
      <w:pPr>
        <w:pStyle w:val="BodyText"/>
        <w:ind w:left="3601" w:right="3468"/>
        <w:jc w:val="both"/>
      </w:pPr>
      <w:r>
        <w:rPr/>
        <w:t>Lack</w:t>
      </w:r>
      <w:r>
        <w:rPr>
          <w:spacing w:val="-8"/>
        </w:rPr>
        <w:t> </w:t>
      </w:r>
      <w:r>
        <w:rPr/>
        <w:t>of</w:t>
      </w:r>
      <w:r>
        <w:rPr>
          <w:spacing w:val="-7"/>
        </w:rPr>
        <w:t> </w:t>
      </w:r>
      <w:r>
        <w:rPr/>
        <w:t>coordination</w:t>
      </w:r>
      <w:r>
        <w:rPr>
          <w:spacing w:val="-8"/>
        </w:rPr>
        <w:t> </w:t>
      </w:r>
      <w:r>
        <w:rPr/>
        <w:t>of</w:t>
      </w:r>
      <w:r>
        <w:rPr>
          <w:spacing w:val="-9"/>
        </w:rPr>
        <w:t> </w:t>
      </w:r>
      <w:r>
        <w:rPr/>
        <w:t>defence</w:t>
      </w:r>
      <w:r>
        <w:rPr>
          <w:spacing w:val="-9"/>
        </w:rPr>
        <w:t> </w:t>
      </w:r>
      <w:r>
        <w:rPr/>
        <w:t>logistics Procurement (boat, gunships, crafts etc), Inter</w:t>
      </w:r>
      <w:r>
        <w:rPr>
          <w:spacing w:val="-7"/>
        </w:rPr>
        <w:t> </w:t>
      </w:r>
      <w:r>
        <w:rPr/>
        <w:t>Service</w:t>
      </w:r>
      <w:r>
        <w:rPr>
          <w:spacing w:val="-8"/>
        </w:rPr>
        <w:t> </w:t>
      </w:r>
      <w:r>
        <w:rPr/>
        <w:t>rivalry</w:t>
      </w:r>
      <w:r>
        <w:rPr>
          <w:spacing w:val="-11"/>
        </w:rPr>
        <w:t> </w:t>
      </w:r>
      <w:r>
        <w:rPr/>
        <w:t>militated</w:t>
      </w:r>
      <w:r>
        <w:rPr>
          <w:spacing w:val="-7"/>
        </w:rPr>
        <w:t> </w:t>
      </w:r>
      <w:r>
        <w:rPr/>
        <w:t>against</w:t>
      </w:r>
      <w:r>
        <w:rPr>
          <w:spacing w:val="-7"/>
        </w:rPr>
        <w:t> </w:t>
      </w:r>
      <w:r>
        <w:rPr/>
        <w:t>the Concept of jointness in the operation.</w:t>
      </w:r>
    </w:p>
    <w:p>
      <w:pPr>
        <w:pStyle w:val="BodyText"/>
        <w:ind w:left="3601" w:right="2566"/>
      </w:pPr>
      <w:r>
        <w:rPr/>
        <w:t>However, there is A slight improvement at present.</w:t>
      </w:r>
      <w:r>
        <w:rPr>
          <w:spacing w:val="36"/>
        </w:rPr>
        <w:t> </w:t>
      </w:r>
      <w:r>
        <w:rPr/>
        <w:t>Military</w:t>
      </w:r>
      <w:r>
        <w:rPr>
          <w:spacing w:val="-15"/>
        </w:rPr>
        <w:t> </w:t>
      </w:r>
      <w:r>
        <w:rPr/>
        <w:t>personnel‟s</w:t>
      </w:r>
      <w:r>
        <w:rPr>
          <w:spacing w:val="-13"/>
        </w:rPr>
        <w:t> </w:t>
      </w:r>
      <w:r>
        <w:rPr/>
        <w:t>technical</w:t>
      </w:r>
      <w:r>
        <w:rPr>
          <w:spacing w:val="-12"/>
        </w:rPr>
        <w:t> </w:t>
      </w:r>
      <w:r>
        <w:rPr/>
        <w:t>know-how were equally not coordinated.</w:t>
      </w:r>
      <w:r>
        <w:rPr>
          <w:spacing w:val="40"/>
        </w:rPr>
        <w:t> </w:t>
      </w:r>
      <w:r>
        <w:rPr/>
        <w:t>There is also the problem of lack of</w:t>
      </w:r>
      <w:r>
        <w:rPr>
          <w:spacing w:val="40"/>
        </w:rPr>
        <w:t> </w:t>
      </w:r>
      <w:r>
        <w:rPr/>
        <w:t>thorough terrain analysis…..</w:t>
      </w:r>
      <w:r>
        <w:rPr>
          <w:vertAlign w:val="superscript"/>
        </w:rPr>
        <w:t>9</w:t>
      </w:r>
    </w:p>
    <w:p>
      <w:pPr>
        <w:pStyle w:val="BodyText"/>
        <w:spacing w:line="360" w:lineRule="auto" w:before="241"/>
        <w:ind w:right="1257" w:firstLine="720"/>
        <w:jc w:val="both"/>
      </w:pPr>
      <w:r>
        <w:rPr/>
        <w:t>The conflicts in the three States sampled are considered by the respondents to be very violent. The JTF has actually done a lot at stemming the conflict in the Niger Delta</w:t>
      </w:r>
      <w:r>
        <w:rPr>
          <w:i/>
        </w:rPr>
        <w:t>. </w:t>
      </w:r>
      <w:r>
        <w:rPr/>
        <w:t>This was aptly confirmed during interviews with the JTF personnel and not thoroughly reflected in the perception survey conducted on the communities.</w:t>
      </w:r>
      <w:r>
        <w:rPr>
          <w:spacing w:val="40"/>
        </w:rPr>
        <w:t> </w:t>
      </w:r>
      <w:r>
        <w:rPr/>
        <w:t>The approaches adopted by the JTF in dealing with the Niger Delta conflict which is mainly through the use of force and occasional use of dialogue and negotiation.</w:t>
      </w:r>
    </w:p>
    <w:p>
      <w:pPr>
        <w:pStyle w:val="BodyText"/>
        <w:ind w:left="2160"/>
        <w:jc w:val="both"/>
      </w:pPr>
      <w:r>
        <w:rPr/>
        <w:t>The</w:t>
      </w:r>
      <w:r>
        <w:rPr>
          <w:spacing w:val="19"/>
        </w:rPr>
        <w:t> </w:t>
      </w:r>
      <w:r>
        <w:rPr/>
        <w:t>DHQ</w:t>
      </w:r>
      <w:r>
        <w:rPr>
          <w:spacing w:val="20"/>
        </w:rPr>
        <w:t> </w:t>
      </w:r>
      <w:r>
        <w:rPr/>
        <w:t>set</w:t>
      </w:r>
      <w:r>
        <w:rPr>
          <w:spacing w:val="21"/>
        </w:rPr>
        <w:t> </w:t>
      </w:r>
      <w:r>
        <w:rPr/>
        <w:t>up</w:t>
      </w:r>
      <w:r>
        <w:rPr>
          <w:spacing w:val="21"/>
        </w:rPr>
        <w:t> </w:t>
      </w:r>
      <w:r>
        <w:rPr/>
        <w:t>a</w:t>
      </w:r>
      <w:r>
        <w:rPr>
          <w:spacing w:val="19"/>
        </w:rPr>
        <w:t> </w:t>
      </w:r>
      <w:r>
        <w:rPr/>
        <w:t>committee</w:t>
      </w:r>
      <w:r>
        <w:rPr>
          <w:spacing w:val="20"/>
        </w:rPr>
        <w:t> </w:t>
      </w:r>
      <w:r>
        <w:rPr/>
        <w:t>to</w:t>
      </w:r>
      <w:r>
        <w:rPr>
          <w:spacing w:val="21"/>
        </w:rPr>
        <w:t> </w:t>
      </w:r>
      <w:r>
        <w:rPr/>
        <w:t>look</w:t>
      </w:r>
      <w:r>
        <w:rPr>
          <w:spacing w:val="21"/>
        </w:rPr>
        <w:t> </w:t>
      </w:r>
      <w:r>
        <w:rPr/>
        <w:t>into</w:t>
      </w:r>
      <w:r>
        <w:rPr>
          <w:spacing w:val="18"/>
        </w:rPr>
        <w:t> </w:t>
      </w:r>
      <w:r>
        <w:rPr/>
        <w:t>the</w:t>
      </w:r>
      <w:r>
        <w:rPr>
          <w:spacing w:val="19"/>
        </w:rPr>
        <w:t> </w:t>
      </w:r>
      <w:r>
        <w:rPr/>
        <w:t>possibility</w:t>
      </w:r>
      <w:r>
        <w:rPr>
          <w:spacing w:val="14"/>
        </w:rPr>
        <w:t> </w:t>
      </w:r>
      <w:r>
        <w:rPr/>
        <w:t>of</w:t>
      </w:r>
      <w:r>
        <w:rPr>
          <w:spacing w:val="20"/>
        </w:rPr>
        <w:t> </w:t>
      </w:r>
      <w:r>
        <w:rPr/>
        <w:t>merging</w:t>
      </w:r>
      <w:r>
        <w:rPr>
          <w:spacing w:val="18"/>
        </w:rPr>
        <w:t> </w:t>
      </w:r>
      <w:r>
        <w:rPr/>
        <w:t>the</w:t>
      </w:r>
      <w:r>
        <w:rPr>
          <w:spacing w:val="23"/>
        </w:rPr>
        <w:t> </w:t>
      </w:r>
      <w:r>
        <w:rPr>
          <w:spacing w:val="-5"/>
        </w:rPr>
        <w:t>two</w:t>
      </w:r>
    </w:p>
    <w:p>
      <w:pPr>
        <w:spacing w:after="0"/>
        <w:jc w:val="both"/>
        <w:sectPr>
          <w:pgSz w:w="11910" w:h="16840"/>
          <w:pgMar w:header="0" w:footer="1561" w:top="1360" w:bottom="1760" w:left="720" w:right="180"/>
        </w:sectPr>
      </w:pPr>
    </w:p>
    <w:p>
      <w:pPr>
        <w:pStyle w:val="BodyText"/>
        <w:spacing w:line="360" w:lineRule="auto" w:before="60"/>
        <w:ind w:right="1260"/>
        <w:jc w:val="both"/>
      </w:pPr>
      <w:r>
        <w:rPr/>
        <mc:AlternateContent>
          <mc:Choice Requires="wps">
            <w:drawing>
              <wp:anchor distT="0" distB="0" distL="0" distR="0" allowOverlap="1" layoutInCell="1" locked="0" behindDoc="1" simplePos="0" relativeHeight="480645632">
                <wp:simplePos x="0" y="0"/>
                <wp:positionH relativeFrom="page">
                  <wp:posOffset>-1537026</wp:posOffset>
                </wp:positionH>
                <wp:positionV relativeFrom="page">
                  <wp:posOffset>4900424</wp:posOffset>
                </wp:positionV>
                <wp:extent cx="10669905" cy="914400"/>
                <wp:effectExtent l="0" t="0" r="0" b="0"/>
                <wp:wrapNone/>
                <wp:docPr id="248" name="Textbox 248"/>
                <wp:cNvGraphicFramePr>
                  <a:graphicFrameLocks/>
                </wp:cNvGraphicFramePr>
                <a:graphic>
                  <a:graphicData uri="http://schemas.microsoft.com/office/word/2010/wordprocessingShape">
                    <wps:wsp>
                      <wps:cNvPr id="248" name="Textbox 248"/>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70848;rotation:306" type="#_x0000_t136" fillcolor="#ff5400" stroked="f">
                <o:extrusion v:ext="view" autorotationcenter="t"/>
                <v:textpath style="font-family:&quot;Arial MT&quot;;font-size:72pt;v-text-kern:t;mso-text-shadow:auto" string="UNIVERSITY OF IBADAN"/>
                <w10:wrap type="none"/>
              </v:shape>
            </w:pict>
          </mc:Fallback>
        </mc:AlternateContent>
      </w:r>
      <w:r>
        <w:rPr/>
        <w:t>JTF operations. Consequently, the 2 JTF were by June 2009 merged into a unified command to make for flexibility and effectiveness.</w:t>
      </w:r>
      <w:r>
        <w:rPr>
          <w:spacing w:val="40"/>
        </w:rPr>
        <w:t> </w:t>
      </w:r>
      <w:r>
        <w:rPr/>
        <w:t>Before this merger, it was discovered that there was no liaison between operations RESTORE HOPE and FLUSHOUT III.</w:t>
      </w:r>
      <w:r>
        <w:rPr>
          <w:spacing w:val="40"/>
        </w:rPr>
        <w:t> </w:t>
      </w:r>
      <w:r>
        <w:rPr/>
        <w:t>This shortcoming did not make for synergy of effort as the two outfits hardly exchange information or share resources/assets.</w:t>
      </w:r>
    </w:p>
    <w:p>
      <w:pPr>
        <w:pStyle w:val="BodyText"/>
        <w:spacing w:line="360" w:lineRule="auto"/>
        <w:ind w:right="1258" w:firstLine="720"/>
        <w:jc w:val="both"/>
      </w:pPr>
      <w:r>
        <w:rPr/>
        <w:t>A unified JTF command meant ensuring flexibility in the use of scarce</w:t>
      </w:r>
      <w:r>
        <w:rPr>
          <w:spacing w:val="40"/>
        </w:rPr>
        <w:t> </w:t>
      </w:r>
      <w:r>
        <w:rPr/>
        <w:t>military resources/assets. This will in turn enhance cooperation and economy of</w:t>
      </w:r>
      <w:r>
        <w:rPr>
          <w:spacing w:val="40"/>
        </w:rPr>
        <w:t> </w:t>
      </w:r>
      <w:r>
        <w:rPr/>
        <w:t>effort. Likewise, the JTF unified command allows for unity of command and concentration of forces which are very important principles of military operations required for the achievement of JTF mandate and military objectives.</w:t>
      </w:r>
    </w:p>
    <w:p>
      <w:pPr>
        <w:pStyle w:val="BodyText"/>
        <w:spacing w:line="360" w:lineRule="auto" w:before="2"/>
        <w:ind w:right="1259" w:firstLine="720"/>
        <w:jc w:val="both"/>
      </w:pPr>
      <w:r>
        <w:rPr/>
        <w:t>This merger also necessitated a change of leadership and structure of the JTF. This unified JTF command consists of a JTF Headquarters located at Yenagoa, and commanded by a Major General or its equivalent in the Nigerian Navy and Nigerian Air Force as against the current rank of a Brigadier General.</w:t>
      </w:r>
    </w:p>
    <w:p>
      <w:pPr>
        <w:pStyle w:val="BodyText"/>
        <w:spacing w:line="360" w:lineRule="auto"/>
        <w:ind w:right="1258" w:firstLine="720"/>
        <w:jc w:val="both"/>
      </w:pPr>
      <w:r>
        <w:rPr/>
        <w:t>The larger size of a new force was considered before opting for the appointment. The JTF also consists of Land, Maritime and Air components, each commanded by a Brigadier General or its equivalent.</w:t>
      </w:r>
      <w:r>
        <w:rPr>
          <w:spacing w:val="40"/>
        </w:rPr>
        <w:t> </w:t>
      </w:r>
      <w:r>
        <w:rPr/>
        <w:t>The sectors are commanded by Colonels or equivalent and they are responsible to the JTF commander.</w:t>
      </w:r>
      <w:r>
        <w:rPr>
          <w:spacing w:val="40"/>
        </w:rPr>
        <w:t> </w:t>
      </w:r>
      <w:r>
        <w:rPr/>
        <w:t>The AOR of the unified JTF is restricted to Delta, Bayelsa and Rivers states. Each of these States forms a sector for effective performance and for the attainment of the JTF mandate.</w:t>
      </w:r>
    </w:p>
    <w:p>
      <w:pPr>
        <w:pStyle w:val="BodyText"/>
        <w:spacing w:line="360" w:lineRule="auto" w:before="1"/>
        <w:ind w:right="1260" w:firstLine="720"/>
        <w:jc w:val="both"/>
      </w:pPr>
      <w:r>
        <w:rPr/>
        <w:t>The violent conflicts in the three States sampled was viewed by the Federal Government from a security standpoint, where containment and suppression have been the primary objectives rather than long-term conflict resolutions.</w:t>
      </w:r>
    </w:p>
    <w:p>
      <w:pPr>
        <w:pStyle w:val="Heading2"/>
        <w:numPr>
          <w:ilvl w:val="1"/>
          <w:numId w:val="19"/>
        </w:numPr>
        <w:tabs>
          <w:tab w:pos="2160" w:val="left" w:leader="none"/>
        </w:tabs>
        <w:spacing w:line="240" w:lineRule="auto" w:before="3" w:after="0"/>
        <w:ind w:left="2160" w:right="0" w:hanging="720"/>
        <w:jc w:val="both"/>
      </w:pPr>
      <w:r>
        <w:rPr/>
        <w:t>Strategies</w:t>
      </w:r>
      <w:r>
        <w:rPr>
          <w:spacing w:val="-2"/>
        </w:rPr>
        <w:t> </w:t>
      </w:r>
      <w:r>
        <w:rPr/>
        <w:t>Adopted</w:t>
      </w:r>
      <w:r>
        <w:rPr>
          <w:spacing w:val="-1"/>
        </w:rPr>
        <w:t> </w:t>
      </w:r>
      <w:r>
        <w:rPr/>
        <w:t>by</w:t>
      </w:r>
      <w:r>
        <w:rPr>
          <w:spacing w:val="-1"/>
        </w:rPr>
        <w:t> </w:t>
      </w:r>
      <w:r>
        <w:rPr/>
        <w:t>the</w:t>
      </w:r>
      <w:r>
        <w:rPr>
          <w:spacing w:val="-2"/>
        </w:rPr>
        <w:t> </w:t>
      </w:r>
      <w:r>
        <w:rPr/>
        <w:t>JTF</w:t>
      </w:r>
      <w:r>
        <w:rPr>
          <w:spacing w:val="-3"/>
        </w:rPr>
        <w:t> </w:t>
      </w:r>
      <w:r>
        <w:rPr/>
        <w:t>towards</w:t>
      </w:r>
      <w:r>
        <w:rPr>
          <w:spacing w:val="-1"/>
        </w:rPr>
        <w:t> </w:t>
      </w:r>
      <w:r>
        <w:rPr/>
        <w:t>Achieving</w:t>
      </w:r>
      <w:r>
        <w:rPr>
          <w:spacing w:val="-1"/>
        </w:rPr>
        <w:t> </w:t>
      </w:r>
      <w:r>
        <w:rPr/>
        <w:t>its</w:t>
      </w:r>
      <w:r>
        <w:rPr>
          <w:spacing w:val="-1"/>
        </w:rPr>
        <w:t> </w:t>
      </w:r>
      <w:r>
        <w:rPr/>
        <w:t>Vision</w:t>
      </w:r>
      <w:r>
        <w:rPr>
          <w:spacing w:val="-1"/>
        </w:rPr>
        <w:t> </w:t>
      </w:r>
      <w:r>
        <w:rPr/>
        <w:t>and</w:t>
      </w:r>
      <w:r>
        <w:rPr>
          <w:spacing w:val="-1"/>
        </w:rPr>
        <w:t> </w:t>
      </w:r>
      <w:r>
        <w:rPr>
          <w:spacing w:val="-2"/>
        </w:rPr>
        <w:t>Goals</w:t>
      </w:r>
    </w:p>
    <w:p>
      <w:pPr>
        <w:pStyle w:val="ListParagraph"/>
        <w:numPr>
          <w:ilvl w:val="2"/>
          <w:numId w:val="19"/>
        </w:numPr>
        <w:tabs>
          <w:tab w:pos="2160" w:val="left" w:leader="none"/>
        </w:tabs>
        <w:spacing w:line="240" w:lineRule="auto" w:before="139" w:after="0"/>
        <w:ind w:left="2160" w:right="0" w:hanging="720"/>
        <w:jc w:val="both"/>
        <w:rPr>
          <w:b/>
          <w:sz w:val="24"/>
        </w:rPr>
      </w:pPr>
      <w:r>
        <w:rPr>
          <w:b/>
          <w:sz w:val="24"/>
        </w:rPr>
        <w:t>Vision</w:t>
      </w:r>
      <w:r>
        <w:rPr>
          <w:b/>
          <w:spacing w:val="-2"/>
          <w:sz w:val="24"/>
        </w:rPr>
        <w:t> </w:t>
      </w:r>
      <w:r>
        <w:rPr>
          <w:b/>
          <w:sz w:val="24"/>
        </w:rPr>
        <w:t>and </w:t>
      </w:r>
      <w:r>
        <w:rPr>
          <w:b/>
          <w:spacing w:val="-4"/>
          <w:sz w:val="24"/>
        </w:rPr>
        <w:t>Goal</w:t>
      </w:r>
    </w:p>
    <w:p>
      <w:pPr>
        <w:pStyle w:val="BodyText"/>
        <w:spacing w:line="360" w:lineRule="auto" w:before="132"/>
        <w:ind w:right="1254" w:firstLine="720"/>
        <w:jc w:val="both"/>
      </w:pPr>
      <w:r>
        <w:rPr/>
        <w:t>This is the mandate which had earlier been determined to have been too ambitious, with restrictive ROE, faulty entry</w:t>
      </w:r>
      <w:r>
        <w:rPr>
          <w:spacing w:val="-3"/>
        </w:rPr>
        <w:t> </w:t>
      </w:r>
      <w:r>
        <w:rPr/>
        <w:t>strategy and no exit strategy.</w:t>
      </w:r>
      <w:r>
        <w:rPr>
          <w:spacing w:val="40"/>
        </w:rPr>
        <w:t> </w:t>
      </w:r>
      <w:r>
        <w:rPr/>
        <w:t>Therefore, it was envisaged that militancy and vandalism of oil and gas assets would be sustained.</w:t>
      </w:r>
      <w:r>
        <w:rPr>
          <w:spacing w:val="40"/>
        </w:rPr>
        <w:t> </w:t>
      </w:r>
      <w:r>
        <w:rPr/>
        <w:t>What change was desired?</w:t>
      </w:r>
      <w:r>
        <w:rPr>
          <w:spacing w:val="40"/>
        </w:rPr>
        <w:t> </w:t>
      </w:r>
      <w:r>
        <w:rPr/>
        <w:t>Within the broad mandate, the following tasks should have been identified, itemized and operationalised:</w:t>
      </w:r>
    </w:p>
    <w:p>
      <w:pPr>
        <w:pStyle w:val="ListParagraph"/>
        <w:numPr>
          <w:ilvl w:val="0"/>
          <w:numId w:val="20"/>
        </w:numPr>
        <w:tabs>
          <w:tab w:pos="2159" w:val="left" w:leader="none"/>
        </w:tabs>
        <w:spacing w:line="240" w:lineRule="auto" w:before="2" w:after="0"/>
        <w:ind w:left="2159" w:right="0" w:hanging="359"/>
        <w:jc w:val="both"/>
        <w:rPr>
          <w:sz w:val="24"/>
        </w:rPr>
      </w:pPr>
      <w:r>
        <w:rPr>
          <w:sz w:val="24"/>
        </w:rPr>
        <w:t>Maintenance</w:t>
      </w:r>
      <w:r>
        <w:rPr>
          <w:spacing w:val="-2"/>
          <w:sz w:val="24"/>
        </w:rPr>
        <w:t> </w:t>
      </w:r>
      <w:r>
        <w:rPr>
          <w:sz w:val="24"/>
        </w:rPr>
        <w:t>of law and</w:t>
      </w:r>
      <w:r>
        <w:rPr>
          <w:spacing w:val="2"/>
          <w:sz w:val="24"/>
        </w:rPr>
        <w:t> </w:t>
      </w:r>
      <w:r>
        <w:rPr>
          <w:spacing w:val="-2"/>
          <w:sz w:val="24"/>
        </w:rPr>
        <w:t>order.</w:t>
      </w:r>
    </w:p>
    <w:p>
      <w:pPr>
        <w:pStyle w:val="ListParagraph"/>
        <w:numPr>
          <w:ilvl w:val="0"/>
          <w:numId w:val="20"/>
        </w:numPr>
        <w:tabs>
          <w:tab w:pos="2159" w:val="left" w:leader="none"/>
        </w:tabs>
        <w:spacing w:line="240" w:lineRule="auto" w:before="136" w:after="0"/>
        <w:ind w:left="2159" w:right="0" w:hanging="359"/>
        <w:jc w:val="both"/>
        <w:rPr>
          <w:sz w:val="24"/>
        </w:rPr>
      </w:pPr>
      <w:r>
        <w:rPr>
          <w:sz w:val="24"/>
        </w:rPr>
        <w:t>Oil</w:t>
      </w:r>
      <w:r>
        <w:rPr>
          <w:spacing w:val="-1"/>
          <w:sz w:val="24"/>
        </w:rPr>
        <w:t> </w:t>
      </w:r>
      <w:r>
        <w:rPr>
          <w:sz w:val="24"/>
        </w:rPr>
        <w:t>pipeline</w:t>
      </w:r>
      <w:r>
        <w:rPr>
          <w:spacing w:val="-1"/>
          <w:sz w:val="24"/>
        </w:rPr>
        <w:t> </w:t>
      </w:r>
      <w:r>
        <w:rPr>
          <w:spacing w:val="-2"/>
          <w:sz w:val="24"/>
        </w:rPr>
        <w:t>surveillance.</w:t>
      </w:r>
    </w:p>
    <w:p>
      <w:pPr>
        <w:spacing w:after="0" w:line="240" w:lineRule="auto"/>
        <w:jc w:val="both"/>
        <w:rPr>
          <w:sz w:val="24"/>
        </w:rPr>
        <w:sectPr>
          <w:pgSz w:w="11910" w:h="16840"/>
          <w:pgMar w:header="0" w:footer="1561" w:top="1360" w:bottom="1760" w:left="720" w:right="180"/>
        </w:sectPr>
      </w:pPr>
    </w:p>
    <w:p>
      <w:pPr>
        <w:pStyle w:val="ListParagraph"/>
        <w:numPr>
          <w:ilvl w:val="0"/>
          <w:numId w:val="20"/>
        </w:numPr>
        <w:tabs>
          <w:tab w:pos="2160" w:val="left" w:leader="none"/>
        </w:tabs>
        <w:spacing w:line="240" w:lineRule="auto" w:before="80" w:after="0"/>
        <w:ind w:left="2160" w:right="0" w:hanging="360"/>
        <w:jc w:val="left"/>
        <w:rPr>
          <w:sz w:val="24"/>
        </w:rPr>
      </w:pPr>
      <w:r>
        <w:rPr/>
        <mc:AlternateContent>
          <mc:Choice Requires="wps">
            <w:drawing>
              <wp:anchor distT="0" distB="0" distL="0" distR="0" allowOverlap="1" layoutInCell="1" locked="0" behindDoc="1" simplePos="0" relativeHeight="480646144">
                <wp:simplePos x="0" y="0"/>
                <wp:positionH relativeFrom="page">
                  <wp:posOffset>-1537026</wp:posOffset>
                </wp:positionH>
                <wp:positionV relativeFrom="page">
                  <wp:posOffset>4900424</wp:posOffset>
                </wp:positionV>
                <wp:extent cx="10669905" cy="914400"/>
                <wp:effectExtent l="0" t="0" r="0" b="0"/>
                <wp:wrapNone/>
                <wp:docPr id="249" name="Textbox 249"/>
                <wp:cNvGraphicFramePr>
                  <a:graphicFrameLocks/>
                </wp:cNvGraphicFramePr>
                <a:graphic>
                  <a:graphicData uri="http://schemas.microsoft.com/office/word/2010/wordprocessingShape">
                    <wps:wsp>
                      <wps:cNvPr id="249" name="Textbox 249"/>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70336;rotation:306" type="#_x0000_t136" fillcolor="#ff5400" stroked="f">
                <o:extrusion v:ext="view" autorotationcenter="t"/>
                <v:textpath style="font-family:&quot;Arial MT&quot;;font-size:72pt;v-text-kern:t;mso-text-shadow:auto" string="UNIVERSITY OF IBADAN"/>
                <w10:wrap type="none"/>
              </v:shape>
            </w:pict>
          </mc:Fallback>
        </mc:AlternateContent>
      </w:r>
      <w:r>
        <w:rPr>
          <w:sz w:val="24"/>
        </w:rPr>
        <w:t>Protection</w:t>
      </w:r>
      <w:r>
        <w:rPr>
          <w:spacing w:val="-3"/>
          <w:sz w:val="24"/>
        </w:rPr>
        <w:t> </w:t>
      </w:r>
      <w:r>
        <w:rPr>
          <w:sz w:val="24"/>
        </w:rPr>
        <w:t>of</w:t>
      </w:r>
      <w:r>
        <w:rPr>
          <w:spacing w:val="-1"/>
          <w:sz w:val="24"/>
        </w:rPr>
        <w:t> </w:t>
      </w:r>
      <w:r>
        <w:rPr>
          <w:sz w:val="24"/>
        </w:rPr>
        <w:t>on-shore</w:t>
      </w:r>
      <w:r>
        <w:rPr>
          <w:spacing w:val="-1"/>
          <w:sz w:val="24"/>
        </w:rPr>
        <w:t> </w:t>
      </w:r>
      <w:r>
        <w:rPr>
          <w:sz w:val="24"/>
        </w:rPr>
        <w:t>and off-shore</w:t>
      </w:r>
      <w:r>
        <w:rPr>
          <w:spacing w:val="-2"/>
          <w:sz w:val="24"/>
        </w:rPr>
        <w:t> </w:t>
      </w:r>
      <w:r>
        <w:rPr>
          <w:sz w:val="24"/>
        </w:rPr>
        <w:t>oil </w:t>
      </w:r>
      <w:r>
        <w:rPr>
          <w:spacing w:val="-2"/>
          <w:sz w:val="24"/>
        </w:rPr>
        <w:t>facilities.</w:t>
      </w:r>
    </w:p>
    <w:p>
      <w:pPr>
        <w:pStyle w:val="ListParagraph"/>
        <w:numPr>
          <w:ilvl w:val="0"/>
          <w:numId w:val="20"/>
        </w:numPr>
        <w:tabs>
          <w:tab w:pos="2160" w:val="left" w:leader="none"/>
        </w:tabs>
        <w:spacing w:line="240" w:lineRule="auto" w:before="138" w:after="0"/>
        <w:ind w:left="2160" w:right="0" w:hanging="360"/>
        <w:jc w:val="left"/>
        <w:rPr>
          <w:sz w:val="24"/>
        </w:rPr>
      </w:pPr>
      <w:r>
        <w:rPr>
          <w:sz w:val="24"/>
        </w:rPr>
        <w:t>Reconnaissance</w:t>
      </w:r>
      <w:r>
        <w:rPr>
          <w:spacing w:val="-2"/>
          <w:sz w:val="24"/>
        </w:rPr>
        <w:t> </w:t>
      </w:r>
      <w:r>
        <w:rPr>
          <w:sz w:val="24"/>
        </w:rPr>
        <w:t>and</w:t>
      </w:r>
      <w:r>
        <w:rPr>
          <w:spacing w:val="-1"/>
          <w:sz w:val="24"/>
        </w:rPr>
        <w:t> </w:t>
      </w:r>
      <w:r>
        <w:rPr>
          <w:sz w:val="24"/>
        </w:rPr>
        <w:t>escort </w:t>
      </w:r>
      <w:r>
        <w:rPr>
          <w:spacing w:val="-2"/>
          <w:sz w:val="24"/>
        </w:rPr>
        <w:t>duties.</w:t>
      </w:r>
    </w:p>
    <w:p>
      <w:pPr>
        <w:pStyle w:val="ListParagraph"/>
        <w:numPr>
          <w:ilvl w:val="0"/>
          <w:numId w:val="20"/>
        </w:numPr>
        <w:tabs>
          <w:tab w:pos="2160" w:val="left" w:leader="none"/>
        </w:tabs>
        <w:spacing w:line="240" w:lineRule="auto" w:before="136" w:after="0"/>
        <w:ind w:left="2160" w:right="0" w:hanging="360"/>
        <w:jc w:val="left"/>
        <w:rPr>
          <w:sz w:val="24"/>
        </w:rPr>
      </w:pPr>
      <w:r>
        <w:rPr>
          <w:sz w:val="24"/>
        </w:rPr>
        <w:t>Checking</w:t>
      </w:r>
      <w:r>
        <w:rPr>
          <w:spacing w:val="-4"/>
          <w:sz w:val="24"/>
        </w:rPr>
        <w:t> </w:t>
      </w:r>
      <w:r>
        <w:rPr>
          <w:sz w:val="24"/>
        </w:rPr>
        <w:t>illegal</w:t>
      </w:r>
      <w:r>
        <w:rPr>
          <w:spacing w:val="-2"/>
          <w:sz w:val="24"/>
        </w:rPr>
        <w:t> </w:t>
      </w:r>
      <w:r>
        <w:rPr>
          <w:sz w:val="24"/>
        </w:rPr>
        <w:t>oil</w:t>
      </w:r>
      <w:r>
        <w:rPr>
          <w:spacing w:val="-1"/>
          <w:sz w:val="24"/>
        </w:rPr>
        <w:t> </w:t>
      </w:r>
      <w:r>
        <w:rPr>
          <w:spacing w:val="-2"/>
          <w:sz w:val="24"/>
        </w:rPr>
        <w:t>bunkering.</w:t>
      </w:r>
    </w:p>
    <w:p>
      <w:pPr>
        <w:pStyle w:val="ListParagraph"/>
        <w:numPr>
          <w:ilvl w:val="0"/>
          <w:numId w:val="20"/>
        </w:numPr>
        <w:tabs>
          <w:tab w:pos="2160" w:val="left" w:leader="none"/>
        </w:tabs>
        <w:spacing w:line="240" w:lineRule="auto" w:before="138" w:after="0"/>
        <w:ind w:left="2160" w:right="0" w:hanging="360"/>
        <w:jc w:val="left"/>
        <w:rPr>
          <w:sz w:val="24"/>
        </w:rPr>
      </w:pPr>
      <w:r>
        <w:rPr>
          <w:sz w:val="24"/>
        </w:rPr>
        <w:t>Maritime</w:t>
      </w:r>
      <w:r>
        <w:rPr>
          <w:spacing w:val="-3"/>
          <w:sz w:val="24"/>
        </w:rPr>
        <w:t> </w:t>
      </w:r>
      <w:r>
        <w:rPr>
          <w:sz w:val="24"/>
        </w:rPr>
        <w:t>air</w:t>
      </w:r>
      <w:r>
        <w:rPr>
          <w:spacing w:val="-1"/>
          <w:sz w:val="24"/>
        </w:rPr>
        <w:t> </w:t>
      </w:r>
      <w:r>
        <w:rPr>
          <w:sz w:val="24"/>
        </w:rPr>
        <w:t>patrol</w:t>
      </w:r>
      <w:r>
        <w:rPr>
          <w:spacing w:val="-1"/>
          <w:sz w:val="24"/>
        </w:rPr>
        <w:t> </w:t>
      </w:r>
      <w:r>
        <w:rPr>
          <w:sz w:val="24"/>
        </w:rPr>
        <w:t>of</w:t>
      </w:r>
      <w:r>
        <w:rPr>
          <w:spacing w:val="-1"/>
          <w:sz w:val="24"/>
        </w:rPr>
        <w:t> </w:t>
      </w:r>
      <w:r>
        <w:rPr>
          <w:sz w:val="24"/>
        </w:rPr>
        <w:t>creeks,</w:t>
      </w:r>
      <w:r>
        <w:rPr>
          <w:spacing w:val="-1"/>
          <w:sz w:val="24"/>
        </w:rPr>
        <w:t> </w:t>
      </w:r>
      <w:r>
        <w:rPr>
          <w:sz w:val="24"/>
        </w:rPr>
        <w:t>waterways</w:t>
      </w:r>
      <w:r>
        <w:rPr>
          <w:spacing w:val="-1"/>
          <w:sz w:val="24"/>
        </w:rPr>
        <w:t> </w:t>
      </w:r>
      <w:r>
        <w:rPr>
          <w:sz w:val="24"/>
        </w:rPr>
        <w:t>and re-</w:t>
      </w:r>
      <w:r>
        <w:rPr>
          <w:spacing w:val="-2"/>
          <w:sz w:val="24"/>
        </w:rPr>
        <w:t>entrants.</w:t>
      </w:r>
    </w:p>
    <w:p>
      <w:pPr>
        <w:pStyle w:val="ListParagraph"/>
        <w:numPr>
          <w:ilvl w:val="0"/>
          <w:numId w:val="20"/>
        </w:numPr>
        <w:tabs>
          <w:tab w:pos="2160" w:val="left" w:leader="none"/>
        </w:tabs>
        <w:spacing w:line="240" w:lineRule="auto" w:before="138" w:after="0"/>
        <w:ind w:left="2160" w:right="0" w:hanging="360"/>
        <w:jc w:val="left"/>
        <w:rPr>
          <w:sz w:val="24"/>
        </w:rPr>
      </w:pPr>
      <w:r>
        <w:rPr>
          <w:sz w:val="24"/>
        </w:rPr>
        <w:t>Blockade</w:t>
      </w:r>
      <w:r>
        <w:rPr>
          <w:spacing w:val="-3"/>
          <w:sz w:val="24"/>
        </w:rPr>
        <w:t> </w:t>
      </w:r>
      <w:r>
        <w:rPr>
          <w:sz w:val="24"/>
        </w:rPr>
        <w:t>of</w:t>
      </w:r>
      <w:r>
        <w:rPr>
          <w:spacing w:val="-1"/>
          <w:sz w:val="24"/>
        </w:rPr>
        <w:t> </w:t>
      </w:r>
      <w:r>
        <w:rPr>
          <w:sz w:val="24"/>
        </w:rPr>
        <w:t>creeks and</w:t>
      </w:r>
      <w:r>
        <w:rPr>
          <w:spacing w:val="-1"/>
          <w:sz w:val="24"/>
        </w:rPr>
        <w:t> </w:t>
      </w:r>
      <w:r>
        <w:rPr>
          <w:sz w:val="24"/>
        </w:rPr>
        <w:t>re-</w:t>
      </w:r>
      <w:r>
        <w:rPr>
          <w:spacing w:val="-2"/>
          <w:sz w:val="24"/>
        </w:rPr>
        <w:t>entrants.</w:t>
      </w:r>
    </w:p>
    <w:p>
      <w:pPr>
        <w:pStyle w:val="ListParagraph"/>
        <w:numPr>
          <w:ilvl w:val="0"/>
          <w:numId w:val="20"/>
        </w:numPr>
        <w:tabs>
          <w:tab w:pos="2160" w:val="left" w:leader="none"/>
        </w:tabs>
        <w:spacing w:line="240" w:lineRule="auto" w:before="135" w:after="0"/>
        <w:ind w:left="2160" w:right="0" w:hanging="360"/>
        <w:jc w:val="left"/>
        <w:rPr>
          <w:sz w:val="24"/>
        </w:rPr>
      </w:pPr>
      <w:r>
        <w:rPr>
          <w:sz w:val="24"/>
        </w:rPr>
        <w:t>Aerial</w:t>
      </w:r>
      <w:r>
        <w:rPr>
          <w:spacing w:val="-4"/>
          <w:sz w:val="24"/>
        </w:rPr>
        <w:t> </w:t>
      </w:r>
      <w:r>
        <w:rPr>
          <w:sz w:val="24"/>
        </w:rPr>
        <w:t>surveillance</w:t>
      </w:r>
      <w:r>
        <w:rPr>
          <w:spacing w:val="-2"/>
          <w:sz w:val="24"/>
        </w:rPr>
        <w:t> </w:t>
      </w:r>
      <w:r>
        <w:rPr>
          <w:sz w:val="24"/>
        </w:rPr>
        <w:t>of</w:t>
      </w:r>
      <w:r>
        <w:rPr>
          <w:spacing w:val="-1"/>
          <w:sz w:val="24"/>
        </w:rPr>
        <w:t> </w:t>
      </w:r>
      <w:r>
        <w:rPr>
          <w:sz w:val="24"/>
        </w:rPr>
        <w:t>oil</w:t>
      </w:r>
      <w:r>
        <w:rPr>
          <w:spacing w:val="1"/>
          <w:sz w:val="24"/>
        </w:rPr>
        <w:t> </w:t>
      </w:r>
      <w:r>
        <w:rPr>
          <w:sz w:val="24"/>
        </w:rPr>
        <w:t>and</w:t>
      </w:r>
      <w:r>
        <w:rPr>
          <w:spacing w:val="-1"/>
          <w:sz w:val="24"/>
        </w:rPr>
        <w:t> </w:t>
      </w:r>
      <w:r>
        <w:rPr>
          <w:sz w:val="24"/>
        </w:rPr>
        <w:t>gas</w:t>
      </w:r>
      <w:r>
        <w:rPr>
          <w:spacing w:val="-1"/>
          <w:sz w:val="24"/>
        </w:rPr>
        <w:t> </w:t>
      </w:r>
      <w:r>
        <w:rPr>
          <w:spacing w:val="-2"/>
          <w:sz w:val="24"/>
        </w:rPr>
        <w:t>assets.</w:t>
      </w:r>
    </w:p>
    <w:p>
      <w:pPr>
        <w:pStyle w:val="BodyText"/>
        <w:spacing w:line="360" w:lineRule="auto" w:before="139"/>
        <w:ind w:right="1260" w:firstLine="720"/>
        <w:jc w:val="both"/>
      </w:pPr>
      <w:r>
        <w:rPr/>
        <w:t>Implementing this would have better served the mobilisation of troops. Logistics and equipment for successful achievement of JTF operations and allowed</w:t>
      </w:r>
      <w:r>
        <w:rPr>
          <w:spacing w:val="40"/>
        </w:rPr>
        <w:t> </w:t>
      </w:r>
      <w:r>
        <w:rPr/>
        <w:t>for better mitigation of the challenges.</w:t>
      </w:r>
    </w:p>
    <w:p>
      <w:pPr>
        <w:pStyle w:val="Heading2"/>
        <w:numPr>
          <w:ilvl w:val="2"/>
          <w:numId w:val="19"/>
        </w:numPr>
        <w:tabs>
          <w:tab w:pos="2160" w:val="left" w:leader="none"/>
        </w:tabs>
        <w:spacing w:line="240" w:lineRule="auto" w:before="4" w:after="0"/>
        <w:ind w:left="2160" w:right="0" w:hanging="720"/>
        <w:jc w:val="both"/>
      </w:pPr>
      <w:r>
        <w:rPr/>
        <w:t>Strategies</w:t>
      </w:r>
      <w:r>
        <w:rPr>
          <w:spacing w:val="-4"/>
        </w:rPr>
        <w:t> </w:t>
      </w:r>
      <w:r>
        <w:rPr/>
        <w:t>Adopted</w:t>
      </w:r>
      <w:r>
        <w:rPr>
          <w:spacing w:val="-2"/>
        </w:rPr>
        <w:t> </w:t>
      </w:r>
      <w:r>
        <w:rPr/>
        <w:t>by</w:t>
      </w:r>
      <w:r>
        <w:rPr>
          <w:spacing w:val="-1"/>
        </w:rPr>
        <w:t> </w:t>
      </w:r>
      <w:r>
        <w:rPr/>
        <w:t>the</w:t>
      </w:r>
      <w:r>
        <w:rPr>
          <w:spacing w:val="-2"/>
        </w:rPr>
        <w:t> </w:t>
      </w:r>
      <w:r>
        <w:rPr>
          <w:spacing w:val="-5"/>
        </w:rPr>
        <w:t>JTF</w:t>
      </w:r>
    </w:p>
    <w:p>
      <w:pPr>
        <w:pStyle w:val="BodyText"/>
        <w:spacing w:line="360" w:lineRule="auto" w:before="135"/>
        <w:ind w:right="1254" w:firstLine="720"/>
        <w:jc w:val="both"/>
      </w:pPr>
      <w:r>
        <w:rPr/>
        <w:t>The strategies adopted by the JTF included dialogue, patrols, static guarding</w:t>
      </w:r>
      <w:r>
        <w:rPr>
          <w:spacing w:val="80"/>
        </w:rPr>
        <w:t> </w:t>
      </w:r>
      <w:r>
        <w:rPr/>
        <w:t>of key points and vulnerable economic assets, escort duties and sometimes use of force when necessary.</w:t>
      </w:r>
      <w:r>
        <w:rPr>
          <w:spacing w:val="40"/>
        </w:rPr>
        <w:t> </w:t>
      </w:r>
      <w:r>
        <w:rPr/>
        <w:t>Although the ROE at inception specified the use of minimum force in self-defence.</w:t>
      </w:r>
      <w:r>
        <w:rPr>
          <w:spacing w:val="80"/>
        </w:rPr>
        <w:t> </w:t>
      </w:r>
      <w:r>
        <w:rPr/>
        <w:t>In May 2009 while reacting to the attack and abduction of its troops by militants, the JTF used offensive action to regain their troops.</w:t>
      </w:r>
      <w:r>
        <w:rPr>
          <w:spacing w:val="40"/>
        </w:rPr>
        <w:t> </w:t>
      </w:r>
      <w:r>
        <w:rPr/>
        <w:t>This reactionary</w:t>
      </w:r>
      <w:r>
        <w:rPr>
          <w:spacing w:val="-4"/>
        </w:rPr>
        <w:t> </w:t>
      </w:r>
      <w:r>
        <w:rPr/>
        <w:t>rather than proactive response typified several</w:t>
      </w:r>
      <w:r>
        <w:rPr>
          <w:spacing w:val="-1"/>
        </w:rPr>
        <w:t> </w:t>
      </w:r>
      <w:r>
        <w:rPr/>
        <w:t>of the strategies adopted</w:t>
      </w:r>
      <w:r>
        <w:rPr>
          <w:spacing w:val="-2"/>
        </w:rPr>
        <w:t> </w:t>
      </w:r>
      <w:r>
        <w:rPr/>
        <w:t>by the JTF.</w:t>
      </w:r>
      <w:r>
        <w:rPr>
          <w:spacing w:val="40"/>
        </w:rPr>
        <w:t> </w:t>
      </w:r>
      <w:r>
        <w:rPr/>
        <w:t>In the same vein, the JTF carried out several destruction of illegal oil refineries when the illegal bunkerers shifted their activities to include refining stolen crude oil products.</w:t>
      </w:r>
    </w:p>
    <w:p>
      <w:pPr>
        <w:pStyle w:val="Heading2"/>
        <w:numPr>
          <w:ilvl w:val="2"/>
          <w:numId w:val="19"/>
        </w:numPr>
        <w:tabs>
          <w:tab w:pos="2160" w:val="left" w:leader="none"/>
        </w:tabs>
        <w:spacing w:line="240" w:lineRule="auto" w:before="4" w:after="0"/>
        <w:ind w:left="2160" w:right="0" w:hanging="720"/>
        <w:jc w:val="both"/>
      </w:pPr>
      <w:r>
        <w:rPr>
          <w:spacing w:val="-2"/>
        </w:rPr>
        <w:t>Inclusion</w:t>
      </w:r>
    </w:p>
    <w:p>
      <w:pPr>
        <w:pStyle w:val="BodyText"/>
        <w:spacing w:line="360" w:lineRule="auto" w:before="134"/>
        <w:ind w:right="1257" w:firstLine="720"/>
        <w:jc w:val="both"/>
      </w:pPr>
      <w:r>
        <w:rPr/>
        <w:t>The JTF comprised the Nigerian Army, Nigerian Navy, Nigerian Air-Force, Nigeria Police Force and the State Security Services.</w:t>
      </w:r>
      <w:r>
        <w:rPr>
          <w:spacing w:val="40"/>
        </w:rPr>
        <w:t> </w:t>
      </w:r>
      <w:r>
        <w:rPr/>
        <w:t>They also collaborate with the Economic and Financial Crime Commission (EFCC) in handling arrested criminals arising from its operations. However, the JTF ought to have collaborated and co- operated more with other agencies.</w:t>
      </w:r>
      <w:r>
        <w:rPr>
          <w:spacing w:val="40"/>
        </w:rPr>
        <w:t> </w:t>
      </w:r>
      <w:r>
        <w:rPr/>
        <w:t>The former Commander JTF, Major General Sarkin Yaki Bello corroborated this assertion when he observed that:</w:t>
      </w:r>
    </w:p>
    <w:p>
      <w:pPr>
        <w:pStyle w:val="BodyText"/>
        <w:spacing w:line="276" w:lineRule="auto" w:before="1"/>
        <w:ind w:left="2880" w:right="3305"/>
      </w:pPr>
      <w:r>
        <w:rPr/>
        <w:t>Inter-agency cooperation is a serious problem. The nature of military operations is such that no one service goes alone now.</w:t>
      </w:r>
      <w:r>
        <w:rPr>
          <w:spacing w:val="40"/>
        </w:rPr>
        <w:t> </w:t>
      </w:r>
      <w:r>
        <w:rPr/>
        <w:t>With experiences and certain misunderstandings we saw, I made a case</w:t>
      </w:r>
      <w:r>
        <w:rPr>
          <w:spacing w:val="-6"/>
        </w:rPr>
        <w:t> </w:t>
      </w:r>
      <w:r>
        <w:rPr/>
        <w:t>as</w:t>
      </w:r>
      <w:r>
        <w:rPr>
          <w:spacing w:val="-3"/>
        </w:rPr>
        <w:t> </w:t>
      </w:r>
      <w:r>
        <w:rPr/>
        <w:t>a</w:t>
      </w:r>
      <w:r>
        <w:rPr>
          <w:spacing w:val="-6"/>
        </w:rPr>
        <w:t> </w:t>
      </w:r>
      <w:r>
        <w:rPr/>
        <w:t>Commander</w:t>
      </w:r>
      <w:r>
        <w:rPr>
          <w:spacing w:val="-5"/>
        </w:rPr>
        <w:t> </w:t>
      </w:r>
      <w:r>
        <w:rPr/>
        <w:t>of</w:t>
      </w:r>
      <w:r>
        <w:rPr>
          <w:spacing w:val="-3"/>
        </w:rPr>
        <w:t> </w:t>
      </w:r>
      <w:r>
        <w:rPr/>
        <w:t>JTF</w:t>
      </w:r>
      <w:r>
        <w:rPr>
          <w:spacing w:val="-7"/>
        </w:rPr>
        <w:t> </w:t>
      </w:r>
      <w:r>
        <w:rPr/>
        <w:t>for</w:t>
      </w:r>
      <w:r>
        <w:rPr>
          <w:spacing w:val="-6"/>
        </w:rPr>
        <w:t> </w:t>
      </w:r>
      <w:r>
        <w:rPr/>
        <w:t>the</w:t>
      </w:r>
      <w:r>
        <w:rPr>
          <w:spacing w:val="-5"/>
        </w:rPr>
        <w:t> </w:t>
      </w:r>
      <w:r>
        <w:rPr/>
        <w:t>incorporation of more agencies.</w:t>
      </w:r>
      <w:r>
        <w:rPr>
          <w:spacing w:val="40"/>
        </w:rPr>
        <w:t> </w:t>
      </w:r>
      <w:r>
        <w:rPr/>
        <w:t>Like the EFCC, and the Civil Defence Corps.</w:t>
      </w:r>
      <w:r>
        <w:rPr>
          <w:spacing w:val="40"/>
        </w:rPr>
        <w:t> </w:t>
      </w:r>
      <w:r>
        <w:rPr/>
        <w:t>There is need for inter-agency</w:t>
      </w:r>
    </w:p>
    <w:p>
      <w:pPr>
        <w:pStyle w:val="BodyText"/>
        <w:spacing w:line="275" w:lineRule="exact"/>
        <w:ind w:left="2880"/>
      </w:pPr>
      <w:r>
        <w:rPr/>
        <w:t>cooperation,</w:t>
      </w:r>
      <w:r>
        <w:rPr>
          <w:spacing w:val="-1"/>
        </w:rPr>
        <w:t> </w:t>
      </w:r>
      <w:r>
        <w:rPr/>
        <w:t>without</w:t>
      </w:r>
      <w:r>
        <w:rPr>
          <w:spacing w:val="-1"/>
        </w:rPr>
        <w:t> </w:t>
      </w:r>
      <w:r>
        <w:rPr/>
        <w:t>which</w:t>
      </w:r>
      <w:r>
        <w:rPr>
          <w:spacing w:val="-1"/>
        </w:rPr>
        <w:t> </w:t>
      </w:r>
      <w:r>
        <w:rPr/>
        <w:t>success</w:t>
      </w:r>
      <w:r>
        <w:rPr>
          <w:spacing w:val="1"/>
        </w:rPr>
        <w:t> </w:t>
      </w:r>
      <w:r>
        <w:rPr/>
        <w:t>will</w:t>
      </w:r>
      <w:r>
        <w:rPr>
          <w:spacing w:val="-1"/>
        </w:rPr>
        <w:t> </w:t>
      </w:r>
      <w:r>
        <w:rPr/>
        <w:t>not</w:t>
      </w:r>
      <w:r>
        <w:rPr>
          <w:spacing w:val="-1"/>
        </w:rPr>
        <w:t> </w:t>
      </w:r>
      <w:r>
        <w:rPr/>
        <w:t>be </w:t>
      </w:r>
      <w:r>
        <w:rPr>
          <w:spacing w:val="-2"/>
        </w:rPr>
        <w:t>achieved.</w:t>
      </w:r>
    </w:p>
    <w:p>
      <w:pPr>
        <w:spacing w:after="0" w:line="275" w:lineRule="exact"/>
        <w:sectPr>
          <w:pgSz w:w="11910" w:h="16840"/>
          <w:pgMar w:header="0" w:footer="1561" w:top="1340" w:bottom="1760" w:left="720" w:right="180"/>
        </w:sectPr>
      </w:pPr>
    </w:p>
    <w:p>
      <w:pPr>
        <w:pStyle w:val="BodyText"/>
        <w:spacing w:line="276" w:lineRule="auto" w:before="60"/>
        <w:ind w:left="2880" w:right="2824"/>
        <w:jc w:val="both"/>
      </w:pPr>
      <w:r>
        <w:rPr/>
        <mc:AlternateContent>
          <mc:Choice Requires="wps">
            <w:drawing>
              <wp:anchor distT="0" distB="0" distL="0" distR="0" allowOverlap="1" layoutInCell="1" locked="0" behindDoc="1" simplePos="0" relativeHeight="480646656">
                <wp:simplePos x="0" y="0"/>
                <wp:positionH relativeFrom="page">
                  <wp:posOffset>-1537026</wp:posOffset>
                </wp:positionH>
                <wp:positionV relativeFrom="page">
                  <wp:posOffset>4900424</wp:posOffset>
                </wp:positionV>
                <wp:extent cx="10669905" cy="914400"/>
                <wp:effectExtent l="0" t="0" r="0" b="0"/>
                <wp:wrapNone/>
                <wp:docPr id="250" name="Textbox 250"/>
                <wp:cNvGraphicFramePr>
                  <a:graphicFrameLocks/>
                </wp:cNvGraphicFramePr>
                <a:graphic>
                  <a:graphicData uri="http://schemas.microsoft.com/office/word/2010/wordprocessingShape">
                    <wps:wsp>
                      <wps:cNvPr id="250" name="Textbox 250"/>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69824;rotation:306" type="#_x0000_t136" fillcolor="#ff5400" stroked="f">
                <o:extrusion v:ext="view" autorotationcenter="t"/>
                <v:textpath style="font-family:&quot;Arial MT&quot;;font-size:72pt;v-text-kern:t;mso-text-shadow:auto" string="UNIVERSITY OF IBADAN"/>
                <w10:wrap type="none"/>
              </v:shape>
            </w:pict>
          </mc:Fallback>
        </mc:AlternateContent>
      </w:r>
      <w:r>
        <w:rPr/>
        <w:t>There</w:t>
      </w:r>
      <w:r>
        <w:rPr>
          <w:spacing w:val="-6"/>
        </w:rPr>
        <w:t> </w:t>
      </w:r>
      <w:r>
        <w:rPr/>
        <w:t>ought</w:t>
      </w:r>
      <w:r>
        <w:rPr>
          <w:spacing w:val="-4"/>
        </w:rPr>
        <w:t> </w:t>
      </w:r>
      <w:r>
        <w:rPr/>
        <w:t>to</w:t>
      </w:r>
      <w:r>
        <w:rPr>
          <w:spacing w:val="-4"/>
        </w:rPr>
        <w:t> </w:t>
      </w:r>
      <w:r>
        <w:rPr/>
        <w:t>be</w:t>
      </w:r>
      <w:r>
        <w:rPr>
          <w:spacing w:val="-3"/>
        </w:rPr>
        <w:t> </w:t>
      </w:r>
      <w:r>
        <w:rPr/>
        <w:t>a</w:t>
      </w:r>
      <w:r>
        <w:rPr>
          <w:spacing w:val="-5"/>
        </w:rPr>
        <w:t> </w:t>
      </w:r>
      <w:r>
        <w:rPr/>
        <w:t>meeting</w:t>
      </w:r>
      <w:r>
        <w:rPr>
          <w:spacing w:val="-6"/>
        </w:rPr>
        <w:t> </w:t>
      </w:r>
      <w:r>
        <w:rPr/>
        <w:t>point</w:t>
      </w:r>
      <w:r>
        <w:rPr>
          <w:spacing w:val="-4"/>
        </w:rPr>
        <w:t> </w:t>
      </w:r>
      <w:r>
        <w:rPr/>
        <w:t>for</w:t>
      </w:r>
      <w:r>
        <w:rPr>
          <w:spacing w:val="-5"/>
        </w:rPr>
        <w:t> </w:t>
      </w:r>
      <w:r>
        <w:rPr/>
        <w:t>intelligence</w:t>
      </w:r>
      <w:r>
        <w:rPr>
          <w:spacing w:val="-3"/>
        </w:rPr>
        <w:t> </w:t>
      </w:r>
      <w:r>
        <w:rPr/>
        <w:t>to</w:t>
      </w:r>
      <w:r>
        <w:rPr>
          <w:spacing w:val="-4"/>
        </w:rPr>
        <w:t> </w:t>
      </w:r>
      <w:r>
        <w:rPr/>
        <w:t>be </w:t>
      </w:r>
      <w:r>
        <w:rPr>
          <w:spacing w:val="-2"/>
        </w:rPr>
        <w:t>shared.</w:t>
      </w:r>
      <w:r>
        <w:rPr>
          <w:spacing w:val="-2"/>
          <w:vertAlign w:val="superscript"/>
        </w:rPr>
        <w:t>10</w:t>
      </w:r>
    </w:p>
    <w:p>
      <w:pPr>
        <w:pStyle w:val="BodyText"/>
        <w:spacing w:line="360" w:lineRule="auto"/>
        <w:ind w:right="1258" w:firstLine="60"/>
        <w:jc w:val="both"/>
      </w:pPr>
      <w:r>
        <w:rPr/>
        <w:t>The workings and situation of the JTF can be enhanced through a more carefully worked out inter-agency co-operation and collaboration.</w:t>
      </w:r>
    </w:p>
    <w:p>
      <w:pPr>
        <w:pStyle w:val="BodyText"/>
        <w:spacing w:line="360" w:lineRule="auto"/>
        <w:ind w:right="1262" w:firstLine="602"/>
        <w:jc w:val="both"/>
      </w:pPr>
      <w:r>
        <w:rPr/>
        <w:t>Inter-agency collaboration in the conventional sense refers to a situation in which different agencies charged with the task of IS and safety (the Armed Forces, Police, SSS, Customs, Immigration Services, Nigerian Security and Civil Defence Corps etc) work together to carry out PSO (Albert, 2006).</w:t>
      </w:r>
    </w:p>
    <w:p>
      <w:pPr>
        <w:pStyle w:val="BodyText"/>
        <w:spacing w:line="360" w:lineRule="auto"/>
        <w:ind w:right="1256" w:firstLine="480"/>
        <w:jc w:val="both"/>
      </w:pPr>
      <w:r>
        <w:rPr/>
        <w:drawing>
          <wp:anchor distT="0" distB="0" distL="0" distR="0" allowOverlap="1" layoutInCell="1" locked="0" behindDoc="0" simplePos="0" relativeHeight="15817728">
            <wp:simplePos x="0" y="0"/>
            <wp:positionH relativeFrom="page">
              <wp:posOffset>1390650</wp:posOffset>
            </wp:positionH>
            <wp:positionV relativeFrom="paragraph">
              <wp:posOffset>1844081</wp:posOffset>
            </wp:positionV>
            <wp:extent cx="4999354" cy="3309620"/>
            <wp:effectExtent l="0" t="0" r="0" b="0"/>
            <wp:wrapNone/>
            <wp:docPr id="251" name="Image 251" descr="DSC00526"/>
            <wp:cNvGraphicFramePr>
              <a:graphicFrameLocks/>
            </wp:cNvGraphicFramePr>
            <a:graphic>
              <a:graphicData uri="http://schemas.openxmlformats.org/drawingml/2006/picture">
                <pic:pic>
                  <pic:nvPicPr>
                    <pic:cNvPr id="251" name="Image 251" descr="DSC00526"/>
                    <pic:cNvPicPr/>
                  </pic:nvPicPr>
                  <pic:blipFill>
                    <a:blip r:embed="rId65" cstate="print"/>
                    <a:stretch>
                      <a:fillRect/>
                    </a:stretch>
                  </pic:blipFill>
                  <pic:spPr>
                    <a:xfrm>
                      <a:off x="0" y="0"/>
                      <a:ext cx="4999354" cy="3309620"/>
                    </a:xfrm>
                    <a:prstGeom prst="rect">
                      <a:avLst/>
                    </a:prstGeom>
                  </pic:spPr>
                </pic:pic>
              </a:graphicData>
            </a:graphic>
          </wp:anchor>
        </w:drawing>
      </w:r>
      <w:r>
        <w:rPr/>
        <w:t>The JTF setup by the Federal Government to deal with the insecurity problems</w:t>
      </w:r>
      <w:r>
        <w:rPr>
          <w:spacing w:val="80"/>
        </w:rPr>
        <w:t> </w:t>
      </w:r>
      <w:r>
        <w:rPr/>
        <w:t>of the Niger Delta is a semblance of inter-agency collaboration in IS operations.</w:t>
      </w:r>
      <w:r>
        <w:rPr>
          <w:spacing w:val="40"/>
        </w:rPr>
        <w:t> </w:t>
      </w:r>
      <w:r>
        <w:rPr/>
        <w:t>This sssis nonetheless, a military understanding of the concept.</w:t>
      </w:r>
      <w:r>
        <w:rPr>
          <w:spacing w:val="40"/>
        </w:rPr>
        <w:t> </w:t>
      </w:r>
      <w:r>
        <w:rPr/>
        <w:t>The study notes that the JTF military outfit has not co-operated nor collaborated well, even among the constituents of the Task Force.</w:t>
      </w:r>
      <w:r>
        <w:rPr>
          <w:spacing w:val="40"/>
        </w:rPr>
        <w:t> </w:t>
      </w:r>
      <w:r>
        <w:rPr/>
        <w:t>This was most evident especially at the inception of the operation and before the merger of the hitherto two Task Forces.</w: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252"/>
        <w:ind w:left="0"/>
      </w:pPr>
    </w:p>
    <w:p>
      <w:pPr>
        <w:pStyle w:val="Heading2"/>
        <w:spacing w:line="360" w:lineRule="auto"/>
        <w:ind w:right="1258"/>
        <w:jc w:val="both"/>
      </w:pPr>
      <w:r>
        <w:rPr/>
        <w:t>Plate 41: Members of the JTF on Patrol to check Illegal Oil Refineries Activities Source : Researcher’s Fieldwork, 20 September 2010</w:t>
      </w:r>
    </w:p>
    <w:p>
      <w:pPr>
        <w:spacing w:after="0" w:line="360" w:lineRule="auto"/>
        <w:jc w:val="both"/>
        <w:sectPr>
          <w:pgSz w:w="11910" w:h="16840"/>
          <w:pgMar w:header="0" w:footer="1561" w:top="1360" w:bottom="1760" w:left="720" w:right="180"/>
        </w:sectPr>
      </w:pPr>
    </w:p>
    <w:p>
      <w:pPr>
        <w:pStyle w:val="BodyText"/>
        <w:spacing w:line="360" w:lineRule="auto" w:before="74"/>
        <w:ind w:right="1259" w:firstLine="60"/>
        <w:jc w:val="both"/>
      </w:pPr>
      <w:r>
        <w:rPr/>
        <mc:AlternateContent>
          <mc:Choice Requires="wps">
            <w:drawing>
              <wp:anchor distT="0" distB="0" distL="0" distR="0" allowOverlap="1" layoutInCell="1" locked="0" behindDoc="1" simplePos="0" relativeHeight="480647680">
                <wp:simplePos x="0" y="0"/>
                <wp:positionH relativeFrom="page">
                  <wp:posOffset>-1537026</wp:posOffset>
                </wp:positionH>
                <wp:positionV relativeFrom="page">
                  <wp:posOffset>4900424</wp:posOffset>
                </wp:positionV>
                <wp:extent cx="10669905" cy="914400"/>
                <wp:effectExtent l="0" t="0" r="0" b="0"/>
                <wp:wrapNone/>
                <wp:docPr id="252" name="Textbox 252"/>
                <wp:cNvGraphicFramePr>
                  <a:graphicFrameLocks/>
                </wp:cNvGraphicFramePr>
                <a:graphic>
                  <a:graphicData uri="http://schemas.microsoft.com/office/word/2010/wordprocessingShape">
                    <wps:wsp>
                      <wps:cNvPr id="252" name="Textbox 252"/>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68800;rotation:306" type="#_x0000_t136" fillcolor="#ff5400" stroked="f">
                <o:extrusion v:ext="view" autorotationcenter="t"/>
                <v:textpath style="font-family:&quot;Arial MT&quot;;font-size:72pt;v-text-kern:t;mso-text-shadow:auto" string="UNIVERSITY OF IBADAN"/>
                <w10:wrap type="none"/>
              </v:shape>
            </w:pict>
          </mc:Fallback>
        </mc:AlternateContent>
      </w:r>
      <w:r>
        <w:rPr/>
        <w:t>What this study proposed however, goes beyond the existing JTF structure but an improved version of it.</w:t>
      </w:r>
      <w:r>
        <w:rPr>
          <w:spacing w:val="40"/>
        </w:rPr>
        <w:t> </w:t>
      </w:r>
      <w:r>
        <w:rPr/>
        <w:t>This would obviously enable the body to work formally with NGOs, CSOs, the Niger Delta Community leaders, and representatives of the militants‟ youth, ex-militants and other stakeholders in producing more sustainable strategies or framework for managing the Niger Delta conflicts.</w:t>
      </w:r>
      <w:r>
        <w:rPr>
          <w:spacing w:val="80"/>
        </w:rPr>
        <w:t> </w:t>
      </w:r>
      <w:r>
        <w:rPr/>
        <w:t>This entails giving the JTF a “human face”.</w:t>
      </w:r>
    </w:p>
    <w:p>
      <w:pPr>
        <w:pStyle w:val="BodyText"/>
        <w:spacing w:line="360" w:lineRule="auto"/>
        <w:ind w:right="1256" w:firstLine="360"/>
        <w:jc w:val="both"/>
      </w:pPr>
      <w:r>
        <w:rPr/>
        <w:t>This requires increased government/civil society collaboration and co-operation. This type of partnership affords the JTF and other security agencies to share ideas, knowledge, information and resources in order to learn from one another.</w:t>
      </w:r>
      <w:r>
        <w:rPr>
          <w:spacing w:val="40"/>
        </w:rPr>
        <w:t> </w:t>
      </w:r>
      <w:r>
        <w:rPr/>
        <w:t>At present, no one body or organization can alone deal with the mirage of the developmental issues or problems in the Niger Delta.</w:t>
      </w:r>
    </w:p>
    <w:p>
      <w:pPr>
        <w:pStyle w:val="BodyText"/>
        <w:spacing w:line="360" w:lineRule="auto" w:before="2"/>
        <w:ind w:right="1252" w:firstLine="360"/>
        <w:jc w:val="both"/>
      </w:pPr>
      <w:r>
        <w:rPr/>
        <w:t>Abolurin (2011) corroborates this view when he averred that, “vandalism of Government infrastructure and oil scooping has increasingly become a cause for serious concern at all levels of government owing to the loss of revenue, destruction</w:t>
      </w:r>
      <w:r>
        <w:rPr>
          <w:spacing w:val="40"/>
        </w:rPr>
        <w:t> </w:t>
      </w:r>
      <w:r>
        <w:rPr/>
        <w:t>of property and loss of life among others”.</w:t>
      </w:r>
      <w:r>
        <w:rPr>
          <w:spacing w:val="80"/>
        </w:rPr>
        <w:t> </w:t>
      </w:r>
      <w:r>
        <w:rPr/>
        <w:t>He further remarked that in recent times the efforts of government, particularly</w:t>
      </w:r>
      <w:r>
        <w:rPr>
          <w:spacing w:val="-1"/>
        </w:rPr>
        <w:t> </w:t>
      </w:r>
      <w:r>
        <w:rPr/>
        <w:t>through the NSCDC have helped to temper the frequency of vandalism and oil scooping. From the foregoing, it can be deduced that the fight against pipeline vandalism could involve the co-operation of all security agencies including para-military outfits.</w:t>
      </w:r>
    </w:p>
    <w:p>
      <w:pPr>
        <w:pStyle w:val="BodyText"/>
        <w:spacing w:line="360" w:lineRule="auto" w:before="1"/>
        <w:ind w:right="1257" w:firstLine="720"/>
        <w:jc w:val="both"/>
      </w:pPr>
      <w:r>
        <w:rPr/>
        <w:t>This type of collaboration enables those charged with the responsibility of keeping law and order to share ideas, knowledge and resources in order to learn from one another. It also enables collaborators to pool their experiences and energy</w:t>
      </w:r>
      <w:r>
        <w:rPr>
          <w:spacing w:val="40"/>
        </w:rPr>
        <w:t> </w:t>
      </w:r>
      <w:r>
        <w:rPr/>
        <w:t>together in order to enhance their collective and individual impacts. In the same vein, promotion of inter-agency cooperation could be through conduct of periodic joint training exercises in Internal Security operations by security agencies.</w:t>
      </w:r>
    </w:p>
    <w:p>
      <w:pPr>
        <w:pStyle w:val="Heading2"/>
        <w:numPr>
          <w:ilvl w:val="2"/>
          <w:numId w:val="19"/>
        </w:numPr>
        <w:tabs>
          <w:tab w:pos="2160" w:val="left" w:leader="none"/>
        </w:tabs>
        <w:spacing w:line="240" w:lineRule="auto" w:before="5" w:after="0"/>
        <w:ind w:left="2160" w:right="0" w:hanging="720"/>
        <w:jc w:val="left"/>
      </w:pPr>
      <w:r>
        <w:rPr/>
        <w:t>Risks</w:t>
      </w:r>
      <w:r>
        <w:rPr>
          <w:spacing w:val="-1"/>
        </w:rPr>
        <w:t> </w:t>
      </w:r>
      <w:r>
        <w:rPr/>
        <w:t>Factors</w:t>
      </w:r>
      <w:r>
        <w:rPr>
          <w:spacing w:val="-2"/>
        </w:rPr>
        <w:t> </w:t>
      </w:r>
      <w:r>
        <w:rPr/>
        <w:t>Identified</w:t>
      </w:r>
      <w:r>
        <w:rPr>
          <w:spacing w:val="-2"/>
        </w:rPr>
        <w:t> </w:t>
      </w:r>
      <w:r>
        <w:rPr/>
        <w:t>in</w:t>
      </w:r>
      <w:r>
        <w:rPr>
          <w:spacing w:val="-1"/>
        </w:rPr>
        <w:t> </w:t>
      </w:r>
      <w:r>
        <w:rPr/>
        <w:t>JTF</w:t>
      </w:r>
      <w:r>
        <w:rPr>
          <w:spacing w:val="-2"/>
        </w:rPr>
        <w:t> </w:t>
      </w:r>
      <w:r>
        <w:rPr/>
        <w:t>Operations</w:t>
      </w:r>
      <w:r>
        <w:rPr>
          <w:spacing w:val="-1"/>
        </w:rPr>
        <w:t> </w:t>
      </w:r>
      <w:r>
        <w:rPr/>
        <w:t>(History/Actions</w:t>
      </w:r>
      <w:r>
        <w:rPr>
          <w:spacing w:val="-1"/>
        </w:rPr>
        <w:t> </w:t>
      </w:r>
      <w:r>
        <w:rPr>
          <w:spacing w:val="-2"/>
        </w:rPr>
        <w:t>Taken)</w:t>
      </w:r>
    </w:p>
    <w:p>
      <w:pPr>
        <w:pStyle w:val="BodyText"/>
        <w:spacing w:before="132"/>
      </w:pPr>
      <w:r>
        <w:rPr/>
        <w:t>The</w:t>
      </w:r>
      <w:r>
        <w:rPr>
          <w:spacing w:val="-5"/>
        </w:rPr>
        <w:t> </w:t>
      </w:r>
      <w:r>
        <w:rPr/>
        <w:t>following</w:t>
      </w:r>
      <w:r>
        <w:rPr>
          <w:spacing w:val="-1"/>
        </w:rPr>
        <w:t> </w:t>
      </w:r>
      <w:r>
        <w:rPr/>
        <w:t>were</w:t>
      </w:r>
      <w:r>
        <w:rPr>
          <w:spacing w:val="-1"/>
        </w:rPr>
        <w:t> </w:t>
      </w:r>
      <w:r>
        <w:rPr/>
        <w:t>identified</w:t>
      </w:r>
      <w:r>
        <w:rPr>
          <w:spacing w:val="-1"/>
        </w:rPr>
        <w:t> </w:t>
      </w:r>
      <w:r>
        <w:rPr/>
        <w:t>risks to the conduct</w:t>
      </w:r>
      <w:r>
        <w:rPr>
          <w:spacing w:val="2"/>
        </w:rPr>
        <w:t> </w:t>
      </w:r>
      <w:r>
        <w:rPr/>
        <w:t>of</w:t>
      </w:r>
      <w:r>
        <w:rPr>
          <w:spacing w:val="-1"/>
        </w:rPr>
        <w:t> </w:t>
      </w:r>
      <w:r>
        <w:rPr/>
        <w:t>JTF</w:t>
      </w:r>
      <w:r>
        <w:rPr>
          <w:spacing w:val="-2"/>
        </w:rPr>
        <w:t> operations:</w:t>
      </w:r>
    </w:p>
    <w:p>
      <w:pPr>
        <w:pStyle w:val="ListParagraph"/>
        <w:numPr>
          <w:ilvl w:val="0"/>
          <w:numId w:val="21"/>
        </w:numPr>
        <w:tabs>
          <w:tab w:pos="1980" w:val="left" w:leader="none"/>
        </w:tabs>
        <w:spacing w:line="240" w:lineRule="auto" w:before="139" w:after="0"/>
        <w:ind w:left="1980" w:right="0" w:hanging="540"/>
        <w:jc w:val="left"/>
        <w:rPr>
          <w:sz w:val="24"/>
        </w:rPr>
      </w:pPr>
      <w:r>
        <w:rPr>
          <w:sz w:val="24"/>
        </w:rPr>
        <w:t>Terrain</w:t>
      </w:r>
      <w:r>
        <w:rPr>
          <w:spacing w:val="2"/>
          <w:sz w:val="24"/>
        </w:rPr>
        <w:t> </w:t>
      </w:r>
      <w:r>
        <w:rPr>
          <w:sz w:val="24"/>
        </w:rPr>
        <w:t>-</w:t>
      </w:r>
      <w:r>
        <w:rPr>
          <w:spacing w:val="-2"/>
          <w:sz w:val="24"/>
        </w:rPr>
        <w:t> </w:t>
      </w:r>
      <w:r>
        <w:rPr>
          <w:sz w:val="24"/>
        </w:rPr>
        <w:t>Swampy,</w:t>
      </w:r>
      <w:r>
        <w:rPr>
          <w:spacing w:val="-1"/>
          <w:sz w:val="24"/>
        </w:rPr>
        <w:t> </w:t>
      </w:r>
      <w:r>
        <w:rPr>
          <w:sz w:val="24"/>
        </w:rPr>
        <w:t>mangroves</w:t>
      </w:r>
      <w:r>
        <w:rPr>
          <w:spacing w:val="-1"/>
          <w:sz w:val="24"/>
        </w:rPr>
        <w:t> </w:t>
      </w:r>
      <w:r>
        <w:rPr>
          <w:sz w:val="24"/>
        </w:rPr>
        <w:t>and</w:t>
      </w:r>
      <w:r>
        <w:rPr>
          <w:spacing w:val="-2"/>
          <w:sz w:val="24"/>
        </w:rPr>
        <w:t> </w:t>
      </w:r>
      <w:r>
        <w:rPr>
          <w:sz w:val="24"/>
        </w:rPr>
        <w:t>difficult</w:t>
      </w:r>
      <w:r>
        <w:rPr>
          <w:spacing w:val="-1"/>
          <w:sz w:val="24"/>
        </w:rPr>
        <w:t> </w:t>
      </w:r>
      <w:r>
        <w:rPr>
          <w:sz w:val="24"/>
        </w:rPr>
        <w:t>and</w:t>
      </w:r>
      <w:r>
        <w:rPr>
          <w:spacing w:val="-1"/>
          <w:sz w:val="24"/>
        </w:rPr>
        <w:t> </w:t>
      </w:r>
      <w:r>
        <w:rPr>
          <w:sz w:val="24"/>
        </w:rPr>
        <w:t>vast </w:t>
      </w:r>
      <w:r>
        <w:rPr>
          <w:spacing w:val="-2"/>
          <w:sz w:val="24"/>
        </w:rPr>
        <w:t>creeks.</w:t>
      </w:r>
    </w:p>
    <w:p>
      <w:pPr>
        <w:pStyle w:val="ListParagraph"/>
        <w:numPr>
          <w:ilvl w:val="0"/>
          <w:numId w:val="21"/>
        </w:numPr>
        <w:tabs>
          <w:tab w:pos="1980" w:val="left" w:leader="none"/>
        </w:tabs>
        <w:spacing w:line="240" w:lineRule="auto" w:before="136" w:after="0"/>
        <w:ind w:left="1980" w:right="0" w:hanging="540"/>
        <w:jc w:val="left"/>
        <w:rPr>
          <w:sz w:val="24"/>
        </w:rPr>
      </w:pPr>
      <w:r>
        <w:rPr>
          <w:sz w:val="24"/>
        </w:rPr>
        <w:t>Accessibility</w:t>
      </w:r>
      <w:r>
        <w:rPr>
          <w:spacing w:val="-5"/>
          <w:sz w:val="24"/>
        </w:rPr>
        <w:t> </w:t>
      </w:r>
      <w:r>
        <w:rPr>
          <w:sz w:val="24"/>
        </w:rPr>
        <w:t>– </w:t>
      </w:r>
      <w:r>
        <w:rPr>
          <w:spacing w:val="-2"/>
          <w:sz w:val="24"/>
        </w:rPr>
        <w:t>Difficult.</w:t>
      </w:r>
    </w:p>
    <w:p>
      <w:pPr>
        <w:pStyle w:val="ListParagraph"/>
        <w:numPr>
          <w:ilvl w:val="0"/>
          <w:numId w:val="21"/>
        </w:numPr>
        <w:tabs>
          <w:tab w:pos="1980" w:val="left" w:leader="none"/>
        </w:tabs>
        <w:spacing w:line="240" w:lineRule="auto" w:before="137" w:after="0"/>
        <w:ind w:left="1980" w:right="0" w:hanging="540"/>
        <w:jc w:val="left"/>
        <w:rPr>
          <w:sz w:val="24"/>
        </w:rPr>
      </w:pPr>
      <w:r>
        <w:rPr>
          <w:sz w:val="24"/>
        </w:rPr>
        <w:t>Militancy</w:t>
      </w:r>
      <w:r>
        <w:rPr>
          <w:spacing w:val="-7"/>
          <w:sz w:val="24"/>
        </w:rPr>
        <w:t> </w:t>
      </w:r>
      <w:r>
        <w:rPr>
          <w:sz w:val="24"/>
        </w:rPr>
        <w:t>-</w:t>
      </w:r>
      <w:r>
        <w:rPr>
          <w:spacing w:val="-1"/>
          <w:sz w:val="24"/>
        </w:rPr>
        <w:t> </w:t>
      </w:r>
      <w:r>
        <w:rPr>
          <w:sz w:val="24"/>
        </w:rPr>
        <w:t>High</w:t>
      </w:r>
      <w:r>
        <w:rPr>
          <w:spacing w:val="2"/>
          <w:sz w:val="24"/>
        </w:rPr>
        <w:t> </w:t>
      </w:r>
      <w:r>
        <w:rPr>
          <w:sz w:val="24"/>
        </w:rPr>
        <w:t>and difficult to </w:t>
      </w:r>
      <w:r>
        <w:rPr>
          <w:spacing w:val="-2"/>
          <w:sz w:val="24"/>
        </w:rPr>
        <w:t>contain.</w:t>
      </w:r>
    </w:p>
    <w:p>
      <w:pPr>
        <w:pStyle w:val="ListParagraph"/>
        <w:numPr>
          <w:ilvl w:val="0"/>
          <w:numId w:val="21"/>
        </w:numPr>
        <w:tabs>
          <w:tab w:pos="1980" w:val="left" w:leader="none"/>
        </w:tabs>
        <w:spacing w:line="240" w:lineRule="auto" w:before="138" w:after="0"/>
        <w:ind w:left="1980" w:right="0" w:hanging="540"/>
        <w:jc w:val="left"/>
        <w:rPr>
          <w:sz w:val="24"/>
        </w:rPr>
      </w:pPr>
      <w:r>
        <w:rPr>
          <w:sz w:val="24"/>
        </w:rPr>
        <w:t>Proliferation</w:t>
      </w:r>
      <w:r>
        <w:rPr>
          <w:spacing w:val="60"/>
          <w:sz w:val="24"/>
        </w:rPr>
        <w:t> </w:t>
      </w:r>
      <w:r>
        <w:rPr>
          <w:sz w:val="24"/>
        </w:rPr>
        <w:t>of</w:t>
      </w:r>
      <w:r>
        <w:rPr>
          <w:spacing w:val="62"/>
          <w:sz w:val="24"/>
        </w:rPr>
        <w:t> </w:t>
      </w:r>
      <w:r>
        <w:rPr>
          <w:sz w:val="24"/>
        </w:rPr>
        <w:t>arms</w:t>
      </w:r>
      <w:r>
        <w:rPr>
          <w:spacing w:val="65"/>
          <w:sz w:val="24"/>
        </w:rPr>
        <w:t> </w:t>
      </w:r>
      <w:r>
        <w:rPr>
          <w:sz w:val="24"/>
        </w:rPr>
        <w:t>-</w:t>
      </w:r>
      <w:r>
        <w:rPr>
          <w:spacing w:val="63"/>
          <w:sz w:val="24"/>
        </w:rPr>
        <w:t> </w:t>
      </w:r>
      <w:r>
        <w:rPr>
          <w:sz w:val="24"/>
        </w:rPr>
        <w:t>High</w:t>
      </w:r>
      <w:r>
        <w:rPr>
          <w:spacing w:val="61"/>
          <w:sz w:val="24"/>
        </w:rPr>
        <w:t> </w:t>
      </w:r>
      <w:r>
        <w:rPr>
          <w:sz w:val="24"/>
        </w:rPr>
        <w:t>incidence</w:t>
      </w:r>
      <w:r>
        <w:rPr>
          <w:spacing w:val="60"/>
          <w:sz w:val="24"/>
        </w:rPr>
        <w:t> </w:t>
      </w:r>
      <w:r>
        <w:rPr>
          <w:sz w:val="24"/>
        </w:rPr>
        <w:t>of</w:t>
      </w:r>
      <w:r>
        <w:rPr>
          <w:spacing w:val="62"/>
          <w:sz w:val="24"/>
        </w:rPr>
        <w:t> </w:t>
      </w:r>
      <w:r>
        <w:rPr>
          <w:sz w:val="24"/>
        </w:rPr>
        <w:t>Small</w:t>
      </w:r>
      <w:r>
        <w:rPr>
          <w:spacing w:val="61"/>
          <w:sz w:val="24"/>
        </w:rPr>
        <w:t> </w:t>
      </w:r>
      <w:r>
        <w:rPr>
          <w:sz w:val="24"/>
        </w:rPr>
        <w:t>Arms</w:t>
      </w:r>
      <w:r>
        <w:rPr>
          <w:spacing w:val="61"/>
          <w:sz w:val="24"/>
        </w:rPr>
        <w:t> </w:t>
      </w:r>
      <w:r>
        <w:rPr>
          <w:sz w:val="24"/>
        </w:rPr>
        <w:t>and</w:t>
      </w:r>
      <w:r>
        <w:rPr>
          <w:spacing w:val="65"/>
          <w:sz w:val="24"/>
        </w:rPr>
        <w:t> </w:t>
      </w:r>
      <w:r>
        <w:rPr>
          <w:sz w:val="24"/>
        </w:rPr>
        <w:t>Light</w:t>
      </w:r>
      <w:r>
        <w:rPr>
          <w:spacing w:val="63"/>
          <w:sz w:val="24"/>
        </w:rPr>
        <w:t> </w:t>
      </w:r>
      <w:r>
        <w:rPr>
          <w:spacing w:val="-2"/>
          <w:sz w:val="24"/>
        </w:rPr>
        <w:t>Weapons</w:t>
      </w:r>
    </w:p>
    <w:p>
      <w:pPr>
        <w:spacing w:after="0" w:line="240" w:lineRule="auto"/>
        <w:jc w:val="left"/>
        <w:rPr>
          <w:sz w:val="24"/>
        </w:rPr>
        <w:sectPr>
          <w:pgSz w:w="11910" w:h="16840"/>
          <w:pgMar w:header="0" w:footer="1561" w:top="1760" w:bottom="1760" w:left="720" w:right="180"/>
        </w:sectPr>
      </w:pPr>
    </w:p>
    <w:p>
      <w:pPr>
        <w:pStyle w:val="BodyText"/>
        <w:spacing w:before="60"/>
        <w:ind w:left="1980"/>
        <w:jc w:val="both"/>
      </w:pPr>
      <w:r>
        <w:rPr/>
        <mc:AlternateContent>
          <mc:Choice Requires="wps">
            <w:drawing>
              <wp:anchor distT="0" distB="0" distL="0" distR="0" allowOverlap="1" layoutInCell="1" locked="0" behindDoc="1" simplePos="0" relativeHeight="480648192">
                <wp:simplePos x="0" y="0"/>
                <wp:positionH relativeFrom="page">
                  <wp:posOffset>-1537026</wp:posOffset>
                </wp:positionH>
                <wp:positionV relativeFrom="page">
                  <wp:posOffset>4900424</wp:posOffset>
                </wp:positionV>
                <wp:extent cx="10669905" cy="914400"/>
                <wp:effectExtent l="0" t="0" r="0" b="0"/>
                <wp:wrapNone/>
                <wp:docPr id="253" name="Textbox 253"/>
                <wp:cNvGraphicFramePr>
                  <a:graphicFrameLocks/>
                </wp:cNvGraphicFramePr>
                <a:graphic>
                  <a:graphicData uri="http://schemas.microsoft.com/office/word/2010/wordprocessingShape">
                    <wps:wsp>
                      <wps:cNvPr id="253" name="Textbox 253"/>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68288;rotation:306" type="#_x0000_t136" fillcolor="#ff5400" stroked="f">
                <o:extrusion v:ext="view" autorotationcenter="t"/>
                <v:textpath style="font-family:&quot;Arial MT&quot;;font-size:72pt;v-text-kern:t;mso-text-shadow:auto" string="UNIVERSITY OF IBADAN"/>
                <w10:wrap type="none"/>
              </v:shape>
            </w:pict>
          </mc:Fallback>
        </mc:AlternateContent>
      </w:r>
      <w:r>
        <w:rPr/>
        <w:t>(SALW)</w:t>
      </w:r>
      <w:r>
        <w:rPr>
          <w:spacing w:val="-4"/>
        </w:rPr>
        <w:t> </w:t>
      </w:r>
      <w:r>
        <w:rPr>
          <w:spacing w:val="-2"/>
        </w:rPr>
        <w:t>proliferation.</w:t>
      </w:r>
    </w:p>
    <w:p>
      <w:pPr>
        <w:pStyle w:val="ListParagraph"/>
        <w:numPr>
          <w:ilvl w:val="0"/>
          <w:numId w:val="21"/>
        </w:numPr>
        <w:tabs>
          <w:tab w:pos="1979" w:val="left" w:leader="none"/>
        </w:tabs>
        <w:spacing w:line="240" w:lineRule="auto" w:before="137" w:after="0"/>
        <w:ind w:left="1979" w:right="0" w:hanging="539"/>
        <w:jc w:val="both"/>
        <w:rPr>
          <w:sz w:val="24"/>
        </w:rPr>
      </w:pPr>
      <w:r>
        <w:rPr>
          <w:sz w:val="24"/>
        </w:rPr>
        <w:t>General</w:t>
      </w:r>
      <w:r>
        <w:rPr>
          <w:spacing w:val="-3"/>
          <w:sz w:val="24"/>
        </w:rPr>
        <w:t> </w:t>
      </w:r>
      <w:r>
        <w:rPr>
          <w:spacing w:val="-2"/>
          <w:sz w:val="24"/>
        </w:rPr>
        <w:t>insecurity.</w:t>
      </w:r>
    </w:p>
    <w:p>
      <w:pPr>
        <w:pStyle w:val="BodyText"/>
        <w:spacing w:line="360" w:lineRule="auto" w:before="139"/>
        <w:ind w:right="2154"/>
        <w:jc w:val="both"/>
      </w:pPr>
      <w:r>
        <w:rPr/>
        <w:t>The</w:t>
      </w:r>
      <w:r>
        <w:rPr>
          <w:spacing w:val="-5"/>
        </w:rPr>
        <w:t> </w:t>
      </w:r>
      <w:r>
        <w:rPr/>
        <w:t>study</w:t>
      </w:r>
      <w:r>
        <w:rPr>
          <w:spacing w:val="-6"/>
        </w:rPr>
        <w:t> </w:t>
      </w:r>
      <w:r>
        <w:rPr/>
        <w:t>carried</w:t>
      </w:r>
      <w:r>
        <w:rPr>
          <w:spacing w:val="-3"/>
        </w:rPr>
        <w:t> </w:t>
      </w:r>
      <w:r>
        <w:rPr/>
        <w:t>out</w:t>
      </w:r>
      <w:r>
        <w:rPr>
          <w:spacing w:val="-3"/>
        </w:rPr>
        <w:t> </w:t>
      </w:r>
      <w:r>
        <w:rPr/>
        <w:t>a</w:t>
      </w:r>
      <w:r>
        <w:rPr>
          <w:spacing w:val="-3"/>
        </w:rPr>
        <w:t> </w:t>
      </w:r>
      <w:r>
        <w:rPr/>
        <w:t>risk</w:t>
      </w:r>
      <w:r>
        <w:rPr>
          <w:spacing w:val="-3"/>
        </w:rPr>
        <w:t> </w:t>
      </w:r>
      <w:r>
        <w:rPr/>
        <w:t>analysis</w:t>
      </w:r>
      <w:r>
        <w:rPr>
          <w:spacing w:val="-3"/>
        </w:rPr>
        <w:t> </w:t>
      </w:r>
      <w:r>
        <w:rPr/>
        <w:t>of</w:t>
      </w:r>
      <w:r>
        <w:rPr>
          <w:spacing w:val="-3"/>
        </w:rPr>
        <w:t> </w:t>
      </w:r>
      <w:r>
        <w:rPr/>
        <w:t>the</w:t>
      </w:r>
      <w:r>
        <w:rPr>
          <w:spacing w:val="-4"/>
        </w:rPr>
        <w:t> </w:t>
      </w:r>
      <w:r>
        <w:rPr/>
        <w:t>JTF</w:t>
      </w:r>
      <w:r>
        <w:rPr>
          <w:spacing w:val="-5"/>
        </w:rPr>
        <w:t> </w:t>
      </w:r>
      <w:r>
        <w:rPr/>
        <w:t>operations</w:t>
      </w:r>
      <w:r>
        <w:rPr>
          <w:spacing w:val="-3"/>
        </w:rPr>
        <w:t> </w:t>
      </w:r>
      <w:r>
        <w:rPr/>
        <w:t>in</w:t>
      </w:r>
      <w:r>
        <w:rPr>
          <w:spacing w:val="-3"/>
        </w:rPr>
        <w:t> </w:t>
      </w:r>
      <w:r>
        <w:rPr/>
        <w:t>the</w:t>
      </w:r>
      <w:r>
        <w:rPr>
          <w:spacing w:val="-3"/>
        </w:rPr>
        <w:t> </w:t>
      </w:r>
      <w:r>
        <w:rPr/>
        <w:t>Niger</w:t>
      </w:r>
      <w:r>
        <w:rPr>
          <w:spacing w:val="-3"/>
        </w:rPr>
        <w:t> </w:t>
      </w:r>
      <w:r>
        <w:rPr/>
        <w:t>Delta. This analysis revealed the following:</w:t>
      </w:r>
    </w:p>
    <w:p>
      <w:pPr>
        <w:pStyle w:val="ListParagraph"/>
        <w:numPr>
          <w:ilvl w:val="0"/>
          <w:numId w:val="22"/>
        </w:numPr>
        <w:tabs>
          <w:tab w:pos="2160" w:val="left" w:leader="none"/>
        </w:tabs>
        <w:spacing w:line="360" w:lineRule="auto" w:before="0" w:after="0"/>
        <w:ind w:left="2160" w:right="1254" w:hanging="720"/>
        <w:jc w:val="both"/>
        <w:rPr>
          <w:sz w:val="24"/>
        </w:rPr>
      </w:pPr>
      <w:r>
        <w:rPr>
          <w:sz w:val="24"/>
        </w:rPr>
        <w:t>The environment in the Niger Delta constitutes a risk factor knowing full well that guerrilla activities can thrive in such a difficult terrain.</w:t>
      </w:r>
      <w:r>
        <w:rPr>
          <w:spacing w:val="40"/>
          <w:sz w:val="24"/>
        </w:rPr>
        <w:t> </w:t>
      </w:r>
      <w:r>
        <w:rPr>
          <w:sz w:val="24"/>
        </w:rPr>
        <w:t>Aside, the area is characterised by numerous creeks and rivers which make navigation quite difficult.</w:t>
      </w:r>
      <w:r>
        <w:rPr>
          <w:spacing w:val="40"/>
          <w:sz w:val="24"/>
        </w:rPr>
        <w:t> </w:t>
      </w:r>
      <w:r>
        <w:rPr>
          <w:sz w:val="24"/>
        </w:rPr>
        <w:t>This inaccessibility on the part of the JTF is further compounded by the lack of specialised platforms such as Flat Bottom Boats (FBB), Fast Patrol Craft (FPC), Tug boats, Boat ambulance, inadequate gunboats and operational </w:t>
      </w:r>
      <w:r>
        <w:rPr>
          <w:spacing w:val="-2"/>
          <w:sz w:val="24"/>
        </w:rPr>
        <w:t>maps.</w:t>
      </w:r>
    </w:p>
    <w:p>
      <w:pPr>
        <w:pStyle w:val="ListParagraph"/>
        <w:numPr>
          <w:ilvl w:val="0"/>
          <w:numId w:val="22"/>
        </w:numPr>
        <w:tabs>
          <w:tab w:pos="2160" w:val="left" w:leader="none"/>
        </w:tabs>
        <w:spacing w:line="240" w:lineRule="auto" w:before="2" w:after="0"/>
        <w:ind w:left="2160" w:right="0" w:hanging="720"/>
        <w:jc w:val="both"/>
        <w:rPr>
          <w:sz w:val="24"/>
        </w:rPr>
      </w:pPr>
      <w:r>
        <w:rPr>
          <w:sz w:val="24"/>
        </w:rPr>
        <w:t>Another</w:t>
      </w:r>
      <w:r>
        <w:rPr>
          <w:spacing w:val="-1"/>
          <w:sz w:val="24"/>
        </w:rPr>
        <w:t> </w:t>
      </w:r>
      <w:r>
        <w:rPr>
          <w:sz w:val="24"/>
        </w:rPr>
        <w:t>risk factor is</w:t>
      </w:r>
      <w:r>
        <w:rPr>
          <w:spacing w:val="-1"/>
          <w:sz w:val="24"/>
        </w:rPr>
        <w:t> </w:t>
      </w:r>
      <w:r>
        <w:rPr>
          <w:sz w:val="24"/>
        </w:rPr>
        <w:t>the</w:t>
      </w:r>
      <w:r>
        <w:rPr>
          <w:spacing w:val="1"/>
          <w:sz w:val="24"/>
        </w:rPr>
        <w:t> </w:t>
      </w:r>
      <w:r>
        <w:rPr>
          <w:sz w:val="24"/>
        </w:rPr>
        <w:t>issue</w:t>
      </w:r>
      <w:r>
        <w:rPr>
          <w:spacing w:val="-1"/>
          <w:sz w:val="24"/>
        </w:rPr>
        <w:t> </w:t>
      </w:r>
      <w:r>
        <w:rPr>
          <w:sz w:val="24"/>
        </w:rPr>
        <w:t>of</w:t>
      </w:r>
      <w:r>
        <w:rPr>
          <w:spacing w:val="-2"/>
          <w:sz w:val="24"/>
        </w:rPr>
        <w:t> </w:t>
      </w:r>
      <w:r>
        <w:rPr>
          <w:sz w:val="24"/>
        </w:rPr>
        <w:t>arms proliferation in</w:t>
      </w:r>
      <w:r>
        <w:rPr>
          <w:spacing w:val="-1"/>
          <w:sz w:val="24"/>
        </w:rPr>
        <w:t> </w:t>
      </w:r>
      <w:r>
        <w:rPr>
          <w:sz w:val="24"/>
        </w:rPr>
        <w:t>the</w:t>
      </w:r>
      <w:r>
        <w:rPr>
          <w:spacing w:val="-1"/>
          <w:sz w:val="24"/>
        </w:rPr>
        <w:t> </w:t>
      </w:r>
      <w:r>
        <w:rPr>
          <w:sz w:val="24"/>
        </w:rPr>
        <w:t>Niger </w:t>
      </w:r>
      <w:r>
        <w:rPr>
          <w:spacing w:val="-2"/>
          <w:sz w:val="24"/>
        </w:rPr>
        <w:t>Delta.</w:t>
      </w:r>
    </w:p>
    <w:p>
      <w:pPr>
        <w:pStyle w:val="ListParagraph"/>
        <w:numPr>
          <w:ilvl w:val="0"/>
          <w:numId w:val="22"/>
        </w:numPr>
        <w:tabs>
          <w:tab w:pos="2160" w:val="left" w:leader="none"/>
        </w:tabs>
        <w:spacing w:line="360" w:lineRule="auto" w:before="137" w:after="0"/>
        <w:ind w:left="2160" w:right="1258" w:hanging="720"/>
        <w:jc w:val="both"/>
        <w:rPr>
          <w:sz w:val="24"/>
        </w:rPr>
      </w:pPr>
      <w:r>
        <w:rPr>
          <w:sz w:val="24"/>
        </w:rPr>
        <w:t>On</w:t>
      </w:r>
      <w:r>
        <w:rPr>
          <w:spacing w:val="-3"/>
          <w:sz w:val="24"/>
        </w:rPr>
        <w:t> </w:t>
      </w:r>
      <w:r>
        <w:rPr>
          <w:sz w:val="24"/>
        </w:rPr>
        <w:t>whether</w:t>
      </w:r>
      <w:r>
        <w:rPr>
          <w:spacing w:val="-3"/>
          <w:sz w:val="24"/>
        </w:rPr>
        <w:t> </w:t>
      </w:r>
      <w:r>
        <w:rPr>
          <w:sz w:val="24"/>
        </w:rPr>
        <w:t>the</w:t>
      </w:r>
      <w:r>
        <w:rPr>
          <w:spacing w:val="-3"/>
          <w:sz w:val="24"/>
        </w:rPr>
        <w:t> </w:t>
      </w:r>
      <w:r>
        <w:rPr>
          <w:sz w:val="24"/>
        </w:rPr>
        <w:t>JTF</w:t>
      </w:r>
      <w:r>
        <w:rPr>
          <w:spacing w:val="-5"/>
          <w:sz w:val="24"/>
        </w:rPr>
        <w:t> </w:t>
      </w:r>
      <w:r>
        <w:rPr>
          <w:sz w:val="24"/>
        </w:rPr>
        <w:t>activities</w:t>
      </w:r>
      <w:r>
        <w:rPr>
          <w:spacing w:val="-3"/>
          <w:sz w:val="24"/>
        </w:rPr>
        <w:t> </w:t>
      </w:r>
      <w:r>
        <w:rPr>
          <w:sz w:val="24"/>
        </w:rPr>
        <w:t>are</w:t>
      </w:r>
      <w:r>
        <w:rPr>
          <w:spacing w:val="-5"/>
          <w:sz w:val="24"/>
        </w:rPr>
        <w:t> </w:t>
      </w:r>
      <w:r>
        <w:rPr>
          <w:sz w:val="24"/>
        </w:rPr>
        <w:t>producing</w:t>
      </w:r>
      <w:r>
        <w:rPr>
          <w:spacing w:val="-6"/>
          <w:sz w:val="24"/>
        </w:rPr>
        <w:t> </w:t>
      </w:r>
      <w:r>
        <w:rPr>
          <w:sz w:val="24"/>
        </w:rPr>
        <w:t>some</w:t>
      </w:r>
      <w:r>
        <w:rPr>
          <w:spacing w:val="-2"/>
          <w:sz w:val="24"/>
        </w:rPr>
        <w:t> </w:t>
      </w:r>
      <w:r>
        <w:rPr>
          <w:sz w:val="24"/>
        </w:rPr>
        <w:t>negative</w:t>
      </w:r>
      <w:r>
        <w:rPr>
          <w:spacing w:val="-4"/>
          <w:sz w:val="24"/>
        </w:rPr>
        <w:t> </w:t>
      </w:r>
      <w:r>
        <w:rPr>
          <w:sz w:val="24"/>
        </w:rPr>
        <w:t>activities,</w:t>
      </w:r>
      <w:r>
        <w:rPr>
          <w:spacing w:val="-3"/>
          <w:sz w:val="24"/>
        </w:rPr>
        <w:t> </w:t>
      </w:r>
      <w:r>
        <w:rPr>
          <w:sz w:val="24"/>
        </w:rPr>
        <w:t>the</w:t>
      </w:r>
      <w:r>
        <w:rPr>
          <w:spacing w:val="-4"/>
          <w:sz w:val="24"/>
        </w:rPr>
        <w:t> </w:t>
      </w:r>
      <w:r>
        <w:rPr>
          <w:sz w:val="24"/>
        </w:rPr>
        <w:t>study is on the affirmative. The cases of collateral damages occasioned by the JTF tasks were recorded and at times these cases are inevitable.</w:t>
      </w:r>
      <w:r>
        <w:rPr>
          <w:spacing w:val="40"/>
          <w:sz w:val="24"/>
        </w:rPr>
        <w:t> </w:t>
      </w:r>
      <w:r>
        <w:rPr>
          <w:sz w:val="24"/>
        </w:rPr>
        <w:t>For instance, the Okrika episode involving the manhunt of the militia leader Ateke Tom, the May 2009 counterattacks on militant camps as well as the November 2010 attacks on John Togo‟s camp in Delta State are cases in point.</w:t>
      </w:r>
    </w:p>
    <w:p>
      <w:pPr>
        <w:pStyle w:val="ListParagraph"/>
        <w:numPr>
          <w:ilvl w:val="0"/>
          <w:numId w:val="22"/>
        </w:numPr>
        <w:tabs>
          <w:tab w:pos="2160" w:val="left" w:leader="none"/>
        </w:tabs>
        <w:spacing w:line="360" w:lineRule="auto" w:before="0" w:after="0"/>
        <w:ind w:left="2160" w:right="1261" w:hanging="720"/>
        <w:jc w:val="both"/>
        <w:rPr>
          <w:sz w:val="24"/>
        </w:rPr>
      </w:pPr>
      <w:r>
        <w:rPr>
          <w:sz w:val="24"/>
        </w:rPr>
        <w:t>In the course of JTF operation, they have created personal, diplomatic, political, social and economic risks.</w:t>
      </w:r>
    </w:p>
    <w:p>
      <w:pPr>
        <w:pStyle w:val="BodyText"/>
        <w:spacing w:before="5"/>
        <w:ind w:left="0"/>
      </w:pPr>
    </w:p>
    <w:p>
      <w:pPr>
        <w:pStyle w:val="Heading1"/>
        <w:numPr>
          <w:ilvl w:val="1"/>
          <w:numId w:val="19"/>
        </w:numPr>
        <w:tabs>
          <w:tab w:pos="2160" w:val="left" w:leader="none"/>
        </w:tabs>
        <w:spacing w:line="240" w:lineRule="auto" w:before="0" w:after="0"/>
        <w:ind w:left="2160" w:right="0" w:hanging="720"/>
        <w:jc w:val="both"/>
      </w:pPr>
      <w:bookmarkStart w:name="_TOC_250005" w:id="37"/>
      <w:r>
        <w:rPr/>
        <w:t>ACHIEVEMENTS</w:t>
      </w:r>
      <w:r>
        <w:rPr>
          <w:spacing w:val="-2"/>
        </w:rPr>
        <w:t> </w:t>
      </w:r>
      <w:r>
        <w:rPr/>
        <w:t>OF</w:t>
      </w:r>
      <w:r>
        <w:rPr>
          <w:spacing w:val="-3"/>
        </w:rPr>
        <w:t> </w:t>
      </w:r>
      <w:r>
        <w:rPr/>
        <w:t>OPERATION</w:t>
      </w:r>
      <w:r>
        <w:rPr>
          <w:spacing w:val="-1"/>
        </w:rPr>
        <w:t> </w:t>
      </w:r>
      <w:r>
        <w:rPr/>
        <w:t>RESTORE</w:t>
      </w:r>
      <w:r>
        <w:rPr>
          <w:spacing w:val="-1"/>
        </w:rPr>
        <w:t> </w:t>
      </w:r>
      <w:bookmarkEnd w:id="37"/>
      <w:r>
        <w:rPr>
          <w:spacing w:val="-4"/>
        </w:rPr>
        <w:t>HOPE</w:t>
      </w:r>
    </w:p>
    <w:p>
      <w:pPr>
        <w:pStyle w:val="BodyText"/>
        <w:spacing w:line="360" w:lineRule="auto" w:before="132"/>
        <w:ind w:right="1258" w:firstLine="720"/>
        <w:jc w:val="both"/>
      </w:pPr>
      <w:r>
        <w:rPr/>
        <w:t>Major General Sarki Yaki Bello, the Commander JTF Operation RESTORE HOPE believes that the Task Force has recorded relative success especially in the areas of security of lives and properties, abatement in inter-communal conflicts, opening of blocked waterways for free flow of economic activities and peace enhancement initiatives. These achievements are therefore subsequently examined.</w:t>
      </w:r>
      <w:r>
        <w:rPr>
          <w:vertAlign w:val="superscript"/>
        </w:rPr>
        <w:t>11</w:t>
      </w:r>
    </w:p>
    <w:p>
      <w:pPr>
        <w:pStyle w:val="Heading2"/>
        <w:numPr>
          <w:ilvl w:val="2"/>
          <w:numId w:val="19"/>
        </w:numPr>
        <w:tabs>
          <w:tab w:pos="2160" w:val="left" w:leader="none"/>
        </w:tabs>
        <w:spacing w:line="240" w:lineRule="auto" w:before="6" w:after="0"/>
        <w:ind w:left="2160" w:right="0" w:hanging="720"/>
        <w:jc w:val="both"/>
      </w:pPr>
      <w:r>
        <w:rPr/>
        <w:t>Reduction</w:t>
      </w:r>
      <w:r>
        <w:rPr>
          <w:spacing w:val="-2"/>
        </w:rPr>
        <w:t> </w:t>
      </w:r>
      <w:r>
        <w:rPr/>
        <w:t>in</w:t>
      </w:r>
      <w:r>
        <w:rPr>
          <w:spacing w:val="-2"/>
        </w:rPr>
        <w:t> </w:t>
      </w:r>
      <w:r>
        <w:rPr/>
        <w:t>Oil</w:t>
      </w:r>
      <w:r>
        <w:rPr>
          <w:spacing w:val="-3"/>
        </w:rPr>
        <w:t> </w:t>
      </w:r>
      <w:r>
        <w:rPr/>
        <w:t>Bunkering</w:t>
      </w:r>
      <w:r>
        <w:rPr>
          <w:spacing w:val="-1"/>
        </w:rPr>
        <w:t> </w:t>
      </w:r>
      <w:r>
        <w:rPr/>
        <w:t>and</w:t>
      </w:r>
      <w:r>
        <w:rPr>
          <w:spacing w:val="-2"/>
        </w:rPr>
        <w:t> </w:t>
      </w:r>
      <w:r>
        <w:rPr/>
        <w:t>Pipeline</w:t>
      </w:r>
      <w:r>
        <w:rPr>
          <w:spacing w:val="-2"/>
        </w:rPr>
        <w:t> Vandalisation</w:t>
      </w:r>
    </w:p>
    <w:p>
      <w:pPr>
        <w:pStyle w:val="BodyText"/>
        <w:spacing w:line="360" w:lineRule="auto" w:before="133"/>
        <w:ind w:right="1255" w:firstLine="660"/>
        <w:jc w:val="both"/>
      </w:pPr>
      <w:r>
        <w:rPr/>
        <w:t>Some potent threats to the nation‟s economy identified in the Niger Delta included illegal oil bunkering, operation of illegal oil refineries and pipeline vandalism.</w:t>
      </w:r>
      <w:r>
        <w:rPr>
          <w:spacing w:val="40"/>
        </w:rPr>
        <w:t> </w:t>
      </w:r>
      <w:r>
        <w:rPr/>
        <w:t>Pipeline vandalism occurs either of oil wellheads, pipeline channel, into terminals or flow stations in the creeks or pipeline that passes through communities</w:t>
      </w:r>
      <w:r>
        <w:rPr>
          <w:spacing w:val="80"/>
        </w:rPr>
        <w:t> </w:t>
      </w:r>
      <w:r>
        <w:rPr/>
        <w:t>on</w:t>
      </w:r>
      <w:r>
        <w:rPr>
          <w:spacing w:val="3"/>
        </w:rPr>
        <w:t> </w:t>
      </w:r>
      <w:r>
        <w:rPr/>
        <w:t>land.</w:t>
      </w:r>
      <w:r>
        <w:rPr>
          <w:spacing w:val="74"/>
        </w:rPr>
        <w:t> </w:t>
      </w:r>
      <w:r>
        <w:rPr/>
        <w:t>Prior</w:t>
      </w:r>
      <w:r>
        <w:rPr>
          <w:spacing w:val="5"/>
        </w:rPr>
        <w:t> </w:t>
      </w:r>
      <w:r>
        <w:rPr/>
        <w:t>to</w:t>
      </w:r>
      <w:r>
        <w:rPr>
          <w:spacing w:val="7"/>
        </w:rPr>
        <w:t> </w:t>
      </w:r>
      <w:r>
        <w:rPr/>
        <w:t>the</w:t>
      </w:r>
      <w:r>
        <w:rPr>
          <w:spacing w:val="6"/>
        </w:rPr>
        <w:t> </w:t>
      </w:r>
      <w:r>
        <w:rPr/>
        <w:t>declaration</w:t>
      </w:r>
      <w:r>
        <w:rPr>
          <w:spacing w:val="5"/>
        </w:rPr>
        <w:t> </w:t>
      </w:r>
      <w:r>
        <w:rPr/>
        <w:t>of</w:t>
      </w:r>
      <w:r>
        <w:rPr>
          <w:spacing w:val="6"/>
        </w:rPr>
        <w:t> </w:t>
      </w:r>
      <w:r>
        <w:rPr/>
        <w:t>amnesty</w:t>
      </w:r>
      <w:r>
        <w:rPr>
          <w:spacing w:val="2"/>
        </w:rPr>
        <w:t> </w:t>
      </w:r>
      <w:r>
        <w:rPr/>
        <w:t>for</w:t>
      </w:r>
      <w:r>
        <w:rPr>
          <w:spacing w:val="7"/>
        </w:rPr>
        <w:t> </w:t>
      </w:r>
      <w:r>
        <w:rPr/>
        <w:t>militants</w:t>
      </w:r>
      <w:r>
        <w:rPr>
          <w:spacing w:val="6"/>
        </w:rPr>
        <w:t> </w:t>
      </w:r>
      <w:r>
        <w:rPr/>
        <w:t>by</w:t>
      </w:r>
      <w:r>
        <w:rPr>
          <w:spacing w:val="-1"/>
        </w:rPr>
        <w:t> </w:t>
      </w:r>
      <w:r>
        <w:rPr/>
        <w:t>the</w:t>
      </w:r>
      <w:r>
        <w:rPr>
          <w:spacing w:val="8"/>
        </w:rPr>
        <w:t> </w:t>
      </w:r>
      <w:r>
        <w:rPr/>
        <w:t>Federal</w:t>
      </w:r>
      <w:r>
        <w:rPr>
          <w:spacing w:val="9"/>
        </w:rPr>
        <w:t> </w:t>
      </w:r>
      <w:r>
        <w:rPr>
          <w:spacing w:val="-2"/>
        </w:rPr>
        <w:t>Government,</w:t>
      </w:r>
    </w:p>
    <w:p>
      <w:pPr>
        <w:spacing w:after="0" w:line="360" w:lineRule="auto"/>
        <w:jc w:val="both"/>
        <w:sectPr>
          <w:pgSz w:w="11910" w:h="16840"/>
          <w:pgMar w:header="0" w:footer="1561" w:top="1360" w:bottom="1760" w:left="720" w:right="180"/>
        </w:sectPr>
      </w:pPr>
    </w:p>
    <w:p>
      <w:pPr>
        <w:pStyle w:val="BodyText"/>
        <w:spacing w:line="360" w:lineRule="auto" w:before="60"/>
        <w:ind w:right="1266"/>
        <w:jc w:val="both"/>
      </w:pPr>
      <w:r>
        <w:rPr/>
        <mc:AlternateContent>
          <mc:Choice Requires="wps">
            <w:drawing>
              <wp:anchor distT="0" distB="0" distL="0" distR="0" allowOverlap="1" layoutInCell="1" locked="0" behindDoc="1" simplePos="0" relativeHeight="480649216">
                <wp:simplePos x="0" y="0"/>
                <wp:positionH relativeFrom="page">
                  <wp:posOffset>-1537026</wp:posOffset>
                </wp:positionH>
                <wp:positionV relativeFrom="page">
                  <wp:posOffset>4900424</wp:posOffset>
                </wp:positionV>
                <wp:extent cx="10669905" cy="914400"/>
                <wp:effectExtent l="0" t="0" r="0" b="0"/>
                <wp:wrapNone/>
                <wp:docPr id="254" name="Textbox 254"/>
                <wp:cNvGraphicFramePr>
                  <a:graphicFrameLocks/>
                </wp:cNvGraphicFramePr>
                <a:graphic>
                  <a:graphicData uri="http://schemas.microsoft.com/office/word/2010/wordprocessingShape">
                    <wps:wsp>
                      <wps:cNvPr id="254" name="Textbox 254"/>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67264;rotation:306" type="#_x0000_t136" fillcolor="#ff5400" stroked="f">
                <o:extrusion v:ext="view" autorotationcenter="t"/>
                <v:textpath style="font-family:&quot;Arial MT&quot;;font-size:72pt;v-text-kern:t;mso-text-shadow:auto" string="UNIVERSITY OF IBADAN"/>
                <w10:wrap type="none"/>
              </v:shape>
            </w:pict>
          </mc:Fallback>
        </mc:AlternateContent>
      </w:r>
      <w:r>
        <w:rPr/>
        <w:drawing>
          <wp:anchor distT="0" distB="0" distL="0" distR="0" allowOverlap="1" layoutInCell="1" locked="0" behindDoc="0" simplePos="0" relativeHeight="15820288">
            <wp:simplePos x="0" y="0"/>
            <wp:positionH relativeFrom="page">
              <wp:posOffset>1390650</wp:posOffset>
            </wp:positionH>
            <wp:positionV relativeFrom="paragraph">
              <wp:posOffset>1093724</wp:posOffset>
            </wp:positionV>
            <wp:extent cx="4214495" cy="3150743"/>
            <wp:effectExtent l="0" t="0" r="0" b="0"/>
            <wp:wrapNone/>
            <wp:docPr id="255" name="Image 255" descr="DSC00512"/>
            <wp:cNvGraphicFramePr>
              <a:graphicFrameLocks/>
            </wp:cNvGraphicFramePr>
            <a:graphic>
              <a:graphicData uri="http://schemas.openxmlformats.org/drawingml/2006/picture">
                <pic:pic>
                  <pic:nvPicPr>
                    <pic:cNvPr id="255" name="Image 255" descr="DSC00512"/>
                    <pic:cNvPicPr/>
                  </pic:nvPicPr>
                  <pic:blipFill>
                    <a:blip r:embed="rId66" cstate="print"/>
                    <a:stretch>
                      <a:fillRect/>
                    </a:stretch>
                  </pic:blipFill>
                  <pic:spPr>
                    <a:xfrm>
                      <a:off x="0" y="0"/>
                      <a:ext cx="4214495" cy="3150743"/>
                    </a:xfrm>
                    <a:prstGeom prst="rect">
                      <a:avLst/>
                    </a:prstGeom>
                  </pic:spPr>
                </pic:pic>
              </a:graphicData>
            </a:graphic>
          </wp:anchor>
        </w:drawing>
      </w:r>
      <w:r>
        <w:rPr/>
        <w:t>there were major attacks on oil pipelines within the region.</w:t>
      </w:r>
      <w:r>
        <w:rPr>
          <w:spacing w:val="40"/>
        </w:rPr>
        <w:t> </w:t>
      </w:r>
      <w:r>
        <w:rPr/>
        <w:t>However, with the successes recorded by the Amnesty programme aside the robust effort of JTF, sabotage activities have greatly reduced except some isolated cases.</w: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1"/>
        <w:ind w:left="0"/>
      </w:pPr>
    </w:p>
    <w:p>
      <w:pPr>
        <w:pStyle w:val="Heading2"/>
        <w:spacing w:line="360" w:lineRule="auto"/>
        <w:ind w:right="3654"/>
      </w:pPr>
      <w:r>
        <w:rPr/>
        <w:t>Plate</w:t>
      </w:r>
      <w:r>
        <w:rPr>
          <w:spacing w:val="-6"/>
        </w:rPr>
        <w:t> </w:t>
      </w:r>
      <w:r>
        <w:rPr/>
        <w:t>42:</w:t>
      </w:r>
      <w:r>
        <w:rPr>
          <w:spacing w:val="-6"/>
        </w:rPr>
        <w:t> </w:t>
      </w:r>
      <w:r>
        <w:rPr/>
        <w:t>Operations</w:t>
      </w:r>
      <w:r>
        <w:rPr>
          <w:spacing w:val="-5"/>
        </w:rPr>
        <w:t> </w:t>
      </w:r>
      <w:r>
        <w:rPr/>
        <w:t>of</w:t>
      </w:r>
      <w:r>
        <w:rPr>
          <w:spacing w:val="-5"/>
        </w:rPr>
        <w:t> </w:t>
      </w:r>
      <w:r>
        <w:rPr/>
        <w:t>Illegal</w:t>
      </w:r>
      <w:r>
        <w:rPr>
          <w:spacing w:val="-5"/>
        </w:rPr>
        <w:t> </w:t>
      </w:r>
      <w:r>
        <w:rPr/>
        <w:t>Refineries</w:t>
      </w:r>
      <w:r>
        <w:rPr>
          <w:spacing w:val="-5"/>
        </w:rPr>
        <w:t> </w:t>
      </w:r>
      <w:r>
        <w:rPr/>
        <w:t>in</w:t>
      </w:r>
      <w:r>
        <w:rPr>
          <w:spacing w:val="-5"/>
        </w:rPr>
        <w:t> </w:t>
      </w:r>
      <w:r>
        <w:rPr/>
        <w:t>Niger</w:t>
      </w:r>
      <w:r>
        <w:rPr>
          <w:spacing w:val="-6"/>
        </w:rPr>
        <w:t> </w:t>
      </w:r>
      <w:r>
        <w:rPr/>
        <w:t>Delta Source : Researcher’s Fieldwork, 20 September 2010</w:t>
      </w:r>
    </w:p>
    <w:p>
      <w:pPr>
        <w:pStyle w:val="BodyText"/>
        <w:spacing w:before="81"/>
        <w:ind w:left="0"/>
        <w:rPr>
          <w:b/>
          <w:sz w:val="20"/>
        </w:rPr>
      </w:pPr>
      <w:r>
        <w:rPr/>
        <w:drawing>
          <wp:anchor distT="0" distB="0" distL="0" distR="0" allowOverlap="1" layoutInCell="1" locked="0" behindDoc="1" simplePos="0" relativeHeight="487678464">
            <wp:simplePos x="0" y="0"/>
            <wp:positionH relativeFrom="page">
              <wp:posOffset>1390650</wp:posOffset>
            </wp:positionH>
            <wp:positionV relativeFrom="paragraph">
              <wp:posOffset>213261</wp:posOffset>
            </wp:positionV>
            <wp:extent cx="4364139" cy="2643759"/>
            <wp:effectExtent l="0" t="0" r="0" b="0"/>
            <wp:wrapTopAndBottom/>
            <wp:docPr id="256" name="Image 256"/>
            <wp:cNvGraphicFramePr>
              <a:graphicFrameLocks/>
            </wp:cNvGraphicFramePr>
            <a:graphic>
              <a:graphicData uri="http://schemas.openxmlformats.org/drawingml/2006/picture">
                <pic:pic>
                  <pic:nvPicPr>
                    <pic:cNvPr id="256" name="Image 256"/>
                    <pic:cNvPicPr/>
                  </pic:nvPicPr>
                  <pic:blipFill>
                    <a:blip r:embed="rId67" cstate="print"/>
                    <a:stretch>
                      <a:fillRect/>
                    </a:stretch>
                  </pic:blipFill>
                  <pic:spPr>
                    <a:xfrm>
                      <a:off x="0" y="0"/>
                      <a:ext cx="4364139" cy="2643759"/>
                    </a:xfrm>
                    <a:prstGeom prst="rect">
                      <a:avLst/>
                    </a:prstGeom>
                  </pic:spPr>
                </pic:pic>
              </a:graphicData>
            </a:graphic>
          </wp:anchor>
        </w:drawing>
      </w:r>
    </w:p>
    <w:p>
      <w:pPr>
        <w:spacing w:line="360" w:lineRule="auto" w:before="54"/>
        <w:ind w:left="1440" w:right="3112" w:firstLine="0"/>
        <w:jc w:val="left"/>
        <w:rPr>
          <w:b/>
          <w:sz w:val="24"/>
        </w:rPr>
      </w:pPr>
      <w:r>
        <w:rPr>
          <w:b/>
          <w:sz w:val="24"/>
        </w:rPr>
        <w:t>Plate</w:t>
      </w:r>
      <w:r>
        <w:rPr>
          <w:b/>
          <w:spacing w:val="-6"/>
          <w:sz w:val="24"/>
        </w:rPr>
        <w:t> </w:t>
      </w:r>
      <w:r>
        <w:rPr>
          <w:b/>
          <w:sz w:val="24"/>
        </w:rPr>
        <w:t>43:</w:t>
      </w:r>
      <w:r>
        <w:rPr>
          <w:b/>
          <w:spacing w:val="-5"/>
          <w:sz w:val="24"/>
        </w:rPr>
        <w:t> </w:t>
      </w:r>
      <w:r>
        <w:rPr>
          <w:b/>
          <w:sz w:val="24"/>
        </w:rPr>
        <w:t>Operations</w:t>
      </w:r>
      <w:r>
        <w:rPr>
          <w:b/>
          <w:spacing w:val="-5"/>
          <w:sz w:val="24"/>
        </w:rPr>
        <w:t> </w:t>
      </w:r>
      <w:r>
        <w:rPr>
          <w:b/>
          <w:sz w:val="24"/>
        </w:rPr>
        <w:t>of</w:t>
      </w:r>
      <w:r>
        <w:rPr>
          <w:b/>
          <w:spacing w:val="-4"/>
          <w:sz w:val="24"/>
        </w:rPr>
        <w:t> </w:t>
      </w:r>
      <w:r>
        <w:rPr>
          <w:b/>
          <w:sz w:val="24"/>
        </w:rPr>
        <w:t>Illegal</w:t>
      </w:r>
      <w:r>
        <w:rPr>
          <w:b/>
          <w:spacing w:val="-5"/>
          <w:sz w:val="24"/>
        </w:rPr>
        <w:t> </w:t>
      </w:r>
      <w:r>
        <w:rPr>
          <w:b/>
          <w:sz w:val="24"/>
        </w:rPr>
        <w:t>Refineries</w:t>
      </w:r>
      <w:r>
        <w:rPr>
          <w:b/>
          <w:spacing w:val="-5"/>
          <w:sz w:val="24"/>
        </w:rPr>
        <w:t> </w:t>
      </w:r>
      <w:r>
        <w:rPr>
          <w:b/>
          <w:sz w:val="24"/>
        </w:rPr>
        <w:t>in</w:t>
      </w:r>
      <w:r>
        <w:rPr>
          <w:b/>
          <w:spacing w:val="-5"/>
          <w:sz w:val="24"/>
        </w:rPr>
        <w:t> </w:t>
      </w:r>
      <w:r>
        <w:rPr>
          <w:b/>
          <w:sz w:val="24"/>
        </w:rPr>
        <w:t>the</w:t>
      </w:r>
      <w:r>
        <w:rPr>
          <w:b/>
          <w:spacing w:val="-6"/>
          <w:sz w:val="24"/>
        </w:rPr>
        <w:t> </w:t>
      </w:r>
      <w:r>
        <w:rPr>
          <w:b/>
          <w:sz w:val="24"/>
        </w:rPr>
        <w:t>Niger</w:t>
      </w:r>
      <w:r>
        <w:rPr>
          <w:b/>
          <w:spacing w:val="-6"/>
          <w:sz w:val="24"/>
        </w:rPr>
        <w:t> </w:t>
      </w:r>
      <w:r>
        <w:rPr>
          <w:b/>
          <w:sz w:val="24"/>
        </w:rPr>
        <w:t>Delta Source: Researcher’s Fieldwork, 14</w:t>
      </w:r>
      <w:r>
        <w:rPr>
          <w:b/>
          <w:spacing w:val="40"/>
          <w:sz w:val="24"/>
        </w:rPr>
        <w:t> </w:t>
      </w:r>
      <w:r>
        <w:rPr>
          <w:b/>
          <w:sz w:val="24"/>
        </w:rPr>
        <w:t>September 2011</w:t>
      </w:r>
    </w:p>
    <w:p>
      <w:pPr>
        <w:spacing w:after="0" w:line="360" w:lineRule="auto"/>
        <w:jc w:val="left"/>
        <w:rPr>
          <w:sz w:val="24"/>
        </w:rPr>
        <w:sectPr>
          <w:pgSz w:w="11910" w:h="16840"/>
          <w:pgMar w:header="0" w:footer="1561" w:top="1360" w:bottom="1760" w:left="720" w:right="180"/>
        </w:sectPr>
      </w:pPr>
    </w:p>
    <w:p>
      <w:pPr>
        <w:pStyle w:val="BodyText"/>
        <w:spacing w:line="360" w:lineRule="auto" w:before="60"/>
        <w:ind w:right="1256" w:firstLine="1020"/>
        <w:jc w:val="both"/>
      </w:pPr>
      <w:r>
        <w:rPr/>
        <mc:AlternateContent>
          <mc:Choice Requires="wps">
            <w:drawing>
              <wp:anchor distT="0" distB="0" distL="0" distR="0" allowOverlap="1" layoutInCell="1" locked="0" behindDoc="1" simplePos="0" relativeHeight="480650240">
                <wp:simplePos x="0" y="0"/>
                <wp:positionH relativeFrom="page">
                  <wp:posOffset>-1537026</wp:posOffset>
                </wp:positionH>
                <wp:positionV relativeFrom="page">
                  <wp:posOffset>4900424</wp:posOffset>
                </wp:positionV>
                <wp:extent cx="10669905" cy="914400"/>
                <wp:effectExtent l="0" t="0" r="0" b="0"/>
                <wp:wrapNone/>
                <wp:docPr id="257" name="Textbox 257"/>
                <wp:cNvGraphicFramePr>
                  <a:graphicFrameLocks/>
                </wp:cNvGraphicFramePr>
                <a:graphic>
                  <a:graphicData uri="http://schemas.microsoft.com/office/word/2010/wordprocessingShape">
                    <wps:wsp>
                      <wps:cNvPr id="257" name="Textbox 257"/>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66240;rotation:306" type="#_x0000_t136" fillcolor="#ff5400" stroked="f">
                <o:extrusion v:ext="view" autorotationcenter="t"/>
                <v:textpath style="font-family:&quot;Arial MT&quot;;font-size:72pt;v-text-kern:t;mso-text-shadow:auto" string="UNIVERSITY OF IBADAN"/>
                <w10:wrap type="none"/>
              </v:shape>
            </w:pict>
          </mc:Fallback>
        </mc:AlternateContent>
      </w:r>
      <w:r>
        <w:rPr/>
        <w:t>The weak entry strategy notwithstanding, the JTF operation recorded much achievement in the battle against illegal oil bunkering and pipeline vandalisation.</w:t>
      </w:r>
      <w:r>
        <w:rPr>
          <w:spacing w:val="40"/>
        </w:rPr>
        <w:t> </w:t>
      </w:r>
      <w:r>
        <w:rPr/>
        <w:t>For instance; between December 2007 and January 2008 alone, the JTF had effected the arrest of 47 persons, 6 barges, 2 tug boats and dozens of surface fuel tankers</w:t>
      </w:r>
      <w:r>
        <w:rPr>
          <w:spacing w:val="40"/>
        </w:rPr>
        <w:t> </w:t>
      </w:r>
      <w:r>
        <w:rPr/>
        <w:t>ascribable to illegal oil bunkering and pipeline vandalisation.</w:t>
      </w:r>
      <w:r>
        <w:rPr>
          <w:spacing w:val="40"/>
        </w:rPr>
        <w:t> </w:t>
      </w:r>
      <w:r>
        <w:rPr/>
        <w:t>Statistics of petroleum products recovered</w:t>
      </w:r>
      <w:r>
        <w:rPr>
          <w:spacing w:val="1"/>
        </w:rPr>
        <w:t> </w:t>
      </w:r>
      <w:r>
        <w:rPr/>
        <w:t>from</w:t>
      </w:r>
      <w:r>
        <w:rPr>
          <w:spacing w:val="4"/>
        </w:rPr>
        <w:t> </w:t>
      </w:r>
      <w:r>
        <w:rPr/>
        <w:t>illegal</w:t>
      </w:r>
      <w:r>
        <w:rPr>
          <w:spacing w:val="1"/>
        </w:rPr>
        <w:t> </w:t>
      </w:r>
      <w:r>
        <w:rPr/>
        <w:t>bunkerers</w:t>
      </w:r>
      <w:r>
        <w:rPr>
          <w:spacing w:val="3"/>
        </w:rPr>
        <w:t> </w:t>
      </w:r>
      <w:r>
        <w:rPr/>
        <w:t>for</w:t>
      </w:r>
      <w:r>
        <w:rPr>
          <w:spacing w:val="3"/>
        </w:rPr>
        <w:t> </w:t>
      </w:r>
      <w:r>
        <w:rPr/>
        <w:t>years</w:t>
      </w:r>
      <w:r>
        <w:rPr>
          <w:spacing w:val="1"/>
        </w:rPr>
        <w:t> </w:t>
      </w:r>
      <w:r>
        <w:rPr/>
        <w:t>2001</w:t>
      </w:r>
      <w:r>
        <w:rPr>
          <w:spacing w:val="1"/>
        </w:rPr>
        <w:t> </w:t>
      </w:r>
      <w:r>
        <w:rPr/>
        <w:t>through</w:t>
      </w:r>
      <w:r>
        <w:rPr>
          <w:spacing w:val="1"/>
        </w:rPr>
        <w:t> </w:t>
      </w:r>
      <w:r>
        <w:rPr/>
        <w:t>2008</w:t>
      </w:r>
      <w:r>
        <w:rPr>
          <w:spacing w:val="1"/>
        </w:rPr>
        <w:t> </w:t>
      </w:r>
      <w:r>
        <w:rPr/>
        <w:t>is</w:t>
      </w:r>
      <w:r>
        <w:rPr>
          <w:spacing w:val="4"/>
        </w:rPr>
        <w:t> </w:t>
      </w:r>
      <w:r>
        <w:rPr/>
        <w:t>at</w:t>
      </w:r>
      <w:r>
        <w:rPr>
          <w:spacing w:val="1"/>
        </w:rPr>
        <w:t> </w:t>
      </w:r>
      <w:r>
        <w:rPr>
          <w:spacing w:val="-2"/>
        </w:rPr>
        <w:t>Appendix</w:t>
      </w:r>
    </w:p>
    <w:p>
      <w:pPr>
        <w:pStyle w:val="BodyText"/>
        <w:spacing w:line="360" w:lineRule="auto" w:before="1"/>
        <w:ind w:right="1253"/>
        <w:jc w:val="both"/>
      </w:pPr>
      <w:r>
        <w:rPr/>
        <w:drawing>
          <wp:anchor distT="0" distB="0" distL="0" distR="0" allowOverlap="1" layoutInCell="1" locked="0" behindDoc="0" simplePos="0" relativeHeight="15821312">
            <wp:simplePos x="0" y="0"/>
            <wp:positionH relativeFrom="page">
              <wp:posOffset>1390650</wp:posOffset>
            </wp:positionH>
            <wp:positionV relativeFrom="paragraph">
              <wp:posOffset>2633097</wp:posOffset>
            </wp:positionV>
            <wp:extent cx="4512945" cy="3020948"/>
            <wp:effectExtent l="0" t="0" r="0" b="0"/>
            <wp:wrapNone/>
            <wp:docPr id="258" name="Image 258" descr="G:\New Folder\DSC00443.JPG"/>
            <wp:cNvGraphicFramePr>
              <a:graphicFrameLocks/>
            </wp:cNvGraphicFramePr>
            <a:graphic>
              <a:graphicData uri="http://schemas.openxmlformats.org/drawingml/2006/picture">
                <pic:pic>
                  <pic:nvPicPr>
                    <pic:cNvPr id="258" name="Image 258" descr="G:\New Folder\DSC00443.JPG"/>
                    <pic:cNvPicPr/>
                  </pic:nvPicPr>
                  <pic:blipFill>
                    <a:blip r:embed="rId68" cstate="print"/>
                    <a:stretch>
                      <a:fillRect/>
                    </a:stretch>
                  </pic:blipFill>
                  <pic:spPr>
                    <a:xfrm>
                      <a:off x="0" y="0"/>
                      <a:ext cx="4512945" cy="3020948"/>
                    </a:xfrm>
                    <a:prstGeom prst="rect">
                      <a:avLst/>
                    </a:prstGeom>
                  </pic:spPr>
                </pic:pic>
              </a:graphicData>
            </a:graphic>
          </wp:anchor>
        </w:drawing>
      </w:r>
      <w:r>
        <w:rPr/>
        <w:t>5. Similarly, 93 persons were arrested for illegal oil bunkering and pipeline vandalisation.</w:t>
      </w:r>
      <w:r>
        <w:rPr>
          <w:spacing w:val="40"/>
        </w:rPr>
        <w:t> </w:t>
      </w:r>
      <w:r>
        <w:rPr/>
        <w:t>There were also 34 barges, 91 wooden boats, 57 fuel tankers and 55 surface fuel tanks with crude oil and condensate, seized between January and August 2008 due to the JTF pro-active patrols. Statistics of pipeline vandalism and illegal oil bunkering between January-November 2008 are captured in figures 2 and 3.</w:t>
      </w:r>
      <w:r>
        <w:rPr>
          <w:spacing w:val="40"/>
        </w:rPr>
        <w:t> </w:t>
      </w:r>
      <w:r>
        <w:rPr/>
        <w:t>Lastly, 14 Filipinos were arrested in their alleged process of loading about 150 metric tonnes of crude oil from AGIP pipeline around AKASSA and BRASS while the arrested culprits had been handed over</w:t>
      </w:r>
      <w:r>
        <w:rPr>
          <w:spacing w:val="-1"/>
        </w:rPr>
        <w:t> </w:t>
      </w:r>
      <w:r>
        <w:rPr/>
        <w:t>to the EFCC.</w:t>
      </w:r>
      <w:r>
        <w:rPr>
          <w:spacing w:val="80"/>
        </w:rPr>
        <w:t> </w:t>
      </w:r>
      <w:r>
        <w:rPr/>
        <w:t>The confiscated items had been returned to the legitimate owners. For instance, 461,500 metric tonnes of crude oil were</w:t>
      </w:r>
      <w:r>
        <w:rPr>
          <w:spacing w:val="40"/>
        </w:rPr>
        <w:t> </w:t>
      </w:r>
      <w:r>
        <w:rPr/>
        <w:t>handed over to the appropriate oil companies.</w: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211"/>
        <w:ind w:left="0"/>
      </w:pPr>
    </w:p>
    <w:p>
      <w:pPr>
        <w:pStyle w:val="Heading2"/>
        <w:spacing w:line="360" w:lineRule="auto"/>
        <w:ind w:left="1740" w:right="3654"/>
      </w:pPr>
      <w:r>
        <w:rPr/>
        <w:t>Plate 44: Oil Bunkerers Arrested</w:t>
      </w:r>
      <w:r>
        <w:rPr>
          <w:spacing w:val="40"/>
        </w:rPr>
        <w:t> </w:t>
      </w:r>
      <w:r>
        <w:rPr/>
        <w:t>by the JTF Troops Source</w:t>
      </w:r>
      <w:r>
        <w:rPr>
          <w:spacing w:val="-8"/>
        </w:rPr>
        <w:t> </w:t>
      </w:r>
      <w:r>
        <w:rPr/>
        <w:t>:</w:t>
      </w:r>
      <w:r>
        <w:rPr>
          <w:spacing w:val="-8"/>
        </w:rPr>
        <w:t> </w:t>
      </w:r>
      <w:r>
        <w:rPr/>
        <w:t>Researcher’s</w:t>
      </w:r>
      <w:r>
        <w:rPr>
          <w:spacing w:val="-8"/>
        </w:rPr>
        <w:t> </w:t>
      </w:r>
      <w:r>
        <w:rPr/>
        <w:t>Fieldwork,</w:t>
      </w:r>
      <w:r>
        <w:rPr>
          <w:spacing w:val="-7"/>
        </w:rPr>
        <w:t> </w:t>
      </w:r>
      <w:r>
        <w:rPr/>
        <w:t>14</w:t>
      </w:r>
      <w:r>
        <w:rPr>
          <w:spacing w:val="-7"/>
        </w:rPr>
        <w:t> </w:t>
      </w:r>
      <w:r>
        <w:rPr/>
        <w:t>September,</w:t>
      </w:r>
      <w:r>
        <w:rPr>
          <w:spacing w:val="-7"/>
        </w:rPr>
        <w:t> </w:t>
      </w:r>
      <w:r>
        <w:rPr/>
        <w:t>2010</w:t>
      </w:r>
    </w:p>
    <w:p>
      <w:pPr>
        <w:spacing w:after="0" w:line="360" w:lineRule="auto"/>
        <w:sectPr>
          <w:pgSz w:w="11910" w:h="16840"/>
          <w:pgMar w:header="0" w:footer="1561" w:top="1360" w:bottom="1760" w:left="720" w:right="180"/>
        </w:sectPr>
      </w:pPr>
    </w:p>
    <w:p>
      <w:pPr>
        <w:pStyle w:val="BodyText"/>
        <w:ind w:left="0"/>
        <w:rPr>
          <w:b/>
        </w:rPr>
      </w:pPr>
      <w:r>
        <w:rPr/>
        <mc:AlternateContent>
          <mc:Choice Requires="wps">
            <w:drawing>
              <wp:anchor distT="0" distB="0" distL="0" distR="0" allowOverlap="1" layoutInCell="1" locked="0" behindDoc="1" simplePos="0" relativeHeight="480651264">
                <wp:simplePos x="0" y="0"/>
                <wp:positionH relativeFrom="page">
                  <wp:posOffset>-1537026</wp:posOffset>
                </wp:positionH>
                <wp:positionV relativeFrom="page">
                  <wp:posOffset>4900424</wp:posOffset>
                </wp:positionV>
                <wp:extent cx="10669905" cy="914400"/>
                <wp:effectExtent l="0" t="0" r="0" b="0"/>
                <wp:wrapNone/>
                <wp:docPr id="259" name="Textbox 259"/>
                <wp:cNvGraphicFramePr>
                  <a:graphicFrameLocks/>
                </wp:cNvGraphicFramePr>
                <a:graphic>
                  <a:graphicData uri="http://schemas.microsoft.com/office/word/2010/wordprocessingShape">
                    <wps:wsp>
                      <wps:cNvPr id="259" name="Textbox 259"/>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65216;rotation:306" type="#_x0000_t136" fillcolor="#ff5400" stroked="f">
                <o:extrusion v:ext="view" autorotationcenter="t"/>
                <v:textpath style="font-family:&quot;Arial MT&quot;;font-size:72pt;v-text-kern:t;mso-text-shadow:auto" string="UNIVERSITY OF IBADAN"/>
                <w10:wrap type="none"/>
              </v:shape>
            </w:pict>
          </mc:Fallback>
        </mc:AlternateContent>
      </w: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spacing w:before="244"/>
        <w:ind w:left="0"/>
        <w:rPr>
          <w:b/>
        </w:rPr>
      </w:pPr>
    </w:p>
    <w:p>
      <w:pPr>
        <w:spacing w:line="360" w:lineRule="auto" w:before="0"/>
        <w:ind w:left="1860" w:right="3654" w:hanging="60"/>
        <w:jc w:val="left"/>
        <w:rPr>
          <w:b/>
          <w:sz w:val="24"/>
        </w:rPr>
      </w:pPr>
      <w:r>
        <w:rPr/>
        <w:drawing>
          <wp:anchor distT="0" distB="0" distL="0" distR="0" allowOverlap="1" layoutInCell="1" locked="0" behindDoc="0" simplePos="0" relativeHeight="15822336">
            <wp:simplePos x="0" y="0"/>
            <wp:positionH relativeFrom="page">
              <wp:posOffset>1390650</wp:posOffset>
            </wp:positionH>
            <wp:positionV relativeFrom="paragraph">
              <wp:posOffset>-3305288</wp:posOffset>
            </wp:positionV>
            <wp:extent cx="4651501" cy="3217544"/>
            <wp:effectExtent l="0" t="0" r="0" b="0"/>
            <wp:wrapNone/>
            <wp:docPr id="260" name="Image 260" descr="G:\New Folder\DSC00444.JPG"/>
            <wp:cNvGraphicFramePr>
              <a:graphicFrameLocks/>
            </wp:cNvGraphicFramePr>
            <a:graphic>
              <a:graphicData uri="http://schemas.openxmlformats.org/drawingml/2006/picture">
                <pic:pic>
                  <pic:nvPicPr>
                    <pic:cNvPr id="260" name="Image 260" descr="G:\New Folder\DSC00444.JPG"/>
                    <pic:cNvPicPr/>
                  </pic:nvPicPr>
                  <pic:blipFill>
                    <a:blip r:embed="rId69" cstate="print"/>
                    <a:stretch>
                      <a:fillRect/>
                    </a:stretch>
                  </pic:blipFill>
                  <pic:spPr>
                    <a:xfrm>
                      <a:off x="0" y="0"/>
                      <a:ext cx="4651501" cy="3217544"/>
                    </a:xfrm>
                    <a:prstGeom prst="rect">
                      <a:avLst/>
                    </a:prstGeom>
                  </pic:spPr>
                </pic:pic>
              </a:graphicData>
            </a:graphic>
          </wp:anchor>
        </w:drawing>
      </w:r>
      <w:r>
        <w:rPr>
          <w:b/>
          <w:sz w:val="24"/>
        </w:rPr>
        <w:t>Plate 45: Oil Bunkerers Arrested by the JTF Troops Source</w:t>
      </w:r>
      <w:r>
        <w:rPr>
          <w:b/>
          <w:spacing w:val="-8"/>
          <w:sz w:val="24"/>
        </w:rPr>
        <w:t> </w:t>
      </w:r>
      <w:r>
        <w:rPr>
          <w:b/>
          <w:sz w:val="24"/>
        </w:rPr>
        <w:t>:</w:t>
      </w:r>
      <w:r>
        <w:rPr>
          <w:b/>
          <w:spacing w:val="-8"/>
          <w:sz w:val="24"/>
        </w:rPr>
        <w:t> </w:t>
      </w:r>
      <w:r>
        <w:rPr>
          <w:b/>
          <w:sz w:val="24"/>
        </w:rPr>
        <w:t>Researcher’s</w:t>
      </w:r>
      <w:r>
        <w:rPr>
          <w:b/>
          <w:spacing w:val="-6"/>
          <w:sz w:val="24"/>
        </w:rPr>
        <w:t> </w:t>
      </w:r>
      <w:r>
        <w:rPr>
          <w:b/>
          <w:sz w:val="24"/>
        </w:rPr>
        <w:t>Fieldwork,</w:t>
      </w:r>
      <w:r>
        <w:rPr>
          <w:b/>
          <w:spacing w:val="-7"/>
          <w:sz w:val="24"/>
        </w:rPr>
        <w:t> </w:t>
      </w:r>
      <w:r>
        <w:rPr>
          <w:b/>
          <w:sz w:val="24"/>
        </w:rPr>
        <w:t>14</w:t>
      </w:r>
      <w:r>
        <w:rPr>
          <w:b/>
          <w:spacing w:val="-7"/>
          <w:sz w:val="24"/>
        </w:rPr>
        <w:t> </w:t>
      </w:r>
      <w:r>
        <w:rPr>
          <w:b/>
          <w:sz w:val="24"/>
        </w:rPr>
        <w:t>September,</w:t>
      </w:r>
      <w:r>
        <w:rPr>
          <w:b/>
          <w:spacing w:val="-7"/>
          <w:sz w:val="24"/>
        </w:rPr>
        <w:t> </w:t>
      </w:r>
      <w:r>
        <w:rPr>
          <w:b/>
          <w:sz w:val="24"/>
        </w:rPr>
        <w:t>2010</w:t>
      </w:r>
    </w:p>
    <w:p>
      <w:pPr>
        <w:pStyle w:val="BodyText"/>
        <w:spacing w:before="132"/>
        <w:ind w:left="0"/>
        <w:rPr>
          <w:b/>
        </w:rPr>
      </w:pPr>
    </w:p>
    <w:p>
      <w:pPr>
        <w:pStyle w:val="BodyText"/>
        <w:spacing w:line="360" w:lineRule="auto"/>
        <w:ind w:right="1259" w:firstLine="722"/>
        <w:jc w:val="both"/>
      </w:pPr>
      <w:r>
        <w:rPr/>
        <w:t>In its caption “JTF smashes illegal oil bunkering cartel”, the NEW SOJA magazine of the Nigerian Army 1</w:t>
      </w:r>
      <w:r>
        <w:rPr>
          <w:vertAlign w:val="superscript"/>
        </w:rPr>
        <w:t>st</w:t>
      </w:r>
      <w:r>
        <w:rPr>
          <w:vertAlign w:val="baseline"/>
        </w:rPr>
        <w:t> Quarter, 2008 reported the arrest of a gang of illegal</w:t>
      </w:r>
      <w:r>
        <w:rPr>
          <w:spacing w:val="-3"/>
          <w:vertAlign w:val="baseline"/>
        </w:rPr>
        <w:t> </w:t>
      </w:r>
      <w:r>
        <w:rPr>
          <w:vertAlign w:val="baseline"/>
        </w:rPr>
        <w:t>oil</w:t>
      </w:r>
      <w:r>
        <w:rPr>
          <w:spacing w:val="-3"/>
          <w:vertAlign w:val="baseline"/>
        </w:rPr>
        <w:t> </w:t>
      </w:r>
      <w:r>
        <w:rPr>
          <w:vertAlign w:val="baseline"/>
        </w:rPr>
        <w:t>bunkerers.</w:t>
      </w:r>
      <w:r>
        <w:rPr>
          <w:spacing w:val="-3"/>
          <w:vertAlign w:val="baseline"/>
        </w:rPr>
        <w:t> </w:t>
      </w:r>
      <w:r>
        <w:rPr>
          <w:vertAlign w:val="baseline"/>
        </w:rPr>
        <w:t>The</w:t>
      </w:r>
      <w:r>
        <w:rPr>
          <w:spacing w:val="-2"/>
          <w:vertAlign w:val="baseline"/>
        </w:rPr>
        <w:t> </w:t>
      </w:r>
      <w:r>
        <w:rPr>
          <w:vertAlign w:val="baseline"/>
        </w:rPr>
        <w:t>cartel</w:t>
      </w:r>
      <w:r>
        <w:rPr>
          <w:spacing w:val="-3"/>
          <w:vertAlign w:val="baseline"/>
        </w:rPr>
        <w:t> </w:t>
      </w:r>
      <w:r>
        <w:rPr>
          <w:vertAlign w:val="baseline"/>
        </w:rPr>
        <w:t>was</w:t>
      </w:r>
      <w:r>
        <w:rPr>
          <w:spacing w:val="-1"/>
          <w:vertAlign w:val="baseline"/>
        </w:rPr>
        <w:t> </w:t>
      </w:r>
      <w:r>
        <w:rPr>
          <w:vertAlign w:val="baseline"/>
        </w:rPr>
        <w:t>caught</w:t>
      </w:r>
      <w:r>
        <w:rPr>
          <w:spacing w:val="-1"/>
          <w:vertAlign w:val="baseline"/>
        </w:rPr>
        <w:t> </w:t>
      </w:r>
      <w:r>
        <w:rPr>
          <w:vertAlign w:val="baseline"/>
        </w:rPr>
        <w:t>with</w:t>
      </w:r>
      <w:r>
        <w:rPr>
          <w:spacing w:val="-3"/>
          <w:vertAlign w:val="baseline"/>
        </w:rPr>
        <w:t> </w:t>
      </w:r>
      <w:r>
        <w:rPr>
          <w:vertAlign w:val="baseline"/>
        </w:rPr>
        <w:t>10</w:t>
      </w:r>
      <w:r>
        <w:rPr>
          <w:spacing w:val="-3"/>
          <w:vertAlign w:val="baseline"/>
        </w:rPr>
        <w:t> </w:t>
      </w:r>
      <w:r>
        <w:rPr>
          <w:vertAlign w:val="baseline"/>
        </w:rPr>
        <w:t>loaded</w:t>
      </w:r>
      <w:r>
        <w:rPr>
          <w:spacing w:val="-3"/>
          <w:vertAlign w:val="baseline"/>
        </w:rPr>
        <w:t> </w:t>
      </w:r>
      <w:r>
        <w:rPr>
          <w:vertAlign w:val="baseline"/>
        </w:rPr>
        <w:t>tankers,</w:t>
      </w:r>
      <w:r>
        <w:rPr>
          <w:spacing w:val="-2"/>
          <w:vertAlign w:val="baseline"/>
        </w:rPr>
        <w:t> </w:t>
      </w:r>
      <w:r>
        <w:rPr>
          <w:vertAlign w:val="baseline"/>
        </w:rPr>
        <w:t>2</w:t>
      </w:r>
      <w:r>
        <w:rPr>
          <w:spacing w:val="-3"/>
          <w:vertAlign w:val="baseline"/>
        </w:rPr>
        <w:t> </w:t>
      </w:r>
      <w:r>
        <w:rPr>
          <w:vertAlign w:val="baseline"/>
        </w:rPr>
        <w:t>fibre-glass</w:t>
      </w:r>
      <w:r>
        <w:rPr>
          <w:spacing w:val="-3"/>
          <w:vertAlign w:val="baseline"/>
        </w:rPr>
        <w:t> </w:t>
      </w:r>
      <w:r>
        <w:rPr>
          <w:vertAlign w:val="baseline"/>
        </w:rPr>
        <w:t>speed boats, 2 pumping machines and 4 wooden boats containing crude-oil. Similarly, 2 wooden crafts popularly known as “Cotonou boats” laden with an estimated capacity of 165,000 litres of crude oil were also recovered by the JTF troops at Sapele in a creek near Oghara, Delta State in another operation. The products were suspected to have been stolen from oil wells located deep in the creeks and brought to Elume village creek for distribution into waiting oil tankers.</w:t>
      </w:r>
      <w:r>
        <w:rPr>
          <w:spacing w:val="40"/>
          <w:vertAlign w:val="baseline"/>
        </w:rPr>
        <w:t> </w:t>
      </w:r>
      <w:r>
        <w:rPr>
          <w:vertAlign w:val="baseline"/>
        </w:rPr>
        <w:t>The drivers and owners of the arrested</w:t>
      </w:r>
      <w:r>
        <w:rPr>
          <w:spacing w:val="-2"/>
          <w:vertAlign w:val="baseline"/>
        </w:rPr>
        <w:t> </w:t>
      </w:r>
      <w:r>
        <w:rPr>
          <w:vertAlign w:val="baseline"/>
        </w:rPr>
        <w:t>trucks</w:t>
      </w:r>
      <w:r>
        <w:rPr>
          <w:spacing w:val="-1"/>
          <w:vertAlign w:val="baseline"/>
        </w:rPr>
        <w:t> </w:t>
      </w:r>
      <w:r>
        <w:rPr>
          <w:vertAlign w:val="baseline"/>
        </w:rPr>
        <w:t>were</w:t>
      </w:r>
      <w:r>
        <w:rPr>
          <w:spacing w:val="40"/>
          <w:vertAlign w:val="baseline"/>
        </w:rPr>
        <w:t> </w:t>
      </w:r>
      <w:r>
        <w:rPr>
          <w:vertAlign w:val="baseline"/>
        </w:rPr>
        <w:t>reported</w:t>
      </w:r>
      <w:r>
        <w:rPr>
          <w:spacing w:val="-3"/>
          <w:vertAlign w:val="baseline"/>
        </w:rPr>
        <w:t> </w:t>
      </w:r>
      <w:r>
        <w:rPr>
          <w:vertAlign w:val="baseline"/>
        </w:rPr>
        <w:t>to</w:t>
      </w:r>
      <w:r>
        <w:rPr>
          <w:spacing w:val="-3"/>
          <w:vertAlign w:val="baseline"/>
        </w:rPr>
        <w:t> </w:t>
      </w:r>
      <w:r>
        <w:rPr>
          <w:vertAlign w:val="baseline"/>
        </w:rPr>
        <w:t>have</w:t>
      </w:r>
      <w:r>
        <w:rPr>
          <w:spacing w:val="-4"/>
          <w:vertAlign w:val="baseline"/>
        </w:rPr>
        <w:t> </w:t>
      </w:r>
      <w:r>
        <w:rPr>
          <w:vertAlign w:val="baseline"/>
        </w:rPr>
        <w:t>also been</w:t>
      </w:r>
      <w:r>
        <w:rPr>
          <w:spacing w:val="-1"/>
          <w:vertAlign w:val="baseline"/>
        </w:rPr>
        <w:t> </w:t>
      </w:r>
      <w:r>
        <w:rPr>
          <w:vertAlign w:val="baseline"/>
        </w:rPr>
        <w:t>arrested</w:t>
      </w:r>
      <w:r>
        <w:rPr>
          <w:spacing w:val="-2"/>
          <w:vertAlign w:val="baseline"/>
        </w:rPr>
        <w:t> </w:t>
      </w:r>
      <w:r>
        <w:rPr>
          <w:vertAlign w:val="baseline"/>
        </w:rPr>
        <w:t>and</w:t>
      </w:r>
      <w:r>
        <w:rPr>
          <w:spacing w:val="-3"/>
          <w:vertAlign w:val="baseline"/>
        </w:rPr>
        <w:t> </w:t>
      </w:r>
      <w:r>
        <w:rPr>
          <w:vertAlign w:val="baseline"/>
        </w:rPr>
        <w:t>handed</w:t>
      </w:r>
      <w:r>
        <w:rPr>
          <w:spacing w:val="-3"/>
          <w:vertAlign w:val="baseline"/>
        </w:rPr>
        <w:t> </w:t>
      </w:r>
      <w:r>
        <w:rPr>
          <w:vertAlign w:val="baseline"/>
        </w:rPr>
        <w:t>over</w:t>
      </w:r>
      <w:r>
        <w:rPr>
          <w:spacing w:val="-3"/>
          <w:vertAlign w:val="baseline"/>
        </w:rPr>
        <w:t> </w:t>
      </w:r>
      <w:r>
        <w:rPr>
          <w:vertAlign w:val="baseline"/>
        </w:rPr>
        <w:t>to</w:t>
      </w:r>
      <w:r>
        <w:rPr>
          <w:spacing w:val="-3"/>
          <w:vertAlign w:val="baseline"/>
        </w:rPr>
        <w:t> </w:t>
      </w:r>
      <w:r>
        <w:rPr>
          <w:vertAlign w:val="baseline"/>
        </w:rPr>
        <w:t>the</w:t>
      </w:r>
      <w:r>
        <w:rPr>
          <w:spacing w:val="-3"/>
          <w:vertAlign w:val="baseline"/>
        </w:rPr>
        <w:t> </w:t>
      </w:r>
      <w:r>
        <w:rPr>
          <w:vertAlign w:val="baseline"/>
        </w:rPr>
        <w:t>EFCC for</w:t>
      </w:r>
      <w:r>
        <w:rPr>
          <w:spacing w:val="-4"/>
          <w:vertAlign w:val="baseline"/>
        </w:rPr>
        <w:t> </w:t>
      </w:r>
      <w:r>
        <w:rPr>
          <w:vertAlign w:val="baseline"/>
        </w:rPr>
        <w:t>further</w:t>
      </w:r>
      <w:r>
        <w:rPr>
          <w:spacing w:val="-2"/>
          <w:vertAlign w:val="baseline"/>
        </w:rPr>
        <w:t> </w:t>
      </w:r>
      <w:r>
        <w:rPr>
          <w:vertAlign w:val="baseline"/>
        </w:rPr>
        <w:t>investigation.</w:t>
      </w:r>
      <w:r>
        <w:rPr>
          <w:spacing w:val="80"/>
          <w:vertAlign w:val="baseline"/>
        </w:rPr>
        <w:t>   </w:t>
      </w:r>
      <w:r>
        <w:rPr>
          <w:vertAlign w:val="baseline"/>
        </w:rPr>
        <w:t>In</w:t>
      </w:r>
      <w:r>
        <w:rPr>
          <w:spacing w:val="39"/>
          <w:vertAlign w:val="baseline"/>
        </w:rPr>
        <w:t> </w:t>
      </w:r>
      <w:r>
        <w:rPr>
          <w:vertAlign w:val="baseline"/>
        </w:rPr>
        <w:t>related</w:t>
      </w:r>
      <w:r>
        <w:rPr>
          <w:spacing w:val="37"/>
          <w:vertAlign w:val="baseline"/>
        </w:rPr>
        <w:t> </w:t>
      </w:r>
      <w:r>
        <w:rPr>
          <w:vertAlign w:val="baseline"/>
        </w:rPr>
        <w:t>development,</w:t>
      </w:r>
      <w:r>
        <w:rPr>
          <w:spacing w:val="40"/>
          <w:vertAlign w:val="baseline"/>
        </w:rPr>
        <w:t> </w:t>
      </w:r>
      <w:r>
        <w:rPr>
          <w:vertAlign w:val="baseline"/>
        </w:rPr>
        <w:t>some</w:t>
      </w:r>
      <w:r>
        <w:rPr>
          <w:spacing w:val="37"/>
          <w:vertAlign w:val="baseline"/>
        </w:rPr>
        <w:t> </w:t>
      </w:r>
      <w:r>
        <w:rPr>
          <w:vertAlign w:val="baseline"/>
        </w:rPr>
        <w:t>JTF</w:t>
      </w:r>
      <w:r>
        <w:rPr>
          <w:spacing w:val="35"/>
          <w:vertAlign w:val="baseline"/>
        </w:rPr>
        <w:t> </w:t>
      </w:r>
      <w:r>
        <w:rPr>
          <w:vertAlign w:val="baseline"/>
        </w:rPr>
        <w:t>operatives</w:t>
      </w:r>
      <w:r>
        <w:rPr>
          <w:spacing w:val="37"/>
          <w:vertAlign w:val="baseline"/>
        </w:rPr>
        <w:t> </w:t>
      </w:r>
      <w:r>
        <w:rPr>
          <w:vertAlign w:val="baseline"/>
        </w:rPr>
        <w:t>at</w:t>
      </w:r>
      <w:r>
        <w:rPr>
          <w:spacing w:val="38"/>
          <w:vertAlign w:val="baseline"/>
        </w:rPr>
        <w:t> </w:t>
      </w:r>
      <w:r>
        <w:rPr>
          <w:vertAlign w:val="baseline"/>
        </w:rPr>
        <w:t>Ubeji and Jeddo waterside, Delta State at separate operations arrested 2 Ford delivery vans containing 10 drums each of substance suspected to be condensate and 8 wooden</w:t>
      </w:r>
      <w:r>
        <w:rPr>
          <w:spacing w:val="40"/>
          <w:vertAlign w:val="baseline"/>
        </w:rPr>
        <w:t> </w:t>
      </w:r>
      <w:r>
        <w:rPr>
          <w:vertAlign w:val="baseline"/>
        </w:rPr>
        <w:t>boats containing same substance.</w:t>
      </w:r>
    </w:p>
    <w:p>
      <w:pPr>
        <w:spacing w:after="0" w:line="360" w:lineRule="auto"/>
        <w:jc w:val="both"/>
        <w:sectPr>
          <w:pgSz w:w="11910" w:h="16840"/>
          <w:pgMar w:header="0" w:footer="1561" w:top="1420" w:bottom="1760" w:left="720" w:right="180"/>
        </w:sectPr>
      </w:pPr>
    </w:p>
    <w:p>
      <w:pPr>
        <w:pStyle w:val="BodyText"/>
        <w:ind w:left="0"/>
      </w:pPr>
      <w:r>
        <w:rPr/>
        <mc:AlternateContent>
          <mc:Choice Requires="wps">
            <w:drawing>
              <wp:anchor distT="0" distB="0" distL="0" distR="0" allowOverlap="1" layoutInCell="1" locked="0" behindDoc="1" simplePos="0" relativeHeight="480652288">
                <wp:simplePos x="0" y="0"/>
                <wp:positionH relativeFrom="page">
                  <wp:posOffset>-1537026</wp:posOffset>
                </wp:positionH>
                <wp:positionV relativeFrom="page">
                  <wp:posOffset>4900424</wp:posOffset>
                </wp:positionV>
                <wp:extent cx="10669905" cy="914400"/>
                <wp:effectExtent l="0" t="0" r="0" b="0"/>
                <wp:wrapNone/>
                <wp:docPr id="261" name="Textbox 261"/>
                <wp:cNvGraphicFramePr>
                  <a:graphicFrameLocks/>
                </wp:cNvGraphicFramePr>
                <a:graphic>
                  <a:graphicData uri="http://schemas.microsoft.com/office/word/2010/wordprocessingShape">
                    <wps:wsp>
                      <wps:cNvPr id="261" name="Textbox 261"/>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64192;rotation:306" type="#_x0000_t136" fillcolor="#ff5400" stroked="f">
                <o:extrusion v:ext="view" autorotationcenter="t"/>
                <v:textpath style="font-family:&quot;Arial MT&quot;;font-size:72pt;v-text-kern:t;mso-text-shadow:auto" string="UNIVERSITY OF IBADAN"/>
                <w10:wrap type="none"/>
              </v:shape>
            </w:pict>
          </mc:Fallback>
        </mc:AlternateConten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215"/>
        <w:ind w:left="0"/>
      </w:pPr>
    </w:p>
    <w:p>
      <w:pPr>
        <w:pStyle w:val="Heading2"/>
        <w:spacing w:line="360" w:lineRule="auto"/>
        <w:ind w:right="2812"/>
        <w:jc w:val="both"/>
      </w:pPr>
      <w:r>
        <w:rPr/>
        <w:drawing>
          <wp:anchor distT="0" distB="0" distL="0" distR="0" allowOverlap="1" layoutInCell="1" locked="0" behindDoc="0" simplePos="0" relativeHeight="15823360">
            <wp:simplePos x="0" y="0"/>
            <wp:positionH relativeFrom="page">
              <wp:posOffset>1847850</wp:posOffset>
            </wp:positionH>
            <wp:positionV relativeFrom="paragraph">
              <wp:posOffset>-3286873</wp:posOffset>
            </wp:positionV>
            <wp:extent cx="4264025" cy="3200400"/>
            <wp:effectExtent l="0" t="0" r="0" b="0"/>
            <wp:wrapNone/>
            <wp:docPr id="262" name="Image 262" descr="G:\New Folder\SDC11316.JPG"/>
            <wp:cNvGraphicFramePr>
              <a:graphicFrameLocks/>
            </wp:cNvGraphicFramePr>
            <a:graphic>
              <a:graphicData uri="http://schemas.openxmlformats.org/drawingml/2006/picture">
                <pic:pic>
                  <pic:nvPicPr>
                    <pic:cNvPr id="262" name="Image 262" descr="G:\New Folder\SDC11316.JPG"/>
                    <pic:cNvPicPr/>
                  </pic:nvPicPr>
                  <pic:blipFill>
                    <a:blip r:embed="rId70" cstate="print"/>
                    <a:stretch>
                      <a:fillRect/>
                    </a:stretch>
                  </pic:blipFill>
                  <pic:spPr>
                    <a:xfrm>
                      <a:off x="0" y="0"/>
                      <a:ext cx="4264025" cy="3200400"/>
                    </a:xfrm>
                    <a:prstGeom prst="rect">
                      <a:avLst/>
                    </a:prstGeom>
                  </pic:spPr>
                </pic:pic>
              </a:graphicData>
            </a:graphic>
          </wp:anchor>
        </w:drawing>
      </w:r>
      <w:r>
        <w:rPr/>
        <w:t>Plate</w:t>
      </w:r>
      <w:r>
        <w:rPr>
          <w:spacing w:val="-6"/>
        </w:rPr>
        <w:t> </w:t>
      </w:r>
      <w:r>
        <w:rPr/>
        <w:t>46:Confiscated</w:t>
      </w:r>
      <w:r>
        <w:rPr>
          <w:spacing w:val="-5"/>
        </w:rPr>
        <w:t> </w:t>
      </w:r>
      <w:r>
        <w:rPr/>
        <w:t>Cotonou</w:t>
      </w:r>
      <w:r>
        <w:rPr>
          <w:spacing w:val="-5"/>
        </w:rPr>
        <w:t> </w:t>
      </w:r>
      <w:r>
        <w:rPr/>
        <w:t>Boats</w:t>
      </w:r>
      <w:r>
        <w:rPr>
          <w:spacing w:val="-5"/>
        </w:rPr>
        <w:t> </w:t>
      </w:r>
      <w:r>
        <w:rPr/>
        <w:t>used</w:t>
      </w:r>
      <w:r>
        <w:rPr>
          <w:spacing w:val="-7"/>
        </w:rPr>
        <w:t> </w:t>
      </w:r>
      <w:r>
        <w:rPr/>
        <w:t>for</w:t>
      </w:r>
      <w:r>
        <w:rPr>
          <w:spacing w:val="-6"/>
        </w:rPr>
        <w:t> </w:t>
      </w:r>
      <w:r>
        <w:rPr/>
        <w:t>Bunkering</w:t>
      </w:r>
      <w:r>
        <w:rPr>
          <w:spacing w:val="-5"/>
        </w:rPr>
        <w:t> </w:t>
      </w:r>
      <w:r>
        <w:rPr/>
        <w:t>Activities Source:</w:t>
      </w:r>
      <w:r>
        <w:rPr>
          <w:spacing w:val="40"/>
        </w:rPr>
        <w:t> </w:t>
      </w:r>
      <w:r>
        <w:rPr/>
        <w:t>Researcher’s Fieldwork, 2 September, 2011</w:t>
      </w:r>
    </w:p>
    <w:p>
      <w:pPr>
        <w:pStyle w:val="BodyText"/>
        <w:spacing w:line="360" w:lineRule="auto"/>
        <w:ind w:right="1256" w:firstLine="900"/>
        <w:jc w:val="both"/>
      </w:pPr>
      <w:r>
        <w:rPr/>
        <w:t>Furthermore, 5 persons were arrested for their roles in an illegal oil bunkering activities at their operational base in Ajagbodudu village, near Koko in Delta State. Items which include 2 tankers and 5 barges loaded with crude oil, pumping machines, boat engines, speed boats, storage tanks and 2 cars were handed over to the EFCC operatives for investigation. As a way out, an interviewee named Bebenimibo pointed out that the powerful syndicates involved in the oil theft required the Federal Government's intervention in a number of ways, including the promulgation of laws against illegal bunkering.</w:t>
      </w:r>
      <w:r>
        <w:rPr>
          <w:spacing w:val="40"/>
        </w:rPr>
        <w:t> </w:t>
      </w:r>
      <w:r>
        <w:rPr/>
        <w:t>The enumerated catalogs of</w:t>
      </w:r>
      <w:r>
        <w:rPr>
          <w:spacing w:val="40"/>
        </w:rPr>
        <w:t> </w:t>
      </w:r>
      <w:r>
        <w:rPr/>
        <w:t>bunkering activities explain the ability of the Niger Delta insurgents to carry on.</w:t>
      </w:r>
      <w:r>
        <w:rPr>
          <w:spacing w:val="40"/>
        </w:rPr>
        <w:t> </w:t>
      </w:r>
      <w:r>
        <w:rPr/>
        <w:t>For instance, the Niger Delta People‟s Volunteer Force (NDPVF) successfully sustains itself as an organized armed group through illegal oil bunkering (</w:t>
      </w:r>
      <w:r>
        <w:rPr>
          <w:i/>
        </w:rPr>
        <w:t>ThisDay</w:t>
      </w:r>
      <w:r>
        <w:rPr/>
        <w:t>, March 8, 2006 : 1).</w:t>
      </w:r>
      <w:r>
        <w:rPr>
          <w:spacing w:val="80"/>
          <w:w w:val="150"/>
        </w:rPr>
        <w:t> </w:t>
      </w:r>
      <w:r>
        <w:rPr/>
        <w:t>The fact that there was no law against illegal bunkering until June 2011 is</w:t>
      </w:r>
      <w:r>
        <w:rPr>
          <w:spacing w:val="40"/>
        </w:rPr>
        <w:t> </w:t>
      </w:r>
      <w:r>
        <w:rPr/>
        <w:t>a clear evidence of weak political leadership.</w:t>
      </w:r>
      <w:r>
        <w:rPr>
          <w:spacing w:val="80"/>
        </w:rPr>
        <w:t> </w:t>
      </w:r>
      <w:r>
        <w:rPr/>
        <w:t>Effective political leadership at</w:t>
      </w:r>
      <w:r>
        <w:rPr>
          <w:spacing w:val="40"/>
        </w:rPr>
        <w:t> </w:t>
      </w:r>
      <w:r>
        <w:rPr/>
        <w:t>strategic level is required to take proactive measures against illegal bunkering, thus enhancing the professional conduct of IS operations.</w:t>
      </w:r>
    </w:p>
    <w:p>
      <w:pPr>
        <w:pStyle w:val="BodyText"/>
        <w:spacing w:line="360" w:lineRule="auto"/>
        <w:ind w:right="1258" w:firstLine="480"/>
        <w:jc w:val="both"/>
      </w:pPr>
      <w:r>
        <w:rPr/>
        <w:t>The culture of impunity by the government and citizens that guaranteed that perpetrators of illegal oil bunkering were not arrested and prosecuted should be discontinued.</w:t>
      </w:r>
      <w:r>
        <w:rPr>
          <w:spacing w:val="58"/>
          <w:w w:val="150"/>
        </w:rPr>
        <w:t>  </w:t>
      </w:r>
      <w:r>
        <w:rPr/>
        <w:t>Unfortunately,</w:t>
      </w:r>
      <w:r>
        <w:rPr>
          <w:spacing w:val="61"/>
          <w:w w:val="150"/>
        </w:rPr>
        <w:t> </w:t>
      </w:r>
      <w:r>
        <w:rPr/>
        <w:t>those</w:t>
      </w:r>
      <w:r>
        <w:rPr>
          <w:spacing w:val="60"/>
          <w:w w:val="150"/>
        </w:rPr>
        <w:t> </w:t>
      </w:r>
      <w:r>
        <w:rPr/>
        <w:t>who</w:t>
      </w:r>
      <w:r>
        <w:rPr>
          <w:spacing w:val="60"/>
          <w:w w:val="150"/>
        </w:rPr>
        <w:t> </w:t>
      </w:r>
      <w:r>
        <w:rPr/>
        <w:t>can</w:t>
      </w:r>
      <w:r>
        <w:rPr>
          <w:spacing w:val="63"/>
          <w:w w:val="150"/>
        </w:rPr>
        <w:t> </w:t>
      </w:r>
      <w:r>
        <w:rPr/>
        <w:t>ensure</w:t>
      </w:r>
      <w:r>
        <w:rPr>
          <w:spacing w:val="59"/>
          <w:w w:val="150"/>
        </w:rPr>
        <w:t> </w:t>
      </w:r>
      <w:r>
        <w:rPr/>
        <w:t>that</w:t>
      </w:r>
      <w:r>
        <w:rPr>
          <w:spacing w:val="60"/>
          <w:w w:val="150"/>
        </w:rPr>
        <w:t> </w:t>
      </w:r>
      <w:r>
        <w:rPr/>
        <w:t>this</w:t>
      </w:r>
      <w:r>
        <w:rPr>
          <w:spacing w:val="61"/>
          <w:w w:val="150"/>
        </w:rPr>
        <w:t> </w:t>
      </w:r>
      <w:r>
        <w:rPr/>
        <w:t>is</w:t>
      </w:r>
      <w:r>
        <w:rPr>
          <w:spacing w:val="61"/>
          <w:w w:val="150"/>
        </w:rPr>
        <w:t> </w:t>
      </w:r>
      <w:r>
        <w:rPr/>
        <w:t>done</w:t>
      </w:r>
      <w:r>
        <w:rPr>
          <w:spacing w:val="60"/>
          <w:w w:val="150"/>
        </w:rPr>
        <w:t> </w:t>
      </w:r>
      <w:r>
        <w:rPr/>
        <w:t>are</w:t>
      </w:r>
      <w:r>
        <w:rPr>
          <w:spacing w:val="61"/>
          <w:w w:val="150"/>
        </w:rPr>
        <w:t> </w:t>
      </w:r>
      <w:r>
        <w:rPr>
          <w:spacing w:val="-5"/>
        </w:rPr>
        <w:t>the</w:t>
      </w:r>
    </w:p>
    <w:p>
      <w:pPr>
        <w:spacing w:after="0" w:line="360" w:lineRule="auto"/>
        <w:jc w:val="both"/>
        <w:sectPr>
          <w:pgSz w:w="11910" w:h="16840"/>
          <w:pgMar w:header="0" w:footer="1561" w:top="1420" w:bottom="1760" w:left="720" w:right="180"/>
        </w:sectPr>
      </w:pPr>
    </w:p>
    <w:p>
      <w:pPr>
        <w:pStyle w:val="BodyText"/>
        <w:spacing w:line="360" w:lineRule="auto" w:before="60"/>
        <w:ind w:right="1258"/>
        <w:jc w:val="both"/>
      </w:pPr>
      <w:r>
        <w:rPr/>
        <mc:AlternateContent>
          <mc:Choice Requires="wps">
            <w:drawing>
              <wp:anchor distT="0" distB="0" distL="0" distR="0" allowOverlap="1" layoutInCell="1" locked="0" behindDoc="1" simplePos="0" relativeHeight="480653312">
                <wp:simplePos x="0" y="0"/>
                <wp:positionH relativeFrom="page">
                  <wp:posOffset>-1537026</wp:posOffset>
                </wp:positionH>
                <wp:positionV relativeFrom="page">
                  <wp:posOffset>4900424</wp:posOffset>
                </wp:positionV>
                <wp:extent cx="10669905" cy="914400"/>
                <wp:effectExtent l="0" t="0" r="0" b="0"/>
                <wp:wrapNone/>
                <wp:docPr id="263" name="Textbox 263"/>
                <wp:cNvGraphicFramePr>
                  <a:graphicFrameLocks/>
                </wp:cNvGraphicFramePr>
                <a:graphic>
                  <a:graphicData uri="http://schemas.microsoft.com/office/word/2010/wordprocessingShape">
                    <wps:wsp>
                      <wps:cNvPr id="263" name="Textbox 263"/>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63168;rotation:306" type="#_x0000_t136" fillcolor="#ff5400" stroked="f">
                <o:extrusion v:ext="view" autorotationcenter="t"/>
                <v:textpath style="font-family:&quot;Arial MT&quot;;font-size:72pt;v-text-kern:t;mso-text-shadow:auto" string="UNIVERSITY OF IBADAN"/>
                <w10:wrap type="none"/>
              </v:shape>
            </w:pict>
          </mc:Fallback>
        </mc:AlternateContent>
      </w:r>
      <w:r>
        <w:rPr/>
        <w:t>perpetrators of illegal oil bunkering. Therefore, pressure from the civil society is necessary to ensure that those behind illegal oil bunkering are made to face the law without sacred cow.</w:t>
      </w:r>
    </w:p>
    <w:p>
      <w:pPr>
        <w:pStyle w:val="BodyText"/>
        <w:spacing w:line="360" w:lineRule="auto"/>
        <w:ind w:right="1256" w:firstLine="720"/>
        <w:jc w:val="both"/>
      </w:pPr>
      <w:r>
        <w:rPr/>
        <w:t>On</w:t>
      </w:r>
      <w:r>
        <w:rPr>
          <w:spacing w:val="-3"/>
        </w:rPr>
        <w:t> </w:t>
      </w:r>
      <w:r>
        <w:rPr/>
        <w:t>pipeline</w:t>
      </w:r>
      <w:r>
        <w:rPr>
          <w:spacing w:val="-3"/>
        </w:rPr>
        <w:t> </w:t>
      </w:r>
      <w:r>
        <w:rPr/>
        <w:t>vandalism able</w:t>
      </w:r>
      <w:r>
        <w:rPr>
          <w:spacing w:val="-3"/>
        </w:rPr>
        <w:t> </w:t>
      </w:r>
      <w:r>
        <w:rPr/>
        <w:t>to,</w:t>
      </w:r>
      <w:r>
        <w:rPr>
          <w:spacing w:val="-2"/>
        </w:rPr>
        <w:t> </w:t>
      </w:r>
      <w:r>
        <w:rPr/>
        <w:t>the</w:t>
      </w:r>
      <w:r>
        <w:rPr>
          <w:spacing w:val="-2"/>
        </w:rPr>
        <w:t> </w:t>
      </w:r>
      <w:r>
        <w:rPr/>
        <w:t>Commandant</w:t>
      </w:r>
      <w:r>
        <w:rPr>
          <w:spacing w:val="-3"/>
        </w:rPr>
        <w:t> </w:t>
      </w:r>
      <w:r>
        <w:rPr/>
        <w:t>General,</w:t>
      </w:r>
      <w:r>
        <w:rPr>
          <w:spacing w:val="-2"/>
        </w:rPr>
        <w:t> </w:t>
      </w:r>
      <w:r>
        <w:rPr/>
        <w:t>Nigeria</w:t>
      </w:r>
      <w:r>
        <w:rPr>
          <w:spacing w:val="-3"/>
        </w:rPr>
        <w:t> </w:t>
      </w:r>
      <w:r>
        <w:rPr/>
        <w:t>Security</w:t>
      </w:r>
      <w:r>
        <w:rPr>
          <w:spacing w:val="-3"/>
        </w:rPr>
        <w:t> </w:t>
      </w:r>
      <w:r>
        <w:rPr/>
        <w:t>and Civil Defence Corps (NSCDC) opined that, “vandalism of Government infrastructure and oil scooping has increasingly become a cause for serious concern at all levels of government owing to the loss of revenue, destruction of property and loss of life among others”, (Abolurin, 2005).</w:t>
      </w:r>
      <w:r>
        <w:rPr>
          <w:spacing w:val="80"/>
        </w:rPr>
        <w:t> </w:t>
      </w:r>
      <w:r>
        <w:rPr/>
        <w:t>He further remarked that in recent time, the effort of government, particularly, through the NSCDC has helped temper the frequency of vandalism and oil scooping.</w:t>
      </w:r>
      <w:r>
        <w:rPr>
          <w:spacing w:val="40"/>
        </w:rPr>
        <w:t> </w:t>
      </w:r>
      <w:r>
        <w:rPr/>
        <w:t>From the foregoing, it can be deduced that the fight against pipeline vandalism could involve the co-operation of all security agencies and para- military outfits.</w:t>
      </w:r>
    </w:p>
    <w:p>
      <w:pPr>
        <w:pStyle w:val="Heading2"/>
        <w:numPr>
          <w:ilvl w:val="2"/>
          <w:numId w:val="19"/>
        </w:numPr>
        <w:tabs>
          <w:tab w:pos="2160" w:val="left" w:leader="none"/>
        </w:tabs>
        <w:spacing w:line="240" w:lineRule="auto" w:before="7" w:after="0"/>
        <w:ind w:left="2160" w:right="0" w:hanging="720"/>
        <w:jc w:val="both"/>
      </w:pPr>
      <w:r>
        <w:rPr/>
        <w:t>Checking</w:t>
      </w:r>
      <w:r>
        <w:rPr>
          <w:spacing w:val="-1"/>
        </w:rPr>
        <w:t> </w:t>
      </w:r>
      <w:r>
        <w:rPr/>
        <w:t>of Illegal</w:t>
      </w:r>
      <w:r>
        <w:rPr>
          <w:spacing w:val="-1"/>
        </w:rPr>
        <w:t> </w:t>
      </w:r>
      <w:r>
        <w:rPr/>
        <w:t>Oil</w:t>
      </w:r>
      <w:r>
        <w:rPr>
          <w:spacing w:val="-2"/>
        </w:rPr>
        <w:t> Refineries</w:t>
      </w:r>
    </w:p>
    <w:p>
      <w:pPr>
        <w:pStyle w:val="BodyText"/>
        <w:spacing w:line="360" w:lineRule="auto" w:before="132"/>
        <w:ind w:right="1258" w:firstLine="720"/>
        <w:jc w:val="both"/>
      </w:pPr>
      <w:r>
        <w:rPr/>
        <w:drawing>
          <wp:anchor distT="0" distB="0" distL="0" distR="0" allowOverlap="1" layoutInCell="1" locked="0" behindDoc="0" simplePos="0" relativeHeight="15824384">
            <wp:simplePos x="0" y="0"/>
            <wp:positionH relativeFrom="page">
              <wp:posOffset>1504950</wp:posOffset>
            </wp:positionH>
            <wp:positionV relativeFrom="paragraph">
              <wp:posOffset>1927761</wp:posOffset>
            </wp:positionV>
            <wp:extent cx="3816730" cy="2493771"/>
            <wp:effectExtent l="0" t="0" r="0" b="0"/>
            <wp:wrapNone/>
            <wp:docPr id="264" name="Image 264" descr="67D0763C"/>
            <wp:cNvGraphicFramePr>
              <a:graphicFrameLocks/>
            </wp:cNvGraphicFramePr>
            <a:graphic>
              <a:graphicData uri="http://schemas.openxmlformats.org/drawingml/2006/picture">
                <pic:pic>
                  <pic:nvPicPr>
                    <pic:cNvPr id="264" name="Image 264" descr="67D0763C"/>
                    <pic:cNvPicPr/>
                  </pic:nvPicPr>
                  <pic:blipFill>
                    <a:blip r:embed="rId71" cstate="print"/>
                    <a:stretch>
                      <a:fillRect/>
                    </a:stretch>
                  </pic:blipFill>
                  <pic:spPr>
                    <a:xfrm>
                      <a:off x="0" y="0"/>
                      <a:ext cx="3816730" cy="2493771"/>
                    </a:xfrm>
                    <a:prstGeom prst="rect">
                      <a:avLst/>
                    </a:prstGeom>
                  </pic:spPr>
                </pic:pic>
              </a:graphicData>
            </a:graphic>
          </wp:anchor>
        </w:drawing>
      </w:r>
      <w:r>
        <w:rPr/>
        <w:t>Contingent to illegal oil bunkering is the emerging trend of illegal oil</w:t>
      </w:r>
      <w:r>
        <w:rPr>
          <w:spacing w:val="40"/>
        </w:rPr>
        <w:t> </w:t>
      </w:r>
      <w:r>
        <w:rPr/>
        <w:t>refineries by criminals.</w:t>
      </w:r>
      <w:r>
        <w:rPr>
          <w:spacing w:val="40"/>
        </w:rPr>
        <w:t> </w:t>
      </w:r>
      <w:r>
        <w:rPr/>
        <w:t>This trend could be attributed to the inability</w:t>
      </w:r>
      <w:r>
        <w:rPr>
          <w:spacing w:val="-3"/>
        </w:rPr>
        <w:t> </w:t>
      </w:r>
      <w:r>
        <w:rPr/>
        <w:t>of the illegal oil bunkerers to move crude oil through the waterways to the high sea due to effective blockade of the channels by the JTF. Consequently, the bunkerers have resorted to operating illegal local refinery.</w:t>
      </w:r>
      <w:r>
        <w:rPr>
          <w:spacing w:val="40"/>
        </w:rPr>
        <w:t> </w:t>
      </w:r>
      <w:r>
        <w:rPr/>
        <w:t>The JTF has thus moved swiftly to address this new trend.</w:t>
      </w:r>
      <w:r>
        <w:rPr>
          <w:spacing w:val="40"/>
        </w:rPr>
        <w:t> </w:t>
      </w:r>
      <w:r>
        <w:rPr/>
        <w:t>Thus, about 291 of such illegal refineries were destroyed between May and </w:t>
      </w:r>
      <w:r>
        <w:rPr>
          <w:spacing w:val="-2"/>
        </w:rPr>
        <w:t>August,2008</w: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209"/>
        <w:ind w:left="0"/>
      </w:pPr>
    </w:p>
    <w:p>
      <w:pPr>
        <w:pStyle w:val="Heading2"/>
        <w:spacing w:line="360" w:lineRule="auto"/>
        <w:ind w:right="1260"/>
      </w:pPr>
      <w:r>
        <w:rPr/>
        <w:t>Plate</w:t>
      </w:r>
      <w:r>
        <w:rPr>
          <w:spacing w:val="40"/>
        </w:rPr>
        <w:t> </w:t>
      </w:r>
      <w:r>
        <w:rPr/>
        <w:t>47:</w:t>
      </w:r>
      <w:r>
        <w:rPr>
          <w:spacing w:val="-3"/>
        </w:rPr>
        <w:t> </w:t>
      </w:r>
      <w:r>
        <w:rPr/>
        <w:t>JTF</w:t>
      </w:r>
      <w:r>
        <w:rPr>
          <w:spacing w:val="-6"/>
        </w:rPr>
        <w:t> </w:t>
      </w:r>
      <w:r>
        <w:rPr/>
        <w:t>Troops</w:t>
      </w:r>
      <w:r>
        <w:rPr>
          <w:spacing w:val="-3"/>
        </w:rPr>
        <w:t> </w:t>
      </w:r>
      <w:r>
        <w:rPr/>
        <w:t>Checking</w:t>
      </w:r>
      <w:r>
        <w:rPr>
          <w:spacing w:val="-3"/>
        </w:rPr>
        <w:t> </w:t>
      </w:r>
      <w:r>
        <w:rPr/>
        <w:t>Illegal</w:t>
      </w:r>
      <w:r>
        <w:rPr>
          <w:spacing w:val="-3"/>
        </w:rPr>
        <w:t> </w:t>
      </w:r>
      <w:r>
        <w:rPr/>
        <w:t>Refineries</w:t>
      </w:r>
      <w:r>
        <w:rPr>
          <w:spacing w:val="-3"/>
        </w:rPr>
        <w:t> </w:t>
      </w:r>
      <w:r>
        <w:rPr/>
        <w:t>Activities</w:t>
      </w:r>
      <w:r>
        <w:rPr>
          <w:spacing w:val="40"/>
        </w:rPr>
        <w:t> </w:t>
      </w:r>
      <w:r>
        <w:rPr/>
        <w:t>in</w:t>
      </w:r>
      <w:r>
        <w:rPr>
          <w:spacing w:val="-2"/>
        </w:rPr>
        <w:t> </w:t>
      </w:r>
      <w:r>
        <w:rPr/>
        <w:t>the</w:t>
      </w:r>
      <w:r>
        <w:rPr>
          <w:spacing w:val="-1"/>
        </w:rPr>
        <w:t> </w:t>
      </w:r>
      <w:r>
        <w:rPr/>
        <w:t>Niger</w:t>
      </w:r>
      <w:r>
        <w:rPr>
          <w:spacing w:val="-4"/>
        </w:rPr>
        <w:t> </w:t>
      </w:r>
      <w:r>
        <w:rPr/>
        <w:t>Delta Source : Researcher’s Fieldwork, 20 September 2010</w:t>
      </w:r>
    </w:p>
    <w:p>
      <w:pPr>
        <w:spacing w:after="0" w:line="360" w:lineRule="auto"/>
        <w:sectPr>
          <w:pgSz w:w="11910" w:h="16840"/>
          <w:pgMar w:header="0" w:footer="1561" w:top="1360" w:bottom="1760" w:left="720" w:right="180"/>
        </w:sectPr>
      </w:pPr>
    </w:p>
    <w:p>
      <w:pPr>
        <w:pStyle w:val="ListParagraph"/>
        <w:numPr>
          <w:ilvl w:val="2"/>
          <w:numId w:val="19"/>
        </w:numPr>
        <w:tabs>
          <w:tab w:pos="2160" w:val="left" w:leader="none"/>
        </w:tabs>
        <w:spacing w:line="240" w:lineRule="auto" w:before="65" w:after="0"/>
        <w:ind w:left="2160" w:right="0" w:hanging="720"/>
        <w:jc w:val="both"/>
        <w:rPr>
          <w:b/>
          <w:sz w:val="24"/>
        </w:rPr>
      </w:pPr>
      <w:r>
        <w:rPr/>
        <mc:AlternateContent>
          <mc:Choice Requires="wps">
            <w:drawing>
              <wp:anchor distT="0" distB="0" distL="0" distR="0" allowOverlap="1" layoutInCell="1" locked="0" behindDoc="1" simplePos="0" relativeHeight="480654336">
                <wp:simplePos x="0" y="0"/>
                <wp:positionH relativeFrom="page">
                  <wp:posOffset>-1537026</wp:posOffset>
                </wp:positionH>
                <wp:positionV relativeFrom="page">
                  <wp:posOffset>4900424</wp:posOffset>
                </wp:positionV>
                <wp:extent cx="10669905" cy="914400"/>
                <wp:effectExtent l="0" t="0" r="0" b="0"/>
                <wp:wrapNone/>
                <wp:docPr id="265" name="Textbox 265"/>
                <wp:cNvGraphicFramePr>
                  <a:graphicFrameLocks/>
                </wp:cNvGraphicFramePr>
                <a:graphic>
                  <a:graphicData uri="http://schemas.microsoft.com/office/word/2010/wordprocessingShape">
                    <wps:wsp>
                      <wps:cNvPr id="265" name="Textbox 265"/>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62144;rotation:306" type="#_x0000_t136" fillcolor="#ff5400" stroked="f">
                <o:extrusion v:ext="view" autorotationcenter="t"/>
                <v:textpath style="font-family:&quot;Arial MT&quot;;font-size:72pt;v-text-kern:t;mso-text-shadow:auto" string="UNIVERSITY OF IBADAN"/>
                <w10:wrap type="none"/>
              </v:shape>
            </w:pict>
          </mc:Fallback>
        </mc:AlternateContent>
      </w:r>
      <w:r>
        <w:rPr>
          <w:b/>
          <w:sz w:val="24"/>
        </w:rPr>
        <w:t>Anti-Kidnapping</w:t>
      </w:r>
      <w:r>
        <w:rPr>
          <w:b/>
          <w:spacing w:val="-4"/>
          <w:sz w:val="24"/>
        </w:rPr>
        <w:t> </w:t>
      </w:r>
      <w:r>
        <w:rPr>
          <w:b/>
          <w:spacing w:val="-2"/>
          <w:sz w:val="24"/>
        </w:rPr>
        <w:t>Operations</w:t>
      </w:r>
    </w:p>
    <w:p>
      <w:pPr>
        <w:pStyle w:val="BodyText"/>
        <w:spacing w:line="360" w:lineRule="auto" w:before="133"/>
        <w:ind w:right="1254" w:firstLine="720"/>
        <w:jc w:val="both"/>
      </w:pPr>
      <w:r>
        <w:rPr/>
        <w:t>As part of its mandate, the JTF</w:t>
      </w:r>
      <w:r>
        <w:rPr>
          <w:spacing w:val="-1"/>
        </w:rPr>
        <w:t> </w:t>
      </w:r>
      <w:r>
        <w:rPr/>
        <w:t>embarked on crime fighting to complement the role of the NPF given the upsurge in crime rate especially kidnapping and hostage taking in the region.</w:t>
      </w:r>
      <w:r>
        <w:rPr>
          <w:spacing w:val="40"/>
        </w:rPr>
        <w:t> </w:t>
      </w:r>
      <w:r>
        <w:rPr/>
        <w:t>Consequently, there were many instances where the JTF foiled kidnapping and hostage taking attempts.</w:t>
      </w:r>
      <w:r>
        <w:rPr>
          <w:spacing w:val="40"/>
        </w:rPr>
        <w:t> </w:t>
      </w:r>
      <w:r>
        <w:rPr/>
        <w:t>Thus, in December 2008, the JTF succeeded in arresting Sogboma Jackrich alias Egberipapa in Buguma with other militants believed to be responsible for the series of kidnapping and attacks on security forces</w:t>
      </w:r>
      <w:r>
        <w:rPr>
          <w:spacing w:val="40"/>
        </w:rPr>
        <w:t> </w:t>
      </w:r>
      <w:r>
        <w:rPr/>
        <w:t>in the area.</w:t>
      </w:r>
      <w:r>
        <w:rPr>
          <w:spacing w:val="40"/>
        </w:rPr>
        <w:t> </w:t>
      </w:r>
      <w:r>
        <w:rPr/>
        <w:t>This further led to the recovery of 3 AK47 rifles with 6 AK-47 rifle magazines and 165 rounds of ammunition.</w:t>
      </w:r>
      <w:r>
        <w:rPr>
          <w:spacing w:val="40"/>
        </w:rPr>
        <w:t> </w:t>
      </w:r>
      <w:r>
        <w:rPr/>
        <w:t>The culprits were handed over to the SSS for further action.</w:t>
      </w:r>
      <w:r>
        <w:rPr>
          <w:spacing w:val="40"/>
        </w:rPr>
        <w:t> </w:t>
      </w:r>
      <w:r>
        <w:rPr/>
        <w:t>Furthermore, 175 weapons of various calibres as well as 2,529 rounds of ammunition were recovered between December 2007 and August 2008 through regular anti-crime patrol by the JTF. Consequently, the rampant armed robbery attacks and abduction of people by militants in the region was largely </w:t>
      </w:r>
      <w:r>
        <w:rPr>
          <w:spacing w:val="-2"/>
        </w:rPr>
        <w:t>curtailed.</w:t>
      </w:r>
    </w:p>
    <w:p>
      <w:pPr>
        <w:pStyle w:val="Heading2"/>
        <w:spacing w:before="7"/>
        <w:jc w:val="both"/>
      </w:pPr>
      <w:r>
        <w:rPr/>
        <w:t>4.4.4.</w:t>
      </w:r>
      <w:r>
        <w:rPr>
          <w:spacing w:val="28"/>
        </w:rPr>
        <w:t>  </w:t>
      </w:r>
      <w:r>
        <w:rPr/>
        <w:t>Economic</w:t>
      </w:r>
      <w:r>
        <w:rPr>
          <w:spacing w:val="-1"/>
        </w:rPr>
        <w:t> </w:t>
      </w:r>
      <w:r>
        <w:rPr>
          <w:spacing w:val="-2"/>
        </w:rPr>
        <w:t>Respite</w:t>
      </w:r>
    </w:p>
    <w:p>
      <w:pPr>
        <w:pStyle w:val="BodyText"/>
        <w:spacing w:line="360" w:lineRule="auto" w:before="132"/>
        <w:ind w:right="1255" w:firstLine="722"/>
        <w:jc w:val="both"/>
      </w:pPr>
      <w:r>
        <w:rPr/>
        <w:t>In conformity with JTFs mandate to ensure a conducive environment for oil companies‟</w:t>
      </w:r>
      <w:r>
        <w:rPr>
          <w:spacing w:val="-1"/>
        </w:rPr>
        <w:t> </w:t>
      </w:r>
      <w:r>
        <w:rPr/>
        <w:t>operations,</w:t>
      </w:r>
      <w:r>
        <w:rPr>
          <w:spacing w:val="-1"/>
        </w:rPr>
        <w:t> </w:t>
      </w:r>
      <w:r>
        <w:rPr/>
        <w:t>the</w:t>
      </w:r>
      <w:r>
        <w:rPr>
          <w:spacing w:val="-1"/>
        </w:rPr>
        <w:t> </w:t>
      </w:r>
      <w:r>
        <w:rPr/>
        <w:t>JTF</w:t>
      </w:r>
      <w:r>
        <w:rPr>
          <w:spacing w:val="-3"/>
        </w:rPr>
        <w:t> </w:t>
      </w:r>
      <w:r>
        <w:rPr/>
        <w:t>deploys</w:t>
      </w:r>
      <w:r>
        <w:rPr>
          <w:spacing w:val="-1"/>
        </w:rPr>
        <w:t> </w:t>
      </w:r>
      <w:r>
        <w:rPr/>
        <w:t>troops</w:t>
      </w:r>
      <w:r>
        <w:rPr>
          <w:spacing w:val="-1"/>
        </w:rPr>
        <w:t> </w:t>
      </w:r>
      <w:r>
        <w:rPr/>
        <w:t>to protect various</w:t>
      </w:r>
      <w:r>
        <w:rPr>
          <w:spacing w:val="-1"/>
        </w:rPr>
        <w:t> </w:t>
      </w:r>
      <w:r>
        <w:rPr/>
        <w:t>oil platforms.</w:t>
      </w:r>
      <w:r>
        <w:rPr>
          <w:spacing w:val="40"/>
        </w:rPr>
        <w:t> </w:t>
      </w:r>
      <w:r>
        <w:rPr/>
        <w:t>In</w:t>
      </w:r>
      <w:r>
        <w:rPr>
          <w:spacing w:val="-1"/>
        </w:rPr>
        <w:t> </w:t>
      </w:r>
      <w:r>
        <w:rPr/>
        <w:t>the same vein, the conduct of patrols at the vicinity of oil platforms and escort of personnel and logistics of oil companies to facilitate their operations, in addition to</w:t>
      </w:r>
      <w:r>
        <w:rPr>
          <w:spacing w:val="40"/>
        </w:rPr>
        <w:t> </w:t>
      </w:r>
      <w:r>
        <w:rPr/>
        <w:t>the physical protection of facilities.</w:t>
      </w:r>
      <w:r>
        <w:rPr>
          <w:spacing w:val="80"/>
        </w:rPr>
        <w:t> </w:t>
      </w:r>
      <w:r>
        <w:rPr/>
        <w:t>Hence, most of the assets and operations of the multinationals, oil servicing companies as well as construction firms were secured.</w:t>
      </w:r>
      <w:r>
        <w:rPr>
          <w:spacing w:val="40"/>
        </w:rPr>
        <w:t> </w:t>
      </w:r>
      <w:r>
        <w:rPr/>
        <w:t>For example, the construction of East-West road by SETRACO Nigeria Limited has steadily progressed due to the deployment of JTF troops.</w:t>
      </w:r>
      <w:r>
        <w:rPr>
          <w:spacing w:val="40"/>
        </w:rPr>
        <w:t> </w:t>
      </w:r>
      <w:r>
        <w:rPr/>
        <w:t>Likewise, according to Brigadier</w:t>
      </w:r>
      <w:r>
        <w:rPr>
          <w:spacing w:val="-2"/>
        </w:rPr>
        <w:t> </w:t>
      </w:r>
      <w:r>
        <w:rPr/>
        <w:t>General</w:t>
      </w:r>
      <w:r>
        <w:rPr>
          <w:spacing w:val="-2"/>
        </w:rPr>
        <w:t> </w:t>
      </w:r>
      <w:r>
        <w:rPr/>
        <w:t>Rimtip</w:t>
      </w:r>
      <w:r>
        <w:rPr>
          <w:spacing w:val="-2"/>
        </w:rPr>
        <w:t> </w:t>
      </w:r>
      <w:r>
        <w:rPr/>
        <w:t>JTF</w:t>
      </w:r>
      <w:r>
        <w:rPr>
          <w:spacing w:val="-4"/>
        </w:rPr>
        <w:t> </w:t>
      </w:r>
      <w:r>
        <w:rPr/>
        <w:t>Commander,</w:t>
      </w:r>
      <w:r>
        <w:rPr>
          <w:spacing w:val="-2"/>
        </w:rPr>
        <w:t> </w:t>
      </w:r>
      <w:r>
        <w:rPr/>
        <w:t>the</w:t>
      </w:r>
      <w:r>
        <w:rPr>
          <w:spacing w:val="-2"/>
        </w:rPr>
        <w:t> </w:t>
      </w:r>
      <w:r>
        <w:rPr/>
        <w:t>JTF</w:t>
      </w:r>
      <w:r>
        <w:rPr>
          <w:spacing w:val="-4"/>
        </w:rPr>
        <w:t> </w:t>
      </w:r>
      <w:r>
        <w:rPr/>
        <w:t>intervened in</w:t>
      </w:r>
      <w:r>
        <w:rPr>
          <w:spacing w:val="-2"/>
        </w:rPr>
        <w:t> </w:t>
      </w:r>
      <w:r>
        <w:rPr/>
        <w:t>community</w:t>
      </w:r>
      <w:r>
        <w:rPr>
          <w:spacing w:val="-7"/>
        </w:rPr>
        <w:t> </w:t>
      </w:r>
      <w:r>
        <w:rPr/>
        <w:t>disputes through convening of several fora for meetings between stakeholders including affected communities to facilitate peaceful resolution of conflicts.</w:t>
      </w:r>
      <w:r>
        <w:rPr>
          <w:spacing w:val="40"/>
        </w:rPr>
        <w:t> </w:t>
      </w:r>
      <w:r>
        <w:rPr/>
        <w:t>In the same vein, the multinational oil companies, NNPC and Petroleum product Marketing Company (PPMC) from time to time do request for JTF security coverage for their operations including logistics movement.</w:t>
      </w:r>
    </w:p>
    <w:p>
      <w:pPr>
        <w:spacing w:after="0" w:line="360" w:lineRule="auto"/>
        <w:jc w:val="both"/>
        <w:sectPr>
          <w:pgSz w:w="11910" w:h="16840"/>
          <w:pgMar w:header="0" w:footer="1561" w:top="1360" w:bottom="1760" w:left="720" w:right="180"/>
        </w:sectPr>
      </w:pPr>
    </w:p>
    <w:p>
      <w:pPr>
        <w:pStyle w:val="BodyText"/>
        <w:ind w:left="0"/>
      </w:pPr>
      <w:r>
        <w:rPr/>
        <mc:AlternateContent>
          <mc:Choice Requires="wps">
            <w:drawing>
              <wp:anchor distT="0" distB="0" distL="0" distR="0" allowOverlap="1" layoutInCell="1" locked="0" behindDoc="1" simplePos="0" relativeHeight="480655360">
                <wp:simplePos x="0" y="0"/>
                <wp:positionH relativeFrom="page">
                  <wp:posOffset>-1537026</wp:posOffset>
                </wp:positionH>
                <wp:positionV relativeFrom="page">
                  <wp:posOffset>4900424</wp:posOffset>
                </wp:positionV>
                <wp:extent cx="10669905" cy="914400"/>
                <wp:effectExtent l="0" t="0" r="0" b="0"/>
                <wp:wrapNone/>
                <wp:docPr id="266" name="Textbox 266"/>
                <wp:cNvGraphicFramePr>
                  <a:graphicFrameLocks/>
                </wp:cNvGraphicFramePr>
                <a:graphic>
                  <a:graphicData uri="http://schemas.microsoft.com/office/word/2010/wordprocessingShape">
                    <wps:wsp>
                      <wps:cNvPr id="266" name="Textbox 266"/>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61120;rotation:306" type="#_x0000_t136" fillcolor="#ff5400" stroked="f">
                <o:extrusion v:ext="view" autorotationcenter="t"/>
                <v:textpath style="font-family:&quot;Arial MT&quot;;font-size:72pt;v-text-kern:t;mso-text-shadow:auto" string="UNIVERSITY OF IBADAN"/>
                <w10:wrap type="none"/>
              </v:shape>
            </w:pict>
          </mc:Fallback>
        </mc:AlternateConten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28"/>
        <w:ind w:left="0"/>
      </w:pPr>
    </w:p>
    <w:p>
      <w:pPr>
        <w:spacing w:line="360" w:lineRule="auto" w:before="0"/>
        <w:ind w:left="1440" w:right="3970" w:firstLine="0"/>
        <w:jc w:val="left"/>
        <w:rPr>
          <w:b/>
          <w:sz w:val="24"/>
        </w:rPr>
      </w:pPr>
      <w:r>
        <w:rPr/>
        <w:drawing>
          <wp:anchor distT="0" distB="0" distL="0" distR="0" allowOverlap="1" layoutInCell="1" locked="0" behindDoc="0" simplePos="0" relativeHeight="15826432">
            <wp:simplePos x="0" y="0"/>
            <wp:positionH relativeFrom="page">
              <wp:posOffset>1390650</wp:posOffset>
            </wp:positionH>
            <wp:positionV relativeFrom="paragraph">
              <wp:posOffset>-2817637</wp:posOffset>
            </wp:positionV>
            <wp:extent cx="3628135" cy="2729864"/>
            <wp:effectExtent l="0" t="0" r="0" b="0"/>
            <wp:wrapNone/>
            <wp:docPr id="267" name="Image 267" descr="DSC00515"/>
            <wp:cNvGraphicFramePr>
              <a:graphicFrameLocks/>
            </wp:cNvGraphicFramePr>
            <a:graphic>
              <a:graphicData uri="http://schemas.openxmlformats.org/drawingml/2006/picture">
                <pic:pic>
                  <pic:nvPicPr>
                    <pic:cNvPr id="267" name="Image 267" descr="DSC00515"/>
                    <pic:cNvPicPr/>
                  </pic:nvPicPr>
                  <pic:blipFill>
                    <a:blip r:embed="rId72" cstate="print"/>
                    <a:stretch>
                      <a:fillRect/>
                    </a:stretch>
                  </pic:blipFill>
                  <pic:spPr>
                    <a:xfrm>
                      <a:off x="0" y="0"/>
                      <a:ext cx="3628135" cy="2729864"/>
                    </a:xfrm>
                    <a:prstGeom prst="rect">
                      <a:avLst/>
                    </a:prstGeom>
                  </pic:spPr>
                </pic:pic>
              </a:graphicData>
            </a:graphic>
          </wp:anchor>
        </w:drawing>
      </w:r>
      <w:r>
        <w:rPr>
          <w:b/>
          <w:sz w:val="24"/>
        </w:rPr>
        <w:t>Plate 48: JTF Troops on Patrol with Local Boat Source:</w:t>
      </w:r>
      <w:r>
        <w:rPr>
          <w:b/>
          <w:spacing w:val="-9"/>
          <w:sz w:val="24"/>
        </w:rPr>
        <w:t> </w:t>
      </w:r>
      <w:r>
        <w:rPr>
          <w:b/>
          <w:sz w:val="24"/>
        </w:rPr>
        <w:t>Researcher’s</w:t>
      </w:r>
      <w:r>
        <w:rPr>
          <w:b/>
          <w:spacing w:val="-6"/>
          <w:sz w:val="24"/>
        </w:rPr>
        <w:t> </w:t>
      </w:r>
      <w:r>
        <w:rPr>
          <w:b/>
          <w:sz w:val="24"/>
        </w:rPr>
        <w:t>Fieldwork,</w:t>
      </w:r>
      <w:r>
        <w:rPr>
          <w:b/>
          <w:spacing w:val="-9"/>
          <w:sz w:val="24"/>
        </w:rPr>
        <w:t> </w:t>
      </w:r>
      <w:r>
        <w:rPr>
          <w:b/>
          <w:sz w:val="24"/>
        </w:rPr>
        <w:t>2</w:t>
      </w:r>
      <w:r>
        <w:rPr>
          <w:b/>
          <w:spacing w:val="-9"/>
          <w:sz w:val="24"/>
        </w:rPr>
        <w:t> </w:t>
      </w:r>
      <w:r>
        <w:rPr>
          <w:b/>
          <w:sz w:val="24"/>
        </w:rPr>
        <w:t>September,</w:t>
      </w:r>
      <w:r>
        <w:rPr>
          <w:b/>
          <w:spacing w:val="-7"/>
          <w:sz w:val="24"/>
        </w:rPr>
        <w:t> </w:t>
      </w:r>
      <w:r>
        <w:rPr>
          <w:b/>
          <w:sz w:val="24"/>
        </w:rPr>
        <w:t>2010</w:t>
      </w: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spacing w:before="24"/>
        <w:ind w:left="0"/>
        <w:rPr>
          <w:b/>
          <w:sz w:val="20"/>
        </w:rPr>
      </w:pPr>
      <w:r>
        <w:rPr/>
        <w:drawing>
          <wp:anchor distT="0" distB="0" distL="0" distR="0" allowOverlap="1" layoutInCell="1" locked="0" behindDoc="1" simplePos="0" relativeHeight="487684608">
            <wp:simplePos x="0" y="0"/>
            <wp:positionH relativeFrom="page">
              <wp:posOffset>1351279</wp:posOffset>
            </wp:positionH>
            <wp:positionV relativeFrom="paragraph">
              <wp:posOffset>176989</wp:posOffset>
            </wp:positionV>
            <wp:extent cx="4158900" cy="2862453"/>
            <wp:effectExtent l="0" t="0" r="0" b="0"/>
            <wp:wrapTopAndBottom/>
            <wp:docPr id="268" name="Image 268"/>
            <wp:cNvGraphicFramePr>
              <a:graphicFrameLocks/>
            </wp:cNvGraphicFramePr>
            <a:graphic>
              <a:graphicData uri="http://schemas.openxmlformats.org/drawingml/2006/picture">
                <pic:pic>
                  <pic:nvPicPr>
                    <pic:cNvPr id="268" name="Image 268"/>
                    <pic:cNvPicPr/>
                  </pic:nvPicPr>
                  <pic:blipFill>
                    <a:blip r:embed="rId73" cstate="print"/>
                    <a:stretch>
                      <a:fillRect/>
                    </a:stretch>
                  </pic:blipFill>
                  <pic:spPr>
                    <a:xfrm>
                      <a:off x="0" y="0"/>
                      <a:ext cx="4158900" cy="2862453"/>
                    </a:xfrm>
                    <a:prstGeom prst="rect">
                      <a:avLst/>
                    </a:prstGeom>
                  </pic:spPr>
                </pic:pic>
              </a:graphicData>
            </a:graphic>
          </wp:anchor>
        </w:drawing>
      </w:r>
    </w:p>
    <w:p>
      <w:pPr>
        <w:spacing w:before="88"/>
        <w:ind w:left="1440" w:right="1260" w:firstLine="0"/>
        <w:jc w:val="left"/>
        <w:rPr>
          <w:b/>
          <w:sz w:val="24"/>
        </w:rPr>
      </w:pPr>
      <w:r>
        <w:rPr>
          <w:b/>
          <w:sz w:val="24"/>
        </w:rPr>
        <w:t>Plate</w:t>
      </w:r>
      <w:r>
        <w:rPr>
          <w:b/>
          <w:spacing w:val="-5"/>
          <w:sz w:val="24"/>
        </w:rPr>
        <w:t> </w:t>
      </w:r>
      <w:r>
        <w:rPr>
          <w:b/>
          <w:sz w:val="24"/>
        </w:rPr>
        <w:t>49</w:t>
      </w:r>
      <w:r>
        <w:rPr>
          <w:b/>
          <w:spacing w:val="-4"/>
          <w:sz w:val="24"/>
        </w:rPr>
        <w:t> </w:t>
      </w:r>
      <w:r>
        <w:rPr>
          <w:b/>
          <w:sz w:val="24"/>
        </w:rPr>
        <w:t>:</w:t>
      </w:r>
      <w:r>
        <w:rPr>
          <w:b/>
          <w:spacing w:val="40"/>
          <w:sz w:val="24"/>
        </w:rPr>
        <w:t> </w:t>
      </w:r>
      <w:r>
        <w:rPr>
          <w:b/>
          <w:sz w:val="24"/>
        </w:rPr>
        <w:t>Interview</w:t>
      </w:r>
      <w:r>
        <w:rPr>
          <w:b/>
          <w:spacing w:val="-3"/>
          <w:sz w:val="24"/>
        </w:rPr>
        <w:t> </w:t>
      </w:r>
      <w:r>
        <w:rPr>
          <w:b/>
          <w:sz w:val="24"/>
        </w:rPr>
        <w:t>with</w:t>
      </w:r>
      <w:r>
        <w:rPr>
          <w:b/>
          <w:spacing w:val="-4"/>
          <w:sz w:val="24"/>
        </w:rPr>
        <w:t> </w:t>
      </w:r>
      <w:r>
        <w:rPr>
          <w:b/>
          <w:sz w:val="24"/>
        </w:rPr>
        <w:t>Brig</w:t>
      </w:r>
      <w:r>
        <w:rPr>
          <w:b/>
          <w:spacing w:val="-4"/>
          <w:sz w:val="24"/>
        </w:rPr>
        <w:t> </w:t>
      </w:r>
      <w:r>
        <w:rPr>
          <w:b/>
          <w:sz w:val="24"/>
        </w:rPr>
        <w:t>Gen</w:t>
      </w:r>
      <w:r>
        <w:rPr>
          <w:b/>
          <w:spacing w:val="-4"/>
          <w:sz w:val="24"/>
        </w:rPr>
        <w:t> </w:t>
      </w:r>
      <w:r>
        <w:rPr>
          <w:b/>
          <w:sz w:val="24"/>
        </w:rPr>
        <w:t>NW</w:t>
      </w:r>
      <w:r>
        <w:rPr>
          <w:b/>
          <w:spacing w:val="-4"/>
          <w:sz w:val="24"/>
        </w:rPr>
        <w:t> </w:t>
      </w:r>
      <w:r>
        <w:rPr>
          <w:b/>
          <w:sz w:val="24"/>
        </w:rPr>
        <w:t>Rimptip Comd</w:t>
      </w:r>
      <w:r>
        <w:rPr>
          <w:b/>
          <w:spacing w:val="-4"/>
          <w:sz w:val="24"/>
        </w:rPr>
        <w:t> </w:t>
      </w:r>
      <w:r>
        <w:rPr>
          <w:b/>
          <w:sz w:val="24"/>
        </w:rPr>
        <w:t>ATG,</w:t>
      </w:r>
      <w:r>
        <w:rPr>
          <w:b/>
          <w:spacing w:val="-2"/>
          <w:sz w:val="24"/>
        </w:rPr>
        <w:t> </w:t>
      </w:r>
      <w:r>
        <w:rPr>
          <w:b/>
          <w:sz w:val="24"/>
        </w:rPr>
        <w:t>(former Commander JTF Operation RESTORE HOPE)</w:t>
      </w:r>
    </w:p>
    <w:p>
      <w:pPr>
        <w:spacing w:line="274" w:lineRule="exact" w:before="0"/>
        <w:ind w:left="1440" w:right="0" w:firstLine="0"/>
        <w:jc w:val="left"/>
        <w:rPr>
          <w:b/>
          <w:sz w:val="24"/>
        </w:rPr>
      </w:pPr>
      <w:r>
        <w:rPr>
          <w:b/>
          <w:sz w:val="24"/>
        </w:rPr>
        <w:t>Source:</w:t>
      </w:r>
      <w:r>
        <w:rPr>
          <w:b/>
          <w:spacing w:val="54"/>
          <w:sz w:val="24"/>
        </w:rPr>
        <w:t> </w:t>
      </w:r>
      <w:r>
        <w:rPr>
          <w:b/>
          <w:sz w:val="24"/>
        </w:rPr>
        <w:t>Researcher’s</w:t>
      </w:r>
      <w:r>
        <w:rPr>
          <w:b/>
          <w:spacing w:val="55"/>
          <w:sz w:val="24"/>
        </w:rPr>
        <w:t> </w:t>
      </w:r>
      <w:r>
        <w:rPr>
          <w:b/>
          <w:sz w:val="24"/>
        </w:rPr>
        <w:t>Fieldwork,</w:t>
      </w:r>
      <w:r>
        <w:rPr>
          <w:b/>
          <w:spacing w:val="-3"/>
          <w:sz w:val="24"/>
        </w:rPr>
        <w:t> </w:t>
      </w:r>
      <w:r>
        <w:rPr>
          <w:b/>
          <w:spacing w:val="-4"/>
          <w:sz w:val="24"/>
        </w:rPr>
        <w:t>2009</w:t>
      </w:r>
    </w:p>
    <w:p>
      <w:pPr>
        <w:spacing w:after="0" w:line="274" w:lineRule="exact"/>
        <w:jc w:val="left"/>
        <w:rPr>
          <w:sz w:val="24"/>
        </w:rPr>
        <w:sectPr>
          <w:pgSz w:w="11910" w:h="16840"/>
          <w:pgMar w:header="0" w:footer="1561" w:top="1420" w:bottom="1760" w:left="720" w:right="180"/>
        </w:sectPr>
      </w:pPr>
    </w:p>
    <w:p>
      <w:pPr>
        <w:pStyle w:val="BodyText"/>
        <w:spacing w:line="360" w:lineRule="auto" w:before="60"/>
        <w:ind w:right="1255"/>
        <w:jc w:val="both"/>
      </w:pPr>
      <w:r>
        <w:rPr/>
        <mc:AlternateContent>
          <mc:Choice Requires="wps">
            <w:drawing>
              <wp:anchor distT="0" distB="0" distL="0" distR="0" allowOverlap="1" layoutInCell="1" locked="0" behindDoc="1" simplePos="0" relativeHeight="480656384">
                <wp:simplePos x="0" y="0"/>
                <wp:positionH relativeFrom="page">
                  <wp:posOffset>-1537026</wp:posOffset>
                </wp:positionH>
                <wp:positionV relativeFrom="page">
                  <wp:posOffset>4900424</wp:posOffset>
                </wp:positionV>
                <wp:extent cx="10669905" cy="914400"/>
                <wp:effectExtent l="0" t="0" r="0" b="0"/>
                <wp:wrapNone/>
                <wp:docPr id="269" name="Textbox 269"/>
                <wp:cNvGraphicFramePr>
                  <a:graphicFrameLocks/>
                </wp:cNvGraphicFramePr>
                <a:graphic>
                  <a:graphicData uri="http://schemas.microsoft.com/office/word/2010/wordprocessingShape">
                    <wps:wsp>
                      <wps:cNvPr id="269" name="Textbox 269"/>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60096;rotation:306" type="#_x0000_t136" fillcolor="#ff5400" stroked="f">
                <o:extrusion v:ext="view" autorotationcenter="t"/>
                <v:textpath style="font-family:&quot;Arial MT&quot;;font-size:72pt;v-text-kern:t;mso-text-shadow:auto" string="UNIVERSITY OF IBADAN"/>
                <w10:wrap type="none"/>
              </v:shape>
            </w:pict>
          </mc:Fallback>
        </mc:AlternateContent>
      </w:r>
      <w:r>
        <w:rPr/>
        <w:t>Prior to the intervention of the JTF in the Niger Delta, the militants as part of their strategies blocked waterways to terrorize the economic life of innocent victims. To stem this trend, the Task Force on 16th December 2007 dislodged some Ijaw militant groups stationed at Clough Creek camp. Similarly, some Itsekiri militant groups who attempted to establish such a camp at Madahor, Escravos were disallowed in December 2007.</w:t>
      </w:r>
      <w:r>
        <w:rPr>
          <w:spacing w:val="80"/>
        </w:rPr>
        <w:t> </w:t>
      </w:r>
      <w:r>
        <w:rPr/>
        <w:t>This action has been sustained by frequent patrol of the waterways to reinstate normalcy to the hitherto blossoming economic life of the people in the area.</w:t>
      </w:r>
      <w:r>
        <w:rPr>
          <w:spacing w:val="40"/>
        </w:rPr>
        <w:t> </w:t>
      </w:r>
      <w:r>
        <w:rPr/>
        <w:t>This</w:t>
      </w:r>
      <w:r>
        <w:rPr>
          <w:spacing w:val="-2"/>
        </w:rPr>
        <w:t> </w:t>
      </w:r>
      <w:r>
        <w:rPr/>
        <w:t>effort</w:t>
      </w:r>
      <w:r>
        <w:rPr>
          <w:spacing w:val="-2"/>
        </w:rPr>
        <w:t> </w:t>
      </w:r>
      <w:r>
        <w:rPr/>
        <w:t>has</w:t>
      </w:r>
      <w:r>
        <w:rPr>
          <w:spacing w:val="-1"/>
        </w:rPr>
        <w:t> </w:t>
      </w:r>
      <w:r>
        <w:rPr/>
        <w:t>come</w:t>
      </w:r>
      <w:r>
        <w:rPr>
          <w:spacing w:val="-2"/>
        </w:rPr>
        <w:t> </w:t>
      </w:r>
      <w:r>
        <w:rPr/>
        <w:t>to</w:t>
      </w:r>
      <w:r>
        <w:rPr>
          <w:spacing w:val="-2"/>
        </w:rPr>
        <w:t> </w:t>
      </w:r>
      <w:r>
        <w:rPr/>
        <w:t>stay</w:t>
      </w:r>
      <w:r>
        <w:rPr>
          <w:spacing w:val="-6"/>
        </w:rPr>
        <w:t> </w:t>
      </w:r>
      <w:r>
        <w:rPr/>
        <w:t>by</w:t>
      </w:r>
      <w:r>
        <w:rPr>
          <w:spacing w:val="-6"/>
        </w:rPr>
        <w:t> </w:t>
      </w:r>
      <w:r>
        <w:rPr/>
        <w:t>way</w:t>
      </w:r>
      <w:r>
        <w:rPr>
          <w:spacing w:val="-5"/>
        </w:rPr>
        <w:t> </w:t>
      </w:r>
      <w:r>
        <w:rPr/>
        <w:t>of</w:t>
      </w:r>
      <w:r>
        <w:rPr>
          <w:spacing w:val="-3"/>
        </w:rPr>
        <w:t> </w:t>
      </w:r>
      <w:r>
        <w:rPr/>
        <w:t>daily</w:t>
      </w:r>
      <w:r>
        <w:rPr>
          <w:spacing w:val="-5"/>
        </w:rPr>
        <w:t> </w:t>
      </w:r>
      <w:r>
        <w:rPr/>
        <w:t>routine</w:t>
      </w:r>
      <w:r>
        <w:rPr>
          <w:spacing w:val="-3"/>
        </w:rPr>
        <w:t> </w:t>
      </w:r>
      <w:r>
        <w:rPr/>
        <w:t>patrol</w:t>
      </w:r>
      <w:r>
        <w:rPr>
          <w:spacing w:val="-2"/>
        </w:rPr>
        <w:t> </w:t>
      </w:r>
      <w:r>
        <w:rPr/>
        <w:t>and armed escorts</w:t>
      </w:r>
      <w:r>
        <w:rPr>
          <w:spacing w:val="-2"/>
        </w:rPr>
        <w:t> </w:t>
      </w:r>
      <w:r>
        <w:rPr/>
        <w:t>for logistics movements being undertaken by the multi-national oil companies.</w:t>
      </w:r>
    </w:p>
    <w:p>
      <w:pPr>
        <w:pStyle w:val="BodyText"/>
        <w:spacing w:before="144"/>
        <w:ind w:left="0"/>
      </w:pPr>
    </w:p>
    <w:p>
      <w:pPr>
        <w:pStyle w:val="Heading1"/>
        <w:numPr>
          <w:ilvl w:val="1"/>
          <w:numId w:val="19"/>
        </w:numPr>
        <w:tabs>
          <w:tab w:pos="2160" w:val="left" w:leader="none"/>
        </w:tabs>
        <w:spacing w:line="360" w:lineRule="auto" w:before="1" w:after="0"/>
        <w:ind w:left="2160" w:right="1260" w:hanging="720"/>
        <w:jc w:val="left"/>
      </w:pPr>
      <w:r>
        <w:rPr/>
        <w:t>CHALLENGES TO MILITARY JOINT TASK FORCE OPERATIONS IN NIGER DELTA</w:t>
      </w:r>
    </w:p>
    <w:p>
      <w:pPr>
        <w:pStyle w:val="Heading2"/>
        <w:numPr>
          <w:ilvl w:val="2"/>
          <w:numId w:val="19"/>
        </w:numPr>
        <w:tabs>
          <w:tab w:pos="1980" w:val="left" w:leader="none"/>
        </w:tabs>
        <w:spacing w:line="240" w:lineRule="auto" w:before="0" w:after="0"/>
        <w:ind w:left="1980" w:right="0" w:hanging="540"/>
        <w:jc w:val="both"/>
      </w:pPr>
      <w:r>
        <w:rPr>
          <w:spacing w:val="-2"/>
        </w:rPr>
        <w:t>Background</w:t>
      </w:r>
    </w:p>
    <w:p>
      <w:pPr>
        <w:pStyle w:val="BodyText"/>
        <w:spacing w:line="360" w:lineRule="auto" w:before="132"/>
        <w:ind w:right="1254" w:firstLine="540"/>
        <w:jc w:val="both"/>
      </w:pPr>
      <w:r>
        <w:rPr/>
        <w:t>Although the JTF has achieved a measure of success to a reasonable extent, the fact remains that the JTF has not been able to solve the insecurity problems of the Niger Delta region.</w:t>
      </w:r>
      <w:r>
        <w:rPr>
          <w:spacing w:val="40"/>
        </w:rPr>
        <w:t> </w:t>
      </w:r>
      <w:r>
        <w:rPr/>
        <w:t>Aside, the logistics and related challenges faced by the JTF, the lack of political will by the Federal Government to deal with the conflict constitutes serious challenges.</w:t>
      </w:r>
      <w:r>
        <w:rPr>
          <w:spacing w:val="40"/>
        </w:rPr>
        <w:t> </w:t>
      </w:r>
      <w:r>
        <w:rPr/>
        <w:t>Hence, the escalation of violent conflict in the region. It could be inferred therefore that, the military operations have not been able to holistically resolve the Niger Delta conflict.</w:t>
      </w:r>
      <w:r>
        <w:rPr>
          <w:spacing w:val="40"/>
        </w:rPr>
        <w:t> </w:t>
      </w:r>
      <w:r>
        <w:rPr/>
        <w:t>However, the military line of action could be strengthened to complement other political measures aimed at ensuring sustainable development, enduring peace and security in the Niger Delta.</w:t>
      </w:r>
      <w:r>
        <w:rPr>
          <w:spacing w:val="40"/>
        </w:rPr>
        <w:t> </w:t>
      </w:r>
      <w:r>
        <w:rPr/>
        <w:t>The challenges to Operation RESTORE HOPE and strategies for enhancing the military operations are considered in the succeeding discussions.</w:t>
      </w:r>
    </w:p>
    <w:p>
      <w:pPr>
        <w:pStyle w:val="BodyText"/>
        <w:spacing w:before="143"/>
        <w:ind w:left="0"/>
      </w:pPr>
    </w:p>
    <w:p>
      <w:pPr>
        <w:pStyle w:val="Heading2"/>
        <w:numPr>
          <w:ilvl w:val="2"/>
          <w:numId w:val="19"/>
        </w:numPr>
        <w:tabs>
          <w:tab w:pos="2160" w:val="left" w:leader="none"/>
        </w:tabs>
        <w:spacing w:line="240" w:lineRule="auto" w:before="0" w:after="0"/>
        <w:ind w:left="2160" w:right="0" w:hanging="720"/>
        <w:jc w:val="both"/>
      </w:pPr>
      <w:r>
        <w:rPr/>
        <w:t>Lack</w:t>
      </w:r>
      <w:r>
        <w:rPr>
          <w:spacing w:val="-1"/>
        </w:rPr>
        <w:t> </w:t>
      </w:r>
      <w:r>
        <w:rPr/>
        <w:t>of Robust</w:t>
      </w:r>
      <w:r>
        <w:rPr>
          <w:spacing w:val="-1"/>
        </w:rPr>
        <w:t> </w:t>
      </w:r>
      <w:r>
        <w:rPr>
          <w:spacing w:val="-2"/>
        </w:rPr>
        <w:t>Mandate</w:t>
      </w:r>
    </w:p>
    <w:p>
      <w:pPr>
        <w:pStyle w:val="BodyText"/>
        <w:spacing w:line="360" w:lineRule="auto" w:before="109"/>
        <w:ind w:right="1253" w:firstLine="720"/>
        <w:jc w:val="both"/>
      </w:pPr>
      <w:r>
        <w:rPr/>
        <w:t>The mandate of the JTF Operation RESTORE HOPE appears adequate at the inception of the Task Force in August 2003 to address the insecurity posed by the inter-communal c1ashes.</w:t>
      </w:r>
      <w:r>
        <w:rPr>
          <w:spacing w:val="40"/>
        </w:rPr>
        <w:t> </w:t>
      </w:r>
      <w:r>
        <w:rPr/>
        <w:t>The initial success of the force also led to the re-entry programme of the multinational oil and gas companies.</w:t>
      </w:r>
      <w:r>
        <w:rPr>
          <w:spacing w:val="40"/>
        </w:rPr>
        <w:t> </w:t>
      </w:r>
      <w:r>
        <w:rPr/>
        <w:t>However, there was a corresponding increase in militancy due to the increased involvement of the militants in illegal bunkering activities.</w:t>
      </w:r>
      <w:r>
        <w:rPr>
          <w:spacing w:val="40"/>
        </w:rPr>
        <w:t> </w:t>
      </w:r>
      <w:r>
        <w:rPr/>
        <w:t>Likewise, the tasks of the JTF Operation RESTORE HOPE</w:t>
      </w:r>
      <w:r>
        <w:rPr>
          <w:spacing w:val="54"/>
        </w:rPr>
        <w:t> </w:t>
      </w:r>
      <w:r>
        <w:rPr/>
        <w:t>also</w:t>
      </w:r>
      <w:r>
        <w:rPr>
          <w:spacing w:val="58"/>
        </w:rPr>
        <w:t> </w:t>
      </w:r>
      <w:r>
        <w:rPr/>
        <w:t>involve</w:t>
      </w:r>
      <w:r>
        <w:rPr>
          <w:spacing w:val="58"/>
        </w:rPr>
        <w:t> </w:t>
      </w:r>
      <w:r>
        <w:rPr/>
        <w:t>the</w:t>
      </w:r>
      <w:r>
        <w:rPr>
          <w:spacing w:val="59"/>
        </w:rPr>
        <w:t> </w:t>
      </w:r>
      <w:r>
        <w:rPr/>
        <w:t>issues</w:t>
      </w:r>
      <w:r>
        <w:rPr>
          <w:spacing w:val="57"/>
        </w:rPr>
        <w:t> </w:t>
      </w:r>
      <w:r>
        <w:rPr/>
        <w:t>of</w:t>
      </w:r>
      <w:r>
        <w:rPr>
          <w:spacing w:val="62"/>
        </w:rPr>
        <w:t> </w:t>
      </w:r>
      <w:r>
        <w:rPr/>
        <w:t>combating</w:t>
      </w:r>
      <w:r>
        <w:rPr>
          <w:spacing w:val="53"/>
        </w:rPr>
        <w:t> </w:t>
      </w:r>
      <w:r>
        <w:rPr/>
        <w:t>illegal</w:t>
      </w:r>
      <w:r>
        <w:rPr>
          <w:spacing w:val="57"/>
        </w:rPr>
        <w:t> </w:t>
      </w:r>
      <w:r>
        <w:rPr/>
        <w:t>oil</w:t>
      </w:r>
      <w:r>
        <w:rPr>
          <w:spacing w:val="58"/>
        </w:rPr>
        <w:t> </w:t>
      </w:r>
      <w:r>
        <w:rPr/>
        <w:t>bunkering.</w:t>
      </w:r>
      <w:r>
        <w:rPr>
          <w:spacing w:val="58"/>
        </w:rPr>
        <w:t>  </w:t>
      </w:r>
      <w:r>
        <w:rPr/>
        <w:t>The</w:t>
      </w:r>
      <w:r>
        <w:rPr>
          <w:spacing w:val="56"/>
        </w:rPr>
        <w:t> </w:t>
      </w:r>
      <w:r>
        <w:rPr>
          <w:spacing w:val="-2"/>
        </w:rPr>
        <w:t>mandate</w:t>
      </w:r>
    </w:p>
    <w:p>
      <w:pPr>
        <w:spacing w:after="0" w:line="360" w:lineRule="auto"/>
        <w:jc w:val="both"/>
        <w:sectPr>
          <w:pgSz w:w="11910" w:h="16840"/>
          <w:pgMar w:header="0" w:footer="1561" w:top="1360" w:bottom="1760" w:left="720" w:right="180"/>
        </w:sectPr>
      </w:pPr>
    </w:p>
    <w:p>
      <w:pPr>
        <w:pStyle w:val="BodyText"/>
        <w:spacing w:line="360" w:lineRule="auto" w:before="60"/>
        <w:ind w:right="1261"/>
        <w:jc w:val="both"/>
      </w:pPr>
      <w:r>
        <w:rPr/>
        <mc:AlternateContent>
          <mc:Choice Requires="wps">
            <w:drawing>
              <wp:anchor distT="0" distB="0" distL="0" distR="0" allowOverlap="1" layoutInCell="1" locked="0" behindDoc="1" simplePos="0" relativeHeight="480656896">
                <wp:simplePos x="0" y="0"/>
                <wp:positionH relativeFrom="page">
                  <wp:posOffset>-1537026</wp:posOffset>
                </wp:positionH>
                <wp:positionV relativeFrom="page">
                  <wp:posOffset>4900424</wp:posOffset>
                </wp:positionV>
                <wp:extent cx="10669905" cy="914400"/>
                <wp:effectExtent l="0" t="0" r="0" b="0"/>
                <wp:wrapNone/>
                <wp:docPr id="270" name="Textbox 270"/>
                <wp:cNvGraphicFramePr>
                  <a:graphicFrameLocks/>
                </wp:cNvGraphicFramePr>
                <a:graphic>
                  <a:graphicData uri="http://schemas.microsoft.com/office/word/2010/wordprocessingShape">
                    <wps:wsp>
                      <wps:cNvPr id="270" name="Textbox 270"/>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59584;rotation:306" type="#_x0000_t136" fillcolor="#ff5400" stroked="f">
                <o:extrusion v:ext="view" autorotationcenter="t"/>
                <v:textpath style="font-family:&quot;Arial MT&quot;;font-size:72pt;v-text-kern:t;mso-text-shadow:auto" string="UNIVERSITY OF IBADAN"/>
                <w10:wrap type="none"/>
              </v:shape>
            </w:pict>
          </mc:Fallback>
        </mc:AlternateContent>
      </w:r>
      <w:r>
        <w:rPr/>
        <w:t>problem has allowed the prolongation of the conflict as the militants kept coming out with different guerrilla tactics all the time.</w:t>
      </w:r>
      <w:r>
        <w:rPr>
          <w:spacing w:val="40"/>
        </w:rPr>
        <w:t> </w:t>
      </w:r>
      <w:r>
        <w:rPr/>
        <w:t>Akin to the issue of mandate is the rather restrictive ROE which did not allow commanders on the ground to take decisive actions on the use of force whenever the need arose.</w:t>
      </w:r>
    </w:p>
    <w:p>
      <w:pPr>
        <w:pStyle w:val="BodyText"/>
        <w:spacing w:line="360" w:lineRule="auto" w:before="1"/>
        <w:ind w:right="1251" w:firstLine="720"/>
        <w:jc w:val="both"/>
      </w:pPr>
      <w:r>
        <w:rPr/>
        <w:t>The result of the study reveals that the level of preparedness of troops for optimum performance as required by the mandate was low.</w:t>
      </w:r>
      <w:r>
        <w:rPr>
          <w:spacing w:val="40"/>
        </w:rPr>
        <w:t> </w:t>
      </w:r>
      <w:r>
        <w:rPr/>
        <w:t>This becomes apparent when considered against the backdrop of manpower, training, equipment, logistics</w:t>
      </w:r>
      <w:r>
        <w:rPr>
          <w:spacing w:val="40"/>
        </w:rPr>
        <w:t> </w:t>
      </w:r>
      <w:r>
        <w:rPr/>
        <w:t>and welfare.</w:t>
      </w:r>
      <w:r>
        <w:rPr>
          <w:spacing w:val="80"/>
        </w:rPr>
        <w:t> </w:t>
      </w:r>
      <w:r>
        <w:rPr/>
        <w:t>A combination of these factors has hampered operational efficiency.</w:t>
      </w:r>
      <w:r>
        <w:rPr>
          <w:spacing w:val="40"/>
        </w:rPr>
        <w:t> </w:t>
      </w:r>
      <w:r>
        <w:rPr/>
        <w:t>The study sought views of JTF commanders on the appropriateness of the mandate under which they operate.</w:t>
      </w:r>
      <w:r>
        <w:rPr>
          <w:spacing w:val="40"/>
        </w:rPr>
        <w:t> </w:t>
      </w:r>
      <w:r>
        <w:rPr/>
        <w:t>From an aggregate of their views, inadequate manpower and equipment, lack of joint training, inadequate logistics and lack of communication are the major problems.</w:t>
      </w:r>
      <w:r>
        <w:rPr>
          <w:spacing w:val="40"/>
        </w:rPr>
        <w:t> </w:t>
      </w:r>
      <w:r>
        <w:rPr/>
        <w:t>In view of these, Operation RESTORE HOPE has not fully achieved the mandated tasks at inception of the operation. For instance, training, equipments, logistics and other requirements have not been stepped up to meet the emerging threats and challenges.</w:t>
      </w:r>
      <w:r>
        <w:rPr>
          <w:spacing w:val="40"/>
        </w:rPr>
        <w:t> </w:t>
      </w:r>
      <w:r>
        <w:rPr/>
        <w:t>By inference, these variables required are supposed to have changed.</w:t>
      </w:r>
      <w:r>
        <w:rPr>
          <w:spacing w:val="80"/>
        </w:rPr>
        <w:t> </w:t>
      </w:r>
      <w:r>
        <w:rPr/>
        <w:t>Likewise, it can be argued that Operation RESTORE HOPE that was supposed to have lasted for 90 days is still ongoing.</w:t>
      </w:r>
    </w:p>
    <w:p>
      <w:pPr>
        <w:pStyle w:val="BodyText"/>
        <w:spacing w:before="144"/>
        <w:ind w:left="0"/>
      </w:pPr>
    </w:p>
    <w:p>
      <w:pPr>
        <w:pStyle w:val="Heading2"/>
        <w:numPr>
          <w:ilvl w:val="2"/>
          <w:numId w:val="19"/>
        </w:numPr>
        <w:tabs>
          <w:tab w:pos="2160" w:val="left" w:leader="none"/>
        </w:tabs>
        <w:spacing w:line="240" w:lineRule="auto" w:before="0" w:after="0"/>
        <w:ind w:left="2160" w:right="0" w:hanging="720"/>
        <w:jc w:val="both"/>
      </w:pPr>
      <w:r>
        <w:rPr/>
        <w:t>Ineffective</w:t>
      </w:r>
      <w:r>
        <w:rPr>
          <w:spacing w:val="-5"/>
        </w:rPr>
        <w:t> </w:t>
      </w:r>
      <w:r>
        <w:rPr>
          <w:spacing w:val="-2"/>
        </w:rPr>
        <w:t>Leadership</w:t>
      </w:r>
    </w:p>
    <w:p>
      <w:pPr>
        <w:pStyle w:val="BodyText"/>
        <w:spacing w:line="360" w:lineRule="auto" w:before="132"/>
        <w:ind w:right="1256" w:firstLine="720"/>
        <w:jc w:val="both"/>
      </w:pPr>
      <w:r>
        <w:rPr/>
        <w:t>Ineffective leadership at strategic, operational and tactical levels impacted adversely on the conduct of JTF operations in the Niger Delta.</w:t>
      </w:r>
      <w:r>
        <w:rPr>
          <w:spacing w:val="40"/>
        </w:rPr>
        <w:t> </w:t>
      </w:r>
      <w:r>
        <w:rPr/>
        <w:t>The weak entry (deployment) strategy in the two operations under examination was due to unrealistic contingency</w:t>
      </w:r>
      <w:r>
        <w:rPr>
          <w:spacing w:val="-5"/>
        </w:rPr>
        <w:t> </w:t>
      </w:r>
      <w:r>
        <w:rPr/>
        <w:t>plans</w:t>
      </w:r>
      <w:r>
        <w:rPr>
          <w:spacing w:val="-2"/>
        </w:rPr>
        <w:t> </w:t>
      </w:r>
      <w:r>
        <w:rPr/>
        <w:t>by</w:t>
      </w:r>
      <w:r>
        <w:rPr>
          <w:spacing w:val="-5"/>
        </w:rPr>
        <w:t> </w:t>
      </w:r>
      <w:r>
        <w:rPr/>
        <w:t>the leadership</w:t>
      </w:r>
      <w:r>
        <w:rPr>
          <w:spacing w:val="-1"/>
        </w:rPr>
        <w:t> </w:t>
      </w:r>
      <w:r>
        <w:rPr/>
        <w:t>at</w:t>
      </w:r>
      <w:r>
        <w:rPr>
          <w:spacing w:val="-1"/>
        </w:rPr>
        <w:t> </w:t>
      </w:r>
      <w:r>
        <w:rPr/>
        <w:t>the</w:t>
      </w:r>
      <w:r>
        <w:rPr>
          <w:spacing w:val="-2"/>
        </w:rPr>
        <w:t> </w:t>
      </w:r>
      <w:r>
        <w:rPr/>
        <w:t>strategic</w:t>
      </w:r>
      <w:r>
        <w:rPr>
          <w:spacing w:val="-2"/>
        </w:rPr>
        <w:t> </w:t>
      </w:r>
      <w:r>
        <w:rPr/>
        <w:t>level</w:t>
      </w:r>
      <w:r>
        <w:rPr>
          <w:spacing w:val="-1"/>
        </w:rPr>
        <w:t> </w:t>
      </w:r>
      <w:r>
        <w:rPr/>
        <w:t>for the</w:t>
      </w:r>
      <w:r>
        <w:rPr>
          <w:spacing w:val="-2"/>
        </w:rPr>
        <w:t> </w:t>
      </w:r>
      <w:r>
        <w:rPr/>
        <w:t>operation.</w:t>
      </w:r>
      <w:r>
        <w:rPr>
          <w:spacing w:val="40"/>
        </w:rPr>
        <w:t> </w:t>
      </w:r>
      <w:r>
        <w:rPr/>
        <w:t>This</w:t>
      </w:r>
      <w:r>
        <w:rPr>
          <w:spacing w:val="-1"/>
        </w:rPr>
        <w:t> </w:t>
      </w:r>
      <w:r>
        <w:rPr/>
        <w:t>could be attributed to lack of clarity or poor mission conception analysis at the strategic</w:t>
      </w:r>
      <w:r>
        <w:rPr>
          <w:spacing w:val="40"/>
        </w:rPr>
        <w:t> </w:t>
      </w:r>
      <w:r>
        <w:rPr/>
        <w:t>level consequently creating problems for the military in MOOTW.</w:t>
      </w:r>
      <w:r>
        <w:rPr>
          <w:spacing w:val="40"/>
        </w:rPr>
        <w:t> </w:t>
      </w:r>
      <w:r>
        <w:rPr/>
        <w:t>For example, ineffective strategic leadership manifests in lack of political will to take necessary steps to stop illegal oil bunkering in the region.</w:t>
      </w:r>
    </w:p>
    <w:p>
      <w:pPr>
        <w:pStyle w:val="BodyText"/>
        <w:spacing w:line="360" w:lineRule="auto"/>
        <w:ind w:right="1256" w:firstLine="720"/>
        <w:jc w:val="both"/>
      </w:pPr>
      <w:r>
        <w:rPr/>
        <w:t>Ineffective leadership at the strategic level also manifests in lack of clear directives on a number of issues affecting JTF‟s Internal Security operation.</w:t>
      </w:r>
      <w:r>
        <w:rPr>
          <w:spacing w:val="40"/>
        </w:rPr>
        <w:t> </w:t>
      </w:r>
      <w:r>
        <w:rPr/>
        <w:t>For instance, there were no clear directives on military actions that could have be taken against major militant camps in the Niger Delta until several officers and soldiers</w:t>
      </w:r>
      <w:r>
        <w:rPr>
          <w:spacing w:val="40"/>
        </w:rPr>
        <w:t> </w:t>
      </w:r>
      <w:r>
        <w:rPr/>
        <w:t>were</w:t>
      </w:r>
      <w:r>
        <w:rPr>
          <w:spacing w:val="-2"/>
        </w:rPr>
        <w:t> </w:t>
      </w:r>
      <w:r>
        <w:rPr/>
        <w:t>killed</w:t>
      </w:r>
      <w:r>
        <w:rPr>
          <w:spacing w:val="-1"/>
        </w:rPr>
        <w:t> </w:t>
      </w:r>
      <w:r>
        <w:rPr/>
        <w:t>in an unprovoked attack by</w:t>
      </w:r>
      <w:r>
        <w:rPr>
          <w:spacing w:val="-5"/>
        </w:rPr>
        <w:t> </w:t>
      </w:r>
      <w:r>
        <w:rPr/>
        <w:t>the</w:t>
      </w:r>
      <w:r>
        <w:rPr>
          <w:spacing w:val="-1"/>
        </w:rPr>
        <w:t> </w:t>
      </w:r>
      <w:r>
        <w:rPr/>
        <w:t>militants in May</w:t>
      </w:r>
      <w:r>
        <w:rPr>
          <w:spacing w:val="-5"/>
        </w:rPr>
        <w:t> </w:t>
      </w:r>
      <w:r>
        <w:rPr/>
        <w:t>2009.</w:t>
      </w:r>
      <w:r>
        <w:rPr>
          <w:spacing w:val="40"/>
        </w:rPr>
        <w:t> </w:t>
      </w:r>
      <w:r>
        <w:rPr/>
        <w:t>Additionally, there were</w:t>
      </w:r>
      <w:r>
        <w:rPr>
          <w:spacing w:val="52"/>
        </w:rPr>
        <w:t> </w:t>
      </w:r>
      <w:r>
        <w:rPr/>
        <w:t>no</w:t>
      </w:r>
      <w:r>
        <w:rPr>
          <w:spacing w:val="54"/>
        </w:rPr>
        <w:t> </w:t>
      </w:r>
      <w:r>
        <w:rPr/>
        <w:t>directives</w:t>
      </w:r>
      <w:r>
        <w:rPr>
          <w:spacing w:val="54"/>
        </w:rPr>
        <w:t> </w:t>
      </w:r>
      <w:r>
        <w:rPr/>
        <w:t>on</w:t>
      </w:r>
      <w:r>
        <w:rPr>
          <w:spacing w:val="59"/>
        </w:rPr>
        <w:t> </w:t>
      </w:r>
      <w:r>
        <w:rPr/>
        <w:t>what</w:t>
      </w:r>
      <w:r>
        <w:rPr>
          <w:spacing w:val="55"/>
        </w:rPr>
        <w:t> </w:t>
      </w:r>
      <w:r>
        <w:rPr/>
        <w:t>could</w:t>
      </w:r>
      <w:r>
        <w:rPr>
          <w:spacing w:val="54"/>
        </w:rPr>
        <w:t> </w:t>
      </w:r>
      <w:r>
        <w:rPr/>
        <w:t>be</w:t>
      </w:r>
      <w:r>
        <w:rPr>
          <w:spacing w:val="54"/>
        </w:rPr>
        <w:t> </w:t>
      </w:r>
      <w:r>
        <w:rPr/>
        <w:t>done</w:t>
      </w:r>
      <w:r>
        <w:rPr>
          <w:spacing w:val="53"/>
        </w:rPr>
        <w:t> </w:t>
      </w:r>
      <w:r>
        <w:rPr/>
        <w:t>with</w:t>
      </w:r>
      <w:r>
        <w:rPr>
          <w:spacing w:val="55"/>
        </w:rPr>
        <w:t> </w:t>
      </w:r>
      <w:r>
        <w:rPr/>
        <w:t>barges,</w:t>
      </w:r>
      <w:r>
        <w:rPr>
          <w:spacing w:val="57"/>
        </w:rPr>
        <w:t> </w:t>
      </w:r>
      <w:r>
        <w:rPr/>
        <w:t>boat,</w:t>
      </w:r>
      <w:r>
        <w:rPr>
          <w:spacing w:val="54"/>
        </w:rPr>
        <w:t> </w:t>
      </w:r>
      <w:r>
        <w:rPr/>
        <w:t>tanks</w:t>
      </w:r>
      <w:r>
        <w:rPr>
          <w:spacing w:val="56"/>
        </w:rPr>
        <w:t> </w:t>
      </w:r>
      <w:r>
        <w:rPr/>
        <w:t>and</w:t>
      </w:r>
      <w:r>
        <w:rPr>
          <w:spacing w:val="54"/>
        </w:rPr>
        <w:t> </w:t>
      </w:r>
      <w:r>
        <w:rPr>
          <w:spacing w:val="-2"/>
        </w:rPr>
        <w:t>vehicles</w:t>
      </w:r>
    </w:p>
    <w:p>
      <w:pPr>
        <w:spacing w:after="0" w:line="360" w:lineRule="auto"/>
        <w:jc w:val="both"/>
        <w:sectPr>
          <w:pgSz w:w="11910" w:h="16840"/>
          <w:pgMar w:header="0" w:footer="1561" w:top="1360" w:bottom="1760" w:left="720" w:right="180"/>
        </w:sectPr>
      </w:pPr>
    </w:p>
    <w:p>
      <w:pPr>
        <w:pStyle w:val="BodyText"/>
        <w:spacing w:line="360" w:lineRule="auto" w:before="60"/>
        <w:ind w:right="1259"/>
        <w:jc w:val="both"/>
      </w:pPr>
      <w:r>
        <w:rPr/>
        <mc:AlternateContent>
          <mc:Choice Requires="wps">
            <w:drawing>
              <wp:anchor distT="0" distB="0" distL="0" distR="0" allowOverlap="1" layoutInCell="1" locked="0" behindDoc="1" simplePos="0" relativeHeight="480657408">
                <wp:simplePos x="0" y="0"/>
                <wp:positionH relativeFrom="page">
                  <wp:posOffset>-1537026</wp:posOffset>
                </wp:positionH>
                <wp:positionV relativeFrom="page">
                  <wp:posOffset>4900424</wp:posOffset>
                </wp:positionV>
                <wp:extent cx="10669905" cy="914400"/>
                <wp:effectExtent l="0" t="0" r="0" b="0"/>
                <wp:wrapNone/>
                <wp:docPr id="271" name="Textbox 271"/>
                <wp:cNvGraphicFramePr>
                  <a:graphicFrameLocks/>
                </wp:cNvGraphicFramePr>
                <a:graphic>
                  <a:graphicData uri="http://schemas.microsoft.com/office/word/2010/wordprocessingShape">
                    <wps:wsp>
                      <wps:cNvPr id="271" name="Textbox 271"/>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59072;rotation:306" type="#_x0000_t136" fillcolor="#ff5400" stroked="f">
                <o:extrusion v:ext="view" autorotationcenter="t"/>
                <v:textpath style="font-family:&quot;Arial MT&quot;;font-size:72pt;v-text-kern:t;mso-text-shadow:auto" string="UNIVERSITY OF IBADAN"/>
                <w10:wrap type="none"/>
              </v:shape>
            </w:pict>
          </mc:Fallback>
        </mc:AlternateContent>
      </w:r>
      <w:r>
        <w:rPr/>
        <w:t>arrested for illegal bunkering, which were littered all over the place.</w:t>
      </w:r>
      <w:r>
        <w:rPr>
          <w:spacing w:val="80"/>
        </w:rPr>
        <w:t> </w:t>
      </w:r>
      <w:r>
        <w:rPr/>
        <w:t>It was</w:t>
      </w:r>
      <w:r>
        <w:rPr>
          <w:spacing w:val="40"/>
        </w:rPr>
        <w:t> </w:t>
      </w:r>
      <w:r>
        <w:rPr/>
        <w:t>discovered that, apart from deploying troops to guard the arrested items, they also constitute environmental hazards.</w:t>
      </w:r>
      <w:r>
        <w:rPr>
          <w:spacing w:val="80"/>
        </w:rPr>
        <w:t> </w:t>
      </w:r>
      <w:r>
        <w:rPr/>
        <w:t>Therefore, lack of clear directives from the</w:t>
      </w:r>
      <w:r>
        <w:rPr>
          <w:spacing w:val="40"/>
        </w:rPr>
        <w:t> </w:t>
      </w:r>
      <w:r>
        <w:rPr/>
        <w:t>political leadership hinders the successful professional conduct of IS operation by the </w:t>
      </w:r>
      <w:r>
        <w:rPr>
          <w:spacing w:val="-4"/>
        </w:rPr>
        <w:t>JTF.</w:t>
      </w:r>
    </w:p>
    <w:p>
      <w:pPr>
        <w:pStyle w:val="BodyText"/>
        <w:spacing w:line="360" w:lineRule="auto"/>
        <w:ind w:right="1259" w:firstLine="720"/>
        <w:jc w:val="both"/>
      </w:pPr>
      <w:r>
        <w:rPr/>
        <w:t>Effective strategic leadership would ensure clear directives required by JTF commanders to accurately identify their objectives and plan for accomplishment within the given timeline.</w:t>
      </w:r>
      <w:r>
        <w:rPr>
          <w:spacing w:val="40"/>
        </w:rPr>
        <w:t> </w:t>
      </w:r>
      <w:r>
        <w:rPr/>
        <w:t>Decisive action would help to reduce collateral damage, reduce</w:t>
      </w:r>
      <w:r>
        <w:rPr>
          <w:spacing w:val="-3"/>
        </w:rPr>
        <w:t> </w:t>
      </w:r>
      <w:r>
        <w:rPr/>
        <w:t>cost</w:t>
      </w:r>
      <w:r>
        <w:rPr>
          <w:spacing w:val="-2"/>
        </w:rPr>
        <w:t> </w:t>
      </w:r>
      <w:r>
        <w:rPr/>
        <w:t>for</w:t>
      </w:r>
      <w:r>
        <w:rPr>
          <w:spacing w:val="-2"/>
        </w:rPr>
        <w:t> </w:t>
      </w:r>
      <w:r>
        <w:rPr/>
        <w:t>government</w:t>
      </w:r>
      <w:r>
        <w:rPr>
          <w:spacing w:val="-4"/>
        </w:rPr>
        <w:t> </w:t>
      </w:r>
      <w:r>
        <w:rPr/>
        <w:t>and</w:t>
      </w:r>
      <w:r>
        <w:rPr>
          <w:spacing w:val="-4"/>
        </w:rPr>
        <w:t> </w:t>
      </w:r>
      <w:r>
        <w:rPr/>
        <w:t>ensure</w:t>
      </w:r>
      <w:r>
        <w:rPr>
          <w:spacing w:val="-4"/>
        </w:rPr>
        <w:t> </w:t>
      </w:r>
      <w:r>
        <w:rPr/>
        <w:t>rapid</w:t>
      </w:r>
      <w:r>
        <w:rPr>
          <w:spacing w:val="-2"/>
        </w:rPr>
        <w:t> </w:t>
      </w:r>
      <w:r>
        <w:rPr/>
        <w:t>withdrawal</w:t>
      </w:r>
      <w:r>
        <w:rPr>
          <w:spacing w:val="-2"/>
        </w:rPr>
        <w:t> </w:t>
      </w:r>
      <w:r>
        <w:rPr/>
        <w:t>when</w:t>
      </w:r>
      <w:r>
        <w:rPr>
          <w:spacing w:val="-2"/>
        </w:rPr>
        <w:t> </w:t>
      </w:r>
      <w:r>
        <w:rPr/>
        <w:t>required</w:t>
      </w:r>
      <w:r>
        <w:rPr>
          <w:spacing w:val="-4"/>
        </w:rPr>
        <w:t> </w:t>
      </w:r>
      <w:r>
        <w:rPr/>
        <w:t>on</w:t>
      </w:r>
      <w:r>
        <w:rPr>
          <w:spacing w:val="-2"/>
        </w:rPr>
        <w:t> </w:t>
      </w:r>
      <w:r>
        <w:rPr/>
        <w:t>completion of tasks.</w:t>
      </w:r>
    </w:p>
    <w:p>
      <w:pPr>
        <w:pStyle w:val="BodyText"/>
        <w:ind w:left="0"/>
      </w:pPr>
    </w:p>
    <w:p>
      <w:pPr>
        <w:pStyle w:val="BodyText"/>
        <w:ind w:left="0"/>
      </w:pPr>
    </w:p>
    <w:p>
      <w:pPr>
        <w:pStyle w:val="BodyText"/>
        <w:spacing w:before="6"/>
        <w:ind w:left="0"/>
      </w:pPr>
    </w:p>
    <w:p>
      <w:pPr>
        <w:pStyle w:val="Heading2"/>
        <w:numPr>
          <w:ilvl w:val="2"/>
          <w:numId w:val="19"/>
        </w:numPr>
        <w:tabs>
          <w:tab w:pos="2160" w:val="left" w:leader="none"/>
        </w:tabs>
        <w:spacing w:line="240" w:lineRule="auto" w:before="1" w:after="0"/>
        <w:ind w:left="2160" w:right="0" w:hanging="720"/>
        <w:jc w:val="both"/>
      </w:pPr>
      <w:r>
        <w:rPr/>
        <w:t>Support</w:t>
      </w:r>
      <w:r>
        <w:rPr>
          <w:spacing w:val="-2"/>
        </w:rPr>
        <w:t> </w:t>
      </w:r>
      <w:r>
        <w:rPr/>
        <w:t>of</w:t>
      </w:r>
      <w:r>
        <w:rPr>
          <w:spacing w:val="1"/>
        </w:rPr>
        <w:t> </w:t>
      </w:r>
      <w:r>
        <w:rPr/>
        <w:t>Militant</w:t>
      </w:r>
      <w:r>
        <w:rPr>
          <w:spacing w:val="-1"/>
        </w:rPr>
        <w:t> </w:t>
      </w:r>
      <w:r>
        <w:rPr/>
        <w:t>Activities</w:t>
      </w:r>
      <w:r>
        <w:rPr>
          <w:spacing w:val="-1"/>
        </w:rPr>
        <w:t> </w:t>
      </w:r>
      <w:r>
        <w:rPr/>
        <w:t>by</w:t>
      </w:r>
      <w:r>
        <w:rPr>
          <w:spacing w:val="-1"/>
        </w:rPr>
        <w:t> </w:t>
      </w:r>
      <w:r>
        <w:rPr/>
        <w:t>Local</w:t>
      </w:r>
      <w:r>
        <w:rPr>
          <w:spacing w:val="-1"/>
        </w:rPr>
        <w:t> </w:t>
      </w:r>
      <w:r>
        <w:rPr>
          <w:spacing w:val="-2"/>
        </w:rPr>
        <w:t>Population</w:t>
      </w:r>
    </w:p>
    <w:p>
      <w:pPr>
        <w:pStyle w:val="BodyText"/>
        <w:spacing w:line="360" w:lineRule="auto" w:before="132"/>
        <w:ind w:right="1256" w:firstLine="720"/>
        <w:jc w:val="both"/>
      </w:pPr>
      <w:r>
        <w:rPr/>
        <w:t>One important factor that hinders professional conduct of Operation RESTORE HOPE is the support of the local population for the militants.</w:t>
      </w:r>
      <w:r>
        <w:rPr>
          <w:spacing w:val="40"/>
        </w:rPr>
        <w:t> </w:t>
      </w:r>
      <w:r>
        <w:rPr/>
        <w:t>The local population sees the militants as volunteers fighting for their course and not for a fee (</w:t>
      </w:r>
      <w:r>
        <w:rPr>
          <w:i/>
        </w:rPr>
        <w:t>The Guardian</w:t>
      </w:r>
      <w:r>
        <w:rPr/>
        <w:t>, October 28, 2007).</w:t>
      </w:r>
      <w:r>
        <w:rPr>
          <w:spacing w:val="40"/>
        </w:rPr>
        <w:t> </w:t>
      </w:r>
      <w:r>
        <w:rPr/>
        <w:t>They often provide information for the militants on troop‟s movement activities and deployment position. This was been responsible for various attacks on IS troops locations by militants.</w:t>
      </w:r>
      <w:r>
        <w:rPr>
          <w:spacing w:val="40"/>
        </w:rPr>
        <w:t> </w:t>
      </w:r>
      <w:r>
        <w:rPr/>
        <w:t>Between October 2006 and January 2009, militants carried out 21 attacks on ATG locations; some of which were attacked</w:t>
      </w:r>
      <w:r>
        <w:rPr>
          <w:spacing w:val="-3"/>
        </w:rPr>
        <w:t> </w:t>
      </w:r>
      <w:r>
        <w:rPr/>
        <w:t>twice</w:t>
      </w:r>
      <w:r>
        <w:rPr>
          <w:spacing w:val="-4"/>
        </w:rPr>
        <w:t> </w:t>
      </w:r>
      <w:r>
        <w:rPr/>
        <w:t>within</w:t>
      </w:r>
      <w:r>
        <w:rPr>
          <w:spacing w:val="-3"/>
        </w:rPr>
        <w:t> </w:t>
      </w:r>
      <w:r>
        <w:rPr/>
        <w:t>this</w:t>
      </w:r>
      <w:r>
        <w:rPr>
          <w:spacing w:val="-3"/>
        </w:rPr>
        <w:t> </w:t>
      </w:r>
      <w:r>
        <w:rPr/>
        <w:t>period.</w:t>
      </w:r>
      <w:r>
        <w:rPr>
          <w:spacing w:val="-3"/>
        </w:rPr>
        <w:t> </w:t>
      </w:r>
      <w:r>
        <w:rPr/>
        <w:t>Agbara,</w:t>
      </w:r>
      <w:r>
        <w:rPr>
          <w:spacing w:val="-3"/>
        </w:rPr>
        <w:t> </w:t>
      </w:r>
      <w:r>
        <w:rPr/>
        <w:t>Shell</w:t>
      </w:r>
      <w:r>
        <w:rPr>
          <w:spacing w:val="-3"/>
        </w:rPr>
        <w:t> </w:t>
      </w:r>
      <w:r>
        <w:rPr/>
        <w:t>SPDC</w:t>
      </w:r>
      <w:r>
        <w:rPr>
          <w:spacing w:val="-3"/>
        </w:rPr>
        <w:t> </w:t>
      </w:r>
      <w:r>
        <w:rPr/>
        <w:t>Security</w:t>
      </w:r>
      <w:r>
        <w:rPr>
          <w:spacing w:val="-7"/>
        </w:rPr>
        <w:t> </w:t>
      </w:r>
      <w:r>
        <w:rPr/>
        <w:t>Adviser</w:t>
      </w:r>
      <w:r>
        <w:rPr>
          <w:spacing w:val="-3"/>
        </w:rPr>
        <w:t> </w:t>
      </w:r>
      <w:r>
        <w:rPr/>
        <w:t>stated</w:t>
      </w:r>
      <w:r>
        <w:rPr>
          <w:spacing w:val="-3"/>
        </w:rPr>
        <w:t> </w:t>
      </w:r>
      <w:r>
        <w:rPr/>
        <w:t>that</w:t>
      </w:r>
      <w:r>
        <w:rPr>
          <w:spacing w:val="-3"/>
        </w:rPr>
        <w:t> </w:t>
      </w:r>
      <w:r>
        <w:rPr/>
        <w:t>the many years of neglect and marginalization have united the people of the Niger Delta in a common cause.</w:t>
      </w:r>
    </w:p>
    <w:p>
      <w:pPr>
        <w:pStyle w:val="BodyText"/>
        <w:spacing w:line="360" w:lineRule="auto"/>
        <w:ind w:right="1251" w:firstLine="720"/>
        <w:jc w:val="both"/>
      </w:pPr>
      <w:r>
        <w:rPr/>
        <w:t>According to the former Army Task Group Commander, Colonel Obi Umahi, the militants‟ support of the local populace has been traced to the near absence of Civil-Military</w:t>
      </w:r>
      <w:r>
        <w:rPr>
          <w:spacing w:val="-2"/>
        </w:rPr>
        <w:t> </w:t>
      </w:r>
      <w:r>
        <w:rPr/>
        <w:t>Cooperation (CIMIC) in the conduct of JTF operations, negative use of propaganda and wrong perception of JTF workings.</w:t>
      </w:r>
      <w:r>
        <w:rPr>
          <w:vertAlign w:val="superscript"/>
        </w:rPr>
        <w:t>12</w:t>
      </w:r>
      <w:r>
        <w:rPr>
          <w:spacing w:val="80"/>
          <w:vertAlign w:val="baseline"/>
        </w:rPr>
        <w:t> </w:t>
      </w:r>
      <w:r>
        <w:rPr>
          <w:vertAlign w:val="baseline"/>
        </w:rPr>
        <w:t>This partly accounted for why the local population was sympathetic to the militants‟ course and resists volunteering of information of tactical intelligence value to JTF troops. According to an interviewee, in counter-insurgency operations, the object should be the local population and once you win the support of the local population, the insurgents become isolated.</w:t>
      </w:r>
      <w:r>
        <w:rPr>
          <w:spacing w:val="40"/>
          <w:vertAlign w:val="baseline"/>
        </w:rPr>
        <w:t> </w:t>
      </w:r>
      <w:r>
        <w:rPr>
          <w:vertAlign w:val="baseline"/>
        </w:rPr>
        <w:t>The JTF could use CIMIC to win the confidence and support of the local</w:t>
      </w:r>
      <w:r>
        <w:rPr>
          <w:spacing w:val="15"/>
          <w:vertAlign w:val="baseline"/>
        </w:rPr>
        <w:t> </w:t>
      </w:r>
      <w:r>
        <w:rPr>
          <w:vertAlign w:val="baseline"/>
        </w:rPr>
        <w:t>population,</w:t>
      </w:r>
      <w:r>
        <w:rPr>
          <w:spacing w:val="15"/>
          <w:vertAlign w:val="baseline"/>
        </w:rPr>
        <w:t> </w:t>
      </w:r>
      <w:r>
        <w:rPr>
          <w:vertAlign w:val="baseline"/>
        </w:rPr>
        <w:t>if</w:t>
      </w:r>
      <w:r>
        <w:rPr>
          <w:spacing w:val="15"/>
          <w:vertAlign w:val="baseline"/>
        </w:rPr>
        <w:t> </w:t>
      </w:r>
      <w:r>
        <w:rPr>
          <w:vertAlign w:val="baseline"/>
        </w:rPr>
        <w:t>its</w:t>
      </w:r>
      <w:r>
        <w:rPr>
          <w:spacing w:val="15"/>
          <w:vertAlign w:val="baseline"/>
        </w:rPr>
        <w:t> </w:t>
      </w:r>
      <w:r>
        <w:rPr>
          <w:vertAlign w:val="baseline"/>
        </w:rPr>
        <w:t>plan</w:t>
      </w:r>
      <w:r>
        <w:rPr>
          <w:spacing w:val="14"/>
          <w:vertAlign w:val="baseline"/>
        </w:rPr>
        <w:t> </w:t>
      </w:r>
      <w:r>
        <w:rPr>
          <w:vertAlign w:val="baseline"/>
        </w:rPr>
        <w:t>is</w:t>
      </w:r>
      <w:r>
        <w:rPr>
          <w:spacing w:val="15"/>
          <w:vertAlign w:val="baseline"/>
        </w:rPr>
        <w:t> </w:t>
      </w:r>
      <w:r>
        <w:rPr>
          <w:vertAlign w:val="baseline"/>
        </w:rPr>
        <w:t>integrated</w:t>
      </w:r>
      <w:r>
        <w:rPr>
          <w:spacing w:val="15"/>
          <w:vertAlign w:val="baseline"/>
        </w:rPr>
        <w:t> </w:t>
      </w:r>
      <w:r>
        <w:rPr>
          <w:vertAlign w:val="baseline"/>
        </w:rPr>
        <w:t>into</w:t>
      </w:r>
      <w:r>
        <w:rPr>
          <w:spacing w:val="14"/>
          <w:vertAlign w:val="baseline"/>
        </w:rPr>
        <w:t> </w:t>
      </w:r>
      <w:r>
        <w:rPr>
          <w:vertAlign w:val="baseline"/>
        </w:rPr>
        <w:t>its</w:t>
      </w:r>
      <w:r>
        <w:rPr>
          <w:spacing w:val="17"/>
          <w:vertAlign w:val="baseline"/>
        </w:rPr>
        <w:t> </w:t>
      </w:r>
      <w:r>
        <w:rPr>
          <w:vertAlign w:val="baseline"/>
        </w:rPr>
        <w:t>Internal</w:t>
      </w:r>
      <w:r>
        <w:rPr>
          <w:spacing w:val="15"/>
          <w:vertAlign w:val="baseline"/>
        </w:rPr>
        <w:t> </w:t>
      </w:r>
      <w:r>
        <w:rPr>
          <w:vertAlign w:val="baseline"/>
        </w:rPr>
        <w:t>Support</w:t>
      </w:r>
      <w:r>
        <w:rPr>
          <w:spacing w:val="15"/>
          <w:vertAlign w:val="baseline"/>
        </w:rPr>
        <w:t> </w:t>
      </w:r>
      <w:r>
        <w:rPr>
          <w:vertAlign w:val="baseline"/>
        </w:rPr>
        <w:t>operations</w:t>
      </w:r>
      <w:r>
        <w:rPr>
          <w:spacing w:val="14"/>
          <w:vertAlign w:val="baseline"/>
        </w:rPr>
        <w:t> </w:t>
      </w:r>
      <w:r>
        <w:rPr>
          <w:vertAlign w:val="baseline"/>
        </w:rPr>
        <w:t>plan</w:t>
      </w:r>
      <w:r>
        <w:rPr>
          <w:spacing w:val="15"/>
          <w:vertAlign w:val="baseline"/>
        </w:rPr>
        <w:t> </w:t>
      </w:r>
      <w:r>
        <w:rPr>
          <w:spacing w:val="-5"/>
          <w:vertAlign w:val="baseline"/>
        </w:rPr>
        <w:t>and</w:t>
      </w:r>
    </w:p>
    <w:p>
      <w:pPr>
        <w:spacing w:after="0" w:line="360" w:lineRule="auto"/>
        <w:jc w:val="both"/>
        <w:sectPr>
          <w:pgSz w:w="11910" w:h="16840"/>
          <w:pgMar w:header="0" w:footer="1561" w:top="1360" w:bottom="1760" w:left="720" w:right="180"/>
        </w:sectPr>
      </w:pPr>
    </w:p>
    <w:p>
      <w:pPr>
        <w:pStyle w:val="BodyText"/>
        <w:spacing w:before="60"/>
        <w:jc w:val="both"/>
      </w:pPr>
      <w:r>
        <w:rPr/>
        <mc:AlternateContent>
          <mc:Choice Requires="wps">
            <w:drawing>
              <wp:anchor distT="0" distB="0" distL="0" distR="0" allowOverlap="1" layoutInCell="1" locked="0" behindDoc="1" simplePos="0" relativeHeight="480657920">
                <wp:simplePos x="0" y="0"/>
                <wp:positionH relativeFrom="page">
                  <wp:posOffset>-1537026</wp:posOffset>
                </wp:positionH>
                <wp:positionV relativeFrom="page">
                  <wp:posOffset>4900424</wp:posOffset>
                </wp:positionV>
                <wp:extent cx="10669905" cy="914400"/>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58560;rotation:306" type="#_x0000_t136" fillcolor="#ff5400" stroked="f">
                <o:extrusion v:ext="view" autorotationcenter="t"/>
                <v:textpath style="font-family:&quot;Arial MT&quot;;font-size:72pt;v-text-kern:t;mso-text-shadow:auto" string="UNIVERSITY OF IBADAN"/>
                <w10:wrap type="none"/>
              </v:shape>
            </w:pict>
          </mc:Fallback>
        </mc:AlternateContent>
      </w:r>
      <w:r>
        <w:rPr/>
        <w:t>adequate</w:t>
      </w:r>
      <w:r>
        <w:rPr>
          <w:spacing w:val="-1"/>
        </w:rPr>
        <w:t> </w:t>
      </w:r>
      <w:r>
        <w:rPr/>
        <w:t>funds</w:t>
      </w:r>
      <w:r>
        <w:rPr>
          <w:spacing w:val="-1"/>
        </w:rPr>
        <w:t> </w:t>
      </w:r>
      <w:r>
        <w:rPr/>
        <w:t>made</w:t>
      </w:r>
      <w:r>
        <w:rPr>
          <w:spacing w:val="-1"/>
        </w:rPr>
        <w:t> </w:t>
      </w:r>
      <w:r>
        <w:rPr/>
        <w:t>available</w:t>
      </w:r>
      <w:r>
        <w:rPr>
          <w:spacing w:val="-1"/>
        </w:rPr>
        <w:t> </w:t>
      </w:r>
      <w:r>
        <w:rPr/>
        <w:t>for</w:t>
      </w:r>
      <w:r>
        <w:rPr>
          <w:spacing w:val="-2"/>
        </w:rPr>
        <w:t> execution.</w:t>
      </w:r>
    </w:p>
    <w:p>
      <w:pPr>
        <w:pStyle w:val="BodyText"/>
        <w:spacing w:line="360" w:lineRule="auto" w:before="138"/>
        <w:ind w:right="1254" w:firstLine="720"/>
        <w:jc w:val="both"/>
      </w:pPr>
      <w:r>
        <w:rPr/>
        <w:t>Likewise, the use of propaganda in the Niger Delta conflict has assumed a crucial dimension.</w:t>
      </w:r>
      <w:r>
        <w:rPr>
          <w:spacing w:val="40"/>
        </w:rPr>
        <w:t> </w:t>
      </w:r>
      <w:r>
        <w:rPr/>
        <w:t>The study revealed that there is ineffective application of information operations by the government and the JTF in the conduct of military operations in the Niger Delta.</w:t>
      </w:r>
      <w:r>
        <w:rPr>
          <w:spacing w:val="40"/>
        </w:rPr>
        <w:t> </w:t>
      </w:r>
      <w:r>
        <w:rPr/>
        <w:t>Each time the JTF troop‟s responds to attacks emanating from the militants, the adversary</w:t>
      </w:r>
      <w:r>
        <w:rPr>
          <w:spacing w:val="-1"/>
        </w:rPr>
        <w:t> </w:t>
      </w:r>
      <w:r>
        <w:rPr/>
        <w:t>manipulate the electronic and print media to gain sympathy from the populace.</w:t>
      </w:r>
      <w:r>
        <w:rPr>
          <w:spacing w:val="40"/>
        </w:rPr>
        <w:t> </w:t>
      </w:r>
      <w:r>
        <w:rPr/>
        <w:t>This is worsening as the JTF is most times perceived as an occupation force in the region.</w:t>
      </w:r>
      <w:r>
        <w:rPr>
          <w:spacing w:val="40"/>
        </w:rPr>
        <w:t> </w:t>
      </w:r>
      <w:r>
        <w:rPr/>
        <w:t>The initial lack of attention to information management and dissemination by the JTF media centre has made the host communities to support the militias rather than the Task Force.</w:t>
      </w:r>
      <w:r>
        <w:rPr>
          <w:spacing w:val="40"/>
        </w:rPr>
        <w:t> </w:t>
      </w:r>
      <w:r>
        <w:rPr/>
        <w:t>The Joint Media Communication Centre (JMCC) could maximize the use of propaganda via the media to sensitize the populace on the need for their cooperation towards arresting the renegade militants and criminals alike.</w:t>
      </w:r>
      <w:r>
        <w:rPr>
          <w:spacing w:val="40"/>
        </w:rPr>
        <w:t> </w:t>
      </w:r>
      <w:r>
        <w:rPr/>
        <w:t>This is because the quest for information advantage is an important issue, not only in relation to the electronic and print media, but also obtaining and maintaining information dominance over the militants.</w:t>
      </w:r>
      <w:r>
        <w:rPr>
          <w:spacing w:val="80"/>
        </w:rPr>
        <w:t> </w:t>
      </w:r>
      <w:r>
        <w:rPr/>
        <w:t>There is</w:t>
      </w:r>
      <w:r>
        <w:rPr>
          <w:spacing w:val="-2"/>
        </w:rPr>
        <w:t> </w:t>
      </w:r>
      <w:r>
        <w:rPr/>
        <w:t>therefore</w:t>
      </w:r>
      <w:r>
        <w:rPr>
          <w:spacing w:val="-3"/>
        </w:rPr>
        <w:t> </w:t>
      </w:r>
      <w:r>
        <w:rPr/>
        <w:t>the</w:t>
      </w:r>
      <w:r>
        <w:rPr>
          <w:spacing w:val="-2"/>
        </w:rPr>
        <w:t> </w:t>
      </w:r>
      <w:r>
        <w:rPr/>
        <w:t>need</w:t>
      </w:r>
      <w:r>
        <w:rPr>
          <w:spacing w:val="-2"/>
        </w:rPr>
        <w:t> </w:t>
      </w:r>
      <w:r>
        <w:rPr/>
        <w:t>to effectively</w:t>
      </w:r>
      <w:r>
        <w:rPr>
          <w:spacing w:val="-7"/>
        </w:rPr>
        <w:t> </w:t>
      </w:r>
      <w:r>
        <w:rPr/>
        <w:t>intensify</w:t>
      </w:r>
      <w:r>
        <w:rPr>
          <w:spacing w:val="-7"/>
        </w:rPr>
        <w:t> </w:t>
      </w:r>
      <w:r>
        <w:rPr/>
        <w:t>the</w:t>
      </w:r>
      <w:r>
        <w:rPr>
          <w:spacing w:val="-2"/>
        </w:rPr>
        <w:t> </w:t>
      </w:r>
      <w:r>
        <w:rPr/>
        <w:t>use</w:t>
      </w:r>
      <w:r>
        <w:rPr>
          <w:spacing w:val="-3"/>
        </w:rPr>
        <w:t> </w:t>
      </w:r>
      <w:r>
        <w:rPr/>
        <w:t>of</w:t>
      </w:r>
      <w:r>
        <w:rPr>
          <w:spacing w:val="-2"/>
        </w:rPr>
        <w:t> </w:t>
      </w:r>
      <w:r>
        <w:rPr/>
        <w:t>CIMIC activities</w:t>
      </w:r>
      <w:r>
        <w:rPr>
          <w:spacing w:val="-2"/>
        </w:rPr>
        <w:t> </w:t>
      </w:r>
      <w:r>
        <w:rPr/>
        <w:t>to</w:t>
      </w:r>
      <w:r>
        <w:rPr>
          <w:spacing w:val="-2"/>
        </w:rPr>
        <w:t> </w:t>
      </w:r>
      <w:r>
        <w:rPr/>
        <w:t>enhance the conduct of JTF operations in the Niger Delta.</w:t>
      </w:r>
    </w:p>
    <w:p>
      <w:pPr>
        <w:pStyle w:val="BodyText"/>
        <w:spacing w:line="360" w:lineRule="auto" w:before="1"/>
        <w:ind w:right="1260" w:firstLine="720"/>
        <w:jc w:val="both"/>
      </w:pPr>
      <w:r>
        <w:rPr/>
        <w:t>It is also important to embark on activities aimed at winning the hearts and minds of the local population, thereby isolating the militants.</w:t>
      </w:r>
      <w:r>
        <w:rPr>
          <w:spacing w:val="40"/>
        </w:rPr>
        <w:t> </w:t>
      </w:r>
      <w:r>
        <w:rPr/>
        <w:t>This can be achieved through political dialogue and massive infrastructural development in the area by the Federal</w:t>
      </w:r>
      <w:r>
        <w:rPr>
          <w:spacing w:val="-1"/>
        </w:rPr>
        <w:t> </w:t>
      </w:r>
      <w:r>
        <w:rPr/>
        <w:t>Government</w:t>
      </w:r>
      <w:r>
        <w:rPr>
          <w:spacing w:val="-1"/>
        </w:rPr>
        <w:t> </w:t>
      </w:r>
      <w:r>
        <w:rPr/>
        <w:t>and CIMIC</w:t>
      </w:r>
      <w:r>
        <w:rPr>
          <w:spacing w:val="-1"/>
        </w:rPr>
        <w:t> </w:t>
      </w:r>
      <w:r>
        <w:rPr/>
        <w:t>activities</w:t>
      </w:r>
      <w:r>
        <w:rPr>
          <w:spacing w:val="-2"/>
        </w:rPr>
        <w:t> </w:t>
      </w:r>
      <w:r>
        <w:rPr/>
        <w:t>by</w:t>
      </w:r>
      <w:r>
        <w:rPr>
          <w:spacing w:val="-6"/>
        </w:rPr>
        <w:t> </w:t>
      </w:r>
      <w:r>
        <w:rPr/>
        <w:t>JTF</w:t>
      </w:r>
      <w:r>
        <w:rPr>
          <w:spacing w:val="-1"/>
        </w:rPr>
        <w:t> </w:t>
      </w:r>
      <w:r>
        <w:rPr/>
        <w:t>troops</w:t>
      </w:r>
      <w:r>
        <w:rPr>
          <w:spacing w:val="-1"/>
        </w:rPr>
        <w:t> </w:t>
      </w:r>
      <w:r>
        <w:rPr/>
        <w:t>on IS</w:t>
      </w:r>
      <w:r>
        <w:rPr>
          <w:spacing w:val="-1"/>
        </w:rPr>
        <w:t> </w:t>
      </w:r>
      <w:r>
        <w:rPr/>
        <w:t>operations.</w:t>
      </w:r>
      <w:r>
        <w:rPr>
          <w:spacing w:val="40"/>
        </w:rPr>
        <w:t> </w:t>
      </w:r>
      <w:r>
        <w:rPr/>
        <w:t>Therefore, winning</w:t>
      </w:r>
      <w:r>
        <w:rPr>
          <w:spacing w:val="-2"/>
        </w:rPr>
        <w:t> </w:t>
      </w:r>
      <w:r>
        <w:rPr/>
        <w:t>the</w:t>
      </w:r>
      <w:r>
        <w:rPr>
          <w:spacing w:val="-1"/>
        </w:rPr>
        <w:t> </w:t>
      </w:r>
      <w:r>
        <w:rPr/>
        <w:t>hearts and minds of</w:t>
      </w:r>
      <w:r>
        <w:rPr>
          <w:spacing w:val="-1"/>
        </w:rPr>
        <w:t> </w:t>
      </w:r>
      <w:r>
        <w:rPr/>
        <w:t>the</w:t>
      </w:r>
      <w:r>
        <w:rPr>
          <w:spacing w:val="-1"/>
        </w:rPr>
        <w:t> </w:t>
      </w:r>
      <w:r>
        <w:rPr/>
        <w:t>people</w:t>
      </w:r>
      <w:r>
        <w:rPr>
          <w:spacing w:val="-1"/>
        </w:rPr>
        <w:t> </w:t>
      </w:r>
      <w:r>
        <w:rPr/>
        <w:t>of</w:t>
      </w:r>
      <w:r>
        <w:rPr>
          <w:spacing w:val="-1"/>
        </w:rPr>
        <w:t> </w:t>
      </w:r>
      <w:r>
        <w:rPr/>
        <w:t>the Niger</w:t>
      </w:r>
      <w:r>
        <w:rPr>
          <w:spacing w:val="-1"/>
        </w:rPr>
        <w:t> </w:t>
      </w:r>
      <w:r>
        <w:rPr/>
        <w:t>Delta</w:t>
      </w:r>
      <w:r>
        <w:rPr>
          <w:spacing w:val="-1"/>
        </w:rPr>
        <w:t> </w:t>
      </w:r>
      <w:r>
        <w:rPr/>
        <w:t>through political line</w:t>
      </w:r>
      <w:r>
        <w:rPr>
          <w:spacing w:val="-1"/>
        </w:rPr>
        <w:t> </w:t>
      </w:r>
      <w:r>
        <w:rPr/>
        <w:t>of operations (dialogue and socio-economic development) and CIMIC are required to enhance the professional conduct of IS operation in the Niger Delta.</w:t>
      </w:r>
    </w:p>
    <w:p>
      <w:pPr>
        <w:pStyle w:val="BodyText"/>
        <w:spacing w:before="143"/>
        <w:ind w:left="0"/>
      </w:pPr>
    </w:p>
    <w:p>
      <w:pPr>
        <w:pStyle w:val="Heading2"/>
        <w:numPr>
          <w:ilvl w:val="2"/>
          <w:numId w:val="19"/>
        </w:numPr>
        <w:tabs>
          <w:tab w:pos="2160" w:val="left" w:leader="none"/>
        </w:tabs>
        <w:spacing w:line="240" w:lineRule="auto" w:before="0" w:after="0"/>
        <w:ind w:left="2160" w:right="0" w:hanging="720"/>
        <w:jc w:val="both"/>
      </w:pPr>
      <w:r>
        <w:rPr/>
        <w:t>Inadequate</w:t>
      </w:r>
      <w:r>
        <w:rPr>
          <w:spacing w:val="-3"/>
        </w:rPr>
        <w:t> </w:t>
      </w:r>
      <w:r>
        <w:rPr>
          <w:spacing w:val="-2"/>
        </w:rPr>
        <w:t>Logistics</w:t>
      </w:r>
    </w:p>
    <w:p>
      <w:pPr>
        <w:pStyle w:val="BodyText"/>
        <w:spacing w:line="360" w:lineRule="auto" w:before="109"/>
        <w:ind w:right="1256" w:firstLine="720"/>
        <w:jc w:val="both"/>
      </w:pPr>
      <w:r>
        <w:rPr/>
        <w:t>Provision of adequate logistics support is a prerequisite for the success of any military operation especially in the difficult Niger Delta terrain.</w:t>
      </w:r>
      <w:r>
        <w:rPr>
          <w:spacing w:val="80"/>
        </w:rPr>
        <w:t> </w:t>
      </w:r>
      <w:r>
        <w:rPr/>
        <w:t>However, the military JTF operating in the Niger Delta is beset with some serious logistics constraints that hamper the attainment of its set objectives. Some of these logistics problems include lift capability, inadequate communication and specialised</w:t>
      </w:r>
      <w:r>
        <w:rPr>
          <w:spacing w:val="80"/>
        </w:rPr>
        <w:t> </w:t>
      </w:r>
      <w:r>
        <w:rPr/>
        <w:t>equipment Fast Patrol Crafts (FPCs), gunboats, Petroleum, Oil and Lubricant (POL), storage</w:t>
      </w:r>
      <w:r>
        <w:rPr>
          <w:spacing w:val="-2"/>
        </w:rPr>
        <w:t> </w:t>
      </w:r>
      <w:r>
        <w:rPr/>
        <w:t>facilities and</w:t>
      </w:r>
      <w:r>
        <w:rPr>
          <w:spacing w:val="1"/>
        </w:rPr>
        <w:t> </w:t>
      </w:r>
      <w:r>
        <w:rPr/>
        <w:t>bowsers, night</w:t>
      </w:r>
      <w:r>
        <w:rPr>
          <w:spacing w:val="1"/>
        </w:rPr>
        <w:t> </w:t>
      </w:r>
      <w:r>
        <w:rPr/>
        <w:t>vision</w:t>
      </w:r>
      <w:r>
        <w:rPr>
          <w:spacing w:val="1"/>
        </w:rPr>
        <w:t> </w:t>
      </w:r>
      <w:r>
        <w:rPr/>
        <w:t>devices,</w:t>
      </w:r>
      <w:r>
        <w:rPr>
          <w:spacing w:val="4"/>
        </w:rPr>
        <w:t> </w:t>
      </w:r>
      <w:r>
        <w:rPr/>
        <w:t>Global</w:t>
      </w:r>
      <w:r>
        <w:rPr>
          <w:spacing w:val="1"/>
        </w:rPr>
        <w:t> </w:t>
      </w:r>
      <w:r>
        <w:rPr/>
        <w:t>Positioning</w:t>
      </w:r>
      <w:r>
        <w:rPr>
          <w:spacing w:val="-1"/>
        </w:rPr>
        <w:t> </w:t>
      </w:r>
      <w:r>
        <w:rPr/>
        <w:t>System</w:t>
      </w:r>
      <w:r>
        <w:rPr>
          <w:spacing w:val="1"/>
        </w:rPr>
        <w:t> </w:t>
      </w:r>
      <w:r>
        <w:rPr>
          <w:spacing w:val="-2"/>
        </w:rPr>
        <w:t>(GPS),</w:t>
      </w:r>
    </w:p>
    <w:p>
      <w:pPr>
        <w:spacing w:after="0" w:line="360" w:lineRule="auto"/>
        <w:jc w:val="both"/>
        <w:sectPr>
          <w:pgSz w:w="11910" w:h="16840"/>
          <w:pgMar w:header="0" w:footer="1561" w:top="1360" w:bottom="1760" w:left="720" w:right="180"/>
        </w:sectPr>
      </w:pPr>
    </w:p>
    <w:p>
      <w:pPr>
        <w:pStyle w:val="BodyText"/>
        <w:spacing w:line="360" w:lineRule="auto" w:before="60"/>
        <w:ind w:right="1256"/>
        <w:jc w:val="both"/>
      </w:pPr>
      <w:r>
        <w:rPr/>
        <mc:AlternateContent>
          <mc:Choice Requires="wps">
            <w:drawing>
              <wp:anchor distT="0" distB="0" distL="0" distR="0" allowOverlap="1" layoutInCell="1" locked="0" behindDoc="1" simplePos="0" relativeHeight="480658432">
                <wp:simplePos x="0" y="0"/>
                <wp:positionH relativeFrom="page">
                  <wp:posOffset>-1537026</wp:posOffset>
                </wp:positionH>
                <wp:positionV relativeFrom="page">
                  <wp:posOffset>4900424</wp:posOffset>
                </wp:positionV>
                <wp:extent cx="10669905" cy="914400"/>
                <wp:effectExtent l="0" t="0" r="0" b="0"/>
                <wp:wrapNone/>
                <wp:docPr id="273" name="Textbox 273"/>
                <wp:cNvGraphicFramePr>
                  <a:graphicFrameLocks/>
                </wp:cNvGraphicFramePr>
                <a:graphic>
                  <a:graphicData uri="http://schemas.microsoft.com/office/word/2010/wordprocessingShape">
                    <wps:wsp>
                      <wps:cNvPr id="273" name="Textbox 273"/>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58048;rotation:306" type="#_x0000_t136" fillcolor="#ff5400" stroked="f">
                <o:extrusion v:ext="view" autorotationcenter="t"/>
                <v:textpath style="font-family:&quot;Arial MT&quot;;font-size:72pt;v-text-kern:t;mso-text-shadow:auto" string="UNIVERSITY OF IBADAN"/>
                <w10:wrap type="none"/>
              </v:shape>
            </w:pict>
          </mc:Fallback>
        </mc:AlternateContent>
      </w:r>
      <w:r>
        <w:rPr/>
        <w:t>inadequate combat ration, clothing</w:t>
      </w:r>
      <w:r>
        <w:rPr>
          <w:spacing w:val="40"/>
        </w:rPr>
        <w:t> </w:t>
      </w:r>
      <w:r>
        <w:rPr/>
        <w:t>weapons, vehicles, medicals and surveillance equipment.</w:t>
      </w:r>
      <w:r>
        <w:rPr>
          <w:spacing w:val="40"/>
        </w:rPr>
        <w:t> </w:t>
      </w:r>
      <w:r>
        <w:rPr/>
        <w:t>For instance, Rimtip, Commander Operation RESTORE HOPE argued that, quick responses to situations by the force as well as its effectiveness were</w:t>
      </w:r>
      <w:r>
        <w:rPr>
          <w:spacing w:val="80"/>
        </w:rPr>
        <w:t> </w:t>
      </w:r>
      <w:r>
        <w:rPr/>
        <w:t>usually</w:t>
      </w:r>
      <w:r>
        <w:rPr>
          <w:spacing w:val="-7"/>
        </w:rPr>
        <w:t> </w:t>
      </w:r>
      <w:r>
        <w:rPr/>
        <w:t>not achieved</w:t>
      </w:r>
      <w:r>
        <w:rPr>
          <w:spacing w:val="-2"/>
        </w:rPr>
        <w:t> </w:t>
      </w:r>
      <w:r>
        <w:rPr/>
        <w:t>most</w:t>
      </w:r>
      <w:r>
        <w:rPr>
          <w:spacing w:val="-2"/>
        </w:rPr>
        <w:t> </w:t>
      </w:r>
      <w:r>
        <w:rPr/>
        <w:t>times.</w:t>
      </w:r>
      <w:r>
        <w:rPr>
          <w:spacing w:val="40"/>
        </w:rPr>
        <w:t> </w:t>
      </w:r>
      <w:r>
        <w:rPr/>
        <w:t>Consequently, the</w:t>
      </w:r>
      <w:r>
        <w:rPr>
          <w:spacing w:val="-3"/>
        </w:rPr>
        <w:t> </w:t>
      </w:r>
      <w:r>
        <w:rPr/>
        <w:t>operation</w:t>
      </w:r>
      <w:r>
        <w:rPr>
          <w:spacing w:val="-2"/>
        </w:rPr>
        <w:t> </w:t>
      </w:r>
      <w:r>
        <w:rPr/>
        <w:t>that</w:t>
      </w:r>
      <w:r>
        <w:rPr>
          <w:spacing w:val="-2"/>
        </w:rPr>
        <w:t> </w:t>
      </w:r>
      <w:r>
        <w:rPr/>
        <w:t>was</w:t>
      </w:r>
      <w:r>
        <w:rPr>
          <w:spacing w:val="-2"/>
        </w:rPr>
        <w:t> </w:t>
      </w:r>
      <w:r>
        <w:rPr/>
        <w:t>supposed</w:t>
      </w:r>
      <w:r>
        <w:rPr>
          <w:spacing w:val="-3"/>
        </w:rPr>
        <w:t> </w:t>
      </w:r>
      <w:r>
        <w:rPr/>
        <w:t>to</w:t>
      </w:r>
      <w:r>
        <w:rPr>
          <w:spacing w:val="-2"/>
        </w:rPr>
        <w:t> </w:t>
      </w:r>
      <w:r>
        <w:rPr/>
        <w:t>be an ad-hoc one quickly got bogged down due to lack of sufficient supply of logistics. The result of the study reveals that the logistics requirement for POL for the JTF operations is enormous and grossly inadequate.</w:t>
      </w:r>
      <w:r>
        <w:rPr>
          <w:spacing w:val="40"/>
        </w:rPr>
        <w:t> </w:t>
      </w:r>
      <w:r>
        <w:rPr/>
        <w:t>This is due to the difficult terrain which the troops traverse during operations and the need for pro-active patrols and surveillance of the JTF AOR. Some of the key challenges relating to logistics and equipment are discussed in a little more detail.</w:t>
      </w:r>
    </w:p>
    <w:p>
      <w:pPr>
        <w:pStyle w:val="BodyText"/>
        <w:spacing w:line="360" w:lineRule="auto" w:before="2"/>
        <w:ind w:right="1255" w:firstLine="720"/>
        <w:jc w:val="both"/>
      </w:pPr>
      <w:r>
        <w:rPr/>
        <w:t>The then Commander JTF operation FLUSHOUT III Major General Sarkin Yaki Bello, observed that considering the difficult terrain, more would have been accomplished if adequate troops trained for special operations and special equipment such as gunboats, house boat, air and naval support assets were regarded as high- value assets required for the effective conduct of JTF Operations, especially the destruction of militant camps in the creeks.</w:t>
      </w:r>
      <w:r>
        <w:rPr>
          <w:spacing w:val="40"/>
        </w:rPr>
        <w:t> </w:t>
      </w:r>
      <w:r>
        <w:rPr/>
        <w:t>He remarked that the inadequacy</w:t>
      </w:r>
      <w:r>
        <w:rPr>
          <w:spacing w:val="-3"/>
        </w:rPr>
        <w:t> </w:t>
      </w:r>
      <w:r>
        <w:rPr/>
        <w:t>of these assets</w:t>
      </w:r>
      <w:r>
        <w:rPr>
          <w:spacing w:val="-3"/>
        </w:rPr>
        <w:t> </w:t>
      </w:r>
      <w:r>
        <w:rPr/>
        <w:t>had</w:t>
      </w:r>
      <w:r>
        <w:rPr>
          <w:spacing w:val="-1"/>
        </w:rPr>
        <w:t> </w:t>
      </w:r>
      <w:r>
        <w:rPr/>
        <w:t>hampered</w:t>
      </w:r>
      <w:r>
        <w:rPr>
          <w:spacing w:val="-3"/>
        </w:rPr>
        <w:t> </w:t>
      </w:r>
      <w:r>
        <w:rPr/>
        <w:t>the operations</w:t>
      </w:r>
      <w:r>
        <w:rPr>
          <w:spacing w:val="-3"/>
        </w:rPr>
        <w:t> </w:t>
      </w:r>
      <w:r>
        <w:rPr/>
        <w:t>and</w:t>
      </w:r>
      <w:r>
        <w:rPr>
          <w:spacing w:val="-1"/>
        </w:rPr>
        <w:t> </w:t>
      </w:r>
      <w:r>
        <w:rPr/>
        <w:t>partly</w:t>
      </w:r>
      <w:r>
        <w:rPr>
          <w:spacing w:val="-5"/>
        </w:rPr>
        <w:t> </w:t>
      </w:r>
      <w:r>
        <w:rPr/>
        <w:t>account</w:t>
      </w:r>
      <w:r>
        <w:rPr>
          <w:spacing w:val="-3"/>
        </w:rPr>
        <w:t> </w:t>
      </w:r>
      <w:r>
        <w:rPr/>
        <w:t>for</w:t>
      </w:r>
      <w:r>
        <w:rPr>
          <w:spacing w:val="-4"/>
        </w:rPr>
        <w:t> </w:t>
      </w:r>
      <w:r>
        <w:rPr/>
        <w:t>its</w:t>
      </w:r>
      <w:r>
        <w:rPr>
          <w:spacing w:val="-3"/>
        </w:rPr>
        <w:t> </w:t>
      </w:r>
      <w:r>
        <w:rPr/>
        <w:t>protracted</w:t>
      </w:r>
      <w:r>
        <w:rPr>
          <w:spacing w:val="-2"/>
        </w:rPr>
        <w:t> </w:t>
      </w:r>
      <w:r>
        <w:rPr/>
        <w:t>nature</w:t>
      </w:r>
      <w:r>
        <w:rPr>
          <w:spacing w:val="-4"/>
        </w:rPr>
        <w:t> </w:t>
      </w:r>
      <w:r>
        <w:rPr/>
        <w:t>and</w:t>
      </w:r>
      <w:r>
        <w:rPr>
          <w:spacing w:val="-1"/>
        </w:rPr>
        <w:t> </w:t>
      </w:r>
      <w:r>
        <w:rPr/>
        <w:t>the continuous acts of criminality.</w:t>
      </w:r>
      <w:r>
        <w:rPr>
          <w:spacing w:val="40"/>
        </w:rPr>
        <w:t> </w:t>
      </w:r>
      <w:r>
        <w:rPr/>
        <w:t>Therefore, adequate special warfare troops, special equipment, air and maritime support assets are required to enhance the professional conduct of JTF operations.</w:t>
      </w:r>
    </w:p>
    <w:p>
      <w:pPr>
        <w:pStyle w:val="BodyText"/>
        <w:spacing w:line="360" w:lineRule="auto"/>
        <w:ind w:right="1255" w:firstLine="780"/>
        <w:jc w:val="both"/>
      </w:pPr>
      <w:r>
        <w:rPr/>
        <w:t>Another serious logistics constraint to the JTF operations is lack of adequate communication.</w:t>
      </w:r>
      <w:r>
        <w:rPr>
          <w:spacing w:val="40"/>
        </w:rPr>
        <w:t> </w:t>
      </w:r>
      <w:r>
        <w:rPr/>
        <w:t>A secure and reliable communication is indispensable in military operations.</w:t>
      </w:r>
      <w:r>
        <w:rPr>
          <w:spacing w:val="40"/>
        </w:rPr>
        <w:t> </w:t>
      </w:r>
      <w:r>
        <w:rPr/>
        <w:t>Effective communication therefore is a force multiplier and it enhances effective coordination of operational activities.</w:t>
      </w:r>
      <w:r>
        <w:rPr>
          <w:spacing w:val="40"/>
        </w:rPr>
        <w:t> </w:t>
      </w:r>
      <w:r>
        <w:rPr/>
        <w:t>This view was corroborated by a JTF field commander when he observed that the lack of communication facilities has most times compelled JTF to rely on personal mobile cell phones (where there is network) as well as the communication facilities of some transnational oil companies.</w:t>
      </w:r>
      <w:r>
        <w:rPr>
          <w:spacing w:val="40"/>
        </w:rPr>
        <w:t> </w:t>
      </w:r>
      <w:r>
        <w:rPr/>
        <w:t>During interview with the</w:t>
      </w:r>
      <w:r>
        <w:rPr>
          <w:spacing w:val="-2"/>
        </w:rPr>
        <w:t> </w:t>
      </w:r>
      <w:r>
        <w:rPr/>
        <w:t>JTF</w:t>
      </w:r>
      <w:r>
        <w:rPr>
          <w:spacing w:val="-1"/>
        </w:rPr>
        <w:t> </w:t>
      </w:r>
      <w:r>
        <w:rPr/>
        <w:t>air liaison officer, it was observed that the major constraints of the</w:t>
      </w:r>
      <w:r>
        <w:rPr>
          <w:spacing w:val="-2"/>
        </w:rPr>
        <w:t> </w:t>
      </w:r>
      <w:r>
        <w:rPr/>
        <w:t>air</w:t>
      </w:r>
      <w:r>
        <w:rPr>
          <w:spacing w:val="-1"/>
        </w:rPr>
        <w:t> </w:t>
      </w:r>
      <w:r>
        <w:rPr/>
        <w:t>component</w:t>
      </w:r>
      <w:r>
        <w:rPr>
          <w:spacing w:val="-1"/>
        </w:rPr>
        <w:t> </w:t>
      </w:r>
      <w:r>
        <w:rPr/>
        <w:t>have</w:t>
      </w:r>
      <w:r>
        <w:rPr>
          <w:spacing w:val="-3"/>
        </w:rPr>
        <w:t> </w:t>
      </w:r>
      <w:r>
        <w:rPr/>
        <w:t>been</w:t>
      </w:r>
      <w:r>
        <w:rPr>
          <w:spacing w:val="-2"/>
        </w:rPr>
        <w:t> </w:t>
      </w:r>
      <w:r>
        <w:rPr/>
        <w:t>the</w:t>
      </w:r>
      <w:r>
        <w:rPr>
          <w:spacing w:val="-1"/>
        </w:rPr>
        <w:t> </w:t>
      </w:r>
      <w:r>
        <w:rPr/>
        <w:t>inability</w:t>
      </w:r>
      <w:r>
        <w:rPr>
          <w:spacing w:val="-7"/>
        </w:rPr>
        <w:t> </w:t>
      </w:r>
      <w:r>
        <w:rPr/>
        <w:t>to coordinate</w:t>
      </w:r>
      <w:r>
        <w:rPr>
          <w:spacing w:val="-3"/>
        </w:rPr>
        <w:t> </w:t>
      </w:r>
      <w:r>
        <w:rPr/>
        <w:t>operations</w:t>
      </w:r>
      <w:r>
        <w:rPr>
          <w:spacing w:val="-2"/>
        </w:rPr>
        <w:t> </w:t>
      </w:r>
      <w:r>
        <w:rPr/>
        <w:t>with ground</w:t>
      </w:r>
      <w:r>
        <w:rPr>
          <w:spacing w:val="-2"/>
        </w:rPr>
        <w:t> </w:t>
      </w:r>
      <w:r>
        <w:rPr/>
        <w:t>troops. This is due to the fact that, ground troops lack ground-to-air communication capability.</w:t>
      </w:r>
      <w:r>
        <w:rPr>
          <w:spacing w:val="40"/>
        </w:rPr>
        <w:t> </w:t>
      </w:r>
      <w:r>
        <w:rPr/>
        <w:t>This has compelled the troops to resort to timed programme to coordinate with NAF pilots. These inadequacies hamper effective operation of the JTF in the Niger Delta region.</w:t>
      </w:r>
    </w:p>
    <w:p>
      <w:pPr>
        <w:spacing w:after="0" w:line="360" w:lineRule="auto"/>
        <w:jc w:val="both"/>
        <w:sectPr>
          <w:pgSz w:w="11910" w:h="16840"/>
          <w:pgMar w:header="0" w:footer="1561" w:top="1360" w:bottom="1760" w:left="720" w:right="180"/>
        </w:sectPr>
      </w:pPr>
    </w:p>
    <w:p>
      <w:pPr>
        <w:pStyle w:val="Heading2"/>
        <w:numPr>
          <w:ilvl w:val="2"/>
          <w:numId w:val="19"/>
        </w:numPr>
        <w:tabs>
          <w:tab w:pos="2160" w:val="left" w:leader="none"/>
        </w:tabs>
        <w:spacing w:line="240" w:lineRule="auto" w:before="65" w:after="0"/>
        <w:ind w:left="2160" w:right="0" w:hanging="720"/>
        <w:jc w:val="both"/>
      </w:pPr>
      <w:r>
        <w:rPr/>
        <mc:AlternateContent>
          <mc:Choice Requires="wps">
            <w:drawing>
              <wp:anchor distT="0" distB="0" distL="0" distR="0" allowOverlap="1" layoutInCell="1" locked="0" behindDoc="1" simplePos="0" relativeHeight="480658944">
                <wp:simplePos x="0" y="0"/>
                <wp:positionH relativeFrom="page">
                  <wp:posOffset>-1537026</wp:posOffset>
                </wp:positionH>
                <wp:positionV relativeFrom="page">
                  <wp:posOffset>4900424</wp:posOffset>
                </wp:positionV>
                <wp:extent cx="10669905" cy="914400"/>
                <wp:effectExtent l="0" t="0" r="0" b="0"/>
                <wp:wrapNone/>
                <wp:docPr id="274" name="Textbox 274"/>
                <wp:cNvGraphicFramePr>
                  <a:graphicFrameLocks/>
                </wp:cNvGraphicFramePr>
                <a:graphic>
                  <a:graphicData uri="http://schemas.microsoft.com/office/word/2010/wordprocessingShape">
                    <wps:wsp>
                      <wps:cNvPr id="274" name="Textbox 274"/>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57536;rotation:306" type="#_x0000_t136" fillcolor="#ff5400" stroked="f">
                <o:extrusion v:ext="view" autorotationcenter="t"/>
                <v:textpath style="font-family:&quot;Arial MT&quot;;font-size:72pt;v-text-kern:t;mso-text-shadow:auto" string="UNIVERSITY OF IBADAN"/>
                <w10:wrap type="none"/>
              </v:shape>
            </w:pict>
          </mc:Fallback>
        </mc:AlternateContent>
      </w:r>
      <w:r>
        <w:rPr/>
        <w:t>Inadequate</w:t>
      </w:r>
      <w:r>
        <w:rPr>
          <w:spacing w:val="-3"/>
        </w:rPr>
        <w:t> </w:t>
      </w:r>
      <w:r>
        <w:rPr>
          <w:spacing w:val="-2"/>
        </w:rPr>
        <w:t>Platforms</w:t>
      </w:r>
    </w:p>
    <w:p>
      <w:pPr>
        <w:pStyle w:val="BodyText"/>
        <w:spacing w:line="360" w:lineRule="auto" w:before="133"/>
        <w:ind w:right="1255" w:firstLine="660"/>
        <w:jc w:val="both"/>
      </w:pPr>
      <w:r>
        <w:rPr/>
        <w:t>The terrain in the Joint Operational Area (JOA) is predominantly riverine, creeks and estuaries.</w:t>
      </w:r>
      <w:r>
        <w:rPr>
          <w:spacing w:val="40"/>
        </w:rPr>
        <w:t> </w:t>
      </w:r>
      <w:r>
        <w:rPr/>
        <w:t>This generally restricts movement of troops and logistics to be water – bound.</w:t>
      </w:r>
      <w:r>
        <w:rPr>
          <w:spacing w:val="80"/>
        </w:rPr>
        <w:t> </w:t>
      </w:r>
      <w:r>
        <w:rPr/>
        <w:t>This makes boats essential operational platforms for the JTF</w:t>
      </w:r>
      <w:r>
        <w:rPr>
          <w:spacing w:val="40"/>
        </w:rPr>
        <w:t> </w:t>
      </w:r>
      <w:r>
        <w:rPr/>
        <w:t>missions.</w:t>
      </w:r>
      <w:r>
        <w:rPr>
          <w:spacing w:val="40"/>
        </w:rPr>
        <w:t> </w:t>
      </w:r>
      <w:r>
        <w:rPr/>
        <w:t>However, the JTF is grossly equipped with only few scores of gunboats. Apart from these gunboats, being inadequate, their operators complained of them being cumbersome and too slow for offensive operations when compared with the speed boats used by the militants.</w:t>
      </w:r>
      <w:r>
        <w:rPr>
          <w:spacing w:val="40"/>
        </w:rPr>
        <w:t> </w:t>
      </w:r>
      <w:r>
        <w:rPr/>
        <w:t>There is also the teething problem of the unserviceability of most available gunboats.</w:t>
      </w:r>
      <w:r>
        <w:rPr>
          <w:spacing w:val="40"/>
        </w:rPr>
        <w:t> </w:t>
      </w:r>
      <w:r>
        <w:rPr/>
        <w:t>The study reveals that the functional gunboats were</w:t>
      </w:r>
      <w:r>
        <w:rPr>
          <w:spacing w:val="-1"/>
        </w:rPr>
        <w:t> </w:t>
      </w:r>
      <w:r>
        <w:rPr/>
        <w:t>mostly</w:t>
      </w:r>
      <w:r>
        <w:rPr>
          <w:spacing w:val="-3"/>
        </w:rPr>
        <w:t> </w:t>
      </w:r>
      <w:r>
        <w:rPr/>
        <w:t>deployed for</w:t>
      </w:r>
      <w:r>
        <w:rPr>
          <w:spacing w:val="-2"/>
        </w:rPr>
        <w:t> </w:t>
      </w:r>
      <w:r>
        <w:rPr/>
        <w:t>static guard</w:t>
      </w:r>
      <w:r>
        <w:rPr>
          <w:spacing w:val="-1"/>
        </w:rPr>
        <w:t> </w:t>
      </w:r>
      <w:r>
        <w:rPr/>
        <w:t>of strategic facilities.</w:t>
      </w:r>
      <w:r>
        <w:rPr>
          <w:spacing w:val="40"/>
        </w:rPr>
        <w:t> </w:t>
      </w:r>
      <w:r>
        <w:rPr/>
        <w:t>While gunboats earmarked for patrols and essential escort duties were very few.</w:t>
      </w:r>
      <w:r>
        <w:rPr>
          <w:spacing w:val="40"/>
        </w:rPr>
        <w:t> </w:t>
      </w:r>
      <w:r>
        <w:rPr/>
        <w:t>The conduct of ad- hoc tasks by the JTF troops often results into the pooling of available gunboats.</w:t>
      </w:r>
    </w:p>
    <w:p>
      <w:pPr>
        <w:pStyle w:val="BodyText"/>
        <w:spacing w:line="360" w:lineRule="auto" w:before="2"/>
        <w:ind w:right="1255" w:firstLine="540"/>
        <w:jc w:val="both"/>
      </w:pPr>
      <w:r>
        <w:rPr/>
        <w:t>The JTF is however constrained by limited air and naval platforms.</w:t>
      </w:r>
      <w:r>
        <w:rPr>
          <w:spacing w:val="25"/>
        </w:rPr>
        <w:t> </w:t>
      </w:r>
      <w:r>
        <w:rPr/>
        <w:t>This result</w:t>
      </w:r>
      <w:r>
        <w:rPr>
          <w:spacing w:val="40"/>
        </w:rPr>
        <w:t> </w:t>
      </w:r>
      <w:r>
        <w:rPr/>
        <w:t>in the inability of the Task Groups to maintain aggressive and robust maritime patrols and surveillance, effectively check illegal oil bunkering and defend oil/gas installations.</w:t>
      </w:r>
      <w:r>
        <w:rPr>
          <w:spacing w:val="40"/>
        </w:rPr>
        <w:t> </w:t>
      </w:r>
      <w:r>
        <w:rPr/>
        <w:t>The study noted that the militants carry out their activities on the high sea, creeks and swampy grounds making it difficult for JTF troops to engage them when required.</w:t>
      </w:r>
    </w:p>
    <w:p>
      <w:pPr>
        <w:pStyle w:val="BodyText"/>
        <w:spacing w:line="360" w:lineRule="auto"/>
        <w:ind w:right="1254" w:firstLine="540"/>
        <w:jc w:val="both"/>
      </w:pPr>
      <w:r>
        <w:rPr/>
        <w:t>According to Commodore Agba, the Naval Task Force Group Commander, the JTF is capable of successfully</w:t>
      </w:r>
      <w:r>
        <w:rPr>
          <w:spacing w:val="-3"/>
        </w:rPr>
        <w:t> </w:t>
      </w:r>
      <w:r>
        <w:rPr/>
        <w:t>executing its tasks if provided with adequate platforms. He further added that, the few Inshore Patrol boats available to the JTF could only be useful within the canals which preclude them from patrolling the creeks.</w:t>
      </w:r>
      <w:r>
        <w:rPr>
          <w:spacing w:val="40"/>
        </w:rPr>
        <w:t> </w:t>
      </w:r>
      <w:r>
        <w:rPr/>
        <w:t>This has compelled the NTG to rely on ATG fast assault boats which are not protected against small arms attacks.</w:t>
      </w:r>
      <w:r>
        <w:rPr>
          <w:spacing w:val="40"/>
        </w:rPr>
        <w:t> </w:t>
      </w:r>
      <w:r>
        <w:rPr/>
        <w:t>The provision of</w:t>
      </w:r>
      <w:r>
        <w:rPr>
          <w:spacing w:val="-1"/>
        </w:rPr>
        <w:t> </w:t>
      </w:r>
      <w:r>
        <w:rPr/>
        <w:t>adequate Fast Assault Crafts would facilitate</w:t>
      </w:r>
      <w:r>
        <w:rPr>
          <w:spacing w:val="-1"/>
        </w:rPr>
        <w:t> </w:t>
      </w:r>
      <w:r>
        <w:rPr/>
        <w:t>the effective patrol of the JTF AOR. The JTF in some cases is compelled to use multinational oil and gas companies' helicopters for some operational exigencies like casualty evacuation. This situation severely affects air and maritime operations and</w:t>
      </w:r>
      <w:r>
        <w:rPr>
          <w:spacing w:val="40"/>
        </w:rPr>
        <w:t> </w:t>
      </w:r>
      <w:r>
        <w:rPr/>
        <w:t>the overall performance of the JTF. This could also compromise the neutrality of the Force. Arising</w:t>
      </w:r>
      <w:r>
        <w:rPr>
          <w:spacing w:val="-3"/>
        </w:rPr>
        <w:t> </w:t>
      </w:r>
      <w:r>
        <w:rPr/>
        <w:t>from</w:t>
      </w:r>
      <w:r>
        <w:rPr>
          <w:spacing w:val="-1"/>
        </w:rPr>
        <w:t> </w:t>
      </w:r>
      <w:r>
        <w:rPr/>
        <w:t>the need for</w:t>
      </w:r>
      <w:r>
        <w:rPr>
          <w:spacing w:val="-1"/>
        </w:rPr>
        <w:t> </w:t>
      </w:r>
      <w:r>
        <w:rPr/>
        <w:t>more</w:t>
      </w:r>
      <w:r>
        <w:rPr>
          <w:spacing w:val="-2"/>
        </w:rPr>
        <w:t> </w:t>
      </w:r>
      <w:r>
        <w:rPr/>
        <w:t>platforms for</w:t>
      </w:r>
      <w:r>
        <w:rPr>
          <w:spacing w:val="-2"/>
        </w:rPr>
        <w:t> </w:t>
      </w:r>
      <w:r>
        <w:rPr/>
        <w:t>the</w:t>
      </w:r>
      <w:r>
        <w:rPr>
          <w:spacing w:val="-1"/>
        </w:rPr>
        <w:t> </w:t>
      </w:r>
      <w:r>
        <w:rPr/>
        <w:t>Task Force</w:t>
      </w:r>
      <w:r>
        <w:rPr>
          <w:spacing w:val="-1"/>
        </w:rPr>
        <w:t> </w:t>
      </w:r>
      <w:r>
        <w:rPr/>
        <w:t>is the requirement for dedicated jetties for the FPCs, gunboats and naval operational use.</w:t>
      </w:r>
      <w:r>
        <w:rPr>
          <w:spacing w:val="40"/>
        </w:rPr>
        <w:t> </w:t>
      </w:r>
      <w:r>
        <w:rPr/>
        <w:t>At present, these facilities operate at government and public jetties in Warri, Yenagoa and Port </w:t>
      </w:r>
      <w:r>
        <w:rPr>
          <w:spacing w:val="-2"/>
        </w:rPr>
        <w:t>Harcourt.</w:t>
      </w:r>
    </w:p>
    <w:p>
      <w:pPr>
        <w:spacing w:after="0" w:line="360" w:lineRule="auto"/>
        <w:jc w:val="both"/>
        <w:sectPr>
          <w:pgSz w:w="11910" w:h="16840"/>
          <w:pgMar w:header="0" w:footer="1561" w:top="1360" w:bottom="1760" w:left="720" w:right="180"/>
        </w:sectPr>
      </w:pPr>
    </w:p>
    <w:p>
      <w:pPr>
        <w:pStyle w:val="Heading2"/>
        <w:numPr>
          <w:ilvl w:val="2"/>
          <w:numId w:val="19"/>
        </w:numPr>
        <w:tabs>
          <w:tab w:pos="2160" w:val="left" w:leader="none"/>
        </w:tabs>
        <w:spacing w:line="240" w:lineRule="auto" w:before="65" w:after="0"/>
        <w:ind w:left="2160" w:right="0" w:hanging="720"/>
        <w:jc w:val="both"/>
      </w:pPr>
      <w:r>
        <w:rPr/>
        <mc:AlternateContent>
          <mc:Choice Requires="wps">
            <w:drawing>
              <wp:anchor distT="0" distB="0" distL="0" distR="0" allowOverlap="1" layoutInCell="1" locked="0" behindDoc="1" simplePos="0" relativeHeight="480659456">
                <wp:simplePos x="0" y="0"/>
                <wp:positionH relativeFrom="page">
                  <wp:posOffset>-1537026</wp:posOffset>
                </wp:positionH>
                <wp:positionV relativeFrom="page">
                  <wp:posOffset>4900424</wp:posOffset>
                </wp:positionV>
                <wp:extent cx="10669905" cy="914400"/>
                <wp:effectExtent l="0" t="0" r="0" b="0"/>
                <wp:wrapNone/>
                <wp:docPr id="275" name="Textbox 275"/>
                <wp:cNvGraphicFramePr>
                  <a:graphicFrameLocks/>
                </wp:cNvGraphicFramePr>
                <a:graphic>
                  <a:graphicData uri="http://schemas.microsoft.com/office/word/2010/wordprocessingShape">
                    <wps:wsp>
                      <wps:cNvPr id="275" name="Textbox 275"/>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57024;rotation:306" type="#_x0000_t136" fillcolor="#ff5400" stroked="f">
                <o:extrusion v:ext="view" autorotationcenter="t"/>
                <v:textpath style="font-family:&quot;Arial MT&quot;;font-size:72pt;v-text-kern:t;mso-text-shadow:auto" string="UNIVERSITY OF IBADAN"/>
                <w10:wrap type="none"/>
              </v:shape>
            </w:pict>
          </mc:Fallback>
        </mc:AlternateContent>
      </w:r>
      <w:r>
        <w:rPr/>
        <w:t>Lack</w:t>
      </w:r>
      <w:r>
        <w:rPr>
          <w:spacing w:val="-2"/>
        </w:rPr>
        <w:t> </w:t>
      </w:r>
      <w:r>
        <w:rPr/>
        <w:t>of Basic</w:t>
      </w:r>
      <w:r>
        <w:rPr>
          <w:spacing w:val="-2"/>
        </w:rPr>
        <w:t> </w:t>
      </w:r>
      <w:r>
        <w:rPr/>
        <w:t>Equipment</w:t>
      </w:r>
      <w:r>
        <w:rPr>
          <w:spacing w:val="-1"/>
        </w:rPr>
        <w:t> </w:t>
      </w:r>
      <w:r>
        <w:rPr/>
        <w:t>and</w:t>
      </w:r>
      <w:r>
        <w:rPr>
          <w:spacing w:val="-2"/>
        </w:rPr>
        <w:t> </w:t>
      </w:r>
      <w:r>
        <w:rPr/>
        <w:t>Kits</w:t>
      </w:r>
      <w:r>
        <w:rPr>
          <w:spacing w:val="-1"/>
        </w:rPr>
        <w:t> </w:t>
      </w:r>
      <w:r>
        <w:rPr/>
        <w:t>for</w:t>
      </w:r>
      <w:r>
        <w:rPr>
          <w:spacing w:val="-2"/>
        </w:rPr>
        <w:t> Troops</w:t>
      </w:r>
    </w:p>
    <w:p>
      <w:pPr>
        <w:pStyle w:val="BodyText"/>
        <w:spacing w:line="360" w:lineRule="auto" w:before="133"/>
        <w:ind w:right="1256" w:firstLine="720"/>
        <w:jc w:val="both"/>
      </w:pPr>
      <w:r>
        <w:rPr/>
        <w:t>The JTF operations are being conducted in difficult riverine terrain and swampy</w:t>
      </w:r>
      <w:r>
        <w:rPr>
          <w:spacing w:val="-4"/>
        </w:rPr>
        <w:t> </w:t>
      </w:r>
      <w:r>
        <w:rPr/>
        <w:t>terrain.</w:t>
      </w:r>
      <w:r>
        <w:rPr>
          <w:spacing w:val="40"/>
        </w:rPr>
        <w:t> </w:t>
      </w:r>
      <w:r>
        <w:rPr/>
        <w:t>The climate of the JTFs AOR is characterized by</w:t>
      </w:r>
      <w:r>
        <w:rPr>
          <w:spacing w:val="-4"/>
        </w:rPr>
        <w:t> </w:t>
      </w:r>
      <w:r>
        <w:rPr/>
        <w:t>a long</w:t>
      </w:r>
      <w:r>
        <w:rPr>
          <w:spacing w:val="-2"/>
        </w:rPr>
        <w:t> </w:t>
      </w:r>
      <w:r>
        <w:rPr/>
        <w:t>rainy</w:t>
      </w:r>
      <w:r>
        <w:rPr>
          <w:spacing w:val="-4"/>
        </w:rPr>
        <w:t> </w:t>
      </w:r>
      <w:r>
        <w:rPr/>
        <w:t>season from March – October.</w:t>
      </w:r>
      <w:r>
        <w:rPr>
          <w:spacing w:val="40"/>
        </w:rPr>
        <w:t> </w:t>
      </w:r>
      <w:r>
        <w:rPr/>
        <w:t>The attendant heavy rainfall and high humidity requires that troops be specially kitted with rain boots, rain coats, and camouflage uniforms amongst other to withstand these conditions.</w:t>
      </w:r>
      <w:r>
        <w:rPr>
          <w:spacing w:val="80"/>
        </w:rPr>
        <w:t> </w:t>
      </w:r>
      <w:r>
        <w:rPr/>
        <w:t>Similarly, the riverine and thick mangrove/forest rainforest terrain severely limits visibility and exposes troops to unnecessary ambushes and drowning.</w:t>
      </w:r>
      <w:r>
        <w:rPr>
          <w:spacing w:val="80"/>
        </w:rPr>
        <w:t> </w:t>
      </w:r>
      <w:r>
        <w:rPr/>
        <w:t>These conditions require that troops be properly kitted with dual purpose fragmental/floating jackets, night vision devices, binoculars and ballistic helmets.</w:t>
      </w:r>
      <w:r>
        <w:rPr>
          <w:spacing w:val="40"/>
        </w:rPr>
        <w:t> </w:t>
      </w:r>
      <w:r>
        <w:rPr/>
        <w:t>The military higher command had recently authorized the issue of some of these essential equipment and kits. They are however inadequate due to frequent beef up of the JTF Land component‟s troops.</w:t>
      </w:r>
      <w:r>
        <w:rPr>
          <w:spacing w:val="80"/>
        </w:rPr>
        <w:t> </w:t>
      </w:r>
      <w:r>
        <w:rPr/>
        <w:t>Additionally, units inducted into the operations are usually not issued pre-induction kits.</w:t>
      </w:r>
      <w:r>
        <w:rPr>
          <w:spacing w:val="40"/>
        </w:rPr>
        <w:t> </w:t>
      </w:r>
      <w:r>
        <w:rPr/>
        <w:t>Furthermore, most of the essential stores and essential kits are consumables that need to be issued periodically.</w:t>
      </w:r>
      <w:r>
        <w:rPr>
          <w:spacing w:val="40"/>
        </w:rPr>
        <w:t> </w:t>
      </w:r>
      <w:r>
        <w:rPr/>
        <w:t>Hence, these items are not readily available for re- issue to troops.</w:t>
      </w:r>
    </w:p>
    <w:p>
      <w:pPr>
        <w:pStyle w:val="BodyText"/>
        <w:spacing w:before="143"/>
        <w:ind w:left="0"/>
      </w:pPr>
    </w:p>
    <w:p>
      <w:pPr>
        <w:pStyle w:val="Heading2"/>
        <w:numPr>
          <w:ilvl w:val="2"/>
          <w:numId w:val="23"/>
        </w:numPr>
        <w:tabs>
          <w:tab w:pos="2040" w:val="left" w:leader="none"/>
        </w:tabs>
        <w:spacing w:line="240" w:lineRule="auto" w:before="1" w:after="0"/>
        <w:ind w:left="2040" w:right="0" w:hanging="600"/>
        <w:jc w:val="both"/>
      </w:pPr>
      <w:r>
        <w:rPr/>
        <w:t>Lack</w:t>
      </w:r>
      <w:r>
        <w:rPr>
          <w:spacing w:val="-2"/>
        </w:rPr>
        <w:t> </w:t>
      </w:r>
      <w:r>
        <w:rPr/>
        <w:t>of</w:t>
      </w:r>
      <w:r>
        <w:rPr>
          <w:spacing w:val="-1"/>
        </w:rPr>
        <w:t> </w:t>
      </w:r>
      <w:r>
        <w:rPr/>
        <w:t>Operational</w:t>
      </w:r>
      <w:r>
        <w:rPr>
          <w:spacing w:val="-1"/>
        </w:rPr>
        <w:t> </w:t>
      </w:r>
      <w:r>
        <w:rPr>
          <w:spacing w:val="-4"/>
        </w:rPr>
        <w:t>Maps</w:t>
      </w:r>
    </w:p>
    <w:p>
      <w:pPr>
        <w:pStyle w:val="BodyText"/>
        <w:spacing w:line="360" w:lineRule="auto" w:before="134"/>
        <w:ind w:right="1255" w:firstLine="720"/>
        <w:jc w:val="both"/>
      </w:pPr>
      <w:r>
        <w:rPr/>
        <w:t>There are no operational maps of the Niger Delta region.</w:t>
      </w:r>
      <w:r>
        <w:rPr>
          <w:spacing w:val="40"/>
        </w:rPr>
        <w:t> </w:t>
      </w:r>
      <w:r>
        <w:rPr/>
        <w:t>The maps in use by the JTF are non operational maps produced by transnational oil companies which</w:t>
      </w:r>
      <w:r>
        <w:rPr>
          <w:spacing w:val="40"/>
        </w:rPr>
        <w:t> </w:t>
      </w:r>
      <w:r>
        <w:rPr/>
        <w:t>were specially</w:t>
      </w:r>
      <w:r>
        <w:rPr>
          <w:spacing w:val="-1"/>
        </w:rPr>
        <w:t> </w:t>
      </w:r>
      <w:r>
        <w:rPr/>
        <w:t>produced for their specific operations.</w:t>
      </w:r>
      <w:r>
        <w:rPr>
          <w:spacing w:val="40"/>
        </w:rPr>
        <w:t> </w:t>
      </w:r>
      <w:r>
        <w:rPr/>
        <w:t>Likewise, there are no facilities for battle field surveillance such as radars and Unmanned Aerial Vehicles (UAVs). Additionally, more than half of the JTF AOR is adjudged to be below sea level characterized by swampy and thick mangrove forest terrain criss - crossed with a network of creeks and rivers.</w:t>
      </w:r>
      <w:r>
        <w:rPr>
          <w:spacing w:val="40"/>
        </w:rPr>
        <w:t> </w:t>
      </w:r>
      <w:r>
        <w:rPr/>
        <w:t>The effects of this terrain on JTF operational activities are limited field of fire, poor visibility and limited maneuverability.</w:t>
      </w:r>
      <w:r>
        <w:rPr>
          <w:spacing w:val="80"/>
        </w:rPr>
        <w:t> </w:t>
      </w:r>
      <w:r>
        <w:rPr/>
        <w:t>There is therefore, the need to provide up – to –date operational maps for the JTF operations.</w:t>
      </w:r>
    </w:p>
    <w:p>
      <w:pPr>
        <w:pStyle w:val="BodyText"/>
        <w:spacing w:before="144"/>
        <w:ind w:left="0"/>
      </w:pPr>
    </w:p>
    <w:p>
      <w:pPr>
        <w:pStyle w:val="Heading2"/>
        <w:numPr>
          <w:ilvl w:val="2"/>
          <w:numId w:val="23"/>
        </w:numPr>
        <w:tabs>
          <w:tab w:pos="2160" w:val="left" w:leader="none"/>
        </w:tabs>
        <w:spacing w:line="240" w:lineRule="auto" w:before="0" w:after="0"/>
        <w:ind w:left="2160" w:right="0" w:hanging="720"/>
        <w:jc w:val="both"/>
      </w:pPr>
      <w:r>
        <w:rPr/>
        <w:t>Inadequate</w:t>
      </w:r>
      <w:r>
        <w:rPr>
          <w:spacing w:val="-3"/>
        </w:rPr>
        <w:t> </w:t>
      </w:r>
      <w:r>
        <w:rPr>
          <w:spacing w:val="-2"/>
        </w:rPr>
        <w:t>Manpower</w:t>
      </w:r>
    </w:p>
    <w:p>
      <w:pPr>
        <w:pStyle w:val="BodyText"/>
        <w:spacing w:line="360" w:lineRule="auto" w:before="107"/>
        <w:ind w:right="1257" w:firstLine="720"/>
        <w:jc w:val="both"/>
      </w:pPr>
      <w:r>
        <w:rPr/>
        <w:t>The present manpower holding of the JTF is grossly inadequate to address the security threat in the Niger Delta.</w:t>
      </w:r>
      <w:r>
        <w:rPr>
          <w:spacing w:val="40"/>
        </w:rPr>
        <w:t> </w:t>
      </w:r>
      <w:r>
        <w:rPr/>
        <w:t>For instance, the mandate establishing the JTF initially recommended the troop strength of a brigade plus for, the Army Task Group (ATGP).</w:t>
      </w:r>
      <w:r>
        <w:rPr>
          <w:spacing w:val="36"/>
        </w:rPr>
        <w:t>  </w:t>
      </w:r>
      <w:r>
        <w:rPr/>
        <w:t>However</w:t>
      </w:r>
      <w:r>
        <w:rPr>
          <w:spacing w:val="38"/>
        </w:rPr>
        <w:t> </w:t>
      </w:r>
      <w:r>
        <w:rPr/>
        <w:t>the</w:t>
      </w:r>
      <w:r>
        <w:rPr>
          <w:spacing w:val="38"/>
        </w:rPr>
        <w:t> </w:t>
      </w:r>
      <w:r>
        <w:rPr/>
        <w:t>current</w:t>
      </w:r>
      <w:r>
        <w:rPr>
          <w:spacing w:val="38"/>
        </w:rPr>
        <w:t> </w:t>
      </w:r>
      <w:r>
        <w:rPr/>
        <w:t>militancy</w:t>
      </w:r>
      <w:r>
        <w:rPr>
          <w:spacing w:val="32"/>
        </w:rPr>
        <w:t> </w:t>
      </w:r>
      <w:r>
        <w:rPr/>
        <w:t>in</w:t>
      </w:r>
      <w:r>
        <w:rPr>
          <w:spacing w:val="38"/>
        </w:rPr>
        <w:t> </w:t>
      </w:r>
      <w:r>
        <w:rPr/>
        <w:t>the</w:t>
      </w:r>
      <w:r>
        <w:rPr>
          <w:spacing w:val="36"/>
        </w:rPr>
        <w:t> </w:t>
      </w:r>
      <w:r>
        <w:rPr/>
        <w:t>Niger</w:t>
      </w:r>
      <w:r>
        <w:rPr>
          <w:spacing w:val="36"/>
        </w:rPr>
        <w:t> </w:t>
      </w:r>
      <w:r>
        <w:rPr/>
        <w:t>Delta</w:t>
      </w:r>
      <w:r>
        <w:rPr>
          <w:spacing w:val="37"/>
        </w:rPr>
        <w:t> </w:t>
      </w:r>
      <w:r>
        <w:rPr/>
        <w:t>calls</w:t>
      </w:r>
      <w:r>
        <w:rPr>
          <w:spacing w:val="37"/>
        </w:rPr>
        <w:t> </w:t>
      </w:r>
      <w:r>
        <w:rPr/>
        <w:t>for</w:t>
      </w:r>
      <w:r>
        <w:rPr>
          <w:spacing w:val="36"/>
        </w:rPr>
        <w:t> </w:t>
      </w:r>
      <w:r>
        <w:rPr/>
        <w:t>a</w:t>
      </w:r>
      <w:r>
        <w:rPr>
          <w:spacing w:val="38"/>
        </w:rPr>
        <w:t> </w:t>
      </w:r>
      <w:r>
        <w:rPr/>
        <w:t>synergy</w:t>
      </w:r>
      <w:r>
        <w:rPr>
          <w:spacing w:val="33"/>
        </w:rPr>
        <w:t> </w:t>
      </w:r>
      <w:r>
        <w:rPr>
          <w:spacing w:val="-5"/>
        </w:rPr>
        <w:t>of</w:t>
      </w:r>
    </w:p>
    <w:p>
      <w:pPr>
        <w:spacing w:after="0" w:line="360" w:lineRule="auto"/>
        <w:jc w:val="both"/>
        <w:sectPr>
          <w:pgSz w:w="11910" w:h="16840"/>
          <w:pgMar w:header="0" w:footer="1561" w:top="1360" w:bottom="1760" w:left="720" w:right="180"/>
        </w:sectPr>
      </w:pPr>
    </w:p>
    <w:p>
      <w:pPr>
        <w:pStyle w:val="BodyText"/>
        <w:spacing w:line="360" w:lineRule="auto" w:before="60"/>
        <w:ind w:right="1254"/>
        <w:jc w:val="both"/>
      </w:pPr>
      <w:r>
        <w:rPr/>
        <mc:AlternateContent>
          <mc:Choice Requires="wps">
            <w:drawing>
              <wp:anchor distT="0" distB="0" distL="0" distR="0" allowOverlap="1" layoutInCell="1" locked="0" behindDoc="1" simplePos="0" relativeHeight="480659968">
                <wp:simplePos x="0" y="0"/>
                <wp:positionH relativeFrom="page">
                  <wp:posOffset>-1537026</wp:posOffset>
                </wp:positionH>
                <wp:positionV relativeFrom="page">
                  <wp:posOffset>4900424</wp:posOffset>
                </wp:positionV>
                <wp:extent cx="10669905" cy="914400"/>
                <wp:effectExtent l="0" t="0" r="0" b="0"/>
                <wp:wrapNone/>
                <wp:docPr id="276" name="Textbox 276"/>
                <wp:cNvGraphicFramePr>
                  <a:graphicFrameLocks/>
                </wp:cNvGraphicFramePr>
                <a:graphic>
                  <a:graphicData uri="http://schemas.microsoft.com/office/word/2010/wordprocessingShape">
                    <wps:wsp>
                      <wps:cNvPr id="276" name="Textbox 276"/>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56512;rotation:306" type="#_x0000_t136" fillcolor="#ff5400" stroked="f">
                <o:extrusion v:ext="view" autorotationcenter="t"/>
                <v:textpath style="font-family:&quot;Arial MT&quot;;font-size:72pt;v-text-kern:t;mso-text-shadow:auto" string="UNIVERSITY OF IBADAN"/>
                <w10:wrap type="none"/>
              </v:shape>
            </w:pict>
          </mc:Fallback>
        </mc:AlternateContent>
      </w:r>
      <w:r>
        <w:rPr/>
        <w:t>effort for effective operation.</w:t>
      </w:r>
      <w:r>
        <w:rPr>
          <w:spacing w:val="40"/>
        </w:rPr>
        <w:t> </w:t>
      </w:r>
      <w:r>
        <w:rPr/>
        <w:t>Due to the wide AOR in relation to troop‟s availability and the numerous but compelling tasks of the Task Force, the JTF hardly has enough manpower for its operation. This inadequate manpower has resulted in the skeletal deployment of troops and the inability of the JTF to dominate its AOR.</w:t>
      </w:r>
    </w:p>
    <w:p>
      <w:pPr>
        <w:pStyle w:val="BodyText"/>
        <w:spacing w:before="142"/>
        <w:ind w:left="0"/>
      </w:pPr>
    </w:p>
    <w:p>
      <w:pPr>
        <w:pStyle w:val="Heading2"/>
        <w:numPr>
          <w:ilvl w:val="2"/>
          <w:numId w:val="24"/>
        </w:numPr>
        <w:tabs>
          <w:tab w:pos="2100" w:val="left" w:leader="none"/>
        </w:tabs>
        <w:spacing w:line="240" w:lineRule="auto" w:before="1" w:after="0"/>
        <w:ind w:left="2100" w:right="0" w:hanging="660"/>
        <w:jc w:val="both"/>
      </w:pPr>
      <w:r>
        <w:rPr/>
        <w:t>Proliferation</w:t>
      </w:r>
      <w:r>
        <w:rPr>
          <w:spacing w:val="-1"/>
        </w:rPr>
        <w:t> </w:t>
      </w:r>
      <w:r>
        <w:rPr/>
        <w:t>of</w:t>
      </w:r>
      <w:r>
        <w:rPr>
          <w:spacing w:val="-3"/>
        </w:rPr>
        <w:t> </w:t>
      </w:r>
      <w:r>
        <w:rPr/>
        <w:t>Militant</w:t>
      </w:r>
      <w:r>
        <w:rPr>
          <w:spacing w:val="-1"/>
        </w:rPr>
        <w:t> </w:t>
      </w:r>
      <w:r>
        <w:rPr>
          <w:spacing w:val="-4"/>
        </w:rPr>
        <w:t>Camps</w:t>
      </w:r>
    </w:p>
    <w:p>
      <w:pPr>
        <w:pStyle w:val="BodyText"/>
        <w:spacing w:line="360" w:lineRule="auto" w:before="134"/>
        <w:ind w:right="1258" w:firstLine="720"/>
        <w:jc w:val="both"/>
      </w:pPr>
      <w:r>
        <w:rPr/>
        <w:t>There are several militants‟ organizations in the Niger Delta region.</w:t>
      </w:r>
      <w:r>
        <w:rPr>
          <w:spacing w:val="40"/>
        </w:rPr>
        <w:t> </w:t>
      </w:r>
      <w:r>
        <w:rPr/>
        <w:t>These various militant groups have equally established numerous camps in the creeks and swamps of</w:t>
      </w:r>
      <w:r>
        <w:rPr>
          <w:spacing w:val="-1"/>
        </w:rPr>
        <w:t> </w:t>
      </w:r>
      <w:r>
        <w:rPr/>
        <w:t>the region.</w:t>
      </w:r>
      <w:r>
        <w:rPr>
          <w:spacing w:val="80"/>
        </w:rPr>
        <w:t> </w:t>
      </w:r>
      <w:r>
        <w:rPr/>
        <w:t>Major</w:t>
      </w:r>
      <w:r>
        <w:rPr>
          <w:spacing w:val="-1"/>
        </w:rPr>
        <w:t> </w:t>
      </w:r>
      <w:r>
        <w:rPr/>
        <w:t>General Lawrence Ngubane, a</w:t>
      </w:r>
      <w:r>
        <w:rPr>
          <w:spacing w:val="-1"/>
        </w:rPr>
        <w:t> </w:t>
      </w:r>
      <w:r>
        <w:rPr/>
        <w:t>former</w:t>
      </w:r>
      <w:r>
        <w:rPr>
          <w:spacing w:val="-1"/>
        </w:rPr>
        <w:t> </w:t>
      </w:r>
      <w:r>
        <w:rPr/>
        <w:t>JTF Commander posits that:</w:t>
      </w:r>
    </w:p>
    <w:p>
      <w:pPr>
        <w:pStyle w:val="BodyText"/>
        <w:spacing w:line="276" w:lineRule="auto" w:before="1"/>
        <w:ind w:left="2940" w:right="3197"/>
      </w:pPr>
      <w:r>
        <w:rPr/>
        <w:t>there are more than 150 militant camps in the Niger</w:t>
      </w:r>
      <w:r>
        <w:rPr>
          <w:spacing w:val="-5"/>
        </w:rPr>
        <w:t> </w:t>
      </w:r>
      <w:r>
        <w:rPr/>
        <w:t>Delta.</w:t>
      </w:r>
      <w:r>
        <w:rPr>
          <w:spacing w:val="40"/>
        </w:rPr>
        <w:t> </w:t>
      </w:r>
      <w:r>
        <w:rPr/>
        <w:t>The</w:t>
      </w:r>
      <w:r>
        <w:rPr>
          <w:spacing w:val="-6"/>
        </w:rPr>
        <w:t> </w:t>
      </w:r>
      <w:r>
        <w:rPr/>
        <w:t>camps</w:t>
      </w:r>
      <w:r>
        <w:rPr>
          <w:spacing w:val="-5"/>
        </w:rPr>
        <w:t> </w:t>
      </w:r>
      <w:r>
        <w:rPr/>
        <w:t>were</w:t>
      </w:r>
      <w:r>
        <w:rPr>
          <w:spacing w:val="-7"/>
        </w:rPr>
        <w:t> </w:t>
      </w:r>
      <w:r>
        <w:rPr/>
        <w:t>used</w:t>
      </w:r>
      <w:r>
        <w:rPr>
          <w:spacing w:val="-5"/>
        </w:rPr>
        <w:t> </w:t>
      </w:r>
      <w:r>
        <w:rPr/>
        <w:t>as</w:t>
      </w:r>
      <w:r>
        <w:rPr>
          <w:spacing w:val="-5"/>
        </w:rPr>
        <w:t> </w:t>
      </w:r>
      <w:r>
        <w:rPr/>
        <w:t>operational bases for the diverse militants‟ activities.</w:t>
      </w:r>
      <w:r>
        <w:rPr>
          <w:spacing w:val="40"/>
        </w:rPr>
        <w:t> </w:t>
      </w:r>
      <w:r>
        <w:rPr/>
        <w:t>These camps formed alliances in cooperation with one another whenever attacked.</w:t>
      </w:r>
      <w:r>
        <w:rPr>
          <w:vertAlign w:val="superscript"/>
        </w:rPr>
        <w:t>13</w:t>
      </w:r>
    </w:p>
    <w:p>
      <w:pPr>
        <w:pStyle w:val="BodyText"/>
        <w:spacing w:before="138"/>
        <w:ind w:left="0"/>
      </w:pPr>
    </w:p>
    <w:p>
      <w:pPr>
        <w:pStyle w:val="BodyText"/>
        <w:spacing w:line="360" w:lineRule="auto" w:before="1"/>
        <w:ind w:right="1253" w:firstLine="720"/>
        <w:jc w:val="both"/>
      </w:pPr>
      <w:r>
        <w:rPr/>
        <w:t>Most of these militant camps are relatively big in size, fairly organized and equipped with assorted weapons and ammunitions.</w:t>
      </w:r>
      <w:r>
        <w:rPr>
          <w:spacing w:val="40"/>
        </w:rPr>
        <w:t> </w:t>
      </w:r>
      <w:r>
        <w:rPr/>
        <w:t>(Time, May</w:t>
      </w:r>
      <w:r>
        <w:rPr>
          <w:spacing w:val="-3"/>
        </w:rPr>
        <w:t> </w:t>
      </w:r>
      <w:r>
        <w:rPr/>
        <w:t>22, 2006).</w:t>
      </w:r>
      <w:r>
        <w:rPr>
          <w:spacing w:val="40"/>
        </w:rPr>
        <w:t> </w:t>
      </w:r>
      <w:r>
        <w:rPr/>
        <w:t>The other smaller militant camps aspire to become big through illegal exploits.</w:t>
      </w:r>
      <w:r>
        <w:rPr>
          <w:spacing w:val="40"/>
        </w:rPr>
        <w:t> </w:t>
      </w:r>
      <w:r>
        <w:rPr/>
        <w:t>These minor militant camps are usually splinter groups from major camps and are encouraged to greater acts of criminality by perceived successes of the larger camps (</w:t>
      </w:r>
      <w:r>
        <w:rPr>
          <w:i/>
        </w:rPr>
        <w:t>Sunday Sun</w:t>
      </w:r>
      <w:r>
        <w:rPr/>
        <w:t>, May 24, 2009).</w:t>
      </w:r>
      <w:r>
        <w:rPr>
          <w:spacing w:val="40"/>
        </w:rPr>
        <w:t>  </w:t>
      </w:r>
      <w:r>
        <w:rPr/>
        <w:t>The list of some identified militant camps is at Appendix 4.</w:t>
      </w:r>
    </w:p>
    <w:p>
      <w:pPr>
        <w:pStyle w:val="BodyText"/>
        <w:spacing w:line="360" w:lineRule="auto"/>
        <w:ind w:right="1251" w:firstLine="780"/>
        <w:jc w:val="both"/>
      </w:pPr>
      <w:r>
        <w:rPr/>
        <w:t>Major General Nandap Wuyep Rimtip, former Commander JTF, equally observed that, a greater number of these camps have been destroyed by the JTF. However, once a camp is destroyed, several others mutates within a few days.</w:t>
      </w:r>
      <w:r>
        <w:rPr>
          <w:spacing w:val="40"/>
        </w:rPr>
        <w:t> </w:t>
      </w:r>
      <w:r>
        <w:rPr/>
        <w:t>The problem of identifying and neutralizing these camps has also been a major challenge for the JTF.</w:t>
      </w:r>
    </w:p>
    <w:p>
      <w:pPr>
        <w:pStyle w:val="BodyText"/>
        <w:spacing w:line="360" w:lineRule="auto"/>
        <w:ind w:right="1258" w:firstLine="720"/>
        <w:jc w:val="both"/>
      </w:pPr>
      <w:r>
        <w:rPr/>
        <w:t>As part of its post amnesty mandate, the JTF Operation RESTORE HOPE attacked and destroyed dozens of militants camps in the creeks of the Niger Delta. These</w:t>
      </w:r>
      <w:r>
        <w:rPr>
          <w:spacing w:val="-2"/>
        </w:rPr>
        <w:t> </w:t>
      </w:r>
      <w:r>
        <w:rPr/>
        <w:t>included</w:t>
      </w:r>
      <w:r>
        <w:rPr>
          <w:spacing w:val="-1"/>
        </w:rPr>
        <w:t> </w:t>
      </w:r>
      <w:r>
        <w:rPr/>
        <w:t>the four militant</w:t>
      </w:r>
      <w:r>
        <w:rPr>
          <w:spacing w:val="-1"/>
        </w:rPr>
        <w:t> </w:t>
      </w:r>
      <w:r>
        <w:rPr/>
        <w:t>camps</w:t>
      </w:r>
      <w:r>
        <w:rPr>
          <w:spacing w:val="-1"/>
        </w:rPr>
        <w:t> </w:t>
      </w:r>
      <w:r>
        <w:rPr/>
        <w:t>at</w:t>
      </w:r>
      <w:r>
        <w:rPr>
          <w:spacing w:val="-1"/>
        </w:rPr>
        <w:t> </w:t>
      </w:r>
      <w:r>
        <w:rPr/>
        <w:t>Foropa area</w:t>
      </w:r>
      <w:r>
        <w:rPr>
          <w:spacing w:val="-2"/>
        </w:rPr>
        <w:t> </w:t>
      </w:r>
      <w:r>
        <w:rPr/>
        <w:t>of</w:t>
      </w:r>
      <w:r>
        <w:rPr>
          <w:spacing w:val="-2"/>
        </w:rPr>
        <w:t> </w:t>
      </w:r>
      <w:r>
        <w:rPr/>
        <w:t>Southern Ijaw,</w:t>
      </w:r>
      <w:r>
        <w:rPr>
          <w:spacing w:val="-2"/>
        </w:rPr>
        <w:t> </w:t>
      </w:r>
      <w:r>
        <w:rPr/>
        <w:t>Bayelsa</w:t>
      </w:r>
      <w:r>
        <w:rPr>
          <w:spacing w:val="-2"/>
        </w:rPr>
        <w:t> </w:t>
      </w:r>
      <w:r>
        <w:rPr/>
        <w:t>State commanded by Keiti Sese (alias Commander Nomukeme), Igbikiri camp in Nember, John</w:t>
      </w:r>
      <w:r>
        <w:rPr>
          <w:spacing w:val="-3"/>
        </w:rPr>
        <w:t> </w:t>
      </w:r>
      <w:r>
        <w:rPr/>
        <w:t>Togo‟s</w:t>
      </w:r>
      <w:r>
        <w:rPr>
          <w:spacing w:val="-3"/>
        </w:rPr>
        <w:t> </w:t>
      </w:r>
      <w:r>
        <w:rPr/>
        <w:t>camp</w:t>
      </w:r>
      <w:r>
        <w:rPr>
          <w:spacing w:val="-3"/>
        </w:rPr>
        <w:t> </w:t>
      </w:r>
      <w:r>
        <w:rPr/>
        <w:t>in Bayelsa</w:t>
      </w:r>
      <w:r>
        <w:rPr>
          <w:spacing w:val="-1"/>
        </w:rPr>
        <w:t> </w:t>
      </w:r>
      <w:r>
        <w:rPr/>
        <w:t>and</w:t>
      </w:r>
      <w:r>
        <w:rPr>
          <w:spacing w:val="-3"/>
        </w:rPr>
        <w:t> </w:t>
      </w:r>
      <w:r>
        <w:rPr/>
        <w:t>Commander</w:t>
      </w:r>
      <w:r>
        <w:rPr>
          <w:spacing w:val="-4"/>
        </w:rPr>
        <w:t> </w:t>
      </w:r>
      <w:r>
        <w:rPr/>
        <w:t>Obez</w:t>
      </w:r>
      <w:r>
        <w:rPr>
          <w:spacing w:val="-2"/>
        </w:rPr>
        <w:t> </w:t>
      </w:r>
      <w:r>
        <w:rPr/>
        <w:t>camp</w:t>
      </w:r>
      <w:r>
        <w:rPr>
          <w:spacing w:val="-3"/>
        </w:rPr>
        <w:t> </w:t>
      </w:r>
      <w:r>
        <w:rPr/>
        <w:t>in</w:t>
      </w:r>
      <w:r>
        <w:rPr>
          <w:spacing w:val="-3"/>
        </w:rPr>
        <w:t> </w:t>
      </w:r>
      <w:r>
        <w:rPr/>
        <w:t>Rivers</w:t>
      </w:r>
      <w:r>
        <w:rPr>
          <w:spacing w:val="-3"/>
        </w:rPr>
        <w:t> </w:t>
      </w:r>
      <w:r>
        <w:rPr/>
        <w:t>State</w:t>
      </w:r>
      <w:r>
        <w:rPr>
          <w:spacing w:val="-2"/>
        </w:rPr>
        <w:t> </w:t>
      </w:r>
      <w:r>
        <w:rPr/>
        <w:t>(</w:t>
      </w:r>
      <w:r>
        <w:rPr>
          <w:i/>
        </w:rPr>
        <w:t>Vanguard</w:t>
      </w:r>
      <w:r>
        <w:rPr/>
        <w:t>, November 19, 2010).</w:t>
      </w:r>
    </w:p>
    <w:p>
      <w:pPr>
        <w:pStyle w:val="BodyText"/>
        <w:ind w:left="2160"/>
        <w:jc w:val="both"/>
      </w:pPr>
      <w:r>
        <w:rPr/>
        <w:t>A</w:t>
      </w:r>
      <w:r>
        <w:rPr>
          <w:spacing w:val="12"/>
        </w:rPr>
        <w:t> </w:t>
      </w:r>
      <w:r>
        <w:rPr/>
        <w:t>onetime</w:t>
      </w:r>
      <w:r>
        <w:rPr>
          <w:spacing w:val="12"/>
        </w:rPr>
        <w:t> </w:t>
      </w:r>
      <w:r>
        <w:rPr/>
        <w:t>JTF</w:t>
      </w:r>
      <w:r>
        <w:rPr>
          <w:spacing w:val="13"/>
        </w:rPr>
        <w:t> </w:t>
      </w:r>
      <w:r>
        <w:rPr/>
        <w:t>Commander,</w:t>
      </w:r>
      <w:r>
        <w:rPr>
          <w:spacing w:val="60"/>
          <w:w w:val="150"/>
        </w:rPr>
        <w:t> </w:t>
      </w:r>
      <w:r>
        <w:rPr/>
        <w:t>Major</w:t>
      </w:r>
      <w:r>
        <w:rPr>
          <w:spacing w:val="13"/>
        </w:rPr>
        <w:t> </w:t>
      </w:r>
      <w:r>
        <w:rPr/>
        <w:t>General</w:t>
      </w:r>
      <w:r>
        <w:rPr>
          <w:spacing w:val="17"/>
        </w:rPr>
        <w:t> </w:t>
      </w:r>
      <w:r>
        <w:rPr/>
        <w:t>Lawrence</w:t>
      </w:r>
      <w:r>
        <w:rPr>
          <w:spacing w:val="16"/>
        </w:rPr>
        <w:t> </w:t>
      </w:r>
      <w:r>
        <w:rPr/>
        <w:t>Ngubane</w:t>
      </w:r>
      <w:r>
        <w:rPr>
          <w:spacing w:val="14"/>
        </w:rPr>
        <w:t> </w:t>
      </w:r>
      <w:r>
        <w:rPr/>
        <w:t>also</w:t>
      </w:r>
      <w:r>
        <w:rPr>
          <w:spacing w:val="16"/>
        </w:rPr>
        <w:t> </w:t>
      </w:r>
      <w:r>
        <w:rPr>
          <w:spacing w:val="-2"/>
        </w:rPr>
        <w:t>averred</w:t>
      </w:r>
    </w:p>
    <w:p>
      <w:pPr>
        <w:spacing w:after="0"/>
        <w:jc w:val="both"/>
        <w:sectPr>
          <w:pgSz w:w="11910" w:h="16840"/>
          <w:pgMar w:header="0" w:footer="1561" w:top="1360" w:bottom="1760" w:left="720" w:right="180"/>
        </w:sectPr>
      </w:pPr>
    </w:p>
    <w:p>
      <w:pPr>
        <w:pStyle w:val="BodyText"/>
        <w:spacing w:line="360" w:lineRule="auto" w:before="60"/>
        <w:ind w:right="1255"/>
        <w:jc w:val="both"/>
      </w:pPr>
      <w:r>
        <w:rPr/>
        <mc:AlternateContent>
          <mc:Choice Requires="wps">
            <w:drawing>
              <wp:anchor distT="0" distB="0" distL="0" distR="0" allowOverlap="1" layoutInCell="1" locked="0" behindDoc="1" simplePos="0" relativeHeight="480660480">
                <wp:simplePos x="0" y="0"/>
                <wp:positionH relativeFrom="page">
                  <wp:posOffset>-1537026</wp:posOffset>
                </wp:positionH>
                <wp:positionV relativeFrom="page">
                  <wp:posOffset>4900424</wp:posOffset>
                </wp:positionV>
                <wp:extent cx="10669905" cy="914400"/>
                <wp:effectExtent l="0" t="0" r="0" b="0"/>
                <wp:wrapNone/>
                <wp:docPr id="277" name="Textbox 277"/>
                <wp:cNvGraphicFramePr>
                  <a:graphicFrameLocks/>
                </wp:cNvGraphicFramePr>
                <a:graphic>
                  <a:graphicData uri="http://schemas.microsoft.com/office/word/2010/wordprocessingShape">
                    <wps:wsp>
                      <wps:cNvPr id="277" name="Textbox 277"/>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56000;rotation:306" type="#_x0000_t136" fillcolor="#ff5400" stroked="f">
                <o:extrusion v:ext="view" autorotationcenter="t"/>
                <v:textpath style="font-family:&quot;Arial MT&quot;;font-size:72pt;v-text-kern:t;mso-text-shadow:auto" string="UNIVERSITY OF IBADAN"/>
                <w10:wrap type="none"/>
              </v:shape>
            </w:pict>
          </mc:Fallback>
        </mc:AlternateContent>
      </w:r>
      <w:r>
        <w:rPr/>
        <w:t>that, oil companies award security related contracts to known militant leaders, while state governments, wealthy individuals and oil companies are equally quick to pay ransoms demanded by hostage takers.</w:t>
      </w:r>
      <w:r>
        <w:rPr>
          <w:spacing w:val="40"/>
        </w:rPr>
        <w:t> </w:t>
      </w:r>
      <w:r>
        <w:rPr/>
        <w:t>This is additional to some of the protection money paid by some oil companies to forestall the vandalism of their facilities or installations (</w:t>
      </w:r>
      <w:r>
        <w:rPr>
          <w:i/>
        </w:rPr>
        <w:t>The Guardian</w:t>
      </w:r>
      <w:r>
        <w:rPr/>
        <w:t>, July 27, 2008).</w:t>
      </w:r>
      <w:r>
        <w:rPr>
          <w:spacing w:val="40"/>
        </w:rPr>
        <w:t> </w:t>
      </w:r>
      <w:r>
        <w:rPr/>
        <w:t>The militants use proceeds from these contracts and ransoms to equip and sustain their nefarious activities.</w:t>
      </w:r>
    </w:p>
    <w:p>
      <w:pPr>
        <w:pStyle w:val="BodyText"/>
        <w:spacing w:line="360" w:lineRule="auto" w:before="1"/>
        <w:ind w:right="1257" w:firstLine="720"/>
        <w:jc w:val="both"/>
      </w:pPr>
      <w:r>
        <w:rPr/>
        <w:t>The study also noted the proliferation of militant organizations in the Niger Delta.</w:t>
      </w:r>
      <w:r>
        <w:rPr>
          <w:spacing w:val="40"/>
        </w:rPr>
        <w:t> </w:t>
      </w:r>
      <w:r>
        <w:rPr/>
        <w:t>These militants‟ organizations in the various states of the Niger Delta include, the Ijaw Youth Congress (IYC), the Niger Delta Peoples</w:t>
      </w:r>
      <w:r>
        <w:rPr>
          <w:spacing w:val="40"/>
        </w:rPr>
        <w:t> </w:t>
      </w:r>
      <w:r>
        <w:rPr/>
        <w:t>Volunteer Force (NDPVF), Movement for the Emancipation of Niger Delta (MEND) and the Niger Delta</w:t>
      </w:r>
      <w:r>
        <w:rPr>
          <w:spacing w:val="40"/>
        </w:rPr>
        <w:t> </w:t>
      </w:r>
      <w:r>
        <w:rPr/>
        <w:t>Vililante (NDV).</w:t>
      </w:r>
      <w:r>
        <w:rPr>
          <w:spacing w:val="40"/>
        </w:rPr>
        <w:t> </w:t>
      </w:r>
      <w:r>
        <w:rPr/>
        <w:t>Others included the Martyr Brigade (MB), Ogoni Youth Council, Klansmen, Greenlanders, Black Axe and Outlaws.</w:t>
      </w:r>
    </w:p>
    <w:p>
      <w:pPr>
        <w:pStyle w:val="BodyText"/>
        <w:spacing w:line="360" w:lineRule="auto" w:before="1"/>
        <w:ind w:right="1254" w:firstLine="720"/>
        <w:jc w:val="both"/>
      </w:pPr>
      <w:r>
        <w:rPr/>
        <w:t>The JTF need to sustain current efforts at identifying and neutralising militant camps in the Niger Delta.</w:t>
      </w:r>
      <w:r>
        <w:rPr>
          <w:spacing w:val="40"/>
        </w:rPr>
        <w:t> </w:t>
      </w:r>
      <w:r>
        <w:rPr/>
        <w:t>This</w:t>
      </w:r>
      <w:r>
        <w:rPr>
          <w:spacing w:val="-1"/>
        </w:rPr>
        <w:t> </w:t>
      </w:r>
      <w:r>
        <w:rPr/>
        <w:t>requires that relevant information on location and size of militants‟ camp be available to the JTF operations.</w:t>
      </w:r>
      <w:r>
        <w:rPr>
          <w:spacing w:val="40"/>
        </w:rPr>
        <w:t> </w:t>
      </w:r>
      <w:r>
        <w:rPr/>
        <w:t>Likewise, adequate knowledge of</w:t>
      </w:r>
      <w:r>
        <w:rPr>
          <w:spacing w:val="-4"/>
        </w:rPr>
        <w:t> </w:t>
      </w:r>
      <w:r>
        <w:rPr/>
        <w:t>creeks</w:t>
      </w:r>
      <w:r>
        <w:rPr>
          <w:spacing w:val="-3"/>
        </w:rPr>
        <w:t> </w:t>
      </w:r>
      <w:r>
        <w:rPr/>
        <w:t>(terrain)</w:t>
      </w:r>
      <w:r>
        <w:rPr>
          <w:spacing w:val="-3"/>
        </w:rPr>
        <w:t> </w:t>
      </w:r>
      <w:r>
        <w:rPr/>
        <w:t>and</w:t>
      </w:r>
      <w:r>
        <w:rPr>
          <w:spacing w:val="-3"/>
        </w:rPr>
        <w:t> </w:t>
      </w:r>
      <w:r>
        <w:rPr/>
        <w:t>provision</w:t>
      </w:r>
      <w:r>
        <w:rPr>
          <w:spacing w:val="-3"/>
        </w:rPr>
        <w:t> </w:t>
      </w:r>
      <w:r>
        <w:rPr/>
        <w:t>of</w:t>
      </w:r>
      <w:r>
        <w:rPr>
          <w:spacing w:val="-4"/>
        </w:rPr>
        <w:t> </w:t>
      </w:r>
      <w:r>
        <w:rPr/>
        <w:t>adequate</w:t>
      </w:r>
      <w:r>
        <w:rPr>
          <w:spacing w:val="-2"/>
        </w:rPr>
        <w:t> </w:t>
      </w:r>
      <w:r>
        <w:rPr/>
        <w:t>FACs</w:t>
      </w:r>
      <w:r>
        <w:rPr>
          <w:spacing w:val="-3"/>
        </w:rPr>
        <w:t> </w:t>
      </w:r>
      <w:r>
        <w:rPr/>
        <w:t>as</w:t>
      </w:r>
      <w:r>
        <w:rPr>
          <w:spacing w:val="-3"/>
        </w:rPr>
        <w:t> </w:t>
      </w:r>
      <w:r>
        <w:rPr/>
        <w:t>well</w:t>
      </w:r>
      <w:r>
        <w:rPr>
          <w:spacing w:val="-3"/>
        </w:rPr>
        <w:t> </w:t>
      </w:r>
      <w:r>
        <w:rPr/>
        <w:t>as</w:t>
      </w:r>
      <w:r>
        <w:rPr>
          <w:spacing w:val="-1"/>
        </w:rPr>
        <w:t> </w:t>
      </w:r>
      <w:r>
        <w:rPr/>
        <w:t>air</w:t>
      </w:r>
      <w:r>
        <w:rPr>
          <w:spacing w:val="-3"/>
        </w:rPr>
        <w:t> </w:t>
      </w:r>
      <w:r>
        <w:rPr/>
        <w:t>support</w:t>
      </w:r>
      <w:r>
        <w:rPr>
          <w:spacing w:val="-3"/>
        </w:rPr>
        <w:t> </w:t>
      </w:r>
      <w:r>
        <w:rPr/>
        <w:t>will</w:t>
      </w:r>
      <w:r>
        <w:rPr>
          <w:spacing w:val="-3"/>
        </w:rPr>
        <w:t> </w:t>
      </w:r>
      <w:r>
        <w:rPr/>
        <w:t>facilitate the neutralization of militant camps.</w:t>
      </w:r>
    </w:p>
    <w:p>
      <w:pPr>
        <w:pStyle w:val="BodyText"/>
        <w:spacing w:line="360" w:lineRule="auto"/>
        <w:ind w:right="1258" w:firstLine="720"/>
        <w:jc w:val="both"/>
      </w:pPr>
      <w:r>
        <w:rPr/>
        <w:t>The JTF troops notes that most identified militant camps were inundated with arms and corresponding ammunition.</w:t>
      </w:r>
      <w:r>
        <w:rPr>
          <w:spacing w:val="40"/>
        </w:rPr>
        <w:t> </w:t>
      </w:r>
      <w:r>
        <w:rPr/>
        <w:t>These arms include the AK 47 rifles, General Purpose Machine Gun (GPMG), Browning Machine Gun (BMG) and Rocket Propelled Grenade (RPG 7).</w:t>
      </w:r>
      <w:r>
        <w:rPr>
          <w:spacing w:val="40"/>
        </w:rPr>
        <w:t> </w:t>
      </w:r>
      <w:r>
        <w:rPr/>
        <w:t>Other arms include the Gun boats, locally configured speed boats and Anti Aircraft guns (</w:t>
      </w:r>
      <w:r>
        <w:rPr>
          <w:i/>
        </w:rPr>
        <w:t>Nigerian Tribune</w:t>
      </w:r>
      <w:r>
        <w:rPr/>
        <w:t>, November 19, 2010).</w:t>
      </w:r>
    </w:p>
    <w:p>
      <w:pPr>
        <w:pStyle w:val="BodyText"/>
        <w:spacing w:line="360" w:lineRule="auto"/>
        <w:ind w:right="1256" w:firstLine="720"/>
        <w:jc w:val="both"/>
      </w:pPr>
      <w:r>
        <w:rPr/>
        <w:t>The study revealed the unwholesome patronage of the militants and their camps by very important personalities as well as some ambitious prominent politicians.</w:t>
      </w:r>
      <w:r>
        <w:rPr>
          <w:spacing w:val="40"/>
        </w:rPr>
        <w:t> </w:t>
      </w:r>
      <w:r>
        <w:rPr/>
        <w:t>These</w:t>
      </w:r>
      <w:r>
        <w:rPr>
          <w:spacing w:val="-4"/>
        </w:rPr>
        <w:t> </w:t>
      </w:r>
      <w:r>
        <w:rPr/>
        <w:t>ambitious</w:t>
      </w:r>
      <w:r>
        <w:rPr>
          <w:spacing w:val="-3"/>
        </w:rPr>
        <w:t> </w:t>
      </w:r>
      <w:r>
        <w:rPr/>
        <w:t>politicians</w:t>
      </w:r>
      <w:r>
        <w:rPr>
          <w:spacing w:val="-3"/>
        </w:rPr>
        <w:t> </w:t>
      </w:r>
      <w:r>
        <w:rPr/>
        <w:t>in</w:t>
      </w:r>
      <w:r>
        <w:rPr>
          <w:spacing w:val="-3"/>
        </w:rPr>
        <w:t> </w:t>
      </w:r>
      <w:r>
        <w:rPr/>
        <w:t>the</w:t>
      </w:r>
      <w:r>
        <w:rPr>
          <w:spacing w:val="-3"/>
        </w:rPr>
        <w:t> </w:t>
      </w:r>
      <w:r>
        <w:rPr/>
        <w:t>Niger</w:t>
      </w:r>
      <w:r>
        <w:rPr>
          <w:spacing w:val="-5"/>
        </w:rPr>
        <w:t> </w:t>
      </w:r>
      <w:r>
        <w:rPr/>
        <w:t>Delta</w:t>
      </w:r>
      <w:r>
        <w:rPr>
          <w:spacing w:val="-2"/>
        </w:rPr>
        <w:t> </w:t>
      </w:r>
      <w:r>
        <w:rPr/>
        <w:t>were alleged</w:t>
      </w:r>
      <w:r>
        <w:rPr>
          <w:spacing w:val="-2"/>
        </w:rPr>
        <w:t> </w:t>
      </w:r>
      <w:r>
        <w:rPr/>
        <w:t>to</w:t>
      </w:r>
      <w:r>
        <w:rPr>
          <w:spacing w:val="-1"/>
        </w:rPr>
        <w:t> </w:t>
      </w:r>
      <w:r>
        <w:rPr/>
        <w:t>have</w:t>
      </w:r>
      <w:r>
        <w:rPr>
          <w:spacing w:val="-4"/>
        </w:rPr>
        <w:t> </w:t>
      </w:r>
      <w:r>
        <w:rPr/>
        <w:t>armed and used these militants as things during the 2003 electioneering campaign.</w:t>
      </w:r>
      <w:r>
        <w:rPr>
          <w:spacing w:val="40"/>
        </w:rPr>
        <w:t> </w:t>
      </w:r>
      <w:r>
        <w:rPr/>
        <w:t>Rather than disarming these armed groups after the election, the groups were observed to have been transformed into various armed militant groups.</w:t>
      </w:r>
      <w:r>
        <w:rPr>
          <w:spacing w:val="40"/>
        </w:rPr>
        <w:t> </w:t>
      </w:r>
      <w:r>
        <w:rPr/>
        <w:t>One of the JTF Field Commanders</w:t>
      </w:r>
      <w:r>
        <w:rPr>
          <w:spacing w:val="-4"/>
        </w:rPr>
        <w:t> </w:t>
      </w:r>
      <w:r>
        <w:rPr/>
        <w:t>corroborated</w:t>
      </w:r>
      <w:r>
        <w:rPr>
          <w:spacing w:val="-4"/>
        </w:rPr>
        <w:t> </w:t>
      </w:r>
      <w:r>
        <w:rPr/>
        <w:t>this</w:t>
      </w:r>
      <w:r>
        <w:rPr>
          <w:spacing w:val="-4"/>
        </w:rPr>
        <w:t> </w:t>
      </w:r>
      <w:r>
        <w:rPr/>
        <w:t>assertion</w:t>
      </w:r>
      <w:r>
        <w:rPr>
          <w:spacing w:val="-4"/>
        </w:rPr>
        <w:t> </w:t>
      </w:r>
      <w:r>
        <w:rPr/>
        <w:t>when</w:t>
      </w:r>
      <w:r>
        <w:rPr>
          <w:spacing w:val="-4"/>
        </w:rPr>
        <w:t> </w:t>
      </w:r>
      <w:r>
        <w:rPr/>
        <w:t>he</w:t>
      </w:r>
      <w:r>
        <w:rPr>
          <w:spacing w:val="-2"/>
        </w:rPr>
        <w:t> </w:t>
      </w:r>
      <w:r>
        <w:rPr/>
        <w:t>observed</w:t>
      </w:r>
      <w:r>
        <w:rPr>
          <w:spacing w:val="-4"/>
        </w:rPr>
        <w:t> </w:t>
      </w:r>
      <w:r>
        <w:rPr/>
        <w:t>that</w:t>
      </w:r>
      <w:r>
        <w:rPr>
          <w:spacing w:val="-3"/>
        </w:rPr>
        <w:t> </w:t>
      </w:r>
      <w:r>
        <w:rPr/>
        <w:t>„militant</w:t>
      </w:r>
      <w:r>
        <w:rPr>
          <w:spacing w:val="-4"/>
        </w:rPr>
        <w:t> </w:t>
      </w:r>
      <w:r>
        <w:rPr/>
        <w:t>camps‟</w:t>
      </w:r>
      <w:r>
        <w:rPr>
          <w:spacing w:val="-4"/>
        </w:rPr>
        <w:t> </w:t>
      </w:r>
      <w:r>
        <w:rPr/>
        <w:t>have also become “Pilgrim centre” for politicians such as governors, senators and speakers of some State Houses of Assembly among others.</w:t>
      </w:r>
      <w:r>
        <w:rPr>
          <w:spacing w:val="40"/>
        </w:rPr>
        <w:t> </w:t>
      </w:r>
      <w:r>
        <w:rPr/>
        <w:t>For example, the Governors of Bayelsa, Delta and Rivers State at various times after their inauguration in 2007 visited</w:t>
      </w:r>
      <w:r>
        <w:rPr>
          <w:spacing w:val="26"/>
        </w:rPr>
        <w:t> </w:t>
      </w:r>
      <w:r>
        <w:rPr/>
        <w:t>camp</w:t>
      </w:r>
      <w:r>
        <w:rPr>
          <w:spacing w:val="30"/>
        </w:rPr>
        <w:t> </w:t>
      </w:r>
      <w:r>
        <w:rPr/>
        <w:t>5,</w:t>
      </w:r>
      <w:r>
        <w:rPr>
          <w:spacing w:val="31"/>
        </w:rPr>
        <w:t> </w:t>
      </w:r>
      <w:r>
        <w:rPr/>
        <w:t>Okerenkoko</w:t>
      </w:r>
      <w:r>
        <w:rPr>
          <w:spacing w:val="29"/>
        </w:rPr>
        <w:t> </w:t>
      </w:r>
      <w:r>
        <w:rPr/>
        <w:t>in</w:t>
      </w:r>
      <w:r>
        <w:rPr>
          <w:spacing w:val="30"/>
        </w:rPr>
        <w:t> </w:t>
      </w:r>
      <w:r>
        <w:rPr/>
        <w:t>Delta</w:t>
      </w:r>
      <w:r>
        <w:rPr>
          <w:spacing w:val="28"/>
        </w:rPr>
        <w:t> </w:t>
      </w:r>
      <w:r>
        <w:rPr/>
        <w:t>State.</w:t>
      </w:r>
      <w:r>
        <w:rPr>
          <w:spacing w:val="29"/>
        </w:rPr>
        <w:t>  </w:t>
      </w:r>
      <w:r>
        <w:rPr/>
        <w:t>The</w:t>
      </w:r>
      <w:r>
        <w:rPr>
          <w:spacing w:val="27"/>
        </w:rPr>
        <w:t> </w:t>
      </w:r>
      <w:r>
        <w:rPr/>
        <w:t>patronage</w:t>
      </w:r>
      <w:r>
        <w:rPr>
          <w:spacing w:val="29"/>
        </w:rPr>
        <w:t> </w:t>
      </w:r>
      <w:r>
        <w:rPr/>
        <w:t>and</w:t>
      </w:r>
      <w:r>
        <w:rPr>
          <w:spacing w:val="29"/>
        </w:rPr>
        <w:t> </w:t>
      </w:r>
      <w:r>
        <w:rPr/>
        <w:t>constant</w:t>
      </w:r>
      <w:r>
        <w:rPr>
          <w:spacing w:val="32"/>
        </w:rPr>
        <w:t> </w:t>
      </w:r>
      <w:r>
        <w:rPr>
          <w:spacing w:val="-2"/>
        </w:rPr>
        <w:t>visitations</w:t>
      </w:r>
    </w:p>
    <w:p>
      <w:pPr>
        <w:spacing w:after="0" w:line="360" w:lineRule="auto"/>
        <w:jc w:val="both"/>
        <w:sectPr>
          <w:pgSz w:w="11910" w:h="16840"/>
          <w:pgMar w:header="0" w:footer="1561" w:top="1360" w:bottom="1760" w:left="720" w:right="180"/>
        </w:sectPr>
      </w:pPr>
    </w:p>
    <w:p>
      <w:pPr>
        <w:pStyle w:val="BodyText"/>
        <w:spacing w:line="360" w:lineRule="auto" w:before="60"/>
        <w:ind w:right="1257"/>
        <w:jc w:val="both"/>
      </w:pPr>
      <w:r>
        <w:rPr/>
        <mc:AlternateContent>
          <mc:Choice Requires="wps">
            <w:drawing>
              <wp:anchor distT="0" distB="0" distL="0" distR="0" allowOverlap="1" layoutInCell="1" locked="0" behindDoc="1" simplePos="0" relativeHeight="480660992">
                <wp:simplePos x="0" y="0"/>
                <wp:positionH relativeFrom="page">
                  <wp:posOffset>-1537026</wp:posOffset>
                </wp:positionH>
                <wp:positionV relativeFrom="page">
                  <wp:posOffset>4900424</wp:posOffset>
                </wp:positionV>
                <wp:extent cx="10669905" cy="914400"/>
                <wp:effectExtent l="0" t="0" r="0" b="0"/>
                <wp:wrapNone/>
                <wp:docPr id="278" name="Textbox 278"/>
                <wp:cNvGraphicFramePr>
                  <a:graphicFrameLocks/>
                </wp:cNvGraphicFramePr>
                <a:graphic>
                  <a:graphicData uri="http://schemas.microsoft.com/office/word/2010/wordprocessingShape">
                    <wps:wsp>
                      <wps:cNvPr id="278" name="Textbox 278"/>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55488;rotation:306" type="#_x0000_t136" fillcolor="#ff5400" stroked="f">
                <o:extrusion v:ext="view" autorotationcenter="t"/>
                <v:textpath style="font-family:&quot;Arial MT&quot;;font-size:72pt;v-text-kern:t;mso-text-shadow:auto" string="UNIVERSITY OF IBADAN"/>
                <w10:wrap type="none"/>
              </v:shape>
            </w:pict>
          </mc:Fallback>
        </mc:AlternateContent>
      </w:r>
      <w:r>
        <w:rPr/>
        <w:t>embolden</w:t>
      </w:r>
      <w:r>
        <w:rPr>
          <w:spacing w:val="-3"/>
        </w:rPr>
        <w:t> </w:t>
      </w:r>
      <w:r>
        <w:rPr/>
        <w:t>and</w:t>
      </w:r>
      <w:r>
        <w:rPr>
          <w:spacing w:val="-1"/>
        </w:rPr>
        <w:t> </w:t>
      </w:r>
      <w:r>
        <w:rPr/>
        <w:t>empowered</w:t>
      </w:r>
      <w:r>
        <w:rPr>
          <w:spacing w:val="-3"/>
        </w:rPr>
        <w:t> </w:t>
      </w:r>
      <w:r>
        <w:rPr/>
        <w:t>these</w:t>
      </w:r>
      <w:r>
        <w:rPr>
          <w:spacing w:val="-5"/>
        </w:rPr>
        <w:t> </w:t>
      </w:r>
      <w:r>
        <w:rPr/>
        <w:t>militants</w:t>
      </w:r>
      <w:r>
        <w:rPr>
          <w:spacing w:val="-3"/>
        </w:rPr>
        <w:t> </w:t>
      </w:r>
      <w:r>
        <w:rPr/>
        <w:t>both</w:t>
      </w:r>
      <w:r>
        <w:rPr>
          <w:spacing w:val="-3"/>
        </w:rPr>
        <w:t> </w:t>
      </w:r>
      <w:r>
        <w:rPr/>
        <w:t>financially</w:t>
      </w:r>
      <w:r>
        <w:rPr>
          <w:spacing w:val="-8"/>
        </w:rPr>
        <w:t> </w:t>
      </w:r>
      <w:r>
        <w:rPr/>
        <w:t>and</w:t>
      </w:r>
      <w:r>
        <w:rPr>
          <w:spacing w:val="-1"/>
        </w:rPr>
        <w:t> </w:t>
      </w:r>
      <w:r>
        <w:rPr/>
        <w:t>emotionally</w:t>
      </w:r>
      <w:r>
        <w:rPr>
          <w:spacing w:val="-6"/>
        </w:rPr>
        <w:t> </w:t>
      </w:r>
      <w:r>
        <w:rPr/>
        <w:t>to</w:t>
      </w:r>
      <w:r>
        <w:rPr>
          <w:spacing w:val="-3"/>
        </w:rPr>
        <w:t> </w:t>
      </w:r>
      <w:r>
        <w:rPr/>
        <w:t>continue criminal activities.</w:t>
      </w:r>
      <w:r>
        <w:rPr>
          <w:spacing w:val="40"/>
        </w:rPr>
        <w:t> </w:t>
      </w:r>
      <w:r>
        <w:rPr/>
        <w:t>Likewise, it gives the erroneous impression that the visitors support their course and could demoralize JTF troops in the operation.</w:t>
      </w:r>
    </w:p>
    <w:p>
      <w:pPr>
        <w:pStyle w:val="BodyText"/>
        <w:spacing w:before="144"/>
        <w:ind w:left="0"/>
      </w:pPr>
    </w:p>
    <w:p>
      <w:pPr>
        <w:pStyle w:val="Heading2"/>
        <w:numPr>
          <w:ilvl w:val="2"/>
          <w:numId w:val="24"/>
        </w:numPr>
        <w:tabs>
          <w:tab w:pos="2160" w:val="left" w:leader="none"/>
        </w:tabs>
        <w:spacing w:line="240" w:lineRule="auto" w:before="0" w:after="0"/>
        <w:ind w:left="2160" w:right="0" w:hanging="720"/>
        <w:jc w:val="both"/>
      </w:pPr>
      <w:r>
        <w:rPr/>
        <w:t>Proliferation</w:t>
      </w:r>
      <w:r>
        <w:rPr>
          <w:spacing w:val="-4"/>
        </w:rPr>
        <w:t> </w:t>
      </w:r>
      <w:r>
        <w:rPr/>
        <w:t>of</w:t>
      </w:r>
      <w:r>
        <w:rPr>
          <w:spacing w:val="-1"/>
        </w:rPr>
        <w:t> </w:t>
      </w:r>
      <w:r>
        <w:rPr/>
        <w:t>Small Arms</w:t>
      </w:r>
      <w:r>
        <w:rPr>
          <w:spacing w:val="-2"/>
        </w:rPr>
        <w:t> </w:t>
      </w:r>
      <w:r>
        <w:rPr/>
        <w:t>and</w:t>
      </w:r>
      <w:r>
        <w:rPr>
          <w:spacing w:val="-2"/>
        </w:rPr>
        <w:t> </w:t>
      </w:r>
      <w:r>
        <w:rPr/>
        <w:t>Light</w:t>
      </w:r>
      <w:r>
        <w:rPr>
          <w:spacing w:val="-2"/>
        </w:rPr>
        <w:t> </w:t>
      </w:r>
      <w:r>
        <w:rPr/>
        <w:t>Weapons</w:t>
      </w:r>
      <w:r>
        <w:rPr>
          <w:spacing w:val="2"/>
        </w:rPr>
        <w:t> </w:t>
      </w:r>
      <w:r>
        <w:rPr>
          <w:spacing w:val="-2"/>
        </w:rPr>
        <w:t>(SALW)</w:t>
      </w:r>
    </w:p>
    <w:p>
      <w:pPr>
        <w:pStyle w:val="BodyText"/>
        <w:spacing w:line="360" w:lineRule="auto" w:before="132"/>
        <w:ind w:right="1252" w:firstLine="720"/>
        <w:jc w:val="both"/>
      </w:pPr>
      <w:r>
        <w:rPr/>
        <w:t>The problem of SALW proliferation has assumed an alarming proportion in</w:t>
      </w:r>
      <w:r>
        <w:rPr>
          <w:spacing w:val="40"/>
        </w:rPr>
        <w:t> </w:t>
      </w:r>
      <w:r>
        <w:rPr/>
        <w:t>the Niger Delta.</w:t>
      </w:r>
      <w:r>
        <w:rPr>
          <w:spacing w:val="40"/>
        </w:rPr>
        <w:t> </w:t>
      </w:r>
      <w:r>
        <w:rPr/>
        <w:t>It escalates conflicts, undermines peace efforts, increases criminal activities, and impedes socio-economic development and democracy.</w:t>
      </w:r>
      <w:r>
        <w:rPr>
          <w:spacing w:val="40"/>
        </w:rPr>
        <w:t> </w:t>
      </w:r>
      <w:r>
        <w:rPr/>
        <w:t>This is why most early warning systems around the world now mainstream surplus arms as an important conflict indicator that could be carefully monitored.</w:t>
      </w:r>
      <w:r>
        <w:rPr>
          <w:spacing w:val="80"/>
        </w:rPr>
        <w:t> </w:t>
      </w:r>
      <w:r>
        <w:rPr/>
        <w:t>The problem of</w:t>
      </w:r>
      <w:r>
        <w:rPr>
          <w:spacing w:val="40"/>
        </w:rPr>
        <w:t> </w:t>
      </w:r>
      <w:r>
        <w:rPr/>
        <w:t>SALW has produced both issue and actor proliferation in many parts of Nigeria, in particular the Niger Delta area and is bound to affect future political activities, inter- communal relations, the economy and the general security situation.</w:t>
      </w:r>
      <w:r>
        <w:rPr>
          <w:spacing w:val="40"/>
        </w:rPr>
        <w:t> </w:t>
      </w:r>
      <w:r>
        <w:rPr/>
        <w:t>Other security implications include theft, terrorism, criminality, and increased social disintegration and</w:t>
      </w:r>
      <w:r>
        <w:rPr>
          <w:spacing w:val="-1"/>
        </w:rPr>
        <w:t> </w:t>
      </w:r>
      <w:r>
        <w:rPr/>
        <w:t>dislocation</w:t>
      </w:r>
      <w:r>
        <w:rPr>
          <w:spacing w:val="-1"/>
        </w:rPr>
        <w:t> </w:t>
      </w:r>
      <w:r>
        <w:rPr/>
        <w:t>of</w:t>
      </w:r>
      <w:r>
        <w:rPr>
          <w:spacing w:val="-2"/>
        </w:rPr>
        <w:t> </w:t>
      </w:r>
      <w:r>
        <w:rPr/>
        <w:t>groups and</w:t>
      </w:r>
      <w:r>
        <w:rPr>
          <w:spacing w:val="-1"/>
        </w:rPr>
        <w:t> </w:t>
      </w:r>
      <w:r>
        <w:rPr/>
        <w:t>families,</w:t>
      </w:r>
      <w:r>
        <w:rPr>
          <w:spacing w:val="-1"/>
        </w:rPr>
        <w:t> </w:t>
      </w:r>
      <w:r>
        <w:rPr/>
        <w:t>and</w:t>
      </w:r>
      <w:r>
        <w:rPr>
          <w:spacing w:val="-1"/>
        </w:rPr>
        <w:t> </w:t>
      </w:r>
      <w:r>
        <w:rPr/>
        <w:t>general</w:t>
      </w:r>
      <w:r>
        <w:rPr>
          <w:spacing w:val="-1"/>
        </w:rPr>
        <w:t> </w:t>
      </w:r>
      <w:r>
        <w:rPr/>
        <w:t>insecurity.</w:t>
      </w:r>
      <w:r>
        <w:rPr>
          <w:spacing w:val="40"/>
        </w:rPr>
        <w:t> </w:t>
      </w:r>
      <w:r>
        <w:rPr/>
        <w:t>All</w:t>
      </w:r>
      <w:r>
        <w:rPr>
          <w:spacing w:val="-1"/>
        </w:rPr>
        <w:t> </w:t>
      </w:r>
      <w:r>
        <w:rPr/>
        <w:t>these</w:t>
      </w:r>
      <w:r>
        <w:rPr>
          <w:spacing w:val="-3"/>
        </w:rPr>
        <w:t> </w:t>
      </w:r>
      <w:r>
        <w:rPr/>
        <w:t>portend</w:t>
      </w:r>
      <w:r>
        <w:rPr>
          <w:spacing w:val="-1"/>
        </w:rPr>
        <w:t> </w:t>
      </w:r>
      <w:r>
        <w:rPr/>
        <w:t>great danger and security imperatives, thereby compelling the need to begin to think more critically on how to solve the problems of surplus arms in the Niger Delta.</w:t>
      </w:r>
    </w:p>
    <w:p>
      <w:pPr>
        <w:pStyle w:val="BodyText"/>
        <w:spacing w:line="360" w:lineRule="auto" w:before="1"/>
        <w:ind w:right="1253" w:firstLine="720"/>
        <w:jc w:val="both"/>
      </w:pPr>
      <w:r>
        <w:rPr/>
        <w:t>The militants and criminal gangs in the Niger Delta have sophisticated arms and ammunitions.</w:t>
      </w:r>
      <w:r>
        <w:rPr>
          <w:spacing w:val="40"/>
        </w:rPr>
        <w:t> </w:t>
      </w:r>
      <w:r>
        <w:rPr/>
        <w:t>This is the consequence of SALW proliferation in Nigeria.</w:t>
      </w:r>
      <w:r>
        <w:rPr>
          <w:spacing w:val="40"/>
        </w:rPr>
        <w:t> </w:t>
      </w:r>
      <w:r>
        <w:rPr/>
        <w:t>The quantum of and calibres of arms and ammunition surrendered by the militants during the 2009 amnesty programme in the region indicates that all is not well with the Nigerian state.</w:t>
      </w:r>
      <w:r>
        <w:rPr>
          <w:spacing w:val="40"/>
        </w:rPr>
        <w:t> </w:t>
      </w:r>
      <w:r>
        <w:rPr/>
        <w:t>Their weapons include AK 47 rifles, Browning Machine Gun (BMG), Rocket Propelled Grenades (RPG 7), General Purpose Machine Gun (GPMG) G3 rifles, French Nationale (FN) rifles, Sterling</w:t>
      </w:r>
      <w:r>
        <w:rPr>
          <w:spacing w:val="-1"/>
        </w:rPr>
        <w:t> </w:t>
      </w:r>
      <w:r>
        <w:rPr/>
        <w:t>Submachine Gun (SMG), Sterling</w:t>
      </w:r>
      <w:r>
        <w:rPr>
          <w:spacing w:val="-1"/>
        </w:rPr>
        <w:t> </w:t>
      </w:r>
      <w:r>
        <w:rPr/>
        <w:t>Model 12, Mark IV rifles, Special Single barrel rifles and pump-action guns. Others are</w:t>
      </w:r>
      <w:r>
        <w:rPr>
          <w:spacing w:val="40"/>
        </w:rPr>
        <w:t> </w:t>
      </w:r>
      <w:r>
        <w:rPr/>
        <w:t>speed boats, gun boats, and anti-aircraft guns (</w:t>
      </w:r>
      <w:r>
        <w:rPr>
          <w:i/>
        </w:rPr>
        <w:t>Nigerian Tribune</w:t>
      </w:r>
      <w:r>
        <w:rPr/>
        <w:t>, November 19,</w:t>
      </w:r>
      <w:r>
        <w:rPr>
          <w:spacing w:val="40"/>
        </w:rPr>
        <w:t> </w:t>
      </w:r>
      <w:r>
        <w:rPr/>
        <w:t>2010).</w:t>
      </w:r>
      <w:r>
        <w:rPr>
          <w:spacing w:val="40"/>
        </w:rPr>
        <w:t> </w:t>
      </w:r>
      <w:r>
        <w:rPr/>
        <w:t>The possession of these weapons by the militants emboldens them to dare the JTF and other security outfits operating in the Niger Delta.</w:t>
      </w:r>
    </w:p>
    <w:p>
      <w:pPr>
        <w:spacing w:after="0" w:line="360" w:lineRule="auto"/>
        <w:jc w:val="both"/>
        <w:sectPr>
          <w:pgSz w:w="11910" w:h="16840"/>
          <w:pgMar w:header="0" w:footer="1561" w:top="1360" w:bottom="1760" w:left="720" w:right="180"/>
        </w:sectPr>
      </w:pPr>
    </w:p>
    <w:p>
      <w:pPr>
        <w:pStyle w:val="BodyText"/>
        <w:ind w:left="2329"/>
        <w:rPr>
          <w:sz w:val="20"/>
        </w:rPr>
      </w:pPr>
      <w:r>
        <w:rPr/>
        <mc:AlternateContent>
          <mc:Choice Requires="wps">
            <w:drawing>
              <wp:anchor distT="0" distB="0" distL="0" distR="0" allowOverlap="1" layoutInCell="1" locked="0" behindDoc="1" simplePos="0" relativeHeight="480663040">
                <wp:simplePos x="0" y="0"/>
                <wp:positionH relativeFrom="page">
                  <wp:posOffset>-468867</wp:posOffset>
                </wp:positionH>
                <wp:positionV relativeFrom="page">
                  <wp:posOffset>6996504</wp:posOffset>
                </wp:positionV>
                <wp:extent cx="5487670" cy="914400"/>
                <wp:effectExtent l="0" t="0" r="0" b="0"/>
                <wp:wrapNone/>
                <wp:docPr id="279" name="Textbox 279"/>
                <wp:cNvGraphicFramePr>
                  <a:graphicFrameLocks/>
                </wp:cNvGraphicFramePr>
                <a:graphic>
                  <a:graphicData uri="http://schemas.microsoft.com/office/word/2010/wordprocessingShape">
                    <wps:wsp>
                      <wps:cNvPr id="279" name="Textbox 279"/>
                      <wps:cNvSpPr txBox="1"/>
                      <wps:spPr>
                        <a:xfrm rot="18360000">
                          <a:off x="0" y="0"/>
                          <a:ext cx="5487670"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UNIVERSITY</w:t>
                            </w:r>
                          </w:p>
                        </w:txbxContent>
                      </wps:txbx>
                      <wps:bodyPr wrap="square" lIns="0" tIns="0" rIns="0" bIns="0" rtlCol="0">
                        <a:noAutofit/>
                      </wps:bodyPr>
                    </wps:wsp>
                  </a:graphicData>
                </a:graphic>
              </wp:anchor>
            </w:drawing>
          </mc:Choice>
          <mc:Fallback>
            <w:pict>
              <v:shape style="position:absolute;margin-left:-36.918713pt;margin-top:550.905835pt;width:432.1pt;height:72pt;mso-position-horizontal-relative:page;mso-position-vertical-relative:page;z-index:-22653440;rotation:306" type="#_x0000_t136" fillcolor="#ff5400" stroked="f">
                <o:extrusion v:ext="view" autorotationcenter="t"/>
                <v:textpath style="font-family:&quot;Arial MT&quot;;font-size:72pt;v-text-kern:t;mso-text-shadow:auto" string="UNIVERSITY"/>
                <w10:wrap type="none"/>
              </v:shape>
            </w:pict>
          </mc:Fallback>
        </mc:AlternateContent>
      </w:r>
      <w:r>
        <w:rPr/>
        <mc:AlternateContent>
          <mc:Choice Requires="wps">
            <w:drawing>
              <wp:anchor distT="0" distB="0" distL="0" distR="0" allowOverlap="1" layoutInCell="1" locked="0" behindDoc="1" simplePos="0" relativeHeight="480663552">
                <wp:simplePos x="0" y="0"/>
                <wp:positionH relativeFrom="page">
                  <wp:posOffset>4231499</wp:posOffset>
                </wp:positionH>
                <wp:positionV relativeFrom="page">
                  <wp:posOffset>1961090</wp:posOffset>
                </wp:positionV>
                <wp:extent cx="3403600" cy="914400"/>
                <wp:effectExtent l="0" t="0" r="0" b="0"/>
                <wp:wrapNone/>
                <wp:docPr id="280" name="Textbox 280"/>
                <wp:cNvGraphicFramePr>
                  <a:graphicFrameLocks/>
                </wp:cNvGraphicFramePr>
                <a:graphic>
                  <a:graphicData uri="http://schemas.microsoft.com/office/word/2010/wordprocessingShape">
                    <wps:wsp>
                      <wps:cNvPr id="280" name="Textbox 280"/>
                      <wps:cNvSpPr txBox="1"/>
                      <wps:spPr>
                        <a:xfrm rot="18360000">
                          <a:off x="0" y="0"/>
                          <a:ext cx="3403600"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333.188934pt;margin-top:154.416569pt;width:268pt;height:72pt;mso-position-horizontal-relative:page;mso-position-vertical-relative:page;z-index:-22652928;rotation:306" type="#_x0000_t136" fillcolor="#ff5400" stroked="f">
                <o:extrusion v:ext="view" autorotationcenter="t"/>
                <v:textpath style="font-family:&quot;Arial MT&quot;;font-size:72pt;v-text-kern:t;mso-text-shadow:auto" string="IBADAN"/>
                <w10:wrap type="none"/>
              </v:shape>
            </w:pict>
          </mc:Fallback>
        </mc:AlternateContent>
      </w:r>
      <w:r>
        <w:rPr>
          <w:sz w:val="20"/>
        </w:rPr>
        <mc:AlternateContent>
          <mc:Choice Requires="wps">
            <w:drawing>
              <wp:inline distT="0" distB="0" distL="0" distR="0">
                <wp:extent cx="3724275" cy="2393315"/>
                <wp:effectExtent l="0" t="0" r="0" b="6985"/>
                <wp:docPr id="281" name="Group 281"/>
                <wp:cNvGraphicFramePr>
                  <a:graphicFrameLocks/>
                </wp:cNvGraphicFramePr>
                <a:graphic>
                  <a:graphicData uri="http://schemas.microsoft.com/office/word/2010/wordprocessingGroup">
                    <wpg:wgp>
                      <wpg:cNvPr id="281" name="Group 281"/>
                      <wpg:cNvGrpSpPr/>
                      <wpg:grpSpPr>
                        <a:xfrm>
                          <a:off x="0" y="0"/>
                          <a:ext cx="3724275" cy="2393315"/>
                          <a:chExt cx="3724275" cy="2393315"/>
                        </a:xfrm>
                      </wpg:grpSpPr>
                      <pic:pic>
                        <pic:nvPicPr>
                          <pic:cNvPr id="282" name="Image 282"/>
                          <pic:cNvPicPr/>
                        </pic:nvPicPr>
                        <pic:blipFill>
                          <a:blip r:embed="rId60" cstate="print"/>
                          <a:stretch>
                            <a:fillRect/>
                          </a:stretch>
                        </pic:blipFill>
                        <pic:spPr>
                          <a:xfrm>
                            <a:off x="28511" y="28638"/>
                            <a:ext cx="3666998" cy="2336164"/>
                          </a:xfrm>
                          <a:prstGeom prst="rect">
                            <a:avLst/>
                          </a:prstGeom>
                        </pic:spPr>
                      </pic:pic>
                      <wps:wsp>
                        <wps:cNvPr id="283" name="Graphic 283"/>
                        <wps:cNvSpPr/>
                        <wps:spPr>
                          <a:xfrm>
                            <a:off x="14287" y="14287"/>
                            <a:ext cx="3695700" cy="2364740"/>
                          </a:xfrm>
                          <a:custGeom>
                            <a:avLst/>
                            <a:gdLst/>
                            <a:ahLst/>
                            <a:cxnLst/>
                            <a:rect l="l" t="t" r="r" b="b"/>
                            <a:pathLst>
                              <a:path w="3695700" h="2364740">
                                <a:moveTo>
                                  <a:pt x="0" y="2364739"/>
                                </a:moveTo>
                                <a:lnTo>
                                  <a:pt x="3695573" y="2364739"/>
                                </a:lnTo>
                                <a:lnTo>
                                  <a:pt x="3695573" y="0"/>
                                </a:lnTo>
                                <a:lnTo>
                                  <a:pt x="0" y="0"/>
                                </a:lnTo>
                                <a:lnTo>
                                  <a:pt x="0" y="2364739"/>
                                </a:lnTo>
                                <a:close/>
                              </a:path>
                            </a:pathLst>
                          </a:custGeom>
                          <a:ln w="285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93.25pt;height:188.45pt;mso-position-horizontal-relative:char;mso-position-vertical-relative:line" id="docshapegroup111" coordorigin="0,0" coordsize="5865,3769">
                <v:shape style="position:absolute;left:44;top:45;width:5775;height:3679" type="#_x0000_t75" id="docshape112" stroked="false">
                  <v:imagedata r:id="rId60" o:title=""/>
                </v:shape>
                <v:rect style="position:absolute;left:22;top:22;width:5820;height:3724" id="docshape113" filled="false" stroked="true" strokeweight="2.25pt" strokecolor="#000000">
                  <v:stroke dashstyle="solid"/>
                </v:rect>
              </v:group>
            </w:pict>
          </mc:Fallback>
        </mc:AlternateContent>
      </w:r>
      <w:r>
        <w:rPr>
          <w:sz w:val="20"/>
        </w:rPr>
      </w:r>
    </w:p>
    <w:p>
      <w:pPr>
        <w:pStyle w:val="Heading2"/>
        <w:spacing w:line="362" w:lineRule="auto"/>
        <w:ind w:right="1260"/>
      </w:pPr>
      <w:r>
        <w:rPr/>
        <mc:AlternateContent>
          <mc:Choice Requires="wps">
            <w:drawing>
              <wp:anchor distT="0" distB="0" distL="0" distR="0" allowOverlap="1" layoutInCell="1" locked="0" behindDoc="1" simplePos="0" relativeHeight="480662528">
                <wp:simplePos x="0" y="0"/>
                <wp:positionH relativeFrom="page">
                  <wp:posOffset>3775025</wp:posOffset>
                </wp:positionH>
                <wp:positionV relativeFrom="paragraph">
                  <wp:posOffset>759569</wp:posOffset>
                </wp:positionV>
                <wp:extent cx="1270635" cy="914400"/>
                <wp:effectExtent l="0" t="0" r="0" b="0"/>
                <wp:wrapNone/>
                <wp:docPr id="284" name="Textbox 284"/>
                <wp:cNvGraphicFramePr>
                  <a:graphicFrameLocks/>
                </wp:cNvGraphicFramePr>
                <a:graphic>
                  <a:graphicData uri="http://schemas.microsoft.com/office/word/2010/wordprocessingShape">
                    <wps:wsp>
                      <wps:cNvPr id="284" name="Textbox 284"/>
                      <wps:cNvSpPr txBox="1"/>
                      <wps:spPr>
                        <a:xfrm rot="18360000">
                          <a:off x="0" y="0"/>
                          <a:ext cx="1270635"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5"/>
                                <w:sz w:val="144"/>
                              </w:rPr>
                              <w:t>OF</w:t>
                            </w:r>
                          </w:p>
                        </w:txbxContent>
                      </wps:txbx>
                      <wps:bodyPr wrap="square" lIns="0" tIns="0" rIns="0" bIns="0" rtlCol="0">
                        <a:noAutofit/>
                      </wps:bodyPr>
                    </wps:wsp>
                  </a:graphicData>
                </a:graphic>
              </wp:anchor>
            </w:drawing>
          </mc:Choice>
          <mc:Fallback>
            <w:pict>
              <v:shape style="position:absolute;margin-left:297.246118pt;margin-top:59.808661pt;width:100.05pt;height:72pt;mso-position-horizontal-relative:page;mso-position-vertical-relative:paragraph;z-index:-22653952;rotation:306" type="#_x0000_t136" fillcolor="#ff5400" stroked="f">
                <o:extrusion v:ext="view" autorotationcenter="t"/>
                <v:textpath style="font-family:&quot;Arial MT&quot;;font-size:72pt;v-text-kern:t;mso-text-shadow:auto" string="OF"/>
                <w10:wrap type="none"/>
              </v:shape>
            </w:pict>
          </mc:Fallback>
        </mc:AlternateContent>
      </w:r>
      <w:r>
        <w:rPr/>
        <w:t>Plate</w:t>
      </w:r>
      <w:r>
        <w:rPr>
          <w:spacing w:val="-6"/>
        </w:rPr>
        <w:t> </w:t>
      </w:r>
      <w:r>
        <w:rPr/>
        <w:t>50</w:t>
      </w:r>
      <w:r>
        <w:rPr>
          <w:spacing w:val="-5"/>
        </w:rPr>
        <w:t> </w:t>
      </w:r>
      <w:r>
        <w:rPr/>
        <w:t>:</w:t>
      </w:r>
      <w:r>
        <w:rPr>
          <w:spacing w:val="-5"/>
        </w:rPr>
        <w:t> </w:t>
      </w:r>
      <w:r>
        <w:rPr/>
        <w:t>Surrendered</w:t>
      </w:r>
      <w:r>
        <w:rPr>
          <w:spacing w:val="-5"/>
        </w:rPr>
        <w:t> </w:t>
      </w:r>
      <w:r>
        <w:rPr/>
        <w:t>Militant’s</w:t>
      </w:r>
      <w:r>
        <w:rPr>
          <w:spacing w:val="-6"/>
        </w:rPr>
        <w:t> </w:t>
      </w:r>
      <w:r>
        <w:rPr/>
        <w:t>Weapons</w:t>
      </w:r>
      <w:r>
        <w:rPr>
          <w:spacing w:val="-6"/>
        </w:rPr>
        <w:t> </w:t>
      </w:r>
      <w:r>
        <w:rPr/>
        <w:t>Following</w:t>
      </w:r>
      <w:r>
        <w:rPr>
          <w:spacing w:val="-5"/>
        </w:rPr>
        <w:t> </w:t>
      </w:r>
      <w:r>
        <w:rPr/>
        <w:t>the</w:t>
      </w:r>
      <w:r>
        <w:rPr>
          <w:spacing w:val="-6"/>
        </w:rPr>
        <w:t> </w:t>
      </w:r>
      <w:r>
        <w:rPr/>
        <w:t>Amnesty</w:t>
      </w:r>
      <w:r>
        <w:rPr>
          <w:spacing w:val="-2"/>
        </w:rPr>
        <w:t> </w:t>
      </w:r>
      <w:r>
        <w:rPr/>
        <w:t>Programme Source: Army Headquarters Department of Operations, 2010</w:t>
      </w:r>
    </w:p>
    <w:p>
      <w:pPr>
        <w:pStyle w:val="BodyText"/>
        <w:ind w:left="0"/>
        <w:rPr>
          <w:b/>
          <w:sz w:val="20"/>
        </w:rPr>
      </w:pPr>
    </w:p>
    <w:p>
      <w:pPr>
        <w:pStyle w:val="BodyText"/>
        <w:ind w:left="0"/>
        <w:rPr>
          <w:b/>
          <w:sz w:val="20"/>
        </w:rPr>
      </w:pPr>
    </w:p>
    <w:p>
      <w:pPr>
        <w:pStyle w:val="BodyText"/>
        <w:spacing w:before="149"/>
        <w:ind w:left="0"/>
        <w:rPr>
          <w:b/>
          <w:sz w:val="20"/>
        </w:rPr>
      </w:pPr>
      <w:r>
        <w:rPr/>
        <mc:AlternateContent>
          <mc:Choice Requires="wps">
            <w:drawing>
              <wp:anchor distT="0" distB="0" distL="0" distR="0" allowOverlap="1" layoutInCell="1" locked="0" behindDoc="1" simplePos="0" relativeHeight="487691776">
                <wp:simplePos x="0" y="0"/>
                <wp:positionH relativeFrom="page">
                  <wp:posOffset>1489011</wp:posOffset>
                </wp:positionH>
                <wp:positionV relativeFrom="paragraph">
                  <wp:posOffset>256216</wp:posOffset>
                </wp:positionV>
                <wp:extent cx="4408805" cy="2847340"/>
                <wp:effectExtent l="0" t="0" r="0" b="0"/>
                <wp:wrapTopAndBottom/>
                <wp:docPr id="285" name="Group 285"/>
                <wp:cNvGraphicFramePr>
                  <a:graphicFrameLocks/>
                </wp:cNvGraphicFramePr>
                <a:graphic>
                  <a:graphicData uri="http://schemas.microsoft.com/office/word/2010/wordprocessingGroup">
                    <wpg:wgp>
                      <wpg:cNvPr id="285" name="Group 285"/>
                      <wpg:cNvGrpSpPr/>
                      <wpg:grpSpPr>
                        <a:xfrm>
                          <a:off x="0" y="0"/>
                          <a:ext cx="4408805" cy="2847340"/>
                          <a:chExt cx="4408805" cy="2847340"/>
                        </a:xfrm>
                      </wpg:grpSpPr>
                      <pic:pic>
                        <pic:nvPicPr>
                          <pic:cNvPr id="286" name="Image 286"/>
                          <pic:cNvPicPr/>
                        </pic:nvPicPr>
                        <pic:blipFill>
                          <a:blip r:embed="rId74" cstate="print"/>
                          <a:stretch>
                            <a:fillRect/>
                          </a:stretch>
                        </pic:blipFill>
                        <pic:spPr>
                          <a:xfrm>
                            <a:off x="28638" y="28638"/>
                            <a:ext cx="4351654" cy="2790189"/>
                          </a:xfrm>
                          <a:prstGeom prst="rect">
                            <a:avLst/>
                          </a:prstGeom>
                        </pic:spPr>
                      </pic:pic>
                      <wps:wsp>
                        <wps:cNvPr id="287" name="Graphic 287"/>
                        <wps:cNvSpPr/>
                        <wps:spPr>
                          <a:xfrm>
                            <a:off x="14287" y="14287"/>
                            <a:ext cx="4380230" cy="2818765"/>
                          </a:xfrm>
                          <a:custGeom>
                            <a:avLst/>
                            <a:gdLst/>
                            <a:ahLst/>
                            <a:cxnLst/>
                            <a:rect l="l" t="t" r="r" b="b"/>
                            <a:pathLst>
                              <a:path w="4380230" h="2818765">
                                <a:moveTo>
                                  <a:pt x="0" y="2818765"/>
                                </a:moveTo>
                                <a:lnTo>
                                  <a:pt x="4380230" y="2818765"/>
                                </a:lnTo>
                                <a:lnTo>
                                  <a:pt x="4380230" y="0"/>
                                </a:lnTo>
                                <a:lnTo>
                                  <a:pt x="0" y="0"/>
                                </a:lnTo>
                                <a:lnTo>
                                  <a:pt x="0" y="2818765"/>
                                </a:lnTo>
                                <a:close/>
                              </a:path>
                            </a:pathLst>
                          </a:custGeom>
                          <a:ln w="285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7.245003pt;margin-top:20.174492pt;width:347.15pt;height:224.2pt;mso-position-horizontal-relative:page;mso-position-vertical-relative:paragraph;z-index:-15624704;mso-wrap-distance-left:0;mso-wrap-distance-right:0" id="docshapegroup114" coordorigin="2345,403" coordsize="6943,4484">
                <v:shape style="position:absolute;left:2390;top:448;width:6853;height:4394" type="#_x0000_t75" id="docshape115" stroked="false">
                  <v:imagedata r:id="rId74" o:title=""/>
                </v:shape>
                <v:rect style="position:absolute;left:2367;top:425;width:6898;height:4439" id="docshape116" filled="false" stroked="true" strokeweight="2.25pt" strokecolor="#000000">
                  <v:stroke dashstyle="solid"/>
                </v:rect>
                <w10:wrap type="topAndBottom"/>
              </v:group>
            </w:pict>
          </mc:Fallback>
        </mc:AlternateContent>
      </w:r>
    </w:p>
    <w:p>
      <w:pPr>
        <w:pStyle w:val="BodyText"/>
        <w:spacing w:before="138"/>
        <w:ind w:left="0"/>
        <w:rPr>
          <w:b/>
        </w:rPr>
      </w:pPr>
    </w:p>
    <w:p>
      <w:pPr>
        <w:spacing w:line="360" w:lineRule="auto" w:before="1"/>
        <w:ind w:left="1440" w:right="1260" w:firstLine="0"/>
        <w:jc w:val="left"/>
        <w:rPr>
          <w:b/>
          <w:sz w:val="24"/>
        </w:rPr>
      </w:pPr>
      <w:r>
        <w:rPr>
          <w:b/>
          <w:sz w:val="24"/>
        </w:rPr>
        <w:t>Plate</w:t>
      </w:r>
      <w:r>
        <w:rPr>
          <w:b/>
          <w:spacing w:val="-6"/>
          <w:sz w:val="24"/>
        </w:rPr>
        <w:t> </w:t>
      </w:r>
      <w:r>
        <w:rPr>
          <w:b/>
          <w:sz w:val="24"/>
        </w:rPr>
        <w:t>51</w:t>
      </w:r>
      <w:r>
        <w:rPr>
          <w:b/>
          <w:spacing w:val="-5"/>
          <w:sz w:val="24"/>
        </w:rPr>
        <w:t> </w:t>
      </w:r>
      <w:r>
        <w:rPr>
          <w:b/>
          <w:sz w:val="24"/>
        </w:rPr>
        <w:t>:</w:t>
      </w:r>
      <w:r>
        <w:rPr>
          <w:b/>
          <w:spacing w:val="-6"/>
          <w:sz w:val="24"/>
        </w:rPr>
        <w:t> </w:t>
      </w:r>
      <w:r>
        <w:rPr>
          <w:b/>
          <w:sz w:val="24"/>
        </w:rPr>
        <w:t>Surrendered</w:t>
      </w:r>
      <w:r>
        <w:rPr>
          <w:b/>
          <w:spacing w:val="-5"/>
          <w:sz w:val="24"/>
        </w:rPr>
        <w:t> </w:t>
      </w:r>
      <w:r>
        <w:rPr>
          <w:b/>
          <w:sz w:val="24"/>
        </w:rPr>
        <w:t>Militant’s</w:t>
      </w:r>
      <w:r>
        <w:rPr>
          <w:b/>
          <w:spacing w:val="-6"/>
          <w:sz w:val="24"/>
        </w:rPr>
        <w:t> </w:t>
      </w:r>
      <w:r>
        <w:rPr>
          <w:b/>
          <w:sz w:val="24"/>
        </w:rPr>
        <w:t>Weapons</w:t>
      </w:r>
      <w:r>
        <w:rPr>
          <w:b/>
          <w:spacing w:val="-6"/>
          <w:sz w:val="24"/>
        </w:rPr>
        <w:t> </w:t>
      </w:r>
      <w:r>
        <w:rPr>
          <w:b/>
          <w:sz w:val="24"/>
        </w:rPr>
        <w:t>Following</w:t>
      </w:r>
      <w:r>
        <w:rPr>
          <w:b/>
          <w:spacing w:val="-5"/>
          <w:sz w:val="24"/>
        </w:rPr>
        <w:t> </w:t>
      </w:r>
      <w:r>
        <w:rPr>
          <w:b/>
          <w:sz w:val="24"/>
        </w:rPr>
        <w:t>the</w:t>
      </w:r>
      <w:r>
        <w:rPr>
          <w:b/>
          <w:spacing w:val="-6"/>
          <w:sz w:val="24"/>
        </w:rPr>
        <w:t> </w:t>
      </w:r>
      <w:r>
        <w:rPr>
          <w:b/>
          <w:sz w:val="24"/>
        </w:rPr>
        <w:t>Amnesty</w:t>
      </w:r>
      <w:r>
        <w:rPr>
          <w:b/>
          <w:spacing w:val="-2"/>
          <w:sz w:val="24"/>
        </w:rPr>
        <w:t> </w:t>
      </w:r>
      <w:r>
        <w:rPr>
          <w:b/>
          <w:sz w:val="24"/>
        </w:rPr>
        <w:t>Programme Source: Army Headquarters Department of Operations, 2010</w:t>
      </w:r>
    </w:p>
    <w:p>
      <w:pPr>
        <w:pStyle w:val="BodyText"/>
        <w:spacing w:before="134"/>
        <w:ind w:left="0"/>
        <w:rPr>
          <w:b/>
        </w:rPr>
      </w:pPr>
    </w:p>
    <w:p>
      <w:pPr>
        <w:pStyle w:val="BodyText"/>
        <w:spacing w:line="360" w:lineRule="auto" w:before="1"/>
        <w:ind w:right="1258" w:firstLine="1020"/>
        <w:jc w:val="both"/>
      </w:pPr>
      <w:r>
        <w:rPr/>
        <w:t>The study</w:t>
      </w:r>
      <w:r>
        <w:rPr>
          <w:spacing w:val="-4"/>
        </w:rPr>
        <w:t> </w:t>
      </w:r>
      <w:r>
        <w:rPr/>
        <w:t>also revealed that the proliferation of SALWs has equally</w:t>
      </w:r>
      <w:r>
        <w:rPr>
          <w:spacing w:val="-4"/>
        </w:rPr>
        <w:t> </w:t>
      </w:r>
      <w:r>
        <w:rPr/>
        <w:t>denied the JTF the monopoly of the use of certain categories of weapons and responsibility for the employment of force to deter or eliminate whatever is considered a threat to National Security.</w:t>
      </w:r>
    </w:p>
    <w:p>
      <w:pPr>
        <w:pStyle w:val="BodyText"/>
        <w:ind w:left="2040"/>
        <w:jc w:val="both"/>
      </w:pPr>
      <w:r>
        <w:rPr/>
        <w:t>The</w:t>
      </w:r>
      <w:r>
        <w:rPr>
          <w:spacing w:val="21"/>
        </w:rPr>
        <w:t> </w:t>
      </w:r>
      <w:r>
        <w:rPr/>
        <w:t>arms-back-deal</w:t>
      </w:r>
      <w:r>
        <w:rPr>
          <w:spacing w:val="24"/>
        </w:rPr>
        <w:t> </w:t>
      </w:r>
      <w:r>
        <w:rPr/>
        <w:t>that</w:t>
      </w:r>
      <w:r>
        <w:rPr>
          <w:spacing w:val="23"/>
        </w:rPr>
        <w:t> </w:t>
      </w:r>
      <w:r>
        <w:rPr/>
        <w:t>the</w:t>
      </w:r>
      <w:r>
        <w:rPr>
          <w:spacing w:val="25"/>
        </w:rPr>
        <w:t> </w:t>
      </w:r>
      <w:r>
        <w:rPr/>
        <w:t>government</w:t>
      </w:r>
      <w:r>
        <w:rPr>
          <w:spacing w:val="25"/>
        </w:rPr>
        <w:t> </w:t>
      </w:r>
      <w:r>
        <w:rPr/>
        <w:t>struck</w:t>
      </w:r>
      <w:r>
        <w:rPr>
          <w:spacing w:val="23"/>
        </w:rPr>
        <w:t> </w:t>
      </w:r>
      <w:r>
        <w:rPr/>
        <w:t>with</w:t>
      </w:r>
      <w:r>
        <w:rPr>
          <w:spacing w:val="24"/>
        </w:rPr>
        <w:t> </w:t>
      </w:r>
      <w:r>
        <w:rPr/>
        <w:t>Asari</w:t>
      </w:r>
      <w:r>
        <w:rPr>
          <w:spacing w:val="23"/>
        </w:rPr>
        <w:t> </w:t>
      </w:r>
      <w:r>
        <w:rPr/>
        <w:t>Dokubo-led</w:t>
      </w:r>
      <w:r>
        <w:rPr>
          <w:spacing w:val="23"/>
        </w:rPr>
        <w:t> </w:t>
      </w:r>
      <w:r>
        <w:rPr>
          <w:spacing w:val="-4"/>
        </w:rPr>
        <w:t>NDPF</w:t>
      </w:r>
    </w:p>
    <w:p>
      <w:pPr>
        <w:spacing w:after="0"/>
        <w:jc w:val="both"/>
        <w:sectPr>
          <w:pgSz w:w="11910" w:h="16840"/>
          <w:pgMar w:header="0" w:footer="1561" w:top="1380" w:bottom="1760" w:left="720" w:right="180"/>
        </w:sectPr>
      </w:pPr>
    </w:p>
    <w:p>
      <w:pPr>
        <w:pStyle w:val="BodyText"/>
        <w:spacing w:line="360" w:lineRule="auto" w:before="60"/>
        <w:ind w:right="1261"/>
        <w:jc w:val="both"/>
      </w:pPr>
      <w:r>
        <w:rPr/>
        <mc:AlternateContent>
          <mc:Choice Requires="wps">
            <w:drawing>
              <wp:anchor distT="0" distB="0" distL="0" distR="0" allowOverlap="1" layoutInCell="1" locked="0" behindDoc="1" simplePos="0" relativeHeight="480664064">
                <wp:simplePos x="0" y="0"/>
                <wp:positionH relativeFrom="page">
                  <wp:posOffset>-1537026</wp:posOffset>
                </wp:positionH>
                <wp:positionV relativeFrom="page">
                  <wp:posOffset>4900424</wp:posOffset>
                </wp:positionV>
                <wp:extent cx="10669905" cy="914400"/>
                <wp:effectExtent l="0" t="0" r="0" b="0"/>
                <wp:wrapNone/>
                <wp:docPr id="288" name="Textbox 288"/>
                <wp:cNvGraphicFramePr>
                  <a:graphicFrameLocks/>
                </wp:cNvGraphicFramePr>
                <a:graphic>
                  <a:graphicData uri="http://schemas.microsoft.com/office/word/2010/wordprocessingShape">
                    <wps:wsp>
                      <wps:cNvPr id="288" name="Textbox 288"/>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52416;rotation:306" type="#_x0000_t136" fillcolor="#ff5400" stroked="f">
                <o:extrusion v:ext="view" autorotationcenter="t"/>
                <v:textpath style="font-family:&quot;Arial MT&quot;;font-size:72pt;v-text-kern:t;mso-text-shadow:auto" string="UNIVERSITY OF IBADAN"/>
                <w10:wrap type="none"/>
              </v:shape>
            </w:pict>
          </mc:Fallback>
        </mc:AlternateContent>
      </w:r>
      <w:r>
        <w:rPr/>
        <w:t>and the Ateke Tom-led Niger Delta Vigilante (NDV) in Rivers State in 2004 did not seem to have yielded any results. Surplus arms continue to circulate in most parts of the</w:t>
      </w:r>
      <w:r>
        <w:rPr>
          <w:spacing w:val="-2"/>
        </w:rPr>
        <w:t> </w:t>
      </w:r>
      <w:r>
        <w:rPr/>
        <w:t>Niger</w:t>
      </w:r>
      <w:r>
        <w:rPr>
          <w:spacing w:val="-2"/>
        </w:rPr>
        <w:t> </w:t>
      </w:r>
      <w:r>
        <w:rPr/>
        <w:t>Delta,</w:t>
      </w:r>
      <w:r>
        <w:rPr>
          <w:spacing w:val="-1"/>
        </w:rPr>
        <w:t> </w:t>
      </w:r>
      <w:r>
        <w:rPr/>
        <w:t>most especially</w:t>
      </w:r>
      <w:r>
        <w:rPr>
          <w:spacing w:val="-9"/>
        </w:rPr>
        <w:t> </w:t>
      </w:r>
      <w:r>
        <w:rPr/>
        <w:t>in</w:t>
      </w:r>
      <w:r>
        <w:rPr>
          <w:spacing w:val="-1"/>
        </w:rPr>
        <w:t> </w:t>
      </w:r>
      <w:r>
        <w:rPr/>
        <w:t>the</w:t>
      </w:r>
      <w:r>
        <w:rPr>
          <w:spacing w:val="-2"/>
        </w:rPr>
        <w:t> </w:t>
      </w:r>
      <w:r>
        <w:rPr/>
        <w:t>sampled</w:t>
      </w:r>
      <w:r>
        <w:rPr>
          <w:spacing w:val="-1"/>
        </w:rPr>
        <w:t> </w:t>
      </w:r>
      <w:r>
        <w:rPr/>
        <w:t>states.</w:t>
      </w:r>
      <w:r>
        <w:rPr>
          <w:spacing w:val="40"/>
        </w:rPr>
        <w:t> </w:t>
      </w:r>
      <w:r>
        <w:rPr/>
        <w:t>It</w:t>
      </w:r>
      <w:r>
        <w:rPr>
          <w:spacing w:val="-1"/>
        </w:rPr>
        <w:t> </w:t>
      </w:r>
      <w:r>
        <w:rPr/>
        <w:t>is</w:t>
      </w:r>
      <w:r>
        <w:rPr>
          <w:spacing w:val="-1"/>
        </w:rPr>
        <w:t> </w:t>
      </w:r>
      <w:r>
        <w:rPr/>
        <w:t>believed</w:t>
      </w:r>
      <w:r>
        <w:rPr>
          <w:spacing w:val="-1"/>
        </w:rPr>
        <w:t> </w:t>
      </w:r>
      <w:r>
        <w:rPr/>
        <w:t>that</w:t>
      </w:r>
      <w:r>
        <w:rPr>
          <w:spacing w:val="-1"/>
        </w:rPr>
        <w:t> </w:t>
      </w:r>
      <w:r>
        <w:rPr/>
        <w:t>these</w:t>
      </w:r>
      <w:r>
        <w:rPr>
          <w:spacing w:val="-2"/>
        </w:rPr>
        <w:t> </w:t>
      </w:r>
      <w:r>
        <w:rPr/>
        <w:t>surplus arms have played a major role in sustaining violent conflicts in the region.</w:t>
      </w:r>
    </w:p>
    <w:p>
      <w:pPr>
        <w:pStyle w:val="BodyText"/>
        <w:spacing w:line="360" w:lineRule="auto" w:before="1"/>
        <w:ind w:right="1260" w:firstLine="660"/>
        <w:jc w:val="both"/>
      </w:pPr>
      <w:r>
        <w:rPr/>
        <w:t>One of the field commanders interviewed noted that identifying the sources of SALW used</w:t>
      </w:r>
      <w:r>
        <w:rPr>
          <w:spacing w:val="-1"/>
        </w:rPr>
        <w:t> </w:t>
      </w:r>
      <w:r>
        <w:rPr/>
        <w:t>by</w:t>
      </w:r>
      <w:r>
        <w:rPr>
          <w:spacing w:val="-5"/>
        </w:rPr>
        <w:t> </w:t>
      </w:r>
      <w:r>
        <w:rPr/>
        <w:t>the</w:t>
      </w:r>
      <w:r>
        <w:rPr>
          <w:spacing w:val="-1"/>
        </w:rPr>
        <w:t> </w:t>
      </w:r>
      <w:r>
        <w:rPr/>
        <w:t>militants has been a</w:t>
      </w:r>
      <w:r>
        <w:rPr>
          <w:spacing w:val="-1"/>
        </w:rPr>
        <w:t> </w:t>
      </w:r>
      <w:r>
        <w:rPr/>
        <w:t>serious challenge</w:t>
      </w:r>
      <w:r>
        <w:rPr>
          <w:spacing w:val="-1"/>
        </w:rPr>
        <w:t> </w:t>
      </w:r>
      <w:r>
        <w:rPr/>
        <w:t>to the</w:t>
      </w:r>
      <w:r>
        <w:rPr>
          <w:spacing w:val="-1"/>
        </w:rPr>
        <w:t> </w:t>
      </w:r>
      <w:r>
        <w:rPr/>
        <w:t>JTF.</w:t>
      </w:r>
      <w:r>
        <w:rPr>
          <w:spacing w:val="40"/>
        </w:rPr>
        <w:t> </w:t>
      </w:r>
      <w:r>
        <w:rPr/>
        <w:t>Rimtip however asserts that, illegal oil bunkering serves as a source of funding for the procurement of illegal arms and ammunitions in the conflict ridden Niger Delta.</w:t>
      </w:r>
    </w:p>
    <w:p>
      <w:pPr>
        <w:pStyle w:val="BodyText"/>
        <w:spacing w:line="360" w:lineRule="auto"/>
        <w:ind w:right="1256" w:firstLine="660"/>
        <w:jc w:val="both"/>
      </w:pPr>
      <w:r>
        <w:rPr/>
        <w:t>Effective control of arms proliferation is necessary for a conflict-free Niger Delta</w:t>
      </w:r>
      <w:r>
        <w:rPr>
          <w:spacing w:val="-3"/>
        </w:rPr>
        <w:t> </w:t>
      </w:r>
      <w:r>
        <w:rPr/>
        <w:t>region.</w:t>
      </w:r>
      <w:r>
        <w:rPr>
          <w:spacing w:val="-2"/>
        </w:rPr>
        <w:t> </w:t>
      </w:r>
      <w:r>
        <w:rPr/>
        <w:t>Security</w:t>
      </w:r>
      <w:r>
        <w:rPr>
          <w:spacing w:val="-5"/>
        </w:rPr>
        <w:t> </w:t>
      </w:r>
      <w:r>
        <w:rPr/>
        <w:t>agencies</w:t>
      </w:r>
      <w:r>
        <w:rPr>
          <w:spacing w:val="-2"/>
        </w:rPr>
        <w:t> </w:t>
      </w:r>
      <w:r>
        <w:rPr/>
        <w:t>need</w:t>
      </w:r>
      <w:r>
        <w:rPr>
          <w:spacing w:val="-2"/>
        </w:rPr>
        <w:t> </w:t>
      </w:r>
      <w:r>
        <w:rPr/>
        <w:t>to be</w:t>
      </w:r>
      <w:r>
        <w:rPr>
          <w:spacing w:val="-1"/>
        </w:rPr>
        <w:t> </w:t>
      </w:r>
      <w:r>
        <w:rPr/>
        <w:t>adequately</w:t>
      </w:r>
      <w:r>
        <w:rPr>
          <w:spacing w:val="-5"/>
        </w:rPr>
        <w:t> </w:t>
      </w:r>
      <w:r>
        <w:rPr/>
        <w:t>equipped</w:t>
      </w:r>
      <w:r>
        <w:rPr>
          <w:spacing w:val="-1"/>
        </w:rPr>
        <w:t> </w:t>
      </w:r>
      <w:r>
        <w:rPr/>
        <w:t>to</w:t>
      </w:r>
      <w:r>
        <w:rPr>
          <w:spacing w:val="-2"/>
        </w:rPr>
        <w:t> </w:t>
      </w:r>
      <w:r>
        <w:rPr/>
        <w:t>adopt</w:t>
      </w:r>
      <w:r>
        <w:rPr>
          <w:spacing w:val="-2"/>
        </w:rPr>
        <w:t> </w:t>
      </w:r>
      <w:r>
        <w:rPr/>
        <w:t>measures</w:t>
      </w:r>
      <w:r>
        <w:rPr>
          <w:spacing w:val="-2"/>
        </w:rPr>
        <w:t> </w:t>
      </w:r>
      <w:r>
        <w:rPr/>
        <w:t>that will effectively prevent further acquisition of weapons and facilitate recovery of already</w:t>
      </w:r>
      <w:r>
        <w:rPr>
          <w:spacing w:val="-3"/>
        </w:rPr>
        <w:t> </w:t>
      </w:r>
      <w:r>
        <w:rPr/>
        <w:t>acquired ones.</w:t>
      </w:r>
      <w:r>
        <w:rPr>
          <w:spacing w:val="40"/>
        </w:rPr>
        <w:t> </w:t>
      </w:r>
      <w:r>
        <w:rPr/>
        <w:t>The</w:t>
      </w:r>
      <w:r>
        <w:rPr>
          <w:spacing w:val="-1"/>
        </w:rPr>
        <w:t> </w:t>
      </w:r>
      <w:r>
        <w:rPr/>
        <w:t>capacity</w:t>
      </w:r>
      <w:r>
        <w:rPr>
          <w:spacing w:val="-5"/>
        </w:rPr>
        <w:t> </w:t>
      </w:r>
      <w:r>
        <w:rPr/>
        <w:t>and resources of</w:t>
      </w:r>
      <w:r>
        <w:rPr>
          <w:spacing w:val="-1"/>
        </w:rPr>
        <w:t> </w:t>
      </w:r>
      <w:r>
        <w:rPr/>
        <w:t>the</w:t>
      </w:r>
      <w:r>
        <w:rPr>
          <w:spacing w:val="-1"/>
        </w:rPr>
        <w:t> </w:t>
      </w:r>
      <w:r>
        <w:rPr/>
        <w:t>security</w:t>
      </w:r>
      <w:r>
        <w:rPr>
          <w:spacing w:val="-3"/>
        </w:rPr>
        <w:t> </w:t>
      </w:r>
      <w:r>
        <w:rPr/>
        <w:t>agencies, especially the police, for intelligence gathering and crime investigation could be enhanced.</w:t>
      </w:r>
    </w:p>
    <w:p>
      <w:pPr>
        <w:pStyle w:val="BodyText"/>
        <w:spacing w:line="360" w:lineRule="auto"/>
        <w:ind w:right="1258" w:firstLine="782"/>
        <w:jc w:val="both"/>
      </w:pPr>
      <w:r>
        <w:rPr/>
        <w:t>Likewise, the Federal Government could investigate the alleged involvement of some government officials and politicians in sponsoring armed groups.</w:t>
      </w:r>
      <w:r>
        <w:rPr>
          <w:spacing w:val="80"/>
        </w:rPr>
        <w:t> </w:t>
      </w:r>
      <w:r>
        <w:rPr/>
        <w:t>The Federal Government could also strengthen control of weapons and equipment. Furthermore, the Federal Government could improve on border security and intensify vigorous campaign against illicit acquisition of SALWs in the country.</w:t>
      </w:r>
    </w:p>
    <w:p>
      <w:pPr>
        <w:pStyle w:val="BodyText"/>
        <w:spacing w:before="143"/>
        <w:ind w:left="0"/>
      </w:pPr>
    </w:p>
    <w:p>
      <w:pPr>
        <w:pStyle w:val="Heading2"/>
        <w:numPr>
          <w:ilvl w:val="2"/>
          <w:numId w:val="24"/>
        </w:numPr>
        <w:tabs>
          <w:tab w:pos="2400" w:val="left" w:leader="none"/>
        </w:tabs>
        <w:spacing w:line="240" w:lineRule="auto" w:before="0" w:after="0"/>
        <w:ind w:left="2400" w:right="0" w:hanging="960"/>
        <w:jc w:val="both"/>
      </w:pPr>
      <w:r>
        <w:rPr/>
        <w:t>Poor</w:t>
      </w:r>
      <w:r>
        <w:rPr>
          <w:spacing w:val="-3"/>
        </w:rPr>
        <w:t> </w:t>
      </w:r>
      <w:r>
        <w:rPr/>
        <w:t>Level</w:t>
      </w:r>
      <w:r>
        <w:rPr>
          <w:spacing w:val="-1"/>
        </w:rPr>
        <w:t> </w:t>
      </w:r>
      <w:r>
        <w:rPr/>
        <w:t>of Cooperation and</w:t>
      </w:r>
      <w:r>
        <w:rPr>
          <w:spacing w:val="-1"/>
        </w:rPr>
        <w:t> </w:t>
      </w:r>
      <w:r>
        <w:rPr>
          <w:spacing w:val="-2"/>
        </w:rPr>
        <w:t>Coordination</w:t>
      </w:r>
    </w:p>
    <w:p>
      <w:pPr>
        <w:pStyle w:val="BodyText"/>
        <w:spacing w:line="360" w:lineRule="auto" w:before="109"/>
        <w:ind w:right="1258" w:firstLine="840"/>
        <w:jc w:val="both"/>
      </w:pPr>
      <w:r>
        <w:rPr/>
        <w:t>The poor level of cooperation and coordination among the FG, DHQ, host state governments and multinational oil and gas companies hamper the quality of logistics and financial assistance for the JTF Operation RESTORE HOPE.</w:t>
      </w:r>
      <w:r>
        <w:rPr>
          <w:spacing w:val="40"/>
        </w:rPr>
        <w:t> </w:t>
      </w:r>
      <w:r>
        <w:rPr/>
        <w:t>For example, at inception of the JTF operations lack of clear source of funding of the Force is arguably identified as one of the problems that have hampered the operation. There are multiple sources of funds and logistics that are not properly coordinated. This loophole could create an untidy situation where the transnational oil and gas industries and some state governments even procure equipment without necessarily appraising their operational suitability to the force. The varied sources of funding and logistics</w:t>
      </w:r>
      <w:r>
        <w:rPr>
          <w:spacing w:val="-2"/>
        </w:rPr>
        <w:t> </w:t>
      </w:r>
      <w:r>
        <w:rPr/>
        <w:t>also</w:t>
      </w:r>
      <w:r>
        <w:rPr>
          <w:spacing w:val="-2"/>
        </w:rPr>
        <w:t> </w:t>
      </w:r>
      <w:r>
        <w:rPr/>
        <w:t>do not</w:t>
      </w:r>
      <w:r>
        <w:rPr>
          <w:spacing w:val="-2"/>
        </w:rPr>
        <w:t> </w:t>
      </w:r>
      <w:r>
        <w:rPr/>
        <w:t>allow</w:t>
      </w:r>
      <w:r>
        <w:rPr>
          <w:spacing w:val="-2"/>
        </w:rPr>
        <w:t> </w:t>
      </w:r>
      <w:r>
        <w:rPr/>
        <w:t>for</w:t>
      </w:r>
      <w:r>
        <w:rPr>
          <w:spacing w:val="-1"/>
        </w:rPr>
        <w:t> </w:t>
      </w:r>
      <w:r>
        <w:rPr/>
        <w:t>proper</w:t>
      </w:r>
      <w:r>
        <w:rPr>
          <w:spacing w:val="-2"/>
        </w:rPr>
        <w:t> </w:t>
      </w:r>
      <w:r>
        <w:rPr/>
        <w:t>accountability</w:t>
      </w:r>
      <w:r>
        <w:rPr>
          <w:spacing w:val="-5"/>
        </w:rPr>
        <w:t> </w:t>
      </w:r>
      <w:r>
        <w:rPr/>
        <w:t>and</w:t>
      </w:r>
      <w:r>
        <w:rPr>
          <w:spacing w:val="-2"/>
        </w:rPr>
        <w:t> </w:t>
      </w:r>
      <w:r>
        <w:rPr/>
        <w:t>coordination</w:t>
      </w:r>
      <w:r>
        <w:rPr>
          <w:spacing w:val="-2"/>
        </w:rPr>
        <w:t> </w:t>
      </w:r>
      <w:r>
        <w:rPr/>
        <w:t>by</w:t>
      </w:r>
      <w:r>
        <w:rPr>
          <w:spacing w:val="-7"/>
        </w:rPr>
        <w:t> </w:t>
      </w:r>
      <w:r>
        <w:rPr/>
        <w:t>the</w:t>
      </w:r>
      <w:r>
        <w:rPr>
          <w:spacing w:val="-3"/>
        </w:rPr>
        <w:t> </w:t>
      </w:r>
      <w:r>
        <w:rPr/>
        <w:t>Force</w:t>
      </w:r>
      <w:r>
        <w:rPr>
          <w:spacing w:val="-1"/>
        </w:rPr>
        <w:t> </w:t>
      </w:r>
      <w:r>
        <w:rPr/>
        <w:t>and fund providers. Likewise therefore, these stakeholders in most cases do not cooperate or collaborate. This is exemplified in the different views held by some State Governments</w:t>
      </w:r>
      <w:r>
        <w:rPr>
          <w:spacing w:val="32"/>
        </w:rPr>
        <w:t> </w:t>
      </w:r>
      <w:r>
        <w:rPr/>
        <w:t>towards</w:t>
      </w:r>
      <w:r>
        <w:rPr>
          <w:spacing w:val="32"/>
        </w:rPr>
        <w:t> </w:t>
      </w:r>
      <w:r>
        <w:rPr/>
        <w:t>the</w:t>
      </w:r>
      <w:r>
        <w:rPr>
          <w:spacing w:val="31"/>
        </w:rPr>
        <w:t> </w:t>
      </w:r>
      <w:r>
        <w:rPr/>
        <w:t>militants‟</w:t>
      </w:r>
      <w:r>
        <w:rPr>
          <w:spacing w:val="34"/>
        </w:rPr>
        <w:t> </w:t>
      </w:r>
      <w:r>
        <w:rPr/>
        <w:t>posture.</w:t>
      </w:r>
      <w:r>
        <w:rPr>
          <w:spacing w:val="32"/>
        </w:rPr>
        <w:t> </w:t>
      </w:r>
      <w:r>
        <w:rPr/>
        <w:t>For</w:t>
      </w:r>
      <w:r>
        <w:rPr>
          <w:spacing w:val="34"/>
        </w:rPr>
        <w:t> </w:t>
      </w:r>
      <w:r>
        <w:rPr/>
        <w:t>instance,</w:t>
      </w:r>
      <w:r>
        <w:rPr>
          <w:spacing w:val="31"/>
        </w:rPr>
        <w:t> </w:t>
      </w:r>
      <w:r>
        <w:rPr/>
        <w:t>it</w:t>
      </w:r>
      <w:r>
        <w:rPr>
          <w:spacing w:val="33"/>
        </w:rPr>
        <w:t> </w:t>
      </w:r>
      <w:r>
        <w:rPr/>
        <w:t>is</w:t>
      </w:r>
      <w:r>
        <w:rPr>
          <w:spacing w:val="33"/>
        </w:rPr>
        <w:t> </w:t>
      </w:r>
      <w:r>
        <w:rPr/>
        <w:t>a</w:t>
      </w:r>
      <w:r>
        <w:rPr>
          <w:spacing w:val="31"/>
        </w:rPr>
        <w:t> </w:t>
      </w:r>
      <w:r>
        <w:rPr/>
        <w:t>truism</w:t>
      </w:r>
      <w:r>
        <w:rPr>
          <w:spacing w:val="35"/>
        </w:rPr>
        <w:t> </w:t>
      </w:r>
      <w:r>
        <w:rPr/>
        <w:t>that,</w:t>
      </w:r>
      <w:r>
        <w:rPr>
          <w:spacing w:val="32"/>
        </w:rPr>
        <w:t> </w:t>
      </w:r>
      <w:r>
        <w:rPr>
          <w:spacing w:val="-4"/>
        </w:rPr>
        <w:t>some</w:t>
      </w:r>
    </w:p>
    <w:p>
      <w:pPr>
        <w:spacing w:after="0" w:line="360" w:lineRule="auto"/>
        <w:jc w:val="both"/>
        <w:sectPr>
          <w:pgSz w:w="11910" w:h="16840"/>
          <w:pgMar w:header="0" w:footer="1561" w:top="1360" w:bottom="1760" w:left="720" w:right="180"/>
        </w:sectPr>
      </w:pPr>
    </w:p>
    <w:p>
      <w:pPr>
        <w:pStyle w:val="BodyText"/>
        <w:spacing w:line="360" w:lineRule="auto" w:before="60"/>
        <w:ind w:right="1256"/>
        <w:jc w:val="both"/>
      </w:pPr>
      <w:r>
        <w:rPr/>
        <mc:AlternateContent>
          <mc:Choice Requires="wps">
            <w:drawing>
              <wp:anchor distT="0" distB="0" distL="0" distR="0" allowOverlap="1" layoutInCell="1" locked="0" behindDoc="1" simplePos="0" relativeHeight="480664576">
                <wp:simplePos x="0" y="0"/>
                <wp:positionH relativeFrom="page">
                  <wp:posOffset>-1537026</wp:posOffset>
                </wp:positionH>
                <wp:positionV relativeFrom="page">
                  <wp:posOffset>4900424</wp:posOffset>
                </wp:positionV>
                <wp:extent cx="10669905" cy="914400"/>
                <wp:effectExtent l="0" t="0" r="0" b="0"/>
                <wp:wrapNone/>
                <wp:docPr id="289" name="Textbox 289"/>
                <wp:cNvGraphicFramePr>
                  <a:graphicFrameLocks/>
                </wp:cNvGraphicFramePr>
                <a:graphic>
                  <a:graphicData uri="http://schemas.microsoft.com/office/word/2010/wordprocessingShape">
                    <wps:wsp>
                      <wps:cNvPr id="289" name="Textbox 289"/>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51904;rotation:306" type="#_x0000_t136" fillcolor="#ff5400" stroked="f">
                <o:extrusion v:ext="view" autorotationcenter="t"/>
                <v:textpath style="font-family:&quot;Arial MT&quot;;font-size:72pt;v-text-kern:t;mso-text-shadow:auto" string="UNIVERSITY OF IBADAN"/>
                <w10:wrap type="none"/>
              </v:shape>
            </w:pict>
          </mc:Fallback>
        </mc:AlternateContent>
      </w:r>
      <w:r>
        <w:rPr/>
        <w:t>state governments (like Bayelsa and Delta) do set aside some percentage of their security votes as payment (appeasement) to the militants monthly; thereby giving some form official recognition to militant activities. Therefore, there is the need for the Federal Government to direct such State Governments to stop any form of encouragement or recognition accorded the militants or ex-militants as the case may </w:t>
      </w:r>
      <w:r>
        <w:rPr>
          <w:spacing w:val="-4"/>
        </w:rPr>
        <w:t>be.</w:t>
      </w:r>
    </w:p>
    <w:p>
      <w:pPr>
        <w:pStyle w:val="BodyText"/>
        <w:spacing w:before="142"/>
        <w:ind w:left="0"/>
      </w:pPr>
    </w:p>
    <w:p>
      <w:pPr>
        <w:pStyle w:val="Heading2"/>
        <w:numPr>
          <w:ilvl w:val="2"/>
          <w:numId w:val="24"/>
        </w:numPr>
        <w:tabs>
          <w:tab w:pos="2100" w:val="left" w:leader="none"/>
        </w:tabs>
        <w:spacing w:line="240" w:lineRule="auto" w:before="1" w:after="0"/>
        <w:ind w:left="2100" w:right="0" w:hanging="660"/>
        <w:jc w:val="both"/>
      </w:pPr>
      <w:r>
        <w:rPr/>
        <w:t>Need</w:t>
      </w:r>
      <w:r>
        <w:rPr>
          <w:spacing w:val="-2"/>
        </w:rPr>
        <w:t> </w:t>
      </w:r>
      <w:r>
        <w:rPr/>
        <w:t>for</w:t>
      </w:r>
      <w:r>
        <w:rPr>
          <w:spacing w:val="-3"/>
        </w:rPr>
        <w:t> </w:t>
      </w:r>
      <w:r>
        <w:rPr/>
        <w:t>Improved</w:t>
      </w:r>
      <w:r>
        <w:rPr>
          <w:spacing w:val="-2"/>
        </w:rPr>
        <w:t> </w:t>
      </w:r>
      <w:r>
        <w:rPr/>
        <w:t>Inter-Agency</w:t>
      </w:r>
      <w:r>
        <w:rPr>
          <w:spacing w:val="-1"/>
        </w:rPr>
        <w:t> </w:t>
      </w:r>
      <w:r>
        <w:rPr>
          <w:spacing w:val="-2"/>
        </w:rPr>
        <w:t>Collaboration</w:t>
      </w:r>
    </w:p>
    <w:p>
      <w:pPr>
        <w:pStyle w:val="BodyText"/>
        <w:spacing w:line="360" w:lineRule="auto" w:before="134"/>
        <w:ind w:right="1256" w:firstLine="720"/>
        <w:jc w:val="both"/>
      </w:pPr>
      <w:r>
        <w:rPr/>
        <w:t>There is little inter-agency co-operation and collaboration between the JTF</w:t>
      </w:r>
      <w:r>
        <w:rPr>
          <w:spacing w:val="40"/>
        </w:rPr>
        <w:t> </w:t>
      </w:r>
      <w:r>
        <w:rPr/>
        <w:t>and agencies charged with the task of internal security and safety in the Niger Delta. The workings and situation of the JTF can be enhanced through a more carefully worked out inter-agency co-operation and collaboration.</w:t>
      </w:r>
    </w:p>
    <w:p>
      <w:pPr>
        <w:pStyle w:val="BodyText"/>
        <w:spacing w:line="360" w:lineRule="auto" w:before="1"/>
        <w:ind w:right="1261" w:firstLine="720"/>
        <w:jc w:val="both"/>
      </w:pPr>
      <w:r>
        <w:rPr/>
        <w:t>Inter-agency collaboration in the conventional sense refers to a situation in which different agencies charged with the task of IS and safety (the Armed Forces, Police, SSS, Customs, Immigration Services, Nigerian Security and Civil Defence Corps) work together to carry out PSO (Albert, 2006).</w:t>
      </w:r>
    </w:p>
    <w:p>
      <w:pPr>
        <w:pStyle w:val="BodyText"/>
        <w:spacing w:line="360" w:lineRule="auto"/>
        <w:ind w:right="1253" w:firstLine="720"/>
        <w:jc w:val="both"/>
      </w:pPr>
      <w:r>
        <w:rPr/>
        <w:t>The</w:t>
      </w:r>
      <w:r>
        <w:rPr>
          <w:spacing w:val="-2"/>
        </w:rPr>
        <w:t> </w:t>
      </w:r>
      <w:r>
        <w:rPr/>
        <w:t>JTF</w:t>
      </w:r>
      <w:r>
        <w:rPr>
          <w:spacing w:val="-2"/>
        </w:rPr>
        <w:t> </w:t>
      </w:r>
      <w:r>
        <w:rPr/>
        <w:t>setup by</w:t>
      </w:r>
      <w:r>
        <w:rPr>
          <w:spacing w:val="-8"/>
        </w:rPr>
        <w:t> </w:t>
      </w:r>
      <w:r>
        <w:rPr/>
        <w:t>the</w:t>
      </w:r>
      <w:r>
        <w:rPr>
          <w:spacing w:val="-1"/>
        </w:rPr>
        <w:t> </w:t>
      </w:r>
      <w:r>
        <w:rPr/>
        <w:t>Federal Government to deal with the</w:t>
      </w:r>
      <w:r>
        <w:rPr>
          <w:spacing w:val="-1"/>
        </w:rPr>
        <w:t> </w:t>
      </w:r>
      <w:r>
        <w:rPr/>
        <w:t>insecurity</w:t>
      </w:r>
      <w:r>
        <w:rPr>
          <w:spacing w:val="-8"/>
        </w:rPr>
        <w:t> </w:t>
      </w:r>
      <w:r>
        <w:rPr/>
        <w:t>problems of the Niger Delta is a semblance of inter-agency collaboration in IS operations.</w:t>
      </w:r>
      <w:r>
        <w:rPr>
          <w:spacing w:val="40"/>
        </w:rPr>
        <w:t> </w:t>
      </w:r>
      <w:r>
        <w:rPr/>
        <w:t>This is nonetheless, a military understanding of the concept.</w:t>
      </w:r>
      <w:r>
        <w:rPr>
          <w:spacing w:val="40"/>
        </w:rPr>
        <w:t> </w:t>
      </w:r>
      <w:r>
        <w:rPr/>
        <w:t>The study notes that the JTF military outfit has not co-operated nor collaborated well, even among the constituents of the Task Force.</w:t>
      </w:r>
      <w:r>
        <w:rPr>
          <w:spacing w:val="40"/>
        </w:rPr>
        <w:t> </w:t>
      </w:r>
      <w:r>
        <w:rPr/>
        <w:t>This was most evident especially at the inception of the operation and before the merger of the hitherto two task forces.</w:t>
      </w:r>
    </w:p>
    <w:p>
      <w:pPr>
        <w:pStyle w:val="BodyText"/>
        <w:spacing w:line="360" w:lineRule="auto" w:before="1"/>
        <w:ind w:right="1257" w:firstLine="720"/>
        <w:jc w:val="both"/>
      </w:pPr>
      <w:r>
        <w:rPr/>
        <w:t>What is being proposed in this study however, goes beyond the existing JTF structure but an improved version of it.</w:t>
      </w:r>
      <w:r>
        <w:rPr>
          <w:spacing w:val="80"/>
        </w:rPr>
        <w:t> </w:t>
      </w:r>
      <w:r>
        <w:rPr/>
        <w:t>This would obviously enable the body to work formally with NGOs, CSOs, Niger Delta Community</w:t>
      </w:r>
      <w:r>
        <w:rPr>
          <w:spacing w:val="-2"/>
        </w:rPr>
        <w:t> </w:t>
      </w:r>
      <w:r>
        <w:rPr/>
        <w:t>leaders, representatives of the militants‟ youth, ex-militants and other stakeholders in producing more</w:t>
      </w:r>
      <w:r>
        <w:rPr>
          <w:spacing w:val="40"/>
        </w:rPr>
        <w:t> </w:t>
      </w:r>
      <w:r>
        <w:rPr/>
        <w:t>sustainable strategies or framework for managing the Niger Delta conflicts.</w:t>
      </w:r>
      <w:r>
        <w:rPr>
          <w:spacing w:val="40"/>
        </w:rPr>
        <w:t> </w:t>
      </w:r>
      <w:r>
        <w:rPr/>
        <w:t>This entails giving the JTF a “human face”.</w:t>
      </w:r>
    </w:p>
    <w:p>
      <w:pPr>
        <w:pStyle w:val="BodyText"/>
        <w:spacing w:line="360" w:lineRule="auto"/>
        <w:ind w:right="1256" w:firstLine="600"/>
        <w:jc w:val="both"/>
      </w:pPr>
      <w:r>
        <w:rPr/>
        <w:t>The study also noted that the JTF military outfit has not co-operated nor collaborated well, even among the constituents of the Task Force.</w:t>
      </w:r>
      <w:r>
        <w:rPr>
          <w:spacing w:val="40"/>
        </w:rPr>
        <w:t> </w:t>
      </w:r>
      <w:r>
        <w:rPr/>
        <w:t>This was most evident especially at the inception of the operation and before the merger of the hitherto two task forces.</w:t>
      </w:r>
      <w:r>
        <w:rPr>
          <w:spacing w:val="80"/>
        </w:rPr>
        <w:t> </w:t>
      </w:r>
      <w:r>
        <w:rPr/>
        <w:t>The workings and situation of the JTF can be enhanced through</w:t>
      </w:r>
      <w:r>
        <w:rPr>
          <w:spacing w:val="49"/>
        </w:rPr>
        <w:t> </w:t>
      </w:r>
      <w:r>
        <w:rPr/>
        <w:t>a</w:t>
      </w:r>
      <w:r>
        <w:rPr>
          <w:spacing w:val="49"/>
        </w:rPr>
        <w:t> </w:t>
      </w:r>
      <w:r>
        <w:rPr/>
        <w:t>more</w:t>
      </w:r>
      <w:r>
        <w:rPr>
          <w:spacing w:val="51"/>
        </w:rPr>
        <w:t> </w:t>
      </w:r>
      <w:r>
        <w:rPr/>
        <w:t>carefully</w:t>
      </w:r>
      <w:r>
        <w:rPr>
          <w:spacing w:val="47"/>
        </w:rPr>
        <w:t> </w:t>
      </w:r>
      <w:r>
        <w:rPr/>
        <w:t>worked</w:t>
      </w:r>
      <w:r>
        <w:rPr>
          <w:spacing w:val="50"/>
        </w:rPr>
        <w:t> </w:t>
      </w:r>
      <w:r>
        <w:rPr/>
        <w:t>out</w:t>
      </w:r>
      <w:r>
        <w:rPr>
          <w:spacing w:val="50"/>
        </w:rPr>
        <w:t> </w:t>
      </w:r>
      <w:r>
        <w:rPr/>
        <w:t>inter-agency</w:t>
      </w:r>
      <w:r>
        <w:rPr>
          <w:spacing w:val="47"/>
        </w:rPr>
        <w:t> </w:t>
      </w:r>
      <w:r>
        <w:rPr/>
        <w:t>co-operation</w:t>
      </w:r>
      <w:r>
        <w:rPr>
          <w:spacing w:val="52"/>
        </w:rPr>
        <w:t> </w:t>
      </w:r>
      <w:r>
        <w:rPr/>
        <w:t>and</w:t>
      </w:r>
      <w:r>
        <w:rPr>
          <w:spacing w:val="50"/>
        </w:rPr>
        <w:t> </w:t>
      </w:r>
      <w:r>
        <w:rPr>
          <w:spacing w:val="-2"/>
        </w:rPr>
        <w:t>collaboration.</w:t>
      </w:r>
    </w:p>
    <w:p>
      <w:pPr>
        <w:spacing w:after="0" w:line="360" w:lineRule="auto"/>
        <w:jc w:val="both"/>
        <w:sectPr>
          <w:pgSz w:w="11910" w:h="16840"/>
          <w:pgMar w:header="0" w:footer="1561" w:top="1360" w:bottom="1760" w:left="720" w:right="180"/>
        </w:sectPr>
      </w:pPr>
    </w:p>
    <w:p>
      <w:pPr>
        <w:pStyle w:val="BodyText"/>
        <w:spacing w:line="360" w:lineRule="auto" w:before="60"/>
        <w:ind w:right="1254"/>
        <w:jc w:val="both"/>
      </w:pPr>
      <w:r>
        <w:rPr/>
        <mc:AlternateContent>
          <mc:Choice Requires="wps">
            <w:drawing>
              <wp:anchor distT="0" distB="0" distL="0" distR="0" allowOverlap="1" layoutInCell="1" locked="0" behindDoc="1" simplePos="0" relativeHeight="480665088">
                <wp:simplePos x="0" y="0"/>
                <wp:positionH relativeFrom="page">
                  <wp:posOffset>-1537026</wp:posOffset>
                </wp:positionH>
                <wp:positionV relativeFrom="page">
                  <wp:posOffset>4900424</wp:posOffset>
                </wp:positionV>
                <wp:extent cx="10669905" cy="914400"/>
                <wp:effectExtent l="0" t="0" r="0" b="0"/>
                <wp:wrapNone/>
                <wp:docPr id="290" name="Textbox 290"/>
                <wp:cNvGraphicFramePr>
                  <a:graphicFrameLocks/>
                </wp:cNvGraphicFramePr>
                <a:graphic>
                  <a:graphicData uri="http://schemas.microsoft.com/office/word/2010/wordprocessingShape">
                    <wps:wsp>
                      <wps:cNvPr id="290" name="Textbox 290"/>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51392;rotation:306" type="#_x0000_t136" fillcolor="#ff5400" stroked="f">
                <o:extrusion v:ext="view" autorotationcenter="t"/>
                <v:textpath style="font-family:&quot;Arial MT&quot;;font-size:72pt;v-text-kern:t;mso-text-shadow:auto" string="UNIVERSITY OF IBADAN"/>
                <w10:wrap type="none"/>
              </v:shape>
            </w:pict>
          </mc:Fallback>
        </mc:AlternateContent>
      </w:r>
      <w:r>
        <w:rPr/>
        <w:t>This requires increased government/civil society collaboration and co-operation. This type of partnership accords the JTF and other security agencies an opportunity to</w:t>
      </w:r>
      <w:r>
        <w:rPr>
          <w:spacing w:val="40"/>
        </w:rPr>
        <w:t> </w:t>
      </w:r>
      <w:r>
        <w:rPr/>
        <w:t>share ideas, knowledge, information and resources in order to learn from one another. At present, no one body or organization can alone deal with the mirage of the developmental issues or problems in the Niger Delta.</w:t>
      </w:r>
    </w:p>
    <w:p>
      <w:pPr>
        <w:pStyle w:val="BodyText"/>
        <w:spacing w:line="360" w:lineRule="auto"/>
        <w:ind w:right="1258" w:firstLine="722"/>
        <w:jc w:val="both"/>
      </w:pPr>
      <w:r>
        <w:rPr/>
        <w:t>In the same vein, promotion of inter-agency co-operation could be through conduct of periodic joint training exercises, seminars and workshops in Internal Security operations by security agencies.</w:t>
      </w:r>
    </w:p>
    <w:p>
      <w:pPr>
        <w:pStyle w:val="BodyText"/>
        <w:spacing w:before="143"/>
        <w:ind w:left="0"/>
      </w:pPr>
    </w:p>
    <w:p>
      <w:pPr>
        <w:pStyle w:val="Heading2"/>
        <w:numPr>
          <w:ilvl w:val="2"/>
          <w:numId w:val="24"/>
        </w:numPr>
        <w:tabs>
          <w:tab w:pos="2160" w:val="left" w:leader="none"/>
        </w:tabs>
        <w:spacing w:line="240" w:lineRule="auto" w:before="0" w:after="0"/>
        <w:ind w:left="2160" w:right="0" w:hanging="720"/>
        <w:jc w:val="both"/>
      </w:pPr>
      <w:r>
        <w:rPr/>
        <w:t>Lack</w:t>
      </w:r>
      <w:r>
        <w:rPr>
          <w:spacing w:val="-2"/>
        </w:rPr>
        <w:t> </w:t>
      </w:r>
      <w:r>
        <w:rPr/>
        <w:t>of</w:t>
      </w:r>
      <w:r>
        <w:rPr>
          <w:spacing w:val="-2"/>
        </w:rPr>
        <w:t> </w:t>
      </w:r>
      <w:r>
        <w:rPr/>
        <w:t>Political</w:t>
      </w:r>
      <w:r>
        <w:rPr>
          <w:spacing w:val="-1"/>
        </w:rPr>
        <w:t> </w:t>
      </w:r>
      <w:r>
        <w:rPr>
          <w:spacing w:val="-4"/>
        </w:rPr>
        <w:t>Will</w:t>
      </w:r>
    </w:p>
    <w:p>
      <w:pPr>
        <w:pStyle w:val="BodyText"/>
        <w:spacing w:line="360" w:lineRule="auto" w:before="135"/>
        <w:ind w:right="1256" w:firstLine="720"/>
        <w:jc w:val="both"/>
      </w:pPr>
      <w:r>
        <w:rPr/>
        <w:t>There seemingly is lack of political will by</w:t>
      </w:r>
      <w:r>
        <w:rPr>
          <w:spacing w:val="-1"/>
        </w:rPr>
        <w:t> </w:t>
      </w:r>
      <w:r>
        <w:rPr/>
        <w:t>the government to tackle militancy and illegal oil bunkering in the Niger Delta region.</w:t>
      </w:r>
      <w:r>
        <w:rPr>
          <w:spacing w:val="40"/>
        </w:rPr>
        <w:t> </w:t>
      </w:r>
      <w:r>
        <w:rPr/>
        <w:t>For example, the inability of the government at both the Federal and State levels to take decisive stand to stamp out militancy is a serious challenge. During an interview with Chief Ileberi, a political elite in Yenagoa, it was observed that the Bayelsa State Government sustained the activities of these militants and or ex-militants through monthly emoluments in the spirit of appeasement.</w:t>
      </w:r>
      <w:r>
        <w:rPr>
          <w:spacing w:val="40"/>
        </w:rPr>
        <w:t> </w:t>
      </w:r>
      <w:r>
        <w:rPr/>
        <w:t>He remarked that the State Government Security Committee paid known militant groups from its security votes.</w:t>
      </w:r>
      <w:r>
        <w:rPr>
          <w:spacing w:val="40"/>
        </w:rPr>
        <w:t> </w:t>
      </w:r>
      <w:r>
        <w:rPr/>
        <w:t>This strategy of appeasement is counter-productive as such money could be used to purchase arms and logistics to sustain their criminal activities.</w:t>
      </w:r>
      <w:r>
        <w:rPr>
          <w:spacing w:val="40"/>
        </w:rPr>
        <w:t> </w:t>
      </w:r>
      <w:r>
        <w:rPr/>
        <w:t>Therefore, there is the need for the Federal Government to direct such State Governments to stop any form of encouragement or recognition accorded the militants or ex-militants as the case may be.</w:t>
      </w:r>
    </w:p>
    <w:p>
      <w:pPr>
        <w:pStyle w:val="BodyText"/>
        <w:spacing w:line="360" w:lineRule="auto" w:before="1"/>
        <w:ind w:right="1258" w:firstLine="782"/>
        <w:jc w:val="both"/>
      </w:pPr>
      <w:r>
        <w:rPr/>
        <w:t>It</w:t>
      </w:r>
      <w:r>
        <w:rPr>
          <w:spacing w:val="-3"/>
        </w:rPr>
        <w:t> </w:t>
      </w:r>
      <w:r>
        <w:rPr/>
        <w:t>is</w:t>
      </w:r>
      <w:r>
        <w:rPr>
          <w:spacing w:val="-1"/>
        </w:rPr>
        <w:t> </w:t>
      </w:r>
      <w:r>
        <w:rPr/>
        <w:t>also</w:t>
      </w:r>
      <w:r>
        <w:rPr>
          <w:spacing w:val="-3"/>
        </w:rPr>
        <w:t> </w:t>
      </w:r>
      <w:r>
        <w:rPr/>
        <w:t>believed</w:t>
      </w:r>
      <w:r>
        <w:rPr>
          <w:spacing w:val="-3"/>
        </w:rPr>
        <w:t> </w:t>
      </w:r>
      <w:r>
        <w:rPr/>
        <w:t>that</w:t>
      </w:r>
      <w:r>
        <w:rPr>
          <w:spacing w:val="-3"/>
        </w:rPr>
        <w:t> </w:t>
      </w:r>
      <w:r>
        <w:rPr/>
        <w:t>the</w:t>
      </w:r>
      <w:r>
        <w:rPr>
          <w:spacing w:val="-4"/>
        </w:rPr>
        <w:t> </w:t>
      </w:r>
      <w:r>
        <w:rPr/>
        <w:t>JTF</w:t>
      </w:r>
      <w:r>
        <w:rPr>
          <w:spacing w:val="-5"/>
        </w:rPr>
        <w:t> </w:t>
      </w:r>
      <w:r>
        <w:rPr/>
        <w:t>Operation RESTORE</w:t>
      </w:r>
      <w:r>
        <w:rPr>
          <w:spacing w:val="-3"/>
        </w:rPr>
        <w:t> </w:t>
      </w:r>
      <w:r>
        <w:rPr/>
        <w:t>HOPE</w:t>
      </w:r>
      <w:r>
        <w:rPr>
          <w:spacing w:val="-3"/>
        </w:rPr>
        <w:t> </w:t>
      </w:r>
      <w:r>
        <w:rPr/>
        <w:t>has</w:t>
      </w:r>
      <w:r>
        <w:rPr>
          <w:spacing w:val="-3"/>
        </w:rPr>
        <w:t> </w:t>
      </w:r>
      <w:r>
        <w:rPr/>
        <w:t>not</w:t>
      </w:r>
      <w:r>
        <w:rPr>
          <w:spacing w:val="-1"/>
        </w:rPr>
        <w:t> </w:t>
      </w:r>
      <w:r>
        <w:rPr/>
        <w:t>succeeded in solving the Niger Delta conflict due to two major reasons.</w:t>
      </w:r>
      <w:r>
        <w:rPr>
          <w:spacing w:val="40"/>
        </w:rPr>
        <w:t> </w:t>
      </w:r>
      <w:r>
        <w:rPr/>
        <w:t>First, the militants are Nigerians and the JTF is allowed only to act in self-defence.</w:t>
      </w:r>
      <w:r>
        <w:rPr>
          <w:spacing w:val="40"/>
        </w:rPr>
        <w:t> </w:t>
      </w:r>
      <w:r>
        <w:rPr/>
        <w:t>Furthermore, a state of insurgency has not been declared in the region. Towards this, the Force has not been adequately equipped and sustained for military operations in the region. Second, the Federal Government‟s stand till date is that the Niger Delta problem will require military</w:t>
      </w:r>
      <w:r>
        <w:rPr>
          <w:spacing w:val="-3"/>
        </w:rPr>
        <w:t> </w:t>
      </w:r>
      <w:r>
        <w:rPr/>
        <w:t>solution as the last option.</w:t>
      </w:r>
      <w:r>
        <w:rPr>
          <w:spacing w:val="40"/>
        </w:rPr>
        <w:t> </w:t>
      </w:r>
      <w:r>
        <w:rPr/>
        <w:t>Invariably, the government has put the last option first and this is not helping the JTF to achieve the aim for which it was set up.</w:t>
      </w:r>
    </w:p>
    <w:p>
      <w:pPr>
        <w:pStyle w:val="BodyText"/>
        <w:spacing w:line="360" w:lineRule="auto"/>
        <w:ind w:right="1256" w:firstLine="720"/>
        <w:jc w:val="both"/>
      </w:pPr>
      <w:r>
        <w:rPr/>
        <w:t>Likewise, strong political will would have helped to keep the JTF operations focused and goal oriented.</w:t>
      </w:r>
      <w:r>
        <w:rPr>
          <w:spacing w:val="80"/>
        </w:rPr>
        <w:t> </w:t>
      </w:r>
      <w:r>
        <w:rPr/>
        <w:t>For instance, strong political will is required for the Federal Government</w:t>
      </w:r>
      <w:r>
        <w:rPr>
          <w:spacing w:val="1"/>
        </w:rPr>
        <w:t> </w:t>
      </w:r>
      <w:r>
        <w:rPr/>
        <w:t>to</w:t>
      </w:r>
      <w:r>
        <w:rPr>
          <w:spacing w:val="1"/>
        </w:rPr>
        <w:t> </w:t>
      </w:r>
      <w:r>
        <w:rPr/>
        <w:t>take</w:t>
      </w:r>
      <w:r>
        <w:rPr>
          <w:spacing w:val="-1"/>
        </w:rPr>
        <w:t> </w:t>
      </w:r>
      <w:r>
        <w:rPr/>
        <w:t>adequate</w:t>
      </w:r>
      <w:r>
        <w:rPr>
          <w:spacing w:val="-1"/>
        </w:rPr>
        <w:t> </w:t>
      </w:r>
      <w:r>
        <w:rPr/>
        <w:t>measures</w:t>
      </w:r>
      <w:r>
        <w:rPr>
          <w:spacing w:val="1"/>
        </w:rPr>
        <w:t> </w:t>
      </w:r>
      <w:r>
        <w:rPr/>
        <w:t>to</w:t>
      </w:r>
      <w:r>
        <w:rPr>
          <w:spacing w:val="1"/>
        </w:rPr>
        <w:t> </w:t>
      </w:r>
      <w:r>
        <w:rPr/>
        <w:t>stop</w:t>
      </w:r>
      <w:r>
        <w:rPr>
          <w:spacing w:val="1"/>
        </w:rPr>
        <w:t> </w:t>
      </w:r>
      <w:r>
        <w:rPr/>
        <w:t>oil</w:t>
      </w:r>
      <w:r>
        <w:rPr>
          <w:spacing w:val="-2"/>
        </w:rPr>
        <w:t> </w:t>
      </w:r>
      <w:r>
        <w:rPr/>
        <w:t>theft</w:t>
      </w:r>
      <w:r>
        <w:rPr>
          <w:spacing w:val="1"/>
        </w:rPr>
        <w:t> </w:t>
      </w:r>
      <w:r>
        <w:rPr/>
        <w:t>arising</w:t>
      </w:r>
      <w:r>
        <w:rPr>
          <w:spacing w:val="-1"/>
        </w:rPr>
        <w:t> </w:t>
      </w:r>
      <w:r>
        <w:rPr/>
        <w:t>from</w:t>
      </w:r>
      <w:r>
        <w:rPr>
          <w:spacing w:val="1"/>
        </w:rPr>
        <w:t> </w:t>
      </w:r>
      <w:r>
        <w:rPr/>
        <w:t>illegal</w:t>
      </w:r>
      <w:r>
        <w:rPr>
          <w:spacing w:val="1"/>
        </w:rPr>
        <w:t> </w:t>
      </w:r>
      <w:r>
        <w:rPr>
          <w:spacing w:val="-5"/>
        </w:rPr>
        <w:t>oil</w:t>
      </w:r>
    </w:p>
    <w:p>
      <w:pPr>
        <w:spacing w:after="0" w:line="360" w:lineRule="auto"/>
        <w:jc w:val="both"/>
        <w:sectPr>
          <w:pgSz w:w="11910" w:h="16840"/>
          <w:pgMar w:header="0" w:footer="1561" w:top="1360" w:bottom="1760" w:left="720" w:right="180"/>
        </w:sectPr>
      </w:pPr>
    </w:p>
    <w:p>
      <w:pPr>
        <w:pStyle w:val="BodyText"/>
        <w:spacing w:line="360" w:lineRule="auto" w:before="60"/>
        <w:ind w:right="1261"/>
        <w:jc w:val="both"/>
      </w:pPr>
      <w:r>
        <w:rPr/>
        <mc:AlternateContent>
          <mc:Choice Requires="wps">
            <w:drawing>
              <wp:anchor distT="0" distB="0" distL="0" distR="0" allowOverlap="1" layoutInCell="1" locked="0" behindDoc="1" simplePos="0" relativeHeight="480665600">
                <wp:simplePos x="0" y="0"/>
                <wp:positionH relativeFrom="page">
                  <wp:posOffset>-1537026</wp:posOffset>
                </wp:positionH>
                <wp:positionV relativeFrom="page">
                  <wp:posOffset>4900424</wp:posOffset>
                </wp:positionV>
                <wp:extent cx="10669905" cy="914400"/>
                <wp:effectExtent l="0" t="0" r="0" b="0"/>
                <wp:wrapNone/>
                <wp:docPr id="291" name="Textbox 291"/>
                <wp:cNvGraphicFramePr>
                  <a:graphicFrameLocks/>
                </wp:cNvGraphicFramePr>
                <a:graphic>
                  <a:graphicData uri="http://schemas.microsoft.com/office/word/2010/wordprocessingShape">
                    <wps:wsp>
                      <wps:cNvPr id="291" name="Textbox 291"/>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50880;rotation:306" type="#_x0000_t136" fillcolor="#ff5400" stroked="f">
                <o:extrusion v:ext="view" autorotationcenter="t"/>
                <v:textpath style="font-family:&quot;Arial MT&quot;;font-size:72pt;v-text-kern:t;mso-text-shadow:auto" string="UNIVERSITY OF IBADAN"/>
                <w10:wrap type="none"/>
              </v:shape>
            </w:pict>
          </mc:Fallback>
        </mc:AlternateContent>
      </w:r>
      <w:r>
        <w:rPr/>
        <w:t>bunkering activities in the Niger Delta. It has become necessary therefore for Federal Government to enforce the recently enacted anti-sabotage and anti illegal oil bunkering laws against criminals.</w:t>
      </w:r>
    </w:p>
    <w:p>
      <w:pPr>
        <w:pStyle w:val="BodyText"/>
        <w:spacing w:line="360" w:lineRule="auto"/>
        <w:ind w:right="1259" w:firstLine="720"/>
        <w:jc w:val="both"/>
      </w:pPr>
      <w:r>
        <w:rPr/>
        <w:t>Additionally, there</w:t>
      </w:r>
      <w:r>
        <w:rPr>
          <w:spacing w:val="-1"/>
        </w:rPr>
        <w:t> </w:t>
      </w:r>
      <w:r>
        <w:rPr/>
        <w:t>is the failure</w:t>
      </w:r>
      <w:r>
        <w:rPr>
          <w:spacing w:val="-1"/>
        </w:rPr>
        <w:t> </w:t>
      </w:r>
      <w:r>
        <w:rPr/>
        <w:t>of</w:t>
      </w:r>
      <w:r>
        <w:rPr>
          <w:spacing w:val="-1"/>
        </w:rPr>
        <w:t> </w:t>
      </w:r>
      <w:r>
        <w:rPr/>
        <w:t>the government at various levels to embark on massive socio-economic development of the Niger Delta region including actionable youth employment. The political line of action is expected to perform this role in order to win hearts and minds that would enhance the efforts of the military JTF operations in dealing with criminality that abounds in the region.</w:t>
      </w:r>
      <w:r>
        <w:rPr>
          <w:spacing w:val="40"/>
        </w:rPr>
        <w:t> </w:t>
      </w:r>
      <w:r>
        <w:rPr/>
        <w:t>Unfortunately, the political line of action is rather not effective, resulting in the people of the Niger Delta perception of the JTF troops as a failure and an occupation force.</w:t>
      </w:r>
    </w:p>
    <w:p>
      <w:pPr>
        <w:pStyle w:val="BodyText"/>
        <w:spacing w:line="360" w:lineRule="auto" w:before="2"/>
        <w:ind w:right="1256" w:firstLine="480"/>
        <w:jc w:val="both"/>
      </w:pPr>
      <w:r>
        <w:rPr/>
        <w:t>The Joint Military Task Force Operation therefore, became protracted, having lasted for over seven years.</w:t>
      </w:r>
      <w:r>
        <w:rPr>
          <w:spacing w:val="40"/>
        </w:rPr>
        <w:t> </w:t>
      </w:r>
      <w:r>
        <w:rPr/>
        <w:t>Borrowing from Mockaitis‟ idea, some conflicts have no military solution and the center of gravity could lie in the political, economic and social domain (Mockaitis, 1995: 110).</w:t>
      </w:r>
      <w:r>
        <w:rPr>
          <w:spacing w:val="40"/>
        </w:rPr>
        <w:t> </w:t>
      </w:r>
      <w:r>
        <w:rPr/>
        <w:t>Nonetheless, political line of operations could have enhanced the JTF‟s military</w:t>
      </w:r>
      <w:r>
        <w:rPr>
          <w:spacing w:val="-3"/>
        </w:rPr>
        <w:t> </w:t>
      </w:r>
      <w:r>
        <w:rPr/>
        <w:t>operations to achieve the desired peace and security if they were co-ordinated.</w:t>
      </w:r>
      <w:r>
        <w:rPr>
          <w:spacing w:val="40"/>
        </w:rPr>
        <w:t> </w:t>
      </w:r>
      <w:r>
        <w:rPr/>
        <w:t>In the Niger Delta therefore, the importance of concurrent as well as effective co-ordination of the political and military lines of action in</w:t>
      </w:r>
      <w:r>
        <w:rPr>
          <w:spacing w:val="40"/>
        </w:rPr>
        <w:t> </w:t>
      </w:r>
      <w:r>
        <w:rPr/>
        <w:t>Internal Security management proved crucial.</w:t>
      </w:r>
    </w:p>
    <w:p>
      <w:pPr>
        <w:pStyle w:val="BodyText"/>
        <w:spacing w:before="142"/>
        <w:ind w:left="0"/>
      </w:pPr>
    </w:p>
    <w:p>
      <w:pPr>
        <w:pStyle w:val="Heading1"/>
        <w:numPr>
          <w:ilvl w:val="1"/>
          <w:numId w:val="19"/>
        </w:numPr>
        <w:tabs>
          <w:tab w:pos="2160" w:val="left" w:leader="none"/>
        </w:tabs>
        <w:spacing w:line="360" w:lineRule="auto" w:before="0" w:after="0"/>
        <w:ind w:left="2160" w:right="1261" w:hanging="720"/>
        <w:jc w:val="both"/>
      </w:pPr>
      <w:r>
        <w:rPr/>
        <w:t>COMMUNITY PERCEPTION OF MILITARY JOINT TASK FORCE IN THE NIGER DELTA</w:t>
      </w:r>
    </w:p>
    <w:p>
      <w:pPr>
        <w:pStyle w:val="Heading2"/>
        <w:numPr>
          <w:ilvl w:val="2"/>
          <w:numId w:val="19"/>
        </w:numPr>
        <w:tabs>
          <w:tab w:pos="2160" w:val="left" w:leader="none"/>
        </w:tabs>
        <w:spacing w:line="360" w:lineRule="auto" w:before="0" w:after="0"/>
        <w:ind w:left="2160" w:right="1261" w:hanging="720"/>
        <w:jc w:val="both"/>
      </w:pPr>
      <w:r>
        <w:rPr/>
        <w:t>Summary of Demographic Characteristics of Perception Survey of </w:t>
      </w:r>
      <w:r>
        <w:rPr>
          <w:spacing w:val="-2"/>
        </w:rPr>
        <w:t>Respondents</w:t>
      </w:r>
    </w:p>
    <w:p>
      <w:pPr>
        <w:pStyle w:val="BodyText"/>
        <w:spacing w:line="360" w:lineRule="auto"/>
        <w:ind w:right="1260" w:firstLine="720"/>
        <w:jc w:val="both"/>
      </w:pPr>
      <w:r>
        <w:rPr/>
        <w:t>The summary of data collection shows that, 300 copies of questionnaire were distributed, out of which 240 copies of questionnaire came in from the field. A copy</w:t>
      </w:r>
      <w:r>
        <w:rPr>
          <w:spacing w:val="40"/>
        </w:rPr>
        <w:t> </w:t>
      </w:r>
      <w:r>
        <w:rPr/>
        <w:t>of the questionnaire administered is shown in Appendix 1. The respondents were randomly selected.</w:t>
      </w:r>
    </w:p>
    <w:p>
      <w:pPr>
        <w:pStyle w:val="Heading2"/>
        <w:numPr>
          <w:ilvl w:val="2"/>
          <w:numId w:val="19"/>
        </w:numPr>
        <w:tabs>
          <w:tab w:pos="1980" w:val="left" w:leader="none"/>
        </w:tabs>
        <w:spacing w:line="240" w:lineRule="auto" w:before="1" w:after="0"/>
        <w:ind w:left="1980" w:right="0" w:hanging="540"/>
        <w:jc w:val="both"/>
      </w:pPr>
      <w:r>
        <w:rPr/>
        <w:t>Distribution</w:t>
      </w:r>
      <w:r>
        <w:rPr>
          <w:spacing w:val="-4"/>
        </w:rPr>
        <w:t> </w:t>
      </w:r>
      <w:r>
        <w:rPr/>
        <w:t>of</w:t>
      </w:r>
      <w:r>
        <w:rPr>
          <w:spacing w:val="-1"/>
        </w:rPr>
        <w:t> </w:t>
      </w:r>
      <w:r>
        <w:rPr/>
        <w:t>Respondents</w:t>
      </w:r>
      <w:r>
        <w:rPr>
          <w:spacing w:val="-1"/>
        </w:rPr>
        <w:t> </w:t>
      </w:r>
      <w:r>
        <w:rPr/>
        <w:t>by</w:t>
      </w:r>
      <w:r>
        <w:rPr>
          <w:spacing w:val="-3"/>
        </w:rPr>
        <w:t> </w:t>
      </w:r>
      <w:r>
        <w:rPr>
          <w:spacing w:val="-2"/>
        </w:rPr>
        <w:t>State</w:t>
      </w:r>
    </w:p>
    <w:p>
      <w:pPr>
        <w:pStyle w:val="BodyText"/>
        <w:spacing w:line="360" w:lineRule="auto" w:before="134"/>
        <w:ind w:right="1258" w:firstLine="729"/>
        <w:jc w:val="both"/>
      </w:pPr>
      <w:r>
        <w:rPr/>
        <w:t>From the frequency distribution; 88 [36.7%] people were from Bayelsa State, 73 [30.4%] from Delta State and 76 [31.7%] from Rivers State while 0.4% did not indicate their state.</w:t>
      </w:r>
    </w:p>
    <w:p>
      <w:pPr>
        <w:pStyle w:val="Heading2"/>
        <w:numPr>
          <w:ilvl w:val="2"/>
          <w:numId w:val="19"/>
        </w:numPr>
        <w:tabs>
          <w:tab w:pos="2040" w:val="left" w:leader="none"/>
        </w:tabs>
        <w:spacing w:line="240" w:lineRule="auto" w:before="4" w:after="0"/>
        <w:ind w:left="2040" w:right="0" w:hanging="540"/>
        <w:jc w:val="both"/>
      </w:pPr>
      <w:r>
        <w:rPr/>
        <w:t>Distribution</w:t>
      </w:r>
      <w:r>
        <w:rPr>
          <w:spacing w:val="-2"/>
        </w:rPr>
        <w:t> </w:t>
      </w:r>
      <w:r>
        <w:rPr/>
        <w:t>of</w:t>
      </w:r>
      <w:r>
        <w:rPr>
          <w:spacing w:val="-1"/>
        </w:rPr>
        <w:t> </w:t>
      </w:r>
      <w:r>
        <w:rPr/>
        <w:t>Respondents</w:t>
      </w:r>
      <w:r>
        <w:rPr>
          <w:spacing w:val="-1"/>
        </w:rPr>
        <w:t> </w:t>
      </w:r>
      <w:r>
        <w:rPr/>
        <w:t>by</w:t>
      </w:r>
      <w:r>
        <w:rPr>
          <w:spacing w:val="-1"/>
        </w:rPr>
        <w:t> </w:t>
      </w:r>
      <w:r>
        <w:rPr>
          <w:spacing w:val="-2"/>
        </w:rPr>
        <w:t>Gender</w:t>
      </w:r>
    </w:p>
    <w:p>
      <w:pPr>
        <w:pStyle w:val="BodyText"/>
        <w:spacing w:before="134"/>
        <w:ind w:left="2160"/>
        <w:jc w:val="both"/>
      </w:pPr>
      <w:r>
        <w:rPr/>
        <w:t>Of</w:t>
      </w:r>
      <w:r>
        <w:rPr>
          <w:spacing w:val="21"/>
        </w:rPr>
        <w:t> </w:t>
      </w:r>
      <w:r>
        <w:rPr/>
        <w:t>the</w:t>
      </w:r>
      <w:r>
        <w:rPr>
          <w:spacing w:val="22"/>
        </w:rPr>
        <w:t> </w:t>
      </w:r>
      <w:r>
        <w:rPr/>
        <w:t>234</w:t>
      </w:r>
      <w:r>
        <w:rPr>
          <w:spacing w:val="23"/>
        </w:rPr>
        <w:t> </w:t>
      </w:r>
      <w:r>
        <w:rPr/>
        <w:t>out</w:t>
      </w:r>
      <w:r>
        <w:rPr>
          <w:spacing w:val="23"/>
        </w:rPr>
        <w:t> </w:t>
      </w:r>
      <w:r>
        <w:rPr/>
        <w:t>of</w:t>
      </w:r>
      <w:r>
        <w:rPr>
          <w:spacing w:val="22"/>
        </w:rPr>
        <w:t> </w:t>
      </w:r>
      <w:r>
        <w:rPr/>
        <w:t>240</w:t>
      </w:r>
      <w:r>
        <w:rPr>
          <w:spacing w:val="23"/>
        </w:rPr>
        <w:t> </w:t>
      </w:r>
      <w:r>
        <w:rPr/>
        <w:t>of</w:t>
      </w:r>
      <w:r>
        <w:rPr>
          <w:spacing w:val="22"/>
        </w:rPr>
        <w:t> </w:t>
      </w:r>
      <w:r>
        <w:rPr/>
        <w:t>the</w:t>
      </w:r>
      <w:r>
        <w:rPr>
          <w:spacing w:val="22"/>
        </w:rPr>
        <w:t> </w:t>
      </w:r>
      <w:r>
        <w:rPr/>
        <w:t>sample</w:t>
      </w:r>
      <w:r>
        <w:rPr>
          <w:spacing w:val="22"/>
        </w:rPr>
        <w:t> </w:t>
      </w:r>
      <w:r>
        <w:rPr/>
        <w:t>that</w:t>
      </w:r>
      <w:r>
        <w:rPr>
          <w:spacing w:val="22"/>
        </w:rPr>
        <w:t> </w:t>
      </w:r>
      <w:r>
        <w:rPr/>
        <w:t>indicated</w:t>
      </w:r>
      <w:r>
        <w:rPr>
          <w:spacing w:val="22"/>
        </w:rPr>
        <w:t> </w:t>
      </w:r>
      <w:r>
        <w:rPr/>
        <w:t>their</w:t>
      </w:r>
      <w:r>
        <w:rPr>
          <w:spacing w:val="23"/>
        </w:rPr>
        <w:t> </w:t>
      </w:r>
      <w:r>
        <w:rPr/>
        <w:t>gender,</w:t>
      </w:r>
      <w:r>
        <w:rPr>
          <w:spacing w:val="22"/>
        </w:rPr>
        <w:t> </w:t>
      </w:r>
      <w:r>
        <w:rPr/>
        <w:t>75.6%</w:t>
      </w:r>
      <w:r>
        <w:rPr>
          <w:spacing w:val="25"/>
        </w:rPr>
        <w:t> </w:t>
      </w:r>
      <w:r>
        <w:rPr>
          <w:spacing w:val="-4"/>
        </w:rPr>
        <w:t>were</w:t>
      </w:r>
    </w:p>
    <w:p>
      <w:pPr>
        <w:spacing w:after="0"/>
        <w:jc w:val="both"/>
        <w:sectPr>
          <w:pgSz w:w="11910" w:h="16840"/>
          <w:pgMar w:header="0" w:footer="1561" w:top="1360" w:bottom="1760" w:left="720" w:right="180"/>
        </w:sectPr>
      </w:pPr>
    </w:p>
    <w:p>
      <w:pPr>
        <w:pStyle w:val="BodyText"/>
        <w:spacing w:before="60"/>
      </w:pPr>
      <w:r>
        <w:rPr/>
        <mc:AlternateContent>
          <mc:Choice Requires="wps">
            <w:drawing>
              <wp:anchor distT="0" distB="0" distL="0" distR="0" allowOverlap="1" layoutInCell="1" locked="0" behindDoc="1" simplePos="0" relativeHeight="480666112">
                <wp:simplePos x="0" y="0"/>
                <wp:positionH relativeFrom="page">
                  <wp:posOffset>-1537026</wp:posOffset>
                </wp:positionH>
                <wp:positionV relativeFrom="page">
                  <wp:posOffset>4900424</wp:posOffset>
                </wp:positionV>
                <wp:extent cx="10669905" cy="914400"/>
                <wp:effectExtent l="0" t="0" r="0" b="0"/>
                <wp:wrapNone/>
                <wp:docPr id="292" name="Textbox 292"/>
                <wp:cNvGraphicFramePr>
                  <a:graphicFrameLocks/>
                </wp:cNvGraphicFramePr>
                <a:graphic>
                  <a:graphicData uri="http://schemas.microsoft.com/office/word/2010/wordprocessingShape">
                    <wps:wsp>
                      <wps:cNvPr id="292" name="Textbox 292"/>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50368;rotation:306" type="#_x0000_t136" fillcolor="#ff5400" stroked="f">
                <o:extrusion v:ext="view" autorotationcenter="t"/>
                <v:textpath style="font-family:&quot;Arial MT&quot;;font-size:72pt;v-text-kern:t;mso-text-shadow:auto" string="UNIVERSITY OF IBADAN"/>
                <w10:wrap type="none"/>
              </v:shape>
            </w:pict>
          </mc:Fallback>
        </mc:AlternateContent>
      </w:r>
      <w:r>
        <w:rPr/>
        <w:t>male</w:t>
      </w:r>
      <w:r>
        <w:rPr>
          <w:spacing w:val="-3"/>
        </w:rPr>
        <w:t> </w:t>
      </w:r>
      <w:r>
        <w:rPr/>
        <w:t>while 24.4%</w:t>
      </w:r>
      <w:r>
        <w:rPr>
          <w:spacing w:val="-2"/>
        </w:rPr>
        <w:t> </w:t>
      </w:r>
      <w:r>
        <w:rPr/>
        <w:t>were</w:t>
      </w:r>
      <w:r>
        <w:rPr>
          <w:spacing w:val="-2"/>
        </w:rPr>
        <w:t> </w:t>
      </w:r>
      <w:r>
        <w:rPr/>
        <w:t>female</w:t>
      </w:r>
      <w:r>
        <w:rPr>
          <w:spacing w:val="-1"/>
        </w:rPr>
        <w:t> </w:t>
      </w:r>
      <w:r>
        <w:rPr/>
        <w:t>as shown in Table</w:t>
      </w:r>
      <w:r>
        <w:rPr>
          <w:spacing w:val="1"/>
        </w:rPr>
        <w:t> </w:t>
      </w:r>
      <w:r>
        <w:rPr>
          <w:spacing w:val="-5"/>
        </w:rPr>
        <w:t>1.</w:t>
      </w:r>
    </w:p>
    <w:p>
      <w:pPr>
        <w:pStyle w:val="Heading2"/>
        <w:spacing w:before="140" w:after="4"/>
        <w:ind w:left="1620"/>
      </w:pPr>
      <w:r>
        <w:rPr/>
        <w:t>Table</w:t>
      </w:r>
      <w:r>
        <w:rPr>
          <w:spacing w:val="-1"/>
        </w:rPr>
        <w:t> </w:t>
      </w:r>
      <w:r>
        <w:rPr/>
        <w:t>1:</w:t>
      </w:r>
      <w:r>
        <w:rPr>
          <w:spacing w:val="-3"/>
        </w:rPr>
        <w:t> </w:t>
      </w:r>
      <w:r>
        <w:rPr/>
        <w:t>Gender</w:t>
      </w:r>
      <w:r>
        <w:rPr>
          <w:spacing w:val="-2"/>
        </w:rPr>
        <w:t> </w:t>
      </w:r>
      <w:r>
        <w:rPr/>
        <w:t>of </w:t>
      </w:r>
      <w:r>
        <w:rPr>
          <w:spacing w:val="-2"/>
        </w:rPr>
        <w:t>Respondents</w:t>
      </w: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21"/>
        <w:gridCol w:w="1801"/>
        <w:gridCol w:w="1261"/>
        <w:gridCol w:w="1802"/>
        <w:gridCol w:w="1441"/>
      </w:tblGrid>
      <w:tr>
        <w:trPr>
          <w:trHeight w:val="665" w:hRule="atLeast"/>
        </w:trPr>
        <w:tc>
          <w:tcPr>
            <w:tcW w:w="2521" w:type="dxa"/>
            <w:vMerge w:val="restart"/>
          </w:tcPr>
          <w:p>
            <w:pPr>
              <w:pStyle w:val="TableParagraph"/>
              <w:spacing w:before="250"/>
              <w:rPr>
                <w:b/>
                <w:sz w:val="24"/>
              </w:rPr>
            </w:pPr>
          </w:p>
          <w:p>
            <w:pPr>
              <w:pStyle w:val="TableParagraph"/>
              <w:spacing w:before="1"/>
              <w:ind w:left="21" w:right="15"/>
              <w:jc w:val="center"/>
              <w:rPr>
                <w:b/>
                <w:sz w:val="24"/>
              </w:rPr>
            </w:pPr>
            <w:r>
              <w:rPr>
                <w:b/>
                <w:spacing w:val="-2"/>
                <w:sz w:val="24"/>
              </w:rPr>
              <w:t>Gender</w:t>
            </w:r>
          </w:p>
        </w:tc>
        <w:tc>
          <w:tcPr>
            <w:tcW w:w="1801" w:type="dxa"/>
            <w:vMerge w:val="restart"/>
          </w:tcPr>
          <w:p>
            <w:pPr>
              <w:pStyle w:val="TableParagraph"/>
              <w:spacing w:before="250"/>
              <w:rPr>
                <w:b/>
                <w:sz w:val="24"/>
              </w:rPr>
            </w:pPr>
          </w:p>
          <w:p>
            <w:pPr>
              <w:pStyle w:val="TableParagraph"/>
              <w:spacing w:before="1"/>
              <w:ind w:left="352"/>
              <w:rPr>
                <w:b/>
                <w:sz w:val="24"/>
              </w:rPr>
            </w:pPr>
            <w:r>
              <w:rPr>
                <w:b/>
                <w:spacing w:val="-2"/>
                <w:sz w:val="24"/>
              </w:rPr>
              <w:t>Frequency</w:t>
            </w:r>
          </w:p>
        </w:tc>
        <w:tc>
          <w:tcPr>
            <w:tcW w:w="1261" w:type="dxa"/>
            <w:vMerge w:val="restart"/>
          </w:tcPr>
          <w:p>
            <w:pPr>
              <w:pStyle w:val="TableParagraph"/>
              <w:spacing w:before="250"/>
              <w:rPr>
                <w:b/>
                <w:sz w:val="24"/>
              </w:rPr>
            </w:pPr>
          </w:p>
          <w:p>
            <w:pPr>
              <w:pStyle w:val="TableParagraph"/>
              <w:spacing w:before="1"/>
              <w:ind w:left="233"/>
              <w:rPr>
                <w:b/>
                <w:sz w:val="24"/>
              </w:rPr>
            </w:pPr>
            <w:r>
              <w:rPr>
                <w:b/>
                <w:spacing w:val="-2"/>
                <w:sz w:val="24"/>
              </w:rPr>
              <w:t>Percent</w:t>
            </w:r>
          </w:p>
        </w:tc>
        <w:tc>
          <w:tcPr>
            <w:tcW w:w="1802" w:type="dxa"/>
            <w:tcBorders>
              <w:bottom w:val="nil"/>
            </w:tcBorders>
          </w:tcPr>
          <w:p>
            <w:pPr>
              <w:pStyle w:val="TableParagraph"/>
              <w:spacing w:before="157"/>
              <w:ind w:left="3" w:right="1"/>
              <w:jc w:val="center"/>
              <w:rPr>
                <w:b/>
                <w:sz w:val="24"/>
              </w:rPr>
            </w:pPr>
            <w:r>
              <w:rPr>
                <w:b/>
                <w:spacing w:val="-2"/>
                <w:sz w:val="24"/>
              </w:rPr>
              <w:t>Valid</w:t>
            </w:r>
          </w:p>
        </w:tc>
        <w:tc>
          <w:tcPr>
            <w:tcW w:w="1441" w:type="dxa"/>
            <w:tcBorders>
              <w:bottom w:val="nil"/>
            </w:tcBorders>
          </w:tcPr>
          <w:p>
            <w:pPr>
              <w:pStyle w:val="TableParagraph"/>
              <w:spacing w:before="157"/>
              <w:ind w:left="75" w:right="75"/>
              <w:jc w:val="center"/>
              <w:rPr>
                <w:b/>
                <w:sz w:val="24"/>
              </w:rPr>
            </w:pPr>
            <w:r>
              <w:rPr>
                <w:b/>
                <w:spacing w:val="-2"/>
                <w:sz w:val="24"/>
              </w:rPr>
              <w:t>Cumulative</w:t>
            </w:r>
          </w:p>
        </w:tc>
      </w:tr>
      <w:tr>
        <w:trPr>
          <w:trHeight w:val="793" w:hRule="atLeast"/>
        </w:trPr>
        <w:tc>
          <w:tcPr>
            <w:tcW w:w="2521" w:type="dxa"/>
            <w:vMerge/>
            <w:tcBorders>
              <w:top w:val="nil"/>
            </w:tcBorders>
          </w:tcPr>
          <w:p>
            <w:pPr>
              <w:rPr>
                <w:sz w:val="2"/>
                <w:szCs w:val="2"/>
              </w:rPr>
            </w:pPr>
          </w:p>
        </w:tc>
        <w:tc>
          <w:tcPr>
            <w:tcW w:w="1801" w:type="dxa"/>
            <w:vMerge/>
            <w:tcBorders>
              <w:top w:val="nil"/>
            </w:tcBorders>
          </w:tcPr>
          <w:p>
            <w:pPr>
              <w:rPr>
                <w:sz w:val="2"/>
                <w:szCs w:val="2"/>
              </w:rPr>
            </w:pPr>
          </w:p>
        </w:tc>
        <w:tc>
          <w:tcPr>
            <w:tcW w:w="1261" w:type="dxa"/>
            <w:vMerge/>
            <w:tcBorders>
              <w:top w:val="nil"/>
            </w:tcBorders>
          </w:tcPr>
          <w:p>
            <w:pPr>
              <w:rPr>
                <w:sz w:val="2"/>
                <w:szCs w:val="2"/>
              </w:rPr>
            </w:pPr>
          </w:p>
        </w:tc>
        <w:tc>
          <w:tcPr>
            <w:tcW w:w="1802" w:type="dxa"/>
            <w:tcBorders>
              <w:top w:val="nil"/>
            </w:tcBorders>
          </w:tcPr>
          <w:p>
            <w:pPr>
              <w:pStyle w:val="TableParagraph"/>
              <w:spacing w:before="221"/>
              <w:ind w:left="3" w:right="2"/>
              <w:jc w:val="center"/>
              <w:rPr>
                <w:b/>
                <w:sz w:val="24"/>
              </w:rPr>
            </w:pPr>
            <w:r>
              <w:rPr>
                <w:b/>
                <w:spacing w:val="-2"/>
                <w:sz w:val="24"/>
              </w:rPr>
              <w:t>Percent</w:t>
            </w:r>
          </w:p>
        </w:tc>
        <w:tc>
          <w:tcPr>
            <w:tcW w:w="1441" w:type="dxa"/>
            <w:tcBorders>
              <w:top w:val="nil"/>
            </w:tcBorders>
          </w:tcPr>
          <w:p>
            <w:pPr>
              <w:pStyle w:val="TableParagraph"/>
              <w:spacing w:before="221"/>
              <w:ind w:left="75" w:right="75"/>
              <w:jc w:val="center"/>
              <w:rPr>
                <w:b/>
                <w:sz w:val="24"/>
              </w:rPr>
            </w:pPr>
            <w:r>
              <w:rPr>
                <w:b/>
                <w:spacing w:val="-2"/>
                <w:sz w:val="24"/>
              </w:rPr>
              <w:t>Percent</w:t>
            </w:r>
          </w:p>
        </w:tc>
      </w:tr>
      <w:tr>
        <w:trPr>
          <w:trHeight w:val="329" w:hRule="atLeast"/>
        </w:trPr>
        <w:tc>
          <w:tcPr>
            <w:tcW w:w="2521" w:type="dxa"/>
            <w:tcBorders>
              <w:bottom w:val="nil"/>
            </w:tcBorders>
          </w:tcPr>
          <w:p>
            <w:pPr>
              <w:pStyle w:val="TableParagraph"/>
              <w:spacing w:line="270" w:lineRule="exact"/>
              <w:ind w:left="9"/>
              <w:rPr>
                <w:sz w:val="24"/>
              </w:rPr>
            </w:pPr>
            <w:r>
              <w:rPr>
                <w:sz w:val="24"/>
              </w:rPr>
              <w:t>Valid</w:t>
            </w:r>
            <w:r>
              <w:rPr>
                <w:spacing w:val="-4"/>
                <w:sz w:val="24"/>
              </w:rPr>
              <w:t> Male</w:t>
            </w:r>
          </w:p>
        </w:tc>
        <w:tc>
          <w:tcPr>
            <w:tcW w:w="1801" w:type="dxa"/>
            <w:tcBorders>
              <w:bottom w:val="nil"/>
            </w:tcBorders>
          </w:tcPr>
          <w:p>
            <w:pPr>
              <w:pStyle w:val="TableParagraph"/>
              <w:spacing w:line="270" w:lineRule="exact"/>
              <w:ind w:left="7"/>
              <w:jc w:val="center"/>
              <w:rPr>
                <w:sz w:val="24"/>
              </w:rPr>
            </w:pPr>
            <w:r>
              <w:rPr>
                <w:spacing w:val="-5"/>
                <w:sz w:val="24"/>
              </w:rPr>
              <w:t>177</w:t>
            </w:r>
          </w:p>
        </w:tc>
        <w:tc>
          <w:tcPr>
            <w:tcW w:w="1261" w:type="dxa"/>
            <w:tcBorders>
              <w:bottom w:val="nil"/>
            </w:tcBorders>
          </w:tcPr>
          <w:p>
            <w:pPr>
              <w:pStyle w:val="TableParagraph"/>
              <w:spacing w:line="270" w:lineRule="exact"/>
              <w:ind w:left="9" w:right="3"/>
              <w:jc w:val="center"/>
              <w:rPr>
                <w:sz w:val="24"/>
              </w:rPr>
            </w:pPr>
            <w:r>
              <w:rPr>
                <w:spacing w:val="-4"/>
                <w:sz w:val="24"/>
              </w:rPr>
              <w:t>73.8</w:t>
            </w:r>
          </w:p>
        </w:tc>
        <w:tc>
          <w:tcPr>
            <w:tcW w:w="1802" w:type="dxa"/>
            <w:tcBorders>
              <w:bottom w:val="nil"/>
            </w:tcBorders>
          </w:tcPr>
          <w:p>
            <w:pPr>
              <w:pStyle w:val="TableParagraph"/>
              <w:spacing w:line="270" w:lineRule="exact"/>
              <w:ind w:left="3" w:right="2"/>
              <w:jc w:val="center"/>
              <w:rPr>
                <w:sz w:val="24"/>
              </w:rPr>
            </w:pPr>
            <w:r>
              <w:rPr>
                <w:spacing w:val="-4"/>
                <w:sz w:val="24"/>
              </w:rPr>
              <w:t>75.6</w:t>
            </w:r>
          </w:p>
        </w:tc>
        <w:tc>
          <w:tcPr>
            <w:tcW w:w="1441" w:type="dxa"/>
            <w:tcBorders>
              <w:bottom w:val="nil"/>
            </w:tcBorders>
          </w:tcPr>
          <w:p>
            <w:pPr>
              <w:pStyle w:val="TableParagraph"/>
              <w:spacing w:line="270" w:lineRule="exact"/>
              <w:ind w:left="75" w:right="75"/>
              <w:jc w:val="center"/>
              <w:rPr>
                <w:sz w:val="24"/>
              </w:rPr>
            </w:pPr>
            <w:r>
              <w:rPr>
                <w:spacing w:val="-4"/>
                <w:sz w:val="24"/>
              </w:rPr>
              <w:t>75.6</w:t>
            </w:r>
          </w:p>
        </w:tc>
      </w:tr>
      <w:tr>
        <w:trPr>
          <w:trHeight w:val="374" w:hRule="atLeast"/>
        </w:trPr>
        <w:tc>
          <w:tcPr>
            <w:tcW w:w="2521" w:type="dxa"/>
            <w:tcBorders>
              <w:top w:val="nil"/>
              <w:bottom w:val="nil"/>
            </w:tcBorders>
          </w:tcPr>
          <w:p>
            <w:pPr>
              <w:pStyle w:val="TableParagraph"/>
              <w:spacing w:before="49"/>
              <w:ind w:left="9"/>
              <w:rPr>
                <w:sz w:val="24"/>
              </w:rPr>
            </w:pPr>
            <w:r>
              <w:rPr>
                <w:spacing w:val="-2"/>
                <w:sz w:val="24"/>
              </w:rPr>
              <w:t>Female</w:t>
            </w:r>
          </w:p>
        </w:tc>
        <w:tc>
          <w:tcPr>
            <w:tcW w:w="1801" w:type="dxa"/>
            <w:tcBorders>
              <w:top w:val="nil"/>
              <w:bottom w:val="nil"/>
            </w:tcBorders>
          </w:tcPr>
          <w:p>
            <w:pPr>
              <w:pStyle w:val="TableParagraph"/>
              <w:spacing w:before="49"/>
              <w:ind w:left="7"/>
              <w:jc w:val="center"/>
              <w:rPr>
                <w:sz w:val="24"/>
              </w:rPr>
            </w:pPr>
            <w:r>
              <w:rPr>
                <w:spacing w:val="-5"/>
                <w:sz w:val="24"/>
              </w:rPr>
              <w:t>57</w:t>
            </w:r>
          </w:p>
        </w:tc>
        <w:tc>
          <w:tcPr>
            <w:tcW w:w="1261" w:type="dxa"/>
            <w:tcBorders>
              <w:top w:val="nil"/>
              <w:bottom w:val="nil"/>
            </w:tcBorders>
          </w:tcPr>
          <w:p>
            <w:pPr>
              <w:pStyle w:val="TableParagraph"/>
              <w:spacing w:before="49"/>
              <w:ind w:left="9" w:right="3"/>
              <w:jc w:val="center"/>
              <w:rPr>
                <w:sz w:val="24"/>
              </w:rPr>
            </w:pPr>
            <w:r>
              <w:rPr>
                <w:spacing w:val="-4"/>
                <w:sz w:val="24"/>
              </w:rPr>
              <w:t>23.8</w:t>
            </w:r>
          </w:p>
        </w:tc>
        <w:tc>
          <w:tcPr>
            <w:tcW w:w="1802" w:type="dxa"/>
            <w:tcBorders>
              <w:top w:val="nil"/>
              <w:bottom w:val="nil"/>
            </w:tcBorders>
          </w:tcPr>
          <w:p>
            <w:pPr>
              <w:pStyle w:val="TableParagraph"/>
              <w:spacing w:before="49"/>
              <w:ind w:left="3" w:right="2"/>
              <w:jc w:val="center"/>
              <w:rPr>
                <w:sz w:val="24"/>
              </w:rPr>
            </w:pPr>
            <w:r>
              <w:rPr>
                <w:spacing w:val="-4"/>
                <w:sz w:val="24"/>
              </w:rPr>
              <w:t>24.4</w:t>
            </w:r>
          </w:p>
        </w:tc>
        <w:tc>
          <w:tcPr>
            <w:tcW w:w="1441" w:type="dxa"/>
            <w:tcBorders>
              <w:top w:val="nil"/>
              <w:bottom w:val="nil"/>
            </w:tcBorders>
          </w:tcPr>
          <w:p>
            <w:pPr>
              <w:pStyle w:val="TableParagraph"/>
              <w:spacing w:before="49"/>
              <w:ind w:left="76" w:right="75"/>
              <w:jc w:val="center"/>
              <w:rPr>
                <w:sz w:val="24"/>
              </w:rPr>
            </w:pPr>
            <w:r>
              <w:rPr>
                <w:spacing w:val="-5"/>
                <w:sz w:val="24"/>
              </w:rPr>
              <w:t>100</w:t>
            </w:r>
          </w:p>
        </w:tc>
      </w:tr>
      <w:tr>
        <w:trPr>
          <w:trHeight w:val="363" w:hRule="atLeast"/>
        </w:trPr>
        <w:tc>
          <w:tcPr>
            <w:tcW w:w="2521" w:type="dxa"/>
            <w:tcBorders>
              <w:top w:val="nil"/>
              <w:bottom w:val="nil"/>
            </w:tcBorders>
          </w:tcPr>
          <w:p>
            <w:pPr>
              <w:pStyle w:val="TableParagraph"/>
              <w:spacing w:before="39"/>
              <w:ind w:right="1393"/>
              <w:jc w:val="right"/>
              <w:rPr>
                <w:sz w:val="24"/>
              </w:rPr>
            </w:pPr>
            <w:r>
              <w:rPr>
                <w:spacing w:val="-2"/>
                <w:sz w:val="24"/>
              </w:rPr>
              <w:t>Total</w:t>
            </w:r>
          </w:p>
        </w:tc>
        <w:tc>
          <w:tcPr>
            <w:tcW w:w="1801" w:type="dxa"/>
            <w:tcBorders>
              <w:top w:val="nil"/>
              <w:bottom w:val="nil"/>
            </w:tcBorders>
          </w:tcPr>
          <w:p>
            <w:pPr>
              <w:pStyle w:val="TableParagraph"/>
              <w:spacing w:before="39"/>
              <w:ind w:left="7"/>
              <w:jc w:val="center"/>
              <w:rPr>
                <w:sz w:val="24"/>
              </w:rPr>
            </w:pPr>
            <w:r>
              <w:rPr>
                <w:spacing w:val="-5"/>
                <w:sz w:val="24"/>
              </w:rPr>
              <w:t>234</w:t>
            </w:r>
          </w:p>
        </w:tc>
        <w:tc>
          <w:tcPr>
            <w:tcW w:w="1261" w:type="dxa"/>
            <w:tcBorders>
              <w:top w:val="nil"/>
              <w:bottom w:val="nil"/>
            </w:tcBorders>
          </w:tcPr>
          <w:p>
            <w:pPr>
              <w:pStyle w:val="TableParagraph"/>
              <w:spacing w:before="39"/>
              <w:ind w:left="9" w:right="3"/>
              <w:jc w:val="center"/>
              <w:rPr>
                <w:sz w:val="24"/>
              </w:rPr>
            </w:pPr>
            <w:r>
              <w:rPr>
                <w:spacing w:val="-4"/>
                <w:sz w:val="24"/>
              </w:rPr>
              <w:t>97.5</w:t>
            </w:r>
          </w:p>
        </w:tc>
        <w:tc>
          <w:tcPr>
            <w:tcW w:w="1802" w:type="dxa"/>
            <w:tcBorders>
              <w:top w:val="nil"/>
              <w:bottom w:val="nil"/>
            </w:tcBorders>
          </w:tcPr>
          <w:p>
            <w:pPr>
              <w:pStyle w:val="TableParagraph"/>
              <w:spacing w:before="39"/>
              <w:ind w:left="3"/>
              <w:jc w:val="center"/>
              <w:rPr>
                <w:sz w:val="24"/>
              </w:rPr>
            </w:pPr>
            <w:r>
              <w:rPr>
                <w:spacing w:val="-5"/>
                <w:sz w:val="24"/>
              </w:rPr>
              <w:t>100</w:t>
            </w:r>
          </w:p>
        </w:tc>
        <w:tc>
          <w:tcPr>
            <w:tcW w:w="1441" w:type="dxa"/>
            <w:tcBorders>
              <w:top w:val="nil"/>
              <w:bottom w:val="nil"/>
            </w:tcBorders>
          </w:tcPr>
          <w:p>
            <w:pPr>
              <w:pStyle w:val="TableParagraph"/>
              <w:rPr>
                <w:sz w:val="24"/>
              </w:rPr>
            </w:pPr>
          </w:p>
        </w:tc>
      </w:tr>
      <w:tr>
        <w:trPr>
          <w:trHeight w:val="380" w:hRule="atLeast"/>
        </w:trPr>
        <w:tc>
          <w:tcPr>
            <w:tcW w:w="2521" w:type="dxa"/>
            <w:tcBorders>
              <w:top w:val="nil"/>
              <w:bottom w:val="nil"/>
            </w:tcBorders>
          </w:tcPr>
          <w:p>
            <w:pPr>
              <w:pStyle w:val="TableParagraph"/>
              <w:spacing w:before="38"/>
              <w:ind w:left="9"/>
              <w:rPr>
                <w:sz w:val="24"/>
              </w:rPr>
            </w:pPr>
            <w:r>
              <w:rPr>
                <w:spacing w:val="-2"/>
                <w:sz w:val="24"/>
              </w:rPr>
              <w:t>Missing</w:t>
            </w:r>
          </w:p>
        </w:tc>
        <w:tc>
          <w:tcPr>
            <w:tcW w:w="1801" w:type="dxa"/>
            <w:tcBorders>
              <w:top w:val="nil"/>
              <w:bottom w:val="nil"/>
            </w:tcBorders>
          </w:tcPr>
          <w:p>
            <w:pPr>
              <w:pStyle w:val="TableParagraph"/>
              <w:spacing w:before="38"/>
              <w:ind w:left="7"/>
              <w:jc w:val="center"/>
              <w:rPr>
                <w:sz w:val="24"/>
              </w:rPr>
            </w:pPr>
            <w:r>
              <w:rPr>
                <w:spacing w:val="-10"/>
                <w:sz w:val="24"/>
              </w:rPr>
              <w:t>6</w:t>
            </w:r>
          </w:p>
        </w:tc>
        <w:tc>
          <w:tcPr>
            <w:tcW w:w="1261" w:type="dxa"/>
            <w:tcBorders>
              <w:top w:val="nil"/>
              <w:bottom w:val="nil"/>
            </w:tcBorders>
          </w:tcPr>
          <w:p>
            <w:pPr>
              <w:pStyle w:val="TableParagraph"/>
              <w:spacing w:before="38"/>
              <w:ind w:left="9" w:right="3"/>
              <w:jc w:val="center"/>
              <w:rPr>
                <w:sz w:val="24"/>
              </w:rPr>
            </w:pPr>
            <w:r>
              <w:rPr>
                <w:spacing w:val="-5"/>
                <w:sz w:val="24"/>
              </w:rPr>
              <w:t>2.5</w:t>
            </w:r>
          </w:p>
        </w:tc>
        <w:tc>
          <w:tcPr>
            <w:tcW w:w="1802" w:type="dxa"/>
            <w:tcBorders>
              <w:top w:val="nil"/>
              <w:bottom w:val="nil"/>
            </w:tcBorders>
          </w:tcPr>
          <w:p>
            <w:pPr>
              <w:pStyle w:val="TableParagraph"/>
              <w:rPr>
                <w:sz w:val="24"/>
              </w:rPr>
            </w:pPr>
          </w:p>
        </w:tc>
        <w:tc>
          <w:tcPr>
            <w:tcW w:w="1441" w:type="dxa"/>
            <w:tcBorders>
              <w:top w:val="nil"/>
              <w:bottom w:val="nil"/>
            </w:tcBorders>
          </w:tcPr>
          <w:p>
            <w:pPr>
              <w:pStyle w:val="TableParagraph"/>
              <w:rPr>
                <w:sz w:val="24"/>
              </w:rPr>
            </w:pPr>
          </w:p>
        </w:tc>
      </w:tr>
      <w:tr>
        <w:trPr>
          <w:trHeight w:val="373" w:hRule="atLeast"/>
        </w:trPr>
        <w:tc>
          <w:tcPr>
            <w:tcW w:w="2521" w:type="dxa"/>
            <w:tcBorders>
              <w:top w:val="nil"/>
            </w:tcBorders>
          </w:tcPr>
          <w:p>
            <w:pPr>
              <w:pStyle w:val="TableParagraph"/>
              <w:spacing w:before="56"/>
              <w:ind w:right="1353"/>
              <w:jc w:val="right"/>
              <w:rPr>
                <w:b/>
                <w:sz w:val="24"/>
              </w:rPr>
            </w:pPr>
            <w:r>
              <w:rPr>
                <w:b/>
                <w:spacing w:val="-2"/>
                <w:sz w:val="24"/>
              </w:rPr>
              <w:t>Total</w:t>
            </w:r>
          </w:p>
        </w:tc>
        <w:tc>
          <w:tcPr>
            <w:tcW w:w="1801" w:type="dxa"/>
            <w:tcBorders>
              <w:top w:val="nil"/>
            </w:tcBorders>
          </w:tcPr>
          <w:p>
            <w:pPr>
              <w:pStyle w:val="TableParagraph"/>
              <w:spacing w:before="56"/>
              <w:ind w:left="7"/>
              <w:jc w:val="center"/>
              <w:rPr>
                <w:b/>
                <w:sz w:val="24"/>
              </w:rPr>
            </w:pPr>
            <w:r>
              <w:rPr>
                <w:b/>
                <w:spacing w:val="-5"/>
                <w:sz w:val="24"/>
              </w:rPr>
              <w:t>240</w:t>
            </w:r>
          </w:p>
        </w:tc>
        <w:tc>
          <w:tcPr>
            <w:tcW w:w="1261" w:type="dxa"/>
            <w:tcBorders>
              <w:top w:val="nil"/>
            </w:tcBorders>
          </w:tcPr>
          <w:p>
            <w:pPr>
              <w:pStyle w:val="TableParagraph"/>
              <w:spacing w:before="56"/>
              <w:ind w:left="9" w:right="5"/>
              <w:jc w:val="center"/>
              <w:rPr>
                <w:b/>
                <w:sz w:val="24"/>
              </w:rPr>
            </w:pPr>
            <w:r>
              <w:rPr>
                <w:b/>
                <w:spacing w:val="-5"/>
                <w:sz w:val="24"/>
              </w:rPr>
              <w:t>100</w:t>
            </w:r>
          </w:p>
        </w:tc>
        <w:tc>
          <w:tcPr>
            <w:tcW w:w="1802" w:type="dxa"/>
            <w:tcBorders>
              <w:top w:val="nil"/>
            </w:tcBorders>
          </w:tcPr>
          <w:p>
            <w:pPr>
              <w:pStyle w:val="TableParagraph"/>
              <w:rPr>
                <w:sz w:val="24"/>
              </w:rPr>
            </w:pPr>
          </w:p>
        </w:tc>
        <w:tc>
          <w:tcPr>
            <w:tcW w:w="1441" w:type="dxa"/>
            <w:tcBorders>
              <w:top w:val="nil"/>
            </w:tcBorders>
          </w:tcPr>
          <w:p>
            <w:pPr>
              <w:pStyle w:val="TableParagraph"/>
              <w:rPr>
                <w:sz w:val="24"/>
              </w:rPr>
            </w:pPr>
          </w:p>
        </w:tc>
      </w:tr>
    </w:tbl>
    <w:p>
      <w:pPr>
        <w:pStyle w:val="BodyText"/>
        <w:spacing w:before="138"/>
        <w:ind w:left="0"/>
        <w:rPr>
          <w:b/>
        </w:rPr>
      </w:pPr>
    </w:p>
    <w:p>
      <w:pPr>
        <w:pStyle w:val="ListParagraph"/>
        <w:numPr>
          <w:ilvl w:val="2"/>
          <w:numId w:val="19"/>
        </w:numPr>
        <w:tabs>
          <w:tab w:pos="2573" w:val="left" w:leader="none"/>
        </w:tabs>
        <w:spacing w:line="240" w:lineRule="auto" w:before="0" w:after="0"/>
        <w:ind w:left="2573" w:right="0" w:hanging="1133"/>
        <w:jc w:val="both"/>
        <w:rPr>
          <w:b/>
          <w:sz w:val="24"/>
        </w:rPr>
      </w:pPr>
      <w:r>
        <w:rPr>
          <w:b/>
          <w:sz w:val="24"/>
        </w:rPr>
        <w:t>Distribution</w:t>
      </w:r>
      <w:r>
        <w:rPr>
          <w:b/>
          <w:spacing w:val="-5"/>
          <w:sz w:val="24"/>
        </w:rPr>
        <w:t> </w:t>
      </w:r>
      <w:r>
        <w:rPr>
          <w:b/>
          <w:sz w:val="24"/>
        </w:rPr>
        <w:t>of</w:t>
      </w:r>
      <w:r>
        <w:rPr>
          <w:b/>
          <w:spacing w:val="-1"/>
          <w:sz w:val="24"/>
        </w:rPr>
        <w:t> </w:t>
      </w:r>
      <w:r>
        <w:rPr>
          <w:b/>
          <w:sz w:val="24"/>
        </w:rPr>
        <w:t>Respondents</w:t>
      </w:r>
      <w:r>
        <w:rPr>
          <w:b/>
          <w:spacing w:val="-2"/>
          <w:sz w:val="24"/>
        </w:rPr>
        <w:t> </w:t>
      </w:r>
      <w:r>
        <w:rPr>
          <w:b/>
          <w:sz w:val="24"/>
        </w:rPr>
        <w:t>by</w:t>
      </w:r>
      <w:r>
        <w:rPr>
          <w:b/>
          <w:spacing w:val="-2"/>
          <w:sz w:val="24"/>
        </w:rPr>
        <w:t> </w:t>
      </w:r>
      <w:r>
        <w:rPr>
          <w:b/>
          <w:spacing w:val="-5"/>
          <w:sz w:val="24"/>
        </w:rPr>
        <w:t>Age</w:t>
      </w:r>
    </w:p>
    <w:p>
      <w:pPr>
        <w:pStyle w:val="BodyText"/>
        <w:spacing w:line="360" w:lineRule="auto" w:before="135"/>
        <w:ind w:right="1261" w:firstLine="720"/>
        <w:jc w:val="both"/>
      </w:pPr>
      <w:r>
        <w:rPr/>
        <w:t>The data in Table 2 shows that the age range between 25 and 34 years were more</w:t>
      </w:r>
      <w:r>
        <w:rPr>
          <w:spacing w:val="-3"/>
        </w:rPr>
        <w:t> </w:t>
      </w:r>
      <w:r>
        <w:rPr/>
        <w:t>represented,</w:t>
      </w:r>
      <w:r>
        <w:rPr>
          <w:spacing w:val="-2"/>
        </w:rPr>
        <w:t> </w:t>
      </w:r>
      <w:r>
        <w:rPr/>
        <w:t>followed</w:t>
      </w:r>
      <w:r>
        <w:rPr>
          <w:spacing w:val="-1"/>
        </w:rPr>
        <w:t> </w:t>
      </w:r>
      <w:r>
        <w:rPr/>
        <w:t>closely</w:t>
      </w:r>
      <w:r>
        <w:rPr>
          <w:spacing w:val="-6"/>
        </w:rPr>
        <w:t> </w:t>
      </w:r>
      <w:r>
        <w:rPr/>
        <w:t>by</w:t>
      </w:r>
      <w:r>
        <w:rPr>
          <w:spacing w:val="-8"/>
        </w:rPr>
        <w:t> </w:t>
      </w:r>
      <w:r>
        <w:rPr/>
        <w:t>those</w:t>
      </w:r>
      <w:r>
        <w:rPr>
          <w:spacing w:val="-2"/>
        </w:rPr>
        <w:t> </w:t>
      </w:r>
      <w:r>
        <w:rPr/>
        <w:t>between</w:t>
      </w:r>
      <w:r>
        <w:rPr>
          <w:spacing w:val="-1"/>
        </w:rPr>
        <w:t> </w:t>
      </w:r>
      <w:r>
        <w:rPr/>
        <w:t>35</w:t>
      </w:r>
      <w:r>
        <w:rPr>
          <w:spacing w:val="-1"/>
        </w:rPr>
        <w:t> </w:t>
      </w:r>
      <w:r>
        <w:rPr/>
        <w:t>and</w:t>
      </w:r>
      <w:r>
        <w:rPr>
          <w:spacing w:val="-1"/>
        </w:rPr>
        <w:t> </w:t>
      </w:r>
      <w:r>
        <w:rPr/>
        <w:t>49 years.</w:t>
      </w:r>
      <w:r>
        <w:rPr>
          <w:spacing w:val="-2"/>
        </w:rPr>
        <w:t> </w:t>
      </w:r>
      <w:r>
        <w:rPr/>
        <w:t>The next</w:t>
      </w:r>
      <w:r>
        <w:rPr>
          <w:spacing w:val="-3"/>
        </w:rPr>
        <w:t> </w:t>
      </w:r>
      <w:r>
        <w:rPr/>
        <w:t>to</w:t>
      </w:r>
      <w:r>
        <w:rPr>
          <w:spacing w:val="-3"/>
        </w:rPr>
        <w:t> </w:t>
      </w:r>
      <w:r>
        <w:rPr/>
        <w:t>this is the 15-24 year range, followed by those between 50 and 60 years. The least represented age bracket is the 61 years and above range.</w:t>
      </w:r>
    </w:p>
    <w:p>
      <w:pPr>
        <w:pStyle w:val="BodyText"/>
        <w:spacing w:before="141"/>
        <w:ind w:left="0"/>
      </w:pPr>
    </w:p>
    <w:p>
      <w:pPr>
        <w:pStyle w:val="Heading2"/>
        <w:spacing w:before="1"/>
      </w:pPr>
      <w:r>
        <w:rPr/>
        <w:t>Table</w:t>
      </w:r>
      <w:r>
        <w:rPr>
          <w:spacing w:val="-1"/>
        </w:rPr>
        <w:t> </w:t>
      </w:r>
      <w:r>
        <w:rPr/>
        <w:t>2:</w:t>
      </w:r>
      <w:r>
        <w:rPr>
          <w:spacing w:val="56"/>
        </w:rPr>
        <w:t> </w:t>
      </w:r>
      <w:r>
        <w:rPr/>
        <w:t>Ages</w:t>
      </w:r>
      <w:r>
        <w:rPr>
          <w:spacing w:val="-1"/>
        </w:rPr>
        <w:t> </w:t>
      </w:r>
      <w:r>
        <w:rPr/>
        <w:t>of</w:t>
      </w:r>
      <w:r>
        <w:rPr>
          <w:spacing w:val="1"/>
        </w:rPr>
        <w:t> </w:t>
      </w:r>
      <w:r>
        <w:rPr/>
        <w:t>Respondents</w:t>
      </w:r>
      <w:r>
        <w:rPr>
          <w:spacing w:val="-1"/>
        </w:rPr>
        <w:t> </w:t>
      </w:r>
      <w:r>
        <w:rPr/>
        <w:t>(Age</w:t>
      </w:r>
      <w:r>
        <w:rPr>
          <w:spacing w:val="-3"/>
        </w:rPr>
        <w:t> </w:t>
      </w:r>
      <w:r>
        <w:rPr/>
        <w:t>at</w:t>
      </w:r>
      <w:r>
        <w:rPr>
          <w:spacing w:val="-1"/>
        </w:rPr>
        <w:t> </w:t>
      </w:r>
      <w:r>
        <w:rPr/>
        <w:t>Last </w:t>
      </w:r>
      <w:r>
        <w:rPr>
          <w:spacing w:val="-2"/>
        </w:rPr>
        <w:t>Birthday)</w:t>
      </w:r>
    </w:p>
    <w:p>
      <w:pPr>
        <w:pStyle w:val="BodyText"/>
        <w:spacing w:before="2"/>
        <w:ind w:left="0"/>
        <w:rPr>
          <w:b/>
          <w:sz w:val="12"/>
        </w:rPr>
      </w:pP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80"/>
        <w:gridCol w:w="1733"/>
        <w:gridCol w:w="1188"/>
        <w:gridCol w:w="1261"/>
        <w:gridCol w:w="1440"/>
      </w:tblGrid>
      <w:tr>
        <w:trPr>
          <w:trHeight w:val="346" w:hRule="atLeast"/>
        </w:trPr>
        <w:tc>
          <w:tcPr>
            <w:tcW w:w="3380" w:type="dxa"/>
            <w:vMerge w:val="restart"/>
          </w:tcPr>
          <w:p>
            <w:pPr>
              <w:pStyle w:val="TableParagraph"/>
              <w:rPr>
                <w:sz w:val="24"/>
              </w:rPr>
            </w:pPr>
          </w:p>
        </w:tc>
        <w:tc>
          <w:tcPr>
            <w:tcW w:w="1733" w:type="dxa"/>
            <w:vMerge w:val="restart"/>
          </w:tcPr>
          <w:p>
            <w:pPr>
              <w:pStyle w:val="TableParagraph"/>
              <w:spacing w:before="140"/>
              <w:rPr>
                <w:b/>
                <w:sz w:val="24"/>
              </w:rPr>
            </w:pPr>
          </w:p>
          <w:p>
            <w:pPr>
              <w:pStyle w:val="TableParagraph"/>
              <w:spacing w:before="1"/>
              <w:ind w:left="318"/>
              <w:rPr>
                <w:b/>
                <w:sz w:val="24"/>
              </w:rPr>
            </w:pPr>
            <w:r>
              <w:rPr>
                <w:b/>
                <w:spacing w:val="-2"/>
                <w:sz w:val="24"/>
              </w:rPr>
              <w:t>Frequency</w:t>
            </w:r>
          </w:p>
        </w:tc>
        <w:tc>
          <w:tcPr>
            <w:tcW w:w="1188" w:type="dxa"/>
            <w:vMerge w:val="restart"/>
          </w:tcPr>
          <w:p>
            <w:pPr>
              <w:pStyle w:val="TableParagraph"/>
              <w:spacing w:before="210"/>
              <w:ind w:left="199"/>
              <w:rPr>
                <w:b/>
                <w:sz w:val="24"/>
              </w:rPr>
            </w:pPr>
            <w:r>
              <w:rPr>
                <w:b/>
                <w:spacing w:val="-2"/>
                <w:sz w:val="24"/>
              </w:rPr>
              <w:t>Percent</w:t>
            </w:r>
          </w:p>
        </w:tc>
        <w:tc>
          <w:tcPr>
            <w:tcW w:w="1261" w:type="dxa"/>
            <w:tcBorders>
              <w:bottom w:val="nil"/>
            </w:tcBorders>
          </w:tcPr>
          <w:p>
            <w:pPr>
              <w:pStyle w:val="TableParagraph"/>
              <w:spacing w:line="275" w:lineRule="exact"/>
              <w:ind w:left="9"/>
              <w:jc w:val="center"/>
              <w:rPr>
                <w:b/>
                <w:sz w:val="24"/>
              </w:rPr>
            </w:pPr>
            <w:r>
              <w:rPr>
                <w:b/>
                <w:spacing w:val="-2"/>
                <w:sz w:val="24"/>
              </w:rPr>
              <w:t>Valid</w:t>
            </w:r>
          </w:p>
        </w:tc>
        <w:tc>
          <w:tcPr>
            <w:tcW w:w="1440" w:type="dxa"/>
            <w:tcBorders>
              <w:bottom w:val="nil"/>
            </w:tcBorders>
          </w:tcPr>
          <w:p>
            <w:pPr>
              <w:pStyle w:val="TableParagraph"/>
              <w:spacing w:line="275" w:lineRule="exact"/>
              <w:ind w:left="11" w:right="5"/>
              <w:jc w:val="center"/>
              <w:rPr>
                <w:b/>
                <w:sz w:val="24"/>
              </w:rPr>
            </w:pPr>
            <w:r>
              <w:rPr>
                <w:b/>
                <w:spacing w:val="-2"/>
                <w:sz w:val="24"/>
              </w:rPr>
              <w:t>Cumulative</w:t>
            </w:r>
          </w:p>
        </w:tc>
      </w:tr>
      <w:tr>
        <w:trPr>
          <w:trHeight w:val="481" w:hRule="atLeast"/>
        </w:trPr>
        <w:tc>
          <w:tcPr>
            <w:tcW w:w="3380" w:type="dxa"/>
            <w:vMerge/>
            <w:tcBorders>
              <w:top w:val="nil"/>
            </w:tcBorders>
          </w:tcPr>
          <w:p>
            <w:pPr>
              <w:rPr>
                <w:sz w:val="2"/>
                <w:szCs w:val="2"/>
              </w:rPr>
            </w:pPr>
          </w:p>
        </w:tc>
        <w:tc>
          <w:tcPr>
            <w:tcW w:w="1733" w:type="dxa"/>
            <w:vMerge/>
            <w:tcBorders>
              <w:top w:val="nil"/>
            </w:tcBorders>
          </w:tcPr>
          <w:p>
            <w:pPr>
              <w:rPr>
                <w:sz w:val="2"/>
                <w:szCs w:val="2"/>
              </w:rPr>
            </w:pPr>
          </w:p>
        </w:tc>
        <w:tc>
          <w:tcPr>
            <w:tcW w:w="1188" w:type="dxa"/>
            <w:vMerge/>
            <w:tcBorders>
              <w:top w:val="nil"/>
            </w:tcBorders>
          </w:tcPr>
          <w:p>
            <w:pPr>
              <w:rPr>
                <w:sz w:val="2"/>
                <w:szCs w:val="2"/>
              </w:rPr>
            </w:pPr>
          </w:p>
        </w:tc>
        <w:tc>
          <w:tcPr>
            <w:tcW w:w="1261" w:type="dxa"/>
            <w:tcBorders>
              <w:top w:val="nil"/>
            </w:tcBorders>
          </w:tcPr>
          <w:p>
            <w:pPr>
              <w:pStyle w:val="TableParagraph"/>
              <w:spacing w:before="61"/>
              <w:ind w:left="9" w:right="6"/>
              <w:jc w:val="center"/>
              <w:rPr>
                <w:b/>
                <w:sz w:val="24"/>
              </w:rPr>
            </w:pPr>
            <w:r>
              <w:rPr>
                <w:b/>
                <w:spacing w:val="-2"/>
                <w:sz w:val="24"/>
              </w:rPr>
              <w:t>Percent</w:t>
            </w:r>
          </w:p>
        </w:tc>
        <w:tc>
          <w:tcPr>
            <w:tcW w:w="1440" w:type="dxa"/>
            <w:tcBorders>
              <w:top w:val="nil"/>
            </w:tcBorders>
          </w:tcPr>
          <w:p>
            <w:pPr>
              <w:pStyle w:val="TableParagraph"/>
              <w:spacing w:before="61"/>
              <w:ind w:left="11" w:right="5"/>
              <w:jc w:val="center"/>
              <w:rPr>
                <w:b/>
                <w:sz w:val="24"/>
              </w:rPr>
            </w:pPr>
            <w:r>
              <w:rPr>
                <w:b/>
                <w:spacing w:val="-2"/>
                <w:sz w:val="24"/>
              </w:rPr>
              <w:t>Percent</w:t>
            </w:r>
          </w:p>
        </w:tc>
      </w:tr>
      <w:tr>
        <w:trPr>
          <w:trHeight w:val="360" w:hRule="atLeast"/>
        </w:trPr>
        <w:tc>
          <w:tcPr>
            <w:tcW w:w="3380" w:type="dxa"/>
            <w:tcBorders>
              <w:bottom w:val="nil"/>
            </w:tcBorders>
          </w:tcPr>
          <w:p>
            <w:pPr>
              <w:pStyle w:val="TableParagraph"/>
              <w:spacing w:before="3"/>
              <w:ind w:left="9"/>
              <w:rPr>
                <w:sz w:val="24"/>
              </w:rPr>
            </w:pPr>
            <w:r>
              <w:rPr>
                <w:sz w:val="24"/>
              </w:rPr>
              <w:t>Valid</w:t>
            </w:r>
            <w:r>
              <w:rPr>
                <w:spacing w:val="-3"/>
                <w:sz w:val="24"/>
              </w:rPr>
              <w:t> </w:t>
            </w:r>
            <w:r>
              <w:rPr>
                <w:sz w:val="24"/>
              </w:rPr>
              <w:t>15 -</w:t>
            </w:r>
            <w:r>
              <w:rPr>
                <w:spacing w:val="-2"/>
                <w:sz w:val="24"/>
              </w:rPr>
              <w:t> </w:t>
            </w:r>
            <w:r>
              <w:rPr>
                <w:sz w:val="24"/>
              </w:rPr>
              <w:t>24</w:t>
            </w:r>
            <w:r>
              <w:rPr>
                <w:spacing w:val="4"/>
                <w:sz w:val="24"/>
              </w:rPr>
              <w:t> </w:t>
            </w:r>
            <w:r>
              <w:rPr>
                <w:spacing w:val="-4"/>
                <w:sz w:val="24"/>
              </w:rPr>
              <w:t>years</w:t>
            </w:r>
          </w:p>
        </w:tc>
        <w:tc>
          <w:tcPr>
            <w:tcW w:w="1733" w:type="dxa"/>
            <w:tcBorders>
              <w:bottom w:val="nil"/>
            </w:tcBorders>
          </w:tcPr>
          <w:p>
            <w:pPr>
              <w:pStyle w:val="TableParagraph"/>
              <w:spacing w:before="3"/>
              <w:ind w:left="9"/>
              <w:jc w:val="center"/>
              <w:rPr>
                <w:sz w:val="24"/>
              </w:rPr>
            </w:pPr>
            <w:r>
              <w:rPr>
                <w:spacing w:val="-5"/>
                <w:sz w:val="24"/>
              </w:rPr>
              <w:t>34</w:t>
            </w:r>
          </w:p>
        </w:tc>
        <w:tc>
          <w:tcPr>
            <w:tcW w:w="1188" w:type="dxa"/>
            <w:tcBorders>
              <w:bottom w:val="nil"/>
            </w:tcBorders>
          </w:tcPr>
          <w:p>
            <w:pPr>
              <w:pStyle w:val="TableParagraph"/>
              <w:spacing w:before="3"/>
              <w:ind w:left="9"/>
              <w:jc w:val="center"/>
              <w:rPr>
                <w:sz w:val="24"/>
              </w:rPr>
            </w:pPr>
            <w:r>
              <w:rPr>
                <w:spacing w:val="-4"/>
                <w:sz w:val="24"/>
              </w:rPr>
              <w:t>14.2</w:t>
            </w:r>
          </w:p>
        </w:tc>
        <w:tc>
          <w:tcPr>
            <w:tcW w:w="1261" w:type="dxa"/>
            <w:tcBorders>
              <w:bottom w:val="nil"/>
            </w:tcBorders>
          </w:tcPr>
          <w:p>
            <w:pPr>
              <w:pStyle w:val="TableParagraph"/>
              <w:spacing w:before="3"/>
              <w:ind w:left="9" w:right="1"/>
              <w:jc w:val="center"/>
              <w:rPr>
                <w:sz w:val="24"/>
              </w:rPr>
            </w:pPr>
            <w:r>
              <w:rPr>
                <w:spacing w:val="-4"/>
                <w:sz w:val="24"/>
              </w:rPr>
              <w:t>14.2</w:t>
            </w:r>
          </w:p>
        </w:tc>
        <w:tc>
          <w:tcPr>
            <w:tcW w:w="1440" w:type="dxa"/>
            <w:tcBorders>
              <w:bottom w:val="nil"/>
            </w:tcBorders>
          </w:tcPr>
          <w:p>
            <w:pPr>
              <w:pStyle w:val="TableParagraph"/>
              <w:spacing w:before="3"/>
              <w:ind w:left="11" w:right="5"/>
              <w:jc w:val="center"/>
              <w:rPr>
                <w:sz w:val="24"/>
              </w:rPr>
            </w:pPr>
            <w:r>
              <w:rPr>
                <w:spacing w:val="-4"/>
                <w:sz w:val="24"/>
              </w:rPr>
              <w:t>14.2</w:t>
            </w:r>
          </w:p>
        </w:tc>
      </w:tr>
      <w:tr>
        <w:trPr>
          <w:trHeight w:val="424" w:hRule="atLeast"/>
        </w:trPr>
        <w:tc>
          <w:tcPr>
            <w:tcW w:w="3380" w:type="dxa"/>
            <w:tcBorders>
              <w:top w:val="nil"/>
              <w:bottom w:val="nil"/>
            </w:tcBorders>
          </w:tcPr>
          <w:p>
            <w:pPr>
              <w:pStyle w:val="TableParagraph"/>
              <w:spacing w:before="70"/>
              <w:ind w:left="9"/>
              <w:rPr>
                <w:sz w:val="24"/>
              </w:rPr>
            </w:pPr>
            <w:r>
              <w:rPr>
                <w:sz w:val="24"/>
              </w:rPr>
              <w:t>25</w:t>
            </w:r>
            <w:r>
              <w:rPr>
                <w:spacing w:val="-2"/>
                <w:sz w:val="24"/>
              </w:rPr>
              <w:t> </w:t>
            </w:r>
            <w:r>
              <w:rPr>
                <w:sz w:val="24"/>
              </w:rPr>
              <w:t>-</w:t>
            </w:r>
            <w:r>
              <w:rPr>
                <w:spacing w:val="-1"/>
                <w:sz w:val="24"/>
              </w:rPr>
              <w:t> </w:t>
            </w:r>
            <w:r>
              <w:rPr>
                <w:sz w:val="24"/>
              </w:rPr>
              <w:t>34</w:t>
            </w:r>
            <w:r>
              <w:rPr>
                <w:spacing w:val="2"/>
                <w:sz w:val="24"/>
              </w:rPr>
              <w:t> </w:t>
            </w:r>
            <w:r>
              <w:rPr>
                <w:spacing w:val="-4"/>
                <w:sz w:val="24"/>
              </w:rPr>
              <w:t>years</w:t>
            </w:r>
          </w:p>
        </w:tc>
        <w:tc>
          <w:tcPr>
            <w:tcW w:w="1733" w:type="dxa"/>
            <w:tcBorders>
              <w:top w:val="nil"/>
              <w:bottom w:val="nil"/>
            </w:tcBorders>
          </w:tcPr>
          <w:p>
            <w:pPr>
              <w:pStyle w:val="TableParagraph"/>
              <w:spacing w:before="70"/>
              <w:ind w:left="9"/>
              <w:jc w:val="center"/>
              <w:rPr>
                <w:sz w:val="24"/>
              </w:rPr>
            </w:pPr>
            <w:r>
              <w:rPr>
                <w:spacing w:val="-5"/>
                <w:sz w:val="24"/>
              </w:rPr>
              <w:t>88</w:t>
            </w:r>
          </w:p>
        </w:tc>
        <w:tc>
          <w:tcPr>
            <w:tcW w:w="1188" w:type="dxa"/>
            <w:tcBorders>
              <w:top w:val="nil"/>
              <w:bottom w:val="nil"/>
            </w:tcBorders>
          </w:tcPr>
          <w:p>
            <w:pPr>
              <w:pStyle w:val="TableParagraph"/>
              <w:spacing w:before="70"/>
              <w:ind w:left="9"/>
              <w:jc w:val="center"/>
              <w:rPr>
                <w:sz w:val="24"/>
              </w:rPr>
            </w:pPr>
            <w:r>
              <w:rPr>
                <w:spacing w:val="-4"/>
                <w:sz w:val="24"/>
              </w:rPr>
              <w:t>36.7</w:t>
            </w:r>
          </w:p>
        </w:tc>
        <w:tc>
          <w:tcPr>
            <w:tcW w:w="1261" w:type="dxa"/>
            <w:tcBorders>
              <w:top w:val="nil"/>
              <w:bottom w:val="nil"/>
            </w:tcBorders>
          </w:tcPr>
          <w:p>
            <w:pPr>
              <w:pStyle w:val="TableParagraph"/>
              <w:spacing w:before="70"/>
              <w:ind w:left="9" w:right="1"/>
              <w:jc w:val="center"/>
              <w:rPr>
                <w:sz w:val="24"/>
              </w:rPr>
            </w:pPr>
            <w:r>
              <w:rPr>
                <w:spacing w:val="-4"/>
                <w:sz w:val="24"/>
              </w:rPr>
              <w:t>36.7</w:t>
            </w:r>
          </w:p>
        </w:tc>
        <w:tc>
          <w:tcPr>
            <w:tcW w:w="1440" w:type="dxa"/>
            <w:tcBorders>
              <w:top w:val="nil"/>
              <w:bottom w:val="nil"/>
            </w:tcBorders>
          </w:tcPr>
          <w:p>
            <w:pPr>
              <w:pStyle w:val="TableParagraph"/>
              <w:spacing w:before="70"/>
              <w:ind w:left="11" w:right="5"/>
              <w:jc w:val="center"/>
              <w:rPr>
                <w:sz w:val="24"/>
              </w:rPr>
            </w:pPr>
            <w:r>
              <w:rPr>
                <w:spacing w:val="-4"/>
                <w:sz w:val="24"/>
              </w:rPr>
              <w:t>50.8</w:t>
            </w:r>
          </w:p>
        </w:tc>
      </w:tr>
      <w:tr>
        <w:trPr>
          <w:trHeight w:val="422" w:hRule="atLeast"/>
        </w:trPr>
        <w:tc>
          <w:tcPr>
            <w:tcW w:w="3380" w:type="dxa"/>
            <w:tcBorders>
              <w:top w:val="nil"/>
              <w:bottom w:val="nil"/>
            </w:tcBorders>
          </w:tcPr>
          <w:p>
            <w:pPr>
              <w:pStyle w:val="TableParagraph"/>
              <w:spacing w:before="68"/>
              <w:ind w:left="9"/>
              <w:rPr>
                <w:sz w:val="24"/>
              </w:rPr>
            </w:pPr>
            <w:r>
              <w:rPr>
                <w:sz w:val="24"/>
              </w:rPr>
              <w:t>35</w:t>
            </w:r>
            <w:r>
              <w:rPr>
                <w:spacing w:val="-2"/>
                <w:sz w:val="24"/>
              </w:rPr>
              <w:t> </w:t>
            </w:r>
            <w:r>
              <w:rPr>
                <w:sz w:val="24"/>
              </w:rPr>
              <w:t>-</w:t>
            </w:r>
            <w:r>
              <w:rPr>
                <w:spacing w:val="-1"/>
                <w:sz w:val="24"/>
              </w:rPr>
              <w:t> </w:t>
            </w:r>
            <w:r>
              <w:rPr>
                <w:sz w:val="24"/>
              </w:rPr>
              <w:t>49</w:t>
            </w:r>
            <w:r>
              <w:rPr>
                <w:spacing w:val="2"/>
                <w:sz w:val="24"/>
              </w:rPr>
              <w:t> </w:t>
            </w:r>
            <w:r>
              <w:rPr>
                <w:spacing w:val="-4"/>
                <w:sz w:val="24"/>
              </w:rPr>
              <w:t>years</w:t>
            </w:r>
          </w:p>
        </w:tc>
        <w:tc>
          <w:tcPr>
            <w:tcW w:w="1733" w:type="dxa"/>
            <w:tcBorders>
              <w:top w:val="nil"/>
              <w:bottom w:val="nil"/>
            </w:tcBorders>
          </w:tcPr>
          <w:p>
            <w:pPr>
              <w:pStyle w:val="TableParagraph"/>
              <w:spacing w:before="68"/>
              <w:ind w:left="9"/>
              <w:jc w:val="center"/>
              <w:rPr>
                <w:sz w:val="24"/>
              </w:rPr>
            </w:pPr>
            <w:r>
              <w:rPr>
                <w:spacing w:val="-5"/>
                <w:sz w:val="24"/>
              </w:rPr>
              <w:t>85</w:t>
            </w:r>
          </w:p>
        </w:tc>
        <w:tc>
          <w:tcPr>
            <w:tcW w:w="1188" w:type="dxa"/>
            <w:tcBorders>
              <w:top w:val="nil"/>
              <w:bottom w:val="nil"/>
            </w:tcBorders>
          </w:tcPr>
          <w:p>
            <w:pPr>
              <w:pStyle w:val="TableParagraph"/>
              <w:spacing w:before="68"/>
              <w:ind w:left="9"/>
              <w:jc w:val="center"/>
              <w:rPr>
                <w:sz w:val="24"/>
              </w:rPr>
            </w:pPr>
            <w:r>
              <w:rPr>
                <w:spacing w:val="-4"/>
                <w:sz w:val="24"/>
              </w:rPr>
              <w:t>35.4</w:t>
            </w:r>
          </w:p>
        </w:tc>
        <w:tc>
          <w:tcPr>
            <w:tcW w:w="1261" w:type="dxa"/>
            <w:tcBorders>
              <w:top w:val="nil"/>
              <w:bottom w:val="nil"/>
            </w:tcBorders>
          </w:tcPr>
          <w:p>
            <w:pPr>
              <w:pStyle w:val="TableParagraph"/>
              <w:spacing w:before="68"/>
              <w:ind w:left="9" w:right="1"/>
              <w:jc w:val="center"/>
              <w:rPr>
                <w:sz w:val="24"/>
              </w:rPr>
            </w:pPr>
            <w:r>
              <w:rPr>
                <w:spacing w:val="-4"/>
                <w:sz w:val="24"/>
              </w:rPr>
              <w:t>35.4</w:t>
            </w:r>
          </w:p>
        </w:tc>
        <w:tc>
          <w:tcPr>
            <w:tcW w:w="1440" w:type="dxa"/>
            <w:tcBorders>
              <w:top w:val="nil"/>
              <w:bottom w:val="nil"/>
            </w:tcBorders>
          </w:tcPr>
          <w:p>
            <w:pPr>
              <w:pStyle w:val="TableParagraph"/>
              <w:spacing w:before="68"/>
              <w:ind w:left="11" w:right="5"/>
              <w:jc w:val="center"/>
              <w:rPr>
                <w:sz w:val="24"/>
              </w:rPr>
            </w:pPr>
            <w:r>
              <w:rPr>
                <w:spacing w:val="-4"/>
                <w:sz w:val="24"/>
              </w:rPr>
              <w:t>86.3</w:t>
            </w:r>
          </w:p>
        </w:tc>
      </w:tr>
      <w:tr>
        <w:trPr>
          <w:trHeight w:val="418" w:hRule="atLeast"/>
        </w:trPr>
        <w:tc>
          <w:tcPr>
            <w:tcW w:w="3380" w:type="dxa"/>
            <w:tcBorders>
              <w:top w:val="nil"/>
              <w:bottom w:val="nil"/>
            </w:tcBorders>
          </w:tcPr>
          <w:p>
            <w:pPr>
              <w:pStyle w:val="TableParagraph"/>
              <w:spacing w:before="68"/>
              <w:ind w:left="9"/>
              <w:rPr>
                <w:sz w:val="24"/>
              </w:rPr>
            </w:pPr>
            <w:r>
              <w:rPr>
                <w:sz w:val="24"/>
              </w:rPr>
              <w:t>60</w:t>
            </w:r>
            <w:r>
              <w:rPr>
                <w:spacing w:val="-2"/>
                <w:sz w:val="24"/>
              </w:rPr>
              <w:t> </w:t>
            </w:r>
            <w:r>
              <w:rPr>
                <w:sz w:val="24"/>
              </w:rPr>
              <w:t>-</w:t>
            </w:r>
            <w:r>
              <w:rPr>
                <w:spacing w:val="-1"/>
                <w:sz w:val="24"/>
              </w:rPr>
              <w:t> </w:t>
            </w:r>
            <w:r>
              <w:rPr>
                <w:sz w:val="24"/>
              </w:rPr>
              <w:t>60</w:t>
            </w:r>
            <w:r>
              <w:rPr>
                <w:spacing w:val="2"/>
                <w:sz w:val="24"/>
              </w:rPr>
              <w:t> </w:t>
            </w:r>
            <w:r>
              <w:rPr>
                <w:spacing w:val="-4"/>
                <w:sz w:val="24"/>
              </w:rPr>
              <w:t>years</w:t>
            </w:r>
          </w:p>
        </w:tc>
        <w:tc>
          <w:tcPr>
            <w:tcW w:w="1733" w:type="dxa"/>
            <w:tcBorders>
              <w:top w:val="nil"/>
              <w:bottom w:val="nil"/>
            </w:tcBorders>
          </w:tcPr>
          <w:p>
            <w:pPr>
              <w:pStyle w:val="TableParagraph"/>
              <w:spacing w:before="68"/>
              <w:ind w:left="9"/>
              <w:jc w:val="center"/>
              <w:rPr>
                <w:sz w:val="24"/>
              </w:rPr>
            </w:pPr>
            <w:r>
              <w:rPr>
                <w:spacing w:val="-5"/>
                <w:sz w:val="24"/>
              </w:rPr>
              <w:t>27</w:t>
            </w:r>
          </w:p>
        </w:tc>
        <w:tc>
          <w:tcPr>
            <w:tcW w:w="1188" w:type="dxa"/>
            <w:tcBorders>
              <w:top w:val="nil"/>
              <w:bottom w:val="nil"/>
            </w:tcBorders>
          </w:tcPr>
          <w:p>
            <w:pPr>
              <w:pStyle w:val="TableParagraph"/>
              <w:spacing w:before="68"/>
              <w:ind w:left="9"/>
              <w:jc w:val="center"/>
              <w:rPr>
                <w:sz w:val="24"/>
              </w:rPr>
            </w:pPr>
            <w:r>
              <w:rPr>
                <w:spacing w:val="-4"/>
                <w:sz w:val="24"/>
              </w:rPr>
              <w:t>11.3</w:t>
            </w:r>
          </w:p>
        </w:tc>
        <w:tc>
          <w:tcPr>
            <w:tcW w:w="1261" w:type="dxa"/>
            <w:tcBorders>
              <w:top w:val="nil"/>
              <w:bottom w:val="nil"/>
            </w:tcBorders>
          </w:tcPr>
          <w:p>
            <w:pPr>
              <w:pStyle w:val="TableParagraph"/>
              <w:spacing w:before="68"/>
              <w:ind w:left="9" w:right="1"/>
              <w:jc w:val="center"/>
              <w:rPr>
                <w:sz w:val="24"/>
              </w:rPr>
            </w:pPr>
            <w:r>
              <w:rPr>
                <w:spacing w:val="-4"/>
                <w:sz w:val="24"/>
              </w:rPr>
              <w:t>11.3</w:t>
            </w:r>
          </w:p>
        </w:tc>
        <w:tc>
          <w:tcPr>
            <w:tcW w:w="1440" w:type="dxa"/>
            <w:tcBorders>
              <w:top w:val="nil"/>
              <w:bottom w:val="nil"/>
            </w:tcBorders>
          </w:tcPr>
          <w:p>
            <w:pPr>
              <w:pStyle w:val="TableParagraph"/>
              <w:spacing w:before="68"/>
              <w:ind w:left="11" w:right="5"/>
              <w:jc w:val="center"/>
              <w:rPr>
                <w:sz w:val="24"/>
              </w:rPr>
            </w:pPr>
            <w:r>
              <w:rPr>
                <w:spacing w:val="-4"/>
                <w:sz w:val="24"/>
              </w:rPr>
              <w:t>97.5</w:t>
            </w:r>
          </w:p>
        </w:tc>
      </w:tr>
      <w:tr>
        <w:trPr>
          <w:trHeight w:val="418" w:hRule="atLeast"/>
        </w:trPr>
        <w:tc>
          <w:tcPr>
            <w:tcW w:w="3380" w:type="dxa"/>
            <w:tcBorders>
              <w:top w:val="nil"/>
              <w:bottom w:val="nil"/>
            </w:tcBorders>
          </w:tcPr>
          <w:p>
            <w:pPr>
              <w:pStyle w:val="TableParagraph"/>
              <w:spacing w:before="64"/>
              <w:ind w:left="9"/>
              <w:rPr>
                <w:sz w:val="24"/>
              </w:rPr>
            </w:pPr>
            <w:r>
              <w:rPr>
                <w:sz w:val="24"/>
              </w:rPr>
              <w:t>61</w:t>
            </w:r>
            <w:r>
              <w:rPr>
                <w:spacing w:val="-1"/>
                <w:sz w:val="24"/>
              </w:rPr>
              <w:t> </w:t>
            </w:r>
            <w:r>
              <w:rPr>
                <w:sz w:val="24"/>
              </w:rPr>
              <w:t>years</w:t>
            </w:r>
            <w:r>
              <w:rPr>
                <w:spacing w:val="-2"/>
                <w:sz w:val="24"/>
              </w:rPr>
              <w:t> </w:t>
            </w:r>
            <w:r>
              <w:rPr>
                <w:sz w:val="24"/>
              </w:rPr>
              <w:t>and </w:t>
            </w:r>
            <w:r>
              <w:rPr>
                <w:spacing w:val="-2"/>
                <w:sz w:val="24"/>
              </w:rPr>
              <w:t>above</w:t>
            </w:r>
          </w:p>
        </w:tc>
        <w:tc>
          <w:tcPr>
            <w:tcW w:w="1733" w:type="dxa"/>
            <w:tcBorders>
              <w:top w:val="nil"/>
              <w:bottom w:val="nil"/>
            </w:tcBorders>
          </w:tcPr>
          <w:p>
            <w:pPr>
              <w:pStyle w:val="TableParagraph"/>
              <w:spacing w:before="64"/>
              <w:ind w:left="9"/>
              <w:jc w:val="center"/>
              <w:rPr>
                <w:sz w:val="24"/>
              </w:rPr>
            </w:pPr>
            <w:r>
              <w:rPr>
                <w:spacing w:val="-10"/>
                <w:sz w:val="24"/>
              </w:rPr>
              <w:t>6</w:t>
            </w:r>
          </w:p>
        </w:tc>
        <w:tc>
          <w:tcPr>
            <w:tcW w:w="1188" w:type="dxa"/>
            <w:tcBorders>
              <w:top w:val="nil"/>
              <w:bottom w:val="nil"/>
            </w:tcBorders>
          </w:tcPr>
          <w:p>
            <w:pPr>
              <w:pStyle w:val="TableParagraph"/>
              <w:spacing w:before="64"/>
              <w:ind w:left="9"/>
              <w:jc w:val="center"/>
              <w:rPr>
                <w:sz w:val="24"/>
              </w:rPr>
            </w:pPr>
            <w:r>
              <w:rPr>
                <w:spacing w:val="-5"/>
                <w:sz w:val="24"/>
              </w:rPr>
              <w:t>2.5</w:t>
            </w:r>
          </w:p>
        </w:tc>
        <w:tc>
          <w:tcPr>
            <w:tcW w:w="1261" w:type="dxa"/>
            <w:tcBorders>
              <w:top w:val="nil"/>
              <w:bottom w:val="nil"/>
            </w:tcBorders>
          </w:tcPr>
          <w:p>
            <w:pPr>
              <w:pStyle w:val="TableParagraph"/>
              <w:spacing w:before="64"/>
              <w:ind w:left="9" w:right="1"/>
              <w:jc w:val="center"/>
              <w:rPr>
                <w:sz w:val="24"/>
              </w:rPr>
            </w:pPr>
            <w:r>
              <w:rPr>
                <w:spacing w:val="-5"/>
                <w:sz w:val="24"/>
              </w:rPr>
              <w:t>2.5</w:t>
            </w:r>
          </w:p>
        </w:tc>
        <w:tc>
          <w:tcPr>
            <w:tcW w:w="1440" w:type="dxa"/>
            <w:tcBorders>
              <w:top w:val="nil"/>
              <w:bottom w:val="nil"/>
            </w:tcBorders>
          </w:tcPr>
          <w:p>
            <w:pPr>
              <w:pStyle w:val="TableParagraph"/>
              <w:spacing w:before="64"/>
              <w:ind w:left="11" w:right="3"/>
              <w:jc w:val="center"/>
              <w:rPr>
                <w:sz w:val="24"/>
              </w:rPr>
            </w:pPr>
            <w:r>
              <w:rPr>
                <w:spacing w:val="-5"/>
                <w:sz w:val="24"/>
              </w:rPr>
              <w:t>100</w:t>
            </w:r>
          </w:p>
        </w:tc>
      </w:tr>
      <w:tr>
        <w:trPr>
          <w:trHeight w:val="457" w:hRule="atLeast"/>
        </w:trPr>
        <w:tc>
          <w:tcPr>
            <w:tcW w:w="3380" w:type="dxa"/>
            <w:tcBorders>
              <w:top w:val="nil"/>
            </w:tcBorders>
          </w:tcPr>
          <w:p>
            <w:pPr>
              <w:pStyle w:val="TableParagraph"/>
              <w:spacing w:before="68"/>
              <w:ind w:left="9"/>
              <w:rPr>
                <w:b/>
                <w:sz w:val="24"/>
              </w:rPr>
            </w:pPr>
            <w:r>
              <w:rPr>
                <w:b/>
                <w:spacing w:val="-2"/>
                <w:sz w:val="24"/>
              </w:rPr>
              <w:t>Total</w:t>
            </w:r>
          </w:p>
        </w:tc>
        <w:tc>
          <w:tcPr>
            <w:tcW w:w="1733" w:type="dxa"/>
            <w:tcBorders>
              <w:top w:val="nil"/>
            </w:tcBorders>
          </w:tcPr>
          <w:p>
            <w:pPr>
              <w:pStyle w:val="TableParagraph"/>
              <w:spacing w:before="68"/>
              <w:ind w:left="9"/>
              <w:jc w:val="center"/>
              <w:rPr>
                <w:b/>
                <w:sz w:val="24"/>
              </w:rPr>
            </w:pPr>
            <w:r>
              <w:rPr>
                <w:b/>
                <w:spacing w:val="-5"/>
                <w:sz w:val="24"/>
              </w:rPr>
              <w:t>240</w:t>
            </w:r>
          </w:p>
        </w:tc>
        <w:tc>
          <w:tcPr>
            <w:tcW w:w="1188" w:type="dxa"/>
            <w:tcBorders>
              <w:top w:val="nil"/>
            </w:tcBorders>
          </w:tcPr>
          <w:p>
            <w:pPr>
              <w:pStyle w:val="TableParagraph"/>
              <w:spacing w:before="68"/>
              <w:ind w:left="9" w:right="2"/>
              <w:jc w:val="center"/>
              <w:rPr>
                <w:b/>
                <w:sz w:val="24"/>
              </w:rPr>
            </w:pPr>
            <w:r>
              <w:rPr>
                <w:b/>
                <w:spacing w:val="-5"/>
                <w:sz w:val="24"/>
              </w:rPr>
              <w:t>100</w:t>
            </w:r>
          </w:p>
        </w:tc>
        <w:tc>
          <w:tcPr>
            <w:tcW w:w="1261" w:type="dxa"/>
            <w:tcBorders>
              <w:top w:val="nil"/>
            </w:tcBorders>
          </w:tcPr>
          <w:p>
            <w:pPr>
              <w:pStyle w:val="TableParagraph"/>
              <w:spacing w:before="68"/>
              <w:ind w:left="9" w:right="3"/>
              <w:jc w:val="center"/>
              <w:rPr>
                <w:b/>
                <w:sz w:val="24"/>
              </w:rPr>
            </w:pPr>
            <w:r>
              <w:rPr>
                <w:b/>
                <w:spacing w:val="-5"/>
                <w:sz w:val="24"/>
              </w:rPr>
              <w:t>100</w:t>
            </w:r>
          </w:p>
        </w:tc>
        <w:tc>
          <w:tcPr>
            <w:tcW w:w="1440" w:type="dxa"/>
            <w:tcBorders>
              <w:top w:val="nil"/>
            </w:tcBorders>
          </w:tcPr>
          <w:p>
            <w:pPr>
              <w:pStyle w:val="TableParagraph"/>
              <w:rPr>
                <w:sz w:val="24"/>
              </w:rPr>
            </w:pPr>
          </w:p>
        </w:tc>
      </w:tr>
    </w:tbl>
    <w:p>
      <w:pPr>
        <w:pStyle w:val="BodyText"/>
        <w:spacing w:line="360" w:lineRule="auto" w:before="274"/>
        <w:ind w:right="1256" w:firstLine="720"/>
        <w:jc w:val="both"/>
      </w:pPr>
      <w:r>
        <w:rPr/>
        <w:t>By implication, most of the respondents fall within the age brackets of 25- 34 years and 35 - 49 years respectively. This suggests that the respondents have lived long enough in the study area to remember the many conflicts that have been witnessed in the Niger Delta. And most probably the respondents have a reasonable knowledge of the issues being addressed by this research.</w:t>
      </w:r>
    </w:p>
    <w:p>
      <w:pPr>
        <w:spacing w:after="0" w:line="360" w:lineRule="auto"/>
        <w:jc w:val="both"/>
        <w:sectPr>
          <w:pgSz w:w="11910" w:h="16840"/>
          <w:pgMar w:header="0" w:footer="1561" w:top="1360" w:bottom="1760" w:left="720" w:right="180"/>
        </w:sectPr>
      </w:pPr>
    </w:p>
    <w:p>
      <w:pPr>
        <w:pStyle w:val="Heading2"/>
        <w:numPr>
          <w:ilvl w:val="2"/>
          <w:numId w:val="19"/>
        </w:numPr>
        <w:tabs>
          <w:tab w:pos="2160" w:val="left" w:leader="none"/>
        </w:tabs>
        <w:spacing w:line="240" w:lineRule="auto" w:before="65" w:after="0"/>
        <w:ind w:left="2160" w:right="0" w:hanging="720"/>
        <w:jc w:val="both"/>
      </w:pPr>
      <w:r>
        <w:rPr/>
        <mc:AlternateContent>
          <mc:Choice Requires="wps">
            <w:drawing>
              <wp:anchor distT="0" distB="0" distL="0" distR="0" allowOverlap="1" layoutInCell="1" locked="0" behindDoc="1" simplePos="0" relativeHeight="480666624">
                <wp:simplePos x="0" y="0"/>
                <wp:positionH relativeFrom="page">
                  <wp:posOffset>-1537026</wp:posOffset>
                </wp:positionH>
                <wp:positionV relativeFrom="page">
                  <wp:posOffset>4900424</wp:posOffset>
                </wp:positionV>
                <wp:extent cx="10669905" cy="914400"/>
                <wp:effectExtent l="0" t="0" r="0" b="0"/>
                <wp:wrapNone/>
                <wp:docPr id="293" name="Textbox 293"/>
                <wp:cNvGraphicFramePr>
                  <a:graphicFrameLocks/>
                </wp:cNvGraphicFramePr>
                <a:graphic>
                  <a:graphicData uri="http://schemas.microsoft.com/office/word/2010/wordprocessingShape">
                    <wps:wsp>
                      <wps:cNvPr id="293" name="Textbox 293"/>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49856;rotation:306" type="#_x0000_t136" fillcolor="#ff5400" stroked="f">
                <o:extrusion v:ext="view" autorotationcenter="t"/>
                <v:textpath style="font-family:&quot;Arial MT&quot;;font-size:72pt;v-text-kern:t;mso-text-shadow:auto" string="UNIVERSITY OF IBADAN"/>
                <w10:wrap type="none"/>
              </v:shape>
            </w:pict>
          </mc:Fallback>
        </mc:AlternateContent>
      </w:r>
      <w:r>
        <w:rPr/>
        <w:t>Distribution</w:t>
      </w:r>
      <w:r>
        <w:rPr>
          <w:spacing w:val="-5"/>
        </w:rPr>
        <w:t> </w:t>
      </w:r>
      <w:r>
        <w:rPr/>
        <w:t>of</w:t>
      </w:r>
      <w:r>
        <w:rPr>
          <w:spacing w:val="-1"/>
        </w:rPr>
        <w:t> </w:t>
      </w:r>
      <w:r>
        <w:rPr/>
        <w:t>Respondents</w:t>
      </w:r>
      <w:r>
        <w:rPr>
          <w:spacing w:val="-3"/>
        </w:rPr>
        <w:t> </w:t>
      </w:r>
      <w:r>
        <w:rPr/>
        <w:t>by</w:t>
      </w:r>
      <w:r>
        <w:rPr>
          <w:spacing w:val="-2"/>
        </w:rPr>
        <w:t> </w:t>
      </w:r>
      <w:r>
        <w:rPr/>
        <w:t>Educational</w:t>
      </w:r>
      <w:r>
        <w:rPr>
          <w:spacing w:val="-2"/>
        </w:rPr>
        <w:t> Qualification</w:t>
      </w:r>
    </w:p>
    <w:p>
      <w:pPr>
        <w:pStyle w:val="BodyText"/>
        <w:spacing w:line="360" w:lineRule="auto" w:before="133"/>
        <w:ind w:right="1255" w:firstLine="720"/>
        <w:jc w:val="both"/>
      </w:pPr>
      <w:r>
        <w:rPr/>
        <w:t>The educational qualifications of the respondents are summarized in Table 3.</w:t>
      </w:r>
      <w:r>
        <w:rPr>
          <w:spacing w:val="40"/>
        </w:rPr>
        <w:t> </w:t>
      </w:r>
      <w:r>
        <w:rPr/>
        <w:t>It could be observed that most of the respondents are well educated and this negates the general impression that the people of the Niger Delta are not sufficiently educated to benefit from the oil economy. This is because 107 of the respondents (constituting 45.3% of the respondents) have university education, 28.3% claimed to have secondary education while 17.9% of the respondents have post-secondary education and only 3.3% of the sample population is not educated beyond primary school level.</w:t>
      </w:r>
    </w:p>
    <w:p>
      <w:pPr>
        <w:pStyle w:val="BodyText"/>
        <w:spacing w:before="143"/>
        <w:ind w:left="0"/>
      </w:pPr>
    </w:p>
    <w:p>
      <w:pPr>
        <w:pStyle w:val="Heading2"/>
      </w:pPr>
      <w:r>
        <w:rPr/>
        <w:t>Table</w:t>
      </w:r>
      <w:r>
        <w:rPr>
          <w:spacing w:val="-4"/>
        </w:rPr>
        <w:t> </w:t>
      </w:r>
      <w:r>
        <w:rPr/>
        <w:t>3:</w:t>
      </w:r>
      <w:r>
        <w:rPr>
          <w:spacing w:val="-3"/>
        </w:rPr>
        <w:t> </w:t>
      </w:r>
      <w:r>
        <w:rPr/>
        <w:t>Educational</w:t>
      </w:r>
      <w:r>
        <w:rPr>
          <w:spacing w:val="-3"/>
        </w:rPr>
        <w:t> </w:t>
      </w:r>
      <w:r>
        <w:rPr/>
        <w:t>Qualifications</w:t>
      </w:r>
      <w:r>
        <w:rPr>
          <w:spacing w:val="-1"/>
        </w:rPr>
        <w:t> </w:t>
      </w:r>
      <w:r>
        <w:rPr/>
        <w:t>(Highest</w:t>
      </w:r>
      <w:r>
        <w:rPr>
          <w:spacing w:val="-1"/>
        </w:rPr>
        <w:t> </w:t>
      </w:r>
      <w:r>
        <w:rPr/>
        <w:t>Level</w:t>
      </w:r>
      <w:r>
        <w:rPr>
          <w:spacing w:val="-1"/>
        </w:rPr>
        <w:t> </w:t>
      </w:r>
      <w:r>
        <w:rPr/>
        <w:t>of </w:t>
      </w:r>
      <w:r>
        <w:rPr>
          <w:spacing w:val="-2"/>
        </w:rPr>
        <w:t>Education)</w:t>
      </w:r>
    </w:p>
    <w:p>
      <w:pPr>
        <w:pStyle w:val="BodyText"/>
        <w:spacing w:before="2"/>
        <w:ind w:left="0"/>
        <w:rPr>
          <w:b/>
          <w:sz w:val="12"/>
        </w:rPr>
      </w:pP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60"/>
        <w:gridCol w:w="1400"/>
        <w:gridCol w:w="1440"/>
        <w:gridCol w:w="1080"/>
        <w:gridCol w:w="1081"/>
        <w:gridCol w:w="1440"/>
      </w:tblGrid>
      <w:tr>
        <w:trPr>
          <w:trHeight w:val="362" w:hRule="atLeast"/>
        </w:trPr>
        <w:tc>
          <w:tcPr>
            <w:tcW w:w="3960" w:type="dxa"/>
            <w:gridSpan w:val="2"/>
            <w:vMerge w:val="restart"/>
          </w:tcPr>
          <w:p>
            <w:pPr>
              <w:pStyle w:val="TableParagraph"/>
              <w:rPr>
                <w:sz w:val="24"/>
              </w:rPr>
            </w:pPr>
          </w:p>
        </w:tc>
        <w:tc>
          <w:tcPr>
            <w:tcW w:w="1440" w:type="dxa"/>
            <w:vMerge w:val="restart"/>
          </w:tcPr>
          <w:p>
            <w:pPr>
              <w:pStyle w:val="TableParagraph"/>
              <w:spacing w:before="75"/>
              <w:rPr>
                <w:b/>
                <w:sz w:val="24"/>
              </w:rPr>
            </w:pPr>
          </w:p>
          <w:p>
            <w:pPr>
              <w:pStyle w:val="TableParagraph"/>
              <w:ind w:left="214"/>
              <w:rPr>
                <w:sz w:val="24"/>
              </w:rPr>
            </w:pPr>
            <w:r>
              <w:rPr>
                <w:spacing w:val="-2"/>
                <w:sz w:val="24"/>
              </w:rPr>
              <w:t>Frequency</w:t>
            </w:r>
          </w:p>
        </w:tc>
        <w:tc>
          <w:tcPr>
            <w:tcW w:w="1080" w:type="dxa"/>
            <w:vMerge w:val="restart"/>
          </w:tcPr>
          <w:p>
            <w:pPr>
              <w:pStyle w:val="TableParagraph"/>
              <w:spacing w:before="75"/>
              <w:rPr>
                <w:b/>
                <w:sz w:val="24"/>
              </w:rPr>
            </w:pPr>
          </w:p>
          <w:p>
            <w:pPr>
              <w:pStyle w:val="TableParagraph"/>
              <w:ind w:left="180"/>
              <w:rPr>
                <w:sz w:val="24"/>
              </w:rPr>
            </w:pPr>
            <w:r>
              <w:rPr>
                <w:spacing w:val="-2"/>
                <w:sz w:val="24"/>
              </w:rPr>
              <w:t>Percent</w:t>
            </w:r>
          </w:p>
        </w:tc>
        <w:tc>
          <w:tcPr>
            <w:tcW w:w="1081" w:type="dxa"/>
            <w:tcBorders>
              <w:bottom w:val="nil"/>
            </w:tcBorders>
          </w:tcPr>
          <w:p>
            <w:pPr>
              <w:pStyle w:val="TableParagraph"/>
              <w:spacing w:line="270" w:lineRule="exact"/>
              <w:ind w:left="12" w:right="2"/>
              <w:jc w:val="center"/>
              <w:rPr>
                <w:sz w:val="24"/>
              </w:rPr>
            </w:pPr>
            <w:r>
              <w:rPr>
                <w:spacing w:val="-2"/>
                <w:sz w:val="24"/>
              </w:rPr>
              <w:t>Valid</w:t>
            </w:r>
          </w:p>
        </w:tc>
        <w:tc>
          <w:tcPr>
            <w:tcW w:w="1440" w:type="dxa"/>
            <w:tcBorders>
              <w:bottom w:val="nil"/>
            </w:tcBorders>
          </w:tcPr>
          <w:p>
            <w:pPr>
              <w:pStyle w:val="TableParagraph"/>
              <w:spacing w:line="270" w:lineRule="exact"/>
              <w:ind w:left="11" w:right="3"/>
              <w:jc w:val="center"/>
              <w:rPr>
                <w:sz w:val="24"/>
              </w:rPr>
            </w:pPr>
            <w:r>
              <w:rPr>
                <w:spacing w:val="-2"/>
                <w:sz w:val="24"/>
              </w:rPr>
              <w:t>Cumulative</w:t>
            </w:r>
          </w:p>
        </w:tc>
      </w:tr>
      <w:tr>
        <w:trPr>
          <w:trHeight w:val="454" w:hRule="atLeast"/>
        </w:trPr>
        <w:tc>
          <w:tcPr>
            <w:tcW w:w="3960" w:type="dxa"/>
            <w:gridSpan w:val="2"/>
            <w:vMerge/>
            <w:tcBorders>
              <w:top w:val="nil"/>
            </w:tcBorders>
          </w:tcPr>
          <w:p>
            <w:pPr>
              <w:rPr>
                <w:sz w:val="2"/>
                <w:szCs w:val="2"/>
              </w:rPr>
            </w:pPr>
          </w:p>
        </w:tc>
        <w:tc>
          <w:tcPr>
            <w:tcW w:w="1440" w:type="dxa"/>
            <w:vMerge/>
            <w:tcBorders>
              <w:top w:val="nil"/>
            </w:tcBorders>
          </w:tcPr>
          <w:p>
            <w:pPr>
              <w:rPr>
                <w:sz w:val="2"/>
                <w:szCs w:val="2"/>
              </w:rPr>
            </w:pPr>
          </w:p>
        </w:tc>
        <w:tc>
          <w:tcPr>
            <w:tcW w:w="1080" w:type="dxa"/>
            <w:vMerge/>
            <w:tcBorders>
              <w:top w:val="nil"/>
            </w:tcBorders>
          </w:tcPr>
          <w:p>
            <w:pPr>
              <w:rPr>
                <w:sz w:val="2"/>
                <w:szCs w:val="2"/>
              </w:rPr>
            </w:pPr>
          </w:p>
        </w:tc>
        <w:tc>
          <w:tcPr>
            <w:tcW w:w="1081" w:type="dxa"/>
            <w:tcBorders>
              <w:top w:val="nil"/>
            </w:tcBorders>
          </w:tcPr>
          <w:p>
            <w:pPr>
              <w:pStyle w:val="TableParagraph"/>
              <w:spacing w:before="82"/>
              <w:ind w:left="12" w:right="5"/>
              <w:jc w:val="center"/>
              <w:rPr>
                <w:sz w:val="24"/>
              </w:rPr>
            </w:pPr>
            <w:r>
              <w:rPr>
                <w:spacing w:val="-2"/>
                <w:sz w:val="24"/>
              </w:rPr>
              <w:t>Percent</w:t>
            </w:r>
          </w:p>
        </w:tc>
        <w:tc>
          <w:tcPr>
            <w:tcW w:w="1440" w:type="dxa"/>
            <w:tcBorders>
              <w:top w:val="nil"/>
            </w:tcBorders>
          </w:tcPr>
          <w:p>
            <w:pPr>
              <w:pStyle w:val="TableParagraph"/>
              <w:spacing w:before="82"/>
              <w:ind w:left="11" w:right="4"/>
              <w:jc w:val="center"/>
              <w:rPr>
                <w:sz w:val="24"/>
              </w:rPr>
            </w:pPr>
            <w:r>
              <w:rPr>
                <w:spacing w:val="-2"/>
                <w:sz w:val="24"/>
              </w:rPr>
              <w:t>Percent</w:t>
            </w:r>
          </w:p>
        </w:tc>
      </w:tr>
      <w:tr>
        <w:trPr>
          <w:trHeight w:val="368" w:hRule="atLeast"/>
        </w:trPr>
        <w:tc>
          <w:tcPr>
            <w:tcW w:w="2560" w:type="dxa"/>
            <w:tcBorders>
              <w:bottom w:val="nil"/>
              <w:right w:val="nil"/>
            </w:tcBorders>
          </w:tcPr>
          <w:p>
            <w:pPr>
              <w:pStyle w:val="TableParagraph"/>
              <w:spacing w:before="11"/>
              <w:ind w:left="9"/>
              <w:rPr>
                <w:sz w:val="24"/>
              </w:rPr>
            </w:pPr>
            <w:r>
              <w:rPr>
                <w:sz w:val="24"/>
              </w:rPr>
              <w:t>Non-formal,</w:t>
            </w:r>
            <w:r>
              <w:rPr>
                <w:spacing w:val="-4"/>
                <w:sz w:val="24"/>
              </w:rPr>
              <w:t> </w:t>
            </w:r>
            <w:r>
              <w:rPr>
                <w:spacing w:val="-2"/>
                <w:sz w:val="24"/>
              </w:rPr>
              <w:t>religious,</w:t>
            </w:r>
          </w:p>
        </w:tc>
        <w:tc>
          <w:tcPr>
            <w:tcW w:w="1400" w:type="dxa"/>
            <w:tcBorders>
              <w:left w:val="nil"/>
              <w:bottom w:val="nil"/>
            </w:tcBorders>
          </w:tcPr>
          <w:p>
            <w:pPr>
              <w:pStyle w:val="TableParagraph"/>
              <w:spacing w:before="11"/>
              <w:ind w:left="406"/>
              <w:rPr>
                <w:sz w:val="24"/>
              </w:rPr>
            </w:pPr>
            <w:r>
              <w:rPr>
                <w:spacing w:val="-2"/>
                <w:sz w:val="24"/>
              </w:rPr>
              <w:t>literary</w:t>
            </w:r>
          </w:p>
        </w:tc>
        <w:tc>
          <w:tcPr>
            <w:tcW w:w="1440" w:type="dxa"/>
            <w:tcBorders>
              <w:bottom w:val="nil"/>
            </w:tcBorders>
          </w:tcPr>
          <w:p>
            <w:pPr>
              <w:pStyle w:val="TableParagraph"/>
              <w:rPr>
                <w:sz w:val="24"/>
              </w:rPr>
            </w:pPr>
          </w:p>
        </w:tc>
        <w:tc>
          <w:tcPr>
            <w:tcW w:w="1080" w:type="dxa"/>
            <w:tcBorders>
              <w:bottom w:val="nil"/>
            </w:tcBorders>
          </w:tcPr>
          <w:p>
            <w:pPr>
              <w:pStyle w:val="TableParagraph"/>
              <w:rPr>
                <w:sz w:val="24"/>
              </w:rPr>
            </w:pPr>
          </w:p>
        </w:tc>
        <w:tc>
          <w:tcPr>
            <w:tcW w:w="1081" w:type="dxa"/>
            <w:tcBorders>
              <w:bottom w:val="nil"/>
            </w:tcBorders>
          </w:tcPr>
          <w:p>
            <w:pPr>
              <w:pStyle w:val="TableParagraph"/>
              <w:rPr>
                <w:sz w:val="24"/>
              </w:rPr>
            </w:pPr>
          </w:p>
        </w:tc>
        <w:tc>
          <w:tcPr>
            <w:tcW w:w="1440" w:type="dxa"/>
            <w:tcBorders>
              <w:bottom w:val="nil"/>
            </w:tcBorders>
          </w:tcPr>
          <w:p>
            <w:pPr>
              <w:pStyle w:val="TableParagraph"/>
              <w:rPr>
                <w:sz w:val="24"/>
              </w:rPr>
            </w:pPr>
          </w:p>
        </w:tc>
      </w:tr>
      <w:tr>
        <w:trPr>
          <w:trHeight w:val="416" w:hRule="atLeast"/>
        </w:trPr>
        <w:tc>
          <w:tcPr>
            <w:tcW w:w="2560" w:type="dxa"/>
            <w:tcBorders>
              <w:top w:val="nil"/>
              <w:bottom w:val="nil"/>
              <w:right w:val="nil"/>
            </w:tcBorders>
          </w:tcPr>
          <w:p>
            <w:pPr>
              <w:pStyle w:val="TableParagraph"/>
              <w:spacing w:before="71"/>
              <w:ind w:left="9"/>
              <w:rPr>
                <w:sz w:val="24"/>
              </w:rPr>
            </w:pPr>
            <w:r>
              <w:rPr>
                <w:sz w:val="24"/>
              </w:rPr>
              <w:t>or</w:t>
            </w:r>
            <w:r>
              <w:rPr>
                <w:spacing w:val="-2"/>
                <w:sz w:val="24"/>
              </w:rPr>
              <w:t> </w:t>
            </w:r>
            <w:r>
              <w:rPr>
                <w:sz w:val="24"/>
              </w:rPr>
              <w:t>adult </w:t>
            </w:r>
            <w:r>
              <w:rPr>
                <w:spacing w:val="-2"/>
                <w:sz w:val="24"/>
              </w:rPr>
              <w:t>education</w:t>
            </w:r>
          </w:p>
        </w:tc>
        <w:tc>
          <w:tcPr>
            <w:tcW w:w="1400" w:type="dxa"/>
            <w:tcBorders>
              <w:top w:val="nil"/>
              <w:left w:val="nil"/>
              <w:bottom w:val="nil"/>
            </w:tcBorders>
          </w:tcPr>
          <w:p>
            <w:pPr>
              <w:pStyle w:val="TableParagraph"/>
              <w:rPr>
                <w:sz w:val="24"/>
              </w:rPr>
            </w:pPr>
          </w:p>
        </w:tc>
        <w:tc>
          <w:tcPr>
            <w:tcW w:w="1440" w:type="dxa"/>
            <w:tcBorders>
              <w:top w:val="nil"/>
              <w:bottom w:val="nil"/>
            </w:tcBorders>
          </w:tcPr>
          <w:p>
            <w:pPr>
              <w:pStyle w:val="TableParagraph"/>
              <w:spacing w:before="71"/>
              <w:ind w:right="587"/>
              <w:jc w:val="right"/>
              <w:rPr>
                <w:sz w:val="24"/>
              </w:rPr>
            </w:pPr>
            <w:r>
              <w:rPr>
                <w:spacing w:val="-5"/>
                <w:sz w:val="24"/>
              </w:rPr>
              <w:t>10</w:t>
            </w:r>
          </w:p>
        </w:tc>
        <w:tc>
          <w:tcPr>
            <w:tcW w:w="1080" w:type="dxa"/>
            <w:tcBorders>
              <w:top w:val="nil"/>
              <w:bottom w:val="nil"/>
            </w:tcBorders>
          </w:tcPr>
          <w:p>
            <w:pPr>
              <w:pStyle w:val="TableParagraph"/>
              <w:spacing w:before="71"/>
              <w:ind w:left="11" w:right="2"/>
              <w:jc w:val="center"/>
              <w:rPr>
                <w:sz w:val="24"/>
              </w:rPr>
            </w:pPr>
            <w:r>
              <w:rPr>
                <w:spacing w:val="-5"/>
                <w:sz w:val="24"/>
              </w:rPr>
              <w:t>4.2</w:t>
            </w:r>
          </w:p>
        </w:tc>
        <w:tc>
          <w:tcPr>
            <w:tcW w:w="1081" w:type="dxa"/>
            <w:tcBorders>
              <w:top w:val="nil"/>
              <w:bottom w:val="nil"/>
            </w:tcBorders>
          </w:tcPr>
          <w:p>
            <w:pPr>
              <w:pStyle w:val="TableParagraph"/>
              <w:spacing w:before="71"/>
              <w:ind w:left="12" w:right="3"/>
              <w:jc w:val="center"/>
              <w:rPr>
                <w:sz w:val="24"/>
              </w:rPr>
            </w:pPr>
            <w:r>
              <w:rPr>
                <w:spacing w:val="-5"/>
                <w:sz w:val="24"/>
              </w:rPr>
              <w:t>4.2</w:t>
            </w:r>
          </w:p>
        </w:tc>
        <w:tc>
          <w:tcPr>
            <w:tcW w:w="1440" w:type="dxa"/>
            <w:tcBorders>
              <w:top w:val="nil"/>
              <w:bottom w:val="nil"/>
            </w:tcBorders>
          </w:tcPr>
          <w:p>
            <w:pPr>
              <w:pStyle w:val="TableParagraph"/>
              <w:spacing w:before="71"/>
              <w:ind w:left="11" w:right="3"/>
              <w:jc w:val="center"/>
              <w:rPr>
                <w:sz w:val="24"/>
              </w:rPr>
            </w:pPr>
            <w:r>
              <w:rPr>
                <w:spacing w:val="-5"/>
                <w:sz w:val="24"/>
              </w:rPr>
              <w:t>4.2</w:t>
            </w:r>
          </w:p>
        </w:tc>
      </w:tr>
      <w:tr>
        <w:trPr>
          <w:trHeight w:val="417" w:hRule="atLeast"/>
        </w:trPr>
        <w:tc>
          <w:tcPr>
            <w:tcW w:w="2560" w:type="dxa"/>
            <w:tcBorders>
              <w:top w:val="nil"/>
              <w:bottom w:val="nil"/>
              <w:right w:val="nil"/>
            </w:tcBorders>
          </w:tcPr>
          <w:p>
            <w:pPr>
              <w:pStyle w:val="TableParagraph"/>
              <w:spacing w:before="58"/>
              <w:ind w:left="9"/>
              <w:rPr>
                <w:sz w:val="24"/>
              </w:rPr>
            </w:pPr>
            <w:r>
              <w:rPr>
                <w:sz w:val="24"/>
              </w:rPr>
              <w:t>Primary</w:t>
            </w:r>
            <w:r>
              <w:rPr>
                <w:spacing w:val="-5"/>
                <w:sz w:val="24"/>
              </w:rPr>
              <w:t> </w:t>
            </w:r>
            <w:r>
              <w:rPr>
                <w:spacing w:val="-2"/>
                <w:sz w:val="24"/>
              </w:rPr>
              <w:t>School</w:t>
            </w:r>
          </w:p>
        </w:tc>
        <w:tc>
          <w:tcPr>
            <w:tcW w:w="1400" w:type="dxa"/>
            <w:tcBorders>
              <w:top w:val="nil"/>
              <w:left w:val="nil"/>
              <w:bottom w:val="nil"/>
            </w:tcBorders>
          </w:tcPr>
          <w:p>
            <w:pPr>
              <w:pStyle w:val="TableParagraph"/>
              <w:rPr>
                <w:sz w:val="24"/>
              </w:rPr>
            </w:pPr>
          </w:p>
        </w:tc>
        <w:tc>
          <w:tcPr>
            <w:tcW w:w="1440" w:type="dxa"/>
            <w:tcBorders>
              <w:top w:val="nil"/>
              <w:bottom w:val="nil"/>
            </w:tcBorders>
          </w:tcPr>
          <w:p>
            <w:pPr>
              <w:pStyle w:val="TableParagraph"/>
              <w:spacing w:before="58"/>
              <w:ind w:left="11"/>
              <w:jc w:val="center"/>
              <w:rPr>
                <w:sz w:val="24"/>
              </w:rPr>
            </w:pPr>
            <w:r>
              <w:rPr>
                <w:spacing w:val="-10"/>
                <w:sz w:val="24"/>
              </w:rPr>
              <w:t>8</w:t>
            </w:r>
          </w:p>
        </w:tc>
        <w:tc>
          <w:tcPr>
            <w:tcW w:w="1080" w:type="dxa"/>
            <w:tcBorders>
              <w:top w:val="nil"/>
              <w:bottom w:val="nil"/>
            </w:tcBorders>
          </w:tcPr>
          <w:p>
            <w:pPr>
              <w:pStyle w:val="TableParagraph"/>
              <w:spacing w:before="58"/>
              <w:ind w:left="11" w:right="2"/>
              <w:jc w:val="center"/>
              <w:rPr>
                <w:sz w:val="24"/>
              </w:rPr>
            </w:pPr>
            <w:r>
              <w:rPr>
                <w:spacing w:val="-5"/>
                <w:sz w:val="24"/>
              </w:rPr>
              <w:t>3.3</w:t>
            </w:r>
          </w:p>
        </w:tc>
        <w:tc>
          <w:tcPr>
            <w:tcW w:w="1081" w:type="dxa"/>
            <w:tcBorders>
              <w:top w:val="nil"/>
              <w:bottom w:val="nil"/>
            </w:tcBorders>
          </w:tcPr>
          <w:p>
            <w:pPr>
              <w:pStyle w:val="TableParagraph"/>
              <w:spacing w:before="58"/>
              <w:ind w:left="12" w:right="3"/>
              <w:jc w:val="center"/>
              <w:rPr>
                <w:sz w:val="24"/>
              </w:rPr>
            </w:pPr>
            <w:r>
              <w:rPr>
                <w:spacing w:val="-5"/>
                <w:sz w:val="24"/>
              </w:rPr>
              <w:t>3.4</w:t>
            </w:r>
          </w:p>
        </w:tc>
        <w:tc>
          <w:tcPr>
            <w:tcW w:w="1440" w:type="dxa"/>
            <w:tcBorders>
              <w:top w:val="nil"/>
              <w:bottom w:val="nil"/>
            </w:tcBorders>
          </w:tcPr>
          <w:p>
            <w:pPr>
              <w:pStyle w:val="TableParagraph"/>
              <w:spacing w:before="58"/>
              <w:ind w:left="11" w:right="3"/>
              <w:jc w:val="center"/>
              <w:rPr>
                <w:sz w:val="24"/>
              </w:rPr>
            </w:pPr>
            <w:r>
              <w:rPr>
                <w:spacing w:val="-5"/>
                <w:sz w:val="24"/>
              </w:rPr>
              <w:t>7.6</w:t>
            </w:r>
          </w:p>
        </w:tc>
      </w:tr>
      <w:tr>
        <w:trPr>
          <w:trHeight w:val="422" w:hRule="atLeast"/>
        </w:trPr>
        <w:tc>
          <w:tcPr>
            <w:tcW w:w="3960" w:type="dxa"/>
            <w:gridSpan w:val="2"/>
            <w:tcBorders>
              <w:top w:val="nil"/>
              <w:bottom w:val="nil"/>
            </w:tcBorders>
          </w:tcPr>
          <w:p>
            <w:pPr>
              <w:pStyle w:val="TableParagraph"/>
              <w:spacing w:before="73"/>
              <w:ind w:left="9"/>
              <w:rPr>
                <w:sz w:val="24"/>
              </w:rPr>
            </w:pPr>
            <w:r>
              <w:rPr>
                <w:sz w:val="24"/>
              </w:rPr>
              <w:t>Secondary</w:t>
            </w:r>
            <w:r>
              <w:rPr>
                <w:spacing w:val="-5"/>
                <w:sz w:val="24"/>
              </w:rPr>
              <w:t> </w:t>
            </w:r>
            <w:r>
              <w:rPr>
                <w:spacing w:val="-2"/>
                <w:sz w:val="24"/>
              </w:rPr>
              <w:t>/technical/teachers/</w:t>
            </w:r>
          </w:p>
        </w:tc>
        <w:tc>
          <w:tcPr>
            <w:tcW w:w="1440" w:type="dxa"/>
            <w:tcBorders>
              <w:top w:val="nil"/>
              <w:bottom w:val="nil"/>
            </w:tcBorders>
          </w:tcPr>
          <w:p>
            <w:pPr>
              <w:pStyle w:val="TableParagraph"/>
              <w:rPr>
                <w:sz w:val="24"/>
              </w:rPr>
            </w:pPr>
          </w:p>
        </w:tc>
        <w:tc>
          <w:tcPr>
            <w:tcW w:w="1080" w:type="dxa"/>
            <w:tcBorders>
              <w:top w:val="nil"/>
              <w:bottom w:val="nil"/>
            </w:tcBorders>
          </w:tcPr>
          <w:p>
            <w:pPr>
              <w:pStyle w:val="TableParagraph"/>
              <w:rPr>
                <w:sz w:val="24"/>
              </w:rPr>
            </w:pPr>
          </w:p>
        </w:tc>
        <w:tc>
          <w:tcPr>
            <w:tcW w:w="1081" w:type="dxa"/>
            <w:tcBorders>
              <w:top w:val="nil"/>
              <w:bottom w:val="nil"/>
            </w:tcBorders>
          </w:tcPr>
          <w:p>
            <w:pPr>
              <w:pStyle w:val="TableParagraph"/>
              <w:rPr>
                <w:sz w:val="24"/>
              </w:rPr>
            </w:pPr>
          </w:p>
        </w:tc>
        <w:tc>
          <w:tcPr>
            <w:tcW w:w="1440" w:type="dxa"/>
            <w:tcBorders>
              <w:top w:val="nil"/>
              <w:bottom w:val="nil"/>
            </w:tcBorders>
          </w:tcPr>
          <w:p>
            <w:pPr>
              <w:pStyle w:val="TableParagraph"/>
              <w:rPr>
                <w:sz w:val="24"/>
              </w:rPr>
            </w:pPr>
          </w:p>
        </w:tc>
      </w:tr>
      <w:tr>
        <w:trPr>
          <w:trHeight w:val="413" w:hRule="atLeast"/>
        </w:trPr>
        <w:tc>
          <w:tcPr>
            <w:tcW w:w="2560" w:type="dxa"/>
            <w:tcBorders>
              <w:top w:val="nil"/>
              <w:bottom w:val="nil"/>
              <w:right w:val="nil"/>
            </w:tcBorders>
          </w:tcPr>
          <w:p>
            <w:pPr>
              <w:pStyle w:val="TableParagraph"/>
              <w:spacing w:before="63"/>
              <w:ind w:left="9"/>
              <w:rPr>
                <w:sz w:val="24"/>
              </w:rPr>
            </w:pPr>
            <w:r>
              <w:rPr>
                <w:sz w:val="24"/>
              </w:rPr>
              <w:t>commercial</w:t>
            </w:r>
            <w:r>
              <w:rPr>
                <w:spacing w:val="-4"/>
                <w:sz w:val="24"/>
              </w:rPr>
              <w:t> </w:t>
            </w:r>
            <w:r>
              <w:rPr>
                <w:spacing w:val="-2"/>
                <w:sz w:val="24"/>
              </w:rPr>
              <w:t>college</w:t>
            </w:r>
          </w:p>
        </w:tc>
        <w:tc>
          <w:tcPr>
            <w:tcW w:w="1400" w:type="dxa"/>
            <w:tcBorders>
              <w:top w:val="nil"/>
              <w:left w:val="nil"/>
              <w:bottom w:val="nil"/>
            </w:tcBorders>
          </w:tcPr>
          <w:p>
            <w:pPr>
              <w:pStyle w:val="TableParagraph"/>
              <w:rPr>
                <w:sz w:val="24"/>
              </w:rPr>
            </w:pPr>
          </w:p>
        </w:tc>
        <w:tc>
          <w:tcPr>
            <w:tcW w:w="1440" w:type="dxa"/>
            <w:tcBorders>
              <w:top w:val="nil"/>
              <w:bottom w:val="nil"/>
            </w:tcBorders>
          </w:tcPr>
          <w:p>
            <w:pPr>
              <w:pStyle w:val="TableParagraph"/>
              <w:spacing w:before="63"/>
              <w:ind w:right="587"/>
              <w:jc w:val="right"/>
              <w:rPr>
                <w:sz w:val="24"/>
              </w:rPr>
            </w:pPr>
            <w:r>
              <w:rPr>
                <w:spacing w:val="-5"/>
                <w:sz w:val="24"/>
              </w:rPr>
              <w:t>68</w:t>
            </w:r>
          </w:p>
        </w:tc>
        <w:tc>
          <w:tcPr>
            <w:tcW w:w="1080" w:type="dxa"/>
            <w:tcBorders>
              <w:top w:val="nil"/>
              <w:bottom w:val="nil"/>
            </w:tcBorders>
          </w:tcPr>
          <w:p>
            <w:pPr>
              <w:pStyle w:val="TableParagraph"/>
              <w:spacing w:before="63"/>
              <w:ind w:left="11" w:right="2"/>
              <w:jc w:val="center"/>
              <w:rPr>
                <w:sz w:val="24"/>
              </w:rPr>
            </w:pPr>
            <w:r>
              <w:rPr>
                <w:spacing w:val="-4"/>
                <w:sz w:val="24"/>
              </w:rPr>
              <w:t>28.3</w:t>
            </w:r>
          </w:p>
        </w:tc>
        <w:tc>
          <w:tcPr>
            <w:tcW w:w="1081" w:type="dxa"/>
            <w:tcBorders>
              <w:top w:val="nil"/>
              <w:bottom w:val="nil"/>
            </w:tcBorders>
          </w:tcPr>
          <w:p>
            <w:pPr>
              <w:pStyle w:val="TableParagraph"/>
              <w:spacing w:before="63"/>
              <w:ind w:left="12" w:right="4"/>
              <w:jc w:val="center"/>
              <w:rPr>
                <w:sz w:val="24"/>
              </w:rPr>
            </w:pPr>
            <w:r>
              <w:rPr>
                <w:spacing w:val="-4"/>
                <w:sz w:val="24"/>
              </w:rPr>
              <w:t>28.8</w:t>
            </w:r>
          </w:p>
        </w:tc>
        <w:tc>
          <w:tcPr>
            <w:tcW w:w="1440" w:type="dxa"/>
            <w:tcBorders>
              <w:top w:val="nil"/>
              <w:bottom w:val="nil"/>
            </w:tcBorders>
          </w:tcPr>
          <w:p>
            <w:pPr>
              <w:pStyle w:val="TableParagraph"/>
              <w:spacing w:before="63"/>
              <w:ind w:left="11" w:right="3"/>
              <w:jc w:val="center"/>
              <w:rPr>
                <w:sz w:val="24"/>
              </w:rPr>
            </w:pPr>
            <w:r>
              <w:rPr>
                <w:spacing w:val="-4"/>
                <w:sz w:val="24"/>
              </w:rPr>
              <w:t>36.4</w:t>
            </w:r>
          </w:p>
        </w:tc>
      </w:tr>
      <w:tr>
        <w:trPr>
          <w:trHeight w:val="417" w:hRule="atLeast"/>
        </w:trPr>
        <w:tc>
          <w:tcPr>
            <w:tcW w:w="2560" w:type="dxa"/>
            <w:tcBorders>
              <w:top w:val="nil"/>
              <w:bottom w:val="nil"/>
              <w:right w:val="nil"/>
            </w:tcBorders>
          </w:tcPr>
          <w:p>
            <w:pPr>
              <w:pStyle w:val="TableParagraph"/>
              <w:spacing w:before="64"/>
              <w:ind w:left="9"/>
              <w:rPr>
                <w:sz w:val="24"/>
              </w:rPr>
            </w:pPr>
            <w:r>
              <w:rPr>
                <w:sz w:val="24"/>
              </w:rPr>
              <w:t>Post</w:t>
            </w:r>
            <w:r>
              <w:rPr>
                <w:spacing w:val="-1"/>
                <w:sz w:val="24"/>
              </w:rPr>
              <w:t> </w:t>
            </w:r>
            <w:r>
              <w:rPr>
                <w:sz w:val="24"/>
              </w:rPr>
              <w:t>-</w:t>
            </w:r>
            <w:r>
              <w:rPr>
                <w:spacing w:val="-2"/>
                <w:sz w:val="24"/>
              </w:rPr>
              <w:t>secondary</w:t>
            </w:r>
          </w:p>
        </w:tc>
        <w:tc>
          <w:tcPr>
            <w:tcW w:w="1400" w:type="dxa"/>
            <w:tcBorders>
              <w:top w:val="nil"/>
              <w:left w:val="nil"/>
              <w:bottom w:val="nil"/>
            </w:tcBorders>
          </w:tcPr>
          <w:p>
            <w:pPr>
              <w:pStyle w:val="TableParagraph"/>
              <w:rPr>
                <w:sz w:val="24"/>
              </w:rPr>
            </w:pPr>
          </w:p>
        </w:tc>
        <w:tc>
          <w:tcPr>
            <w:tcW w:w="1440" w:type="dxa"/>
            <w:tcBorders>
              <w:top w:val="nil"/>
              <w:bottom w:val="nil"/>
            </w:tcBorders>
          </w:tcPr>
          <w:p>
            <w:pPr>
              <w:pStyle w:val="TableParagraph"/>
              <w:rPr>
                <w:sz w:val="24"/>
              </w:rPr>
            </w:pPr>
          </w:p>
        </w:tc>
        <w:tc>
          <w:tcPr>
            <w:tcW w:w="1080" w:type="dxa"/>
            <w:tcBorders>
              <w:top w:val="nil"/>
              <w:bottom w:val="nil"/>
            </w:tcBorders>
          </w:tcPr>
          <w:p>
            <w:pPr>
              <w:pStyle w:val="TableParagraph"/>
              <w:rPr>
                <w:sz w:val="24"/>
              </w:rPr>
            </w:pPr>
          </w:p>
        </w:tc>
        <w:tc>
          <w:tcPr>
            <w:tcW w:w="1081" w:type="dxa"/>
            <w:tcBorders>
              <w:top w:val="nil"/>
              <w:bottom w:val="nil"/>
            </w:tcBorders>
          </w:tcPr>
          <w:p>
            <w:pPr>
              <w:pStyle w:val="TableParagraph"/>
              <w:rPr>
                <w:sz w:val="24"/>
              </w:rPr>
            </w:pPr>
          </w:p>
        </w:tc>
        <w:tc>
          <w:tcPr>
            <w:tcW w:w="1440" w:type="dxa"/>
            <w:tcBorders>
              <w:top w:val="nil"/>
              <w:bottom w:val="nil"/>
            </w:tcBorders>
          </w:tcPr>
          <w:p>
            <w:pPr>
              <w:pStyle w:val="TableParagraph"/>
              <w:rPr>
                <w:sz w:val="24"/>
              </w:rPr>
            </w:pPr>
          </w:p>
        </w:tc>
      </w:tr>
      <w:tr>
        <w:trPr>
          <w:trHeight w:val="417" w:hRule="atLeast"/>
        </w:trPr>
        <w:tc>
          <w:tcPr>
            <w:tcW w:w="2560" w:type="dxa"/>
            <w:tcBorders>
              <w:top w:val="nil"/>
              <w:bottom w:val="nil"/>
              <w:right w:val="nil"/>
            </w:tcBorders>
          </w:tcPr>
          <w:p>
            <w:pPr>
              <w:pStyle w:val="TableParagraph"/>
              <w:spacing w:before="67"/>
              <w:ind w:left="9"/>
              <w:rPr>
                <w:sz w:val="24"/>
              </w:rPr>
            </w:pPr>
            <w:r>
              <w:rPr>
                <w:sz w:val="24"/>
              </w:rPr>
              <w:t>(polytechnic/colleges</w:t>
            </w:r>
            <w:r>
              <w:rPr>
                <w:spacing w:val="-8"/>
                <w:sz w:val="24"/>
              </w:rPr>
              <w:t> </w:t>
            </w:r>
            <w:r>
              <w:rPr>
                <w:spacing w:val="-5"/>
                <w:sz w:val="24"/>
              </w:rPr>
              <w:t>of</w:t>
            </w:r>
          </w:p>
        </w:tc>
        <w:tc>
          <w:tcPr>
            <w:tcW w:w="1400" w:type="dxa"/>
            <w:tcBorders>
              <w:top w:val="nil"/>
              <w:left w:val="nil"/>
              <w:bottom w:val="nil"/>
            </w:tcBorders>
          </w:tcPr>
          <w:p>
            <w:pPr>
              <w:pStyle w:val="TableParagraph"/>
              <w:rPr>
                <w:sz w:val="24"/>
              </w:rPr>
            </w:pPr>
          </w:p>
        </w:tc>
        <w:tc>
          <w:tcPr>
            <w:tcW w:w="1440" w:type="dxa"/>
            <w:tcBorders>
              <w:top w:val="nil"/>
              <w:bottom w:val="nil"/>
            </w:tcBorders>
          </w:tcPr>
          <w:p>
            <w:pPr>
              <w:pStyle w:val="TableParagraph"/>
              <w:rPr>
                <w:sz w:val="24"/>
              </w:rPr>
            </w:pPr>
          </w:p>
        </w:tc>
        <w:tc>
          <w:tcPr>
            <w:tcW w:w="1080" w:type="dxa"/>
            <w:tcBorders>
              <w:top w:val="nil"/>
              <w:bottom w:val="nil"/>
            </w:tcBorders>
          </w:tcPr>
          <w:p>
            <w:pPr>
              <w:pStyle w:val="TableParagraph"/>
              <w:rPr>
                <w:sz w:val="24"/>
              </w:rPr>
            </w:pPr>
          </w:p>
        </w:tc>
        <w:tc>
          <w:tcPr>
            <w:tcW w:w="1081" w:type="dxa"/>
            <w:tcBorders>
              <w:top w:val="nil"/>
              <w:bottom w:val="nil"/>
            </w:tcBorders>
          </w:tcPr>
          <w:p>
            <w:pPr>
              <w:pStyle w:val="TableParagraph"/>
              <w:rPr>
                <w:sz w:val="24"/>
              </w:rPr>
            </w:pPr>
          </w:p>
        </w:tc>
        <w:tc>
          <w:tcPr>
            <w:tcW w:w="1440" w:type="dxa"/>
            <w:tcBorders>
              <w:top w:val="nil"/>
              <w:bottom w:val="nil"/>
            </w:tcBorders>
          </w:tcPr>
          <w:p>
            <w:pPr>
              <w:pStyle w:val="TableParagraph"/>
              <w:rPr>
                <w:sz w:val="24"/>
              </w:rPr>
            </w:pPr>
          </w:p>
        </w:tc>
      </w:tr>
      <w:tr>
        <w:trPr>
          <w:trHeight w:val="416" w:hRule="atLeast"/>
        </w:trPr>
        <w:tc>
          <w:tcPr>
            <w:tcW w:w="2560" w:type="dxa"/>
            <w:tcBorders>
              <w:top w:val="nil"/>
              <w:bottom w:val="nil"/>
              <w:right w:val="nil"/>
            </w:tcBorders>
          </w:tcPr>
          <w:p>
            <w:pPr>
              <w:pStyle w:val="TableParagraph"/>
              <w:spacing w:before="64"/>
              <w:ind w:left="9"/>
              <w:rPr>
                <w:sz w:val="24"/>
              </w:rPr>
            </w:pPr>
            <w:r>
              <w:rPr>
                <w:spacing w:val="-2"/>
                <w:sz w:val="24"/>
              </w:rPr>
              <w:t>education)</w:t>
            </w:r>
          </w:p>
        </w:tc>
        <w:tc>
          <w:tcPr>
            <w:tcW w:w="1400" w:type="dxa"/>
            <w:tcBorders>
              <w:top w:val="nil"/>
              <w:left w:val="nil"/>
              <w:bottom w:val="nil"/>
            </w:tcBorders>
          </w:tcPr>
          <w:p>
            <w:pPr>
              <w:pStyle w:val="TableParagraph"/>
              <w:rPr>
                <w:sz w:val="24"/>
              </w:rPr>
            </w:pPr>
          </w:p>
        </w:tc>
        <w:tc>
          <w:tcPr>
            <w:tcW w:w="1440" w:type="dxa"/>
            <w:tcBorders>
              <w:top w:val="nil"/>
              <w:bottom w:val="nil"/>
            </w:tcBorders>
          </w:tcPr>
          <w:p>
            <w:pPr>
              <w:pStyle w:val="TableParagraph"/>
              <w:spacing w:before="64"/>
              <w:ind w:right="587"/>
              <w:jc w:val="right"/>
              <w:rPr>
                <w:sz w:val="24"/>
              </w:rPr>
            </w:pPr>
            <w:r>
              <w:rPr>
                <w:spacing w:val="-5"/>
                <w:sz w:val="24"/>
              </w:rPr>
              <w:t>43</w:t>
            </w:r>
          </w:p>
        </w:tc>
        <w:tc>
          <w:tcPr>
            <w:tcW w:w="1080" w:type="dxa"/>
            <w:tcBorders>
              <w:top w:val="nil"/>
              <w:bottom w:val="nil"/>
            </w:tcBorders>
          </w:tcPr>
          <w:p>
            <w:pPr>
              <w:pStyle w:val="TableParagraph"/>
              <w:spacing w:before="64"/>
              <w:ind w:left="11" w:right="2"/>
              <w:jc w:val="center"/>
              <w:rPr>
                <w:sz w:val="24"/>
              </w:rPr>
            </w:pPr>
            <w:r>
              <w:rPr>
                <w:spacing w:val="-4"/>
                <w:sz w:val="24"/>
              </w:rPr>
              <w:t>17.9</w:t>
            </w:r>
          </w:p>
        </w:tc>
        <w:tc>
          <w:tcPr>
            <w:tcW w:w="1081" w:type="dxa"/>
            <w:tcBorders>
              <w:top w:val="nil"/>
              <w:bottom w:val="nil"/>
            </w:tcBorders>
          </w:tcPr>
          <w:p>
            <w:pPr>
              <w:pStyle w:val="TableParagraph"/>
              <w:spacing w:before="64"/>
              <w:ind w:left="12" w:right="4"/>
              <w:jc w:val="center"/>
              <w:rPr>
                <w:sz w:val="24"/>
              </w:rPr>
            </w:pPr>
            <w:r>
              <w:rPr>
                <w:spacing w:val="-4"/>
                <w:sz w:val="24"/>
              </w:rPr>
              <w:t>18.2</w:t>
            </w:r>
          </w:p>
        </w:tc>
        <w:tc>
          <w:tcPr>
            <w:tcW w:w="1440" w:type="dxa"/>
            <w:tcBorders>
              <w:top w:val="nil"/>
              <w:bottom w:val="nil"/>
            </w:tcBorders>
          </w:tcPr>
          <w:p>
            <w:pPr>
              <w:pStyle w:val="TableParagraph"/>
              <w:spacing w:before="64"/>
              <w:ind w:left="11" w:right="3"/>
              <w:jc w:val="center"/>
              <w:rPr>
                <w:sz w:val="24"/>
              </w:rPr>
            </w:pPr>
            <w:r>
              <w:rPr>
                <w:spacing w:val="-4"/>
                <w:sz w:val="24"/>
              </w:rPr>
              <w:t>54.7</w:t>
            </w:r>
          </w:p>
        </w:tc>
      </w:tr>
      <w:tr>
        <w:trPr>
          <w:trHeight w:val="420" w:hRule="atLeast"/>
        </w:trPr>
        <w:tc>
          <w:tcPr>
            <w:tcW w:w="2560" w:type="dxa"/>
            <w:tcBorders>
              <w:top w:val="nil"/>
              <w:bottom w:val="nil"/>
              <w:right w:val="nil"/>
            </w:tcBorders>
          </w:tcPr>
          <w:p>
            <w:pPr>
              <w:pStyle w:val="TableParagraph"/>
              <w:spacing w:before="65"/>
              <w:ind w:left="9"/>
              <w:rPr>
                <w:sz w:val="24"/>
              </w:rPr>
            </w:pPr>
            <w:r>
              <w:rPr>
                <w:spacing w:val="-2"/>
                <w:sz w:val="24"/>
              </w:rPr>
              <w:t>University</w:t>
            </w:r>
          </w:p>
        </w:tc>
        <w:tc>
          <w:tcPr>
            <w:tcW w:w="1400" w:type="dxa"/>
            <w:tcBorders>
              <w:top w:val="nil"/>
              <w:left w:val="nil"/>
              <w:bottom w:val="nil"/>
            </w:tcBorders>
          </w:tcPr>
          <w:p>
            <w:pPr>
              <w:pStyle w:val="TableParagraph"/>
              <w:rPr>
                <w:sz w:val="24"/>
              </w:rPr>
            </w:pPr>
          </w:p>
        </w:tc>
        <w:tc>
          <w:tcPr>
            <w:tcW w:w="1440" w:type="dxa"/>
            <w:tcBorders>
              <w:top w:val="nil"/>
              <w:bottom w:val="nil"/>
            </w:tcBorders>
          </w:tcPr>
          <w:p>
            <w:pPr>
              <w:pStyle w:val="TableParagraph"/>
              <w:spacing w:before="65"/>
              <w:ind w:right="527"/>
              <w:jc w:val="right"/>
              <w:rPr>
                <w:sz w:val="24"/>
              </w:rPr>
            </w:pPr>
            <w:r>
              <w:rPr>
                <w:spacing w:val="-5"/>
                <w:sz w:val="24"/>
              </w:rPr>
              <w:t>107</w:t>
            </w:r>
          </w:p>
        </w:tc>
        <w:tc>
          <w:tcPr>
            <w:tcW w:w="1080" w:type="dxa"/>
            <w:tcBorders>
              <w:top w:val="nil"/>
              <w:bottom w:val="nil"/>
            </w:tcBorders>
          </w:tcPr>
          <w:p>
            <w:pPr>
              <w:pStyle w:val="TableParagraph"/>
              <w:spacing w:before="65"/>
              <w:ind w:left="11" w:right="2"/>
              <w:jc w:val="center"/>
              <w:rPr>
                <w:sz w:val="24"/>
              </w:rPr>
            </w:pPr>
            <w:r>
              <w:rPr>
                <w:spacing w:val="-4"/>
                <w:sz w:val="24"/>
              </w:rPr>
              <w:t>44.6</w:t>
            </w:r>
          </w:p>
        </w:tc>
        <w:tc>
          <w:tcPr>
            <w:tcW w:w="1081" w:type="dxa"/>
            <w:tcBorders>
              <w:top w:val="nil"/>
              <w:bottom w:val="nil"/>
            </w:tcBorders>
          </w:tcPr>
          <w:p>
            <w:pPr>
              <w:pStyle w:val="TableParagraph"/>
              <w:spacing w:before="65"/>
              <w:ind w:left="12" w:right="4"/>
              <w:jc w:val="center"/>
              <w:rPr>
                <w:sz w:val="24"/>
              </w:rPr>
            </w:pPr>
            <w:r>
              <w:rPr>
                <w:spacing w:val="-4"/>
                <w:sz w:val="24"/>
              </w:rPr>
              <w:t>45.3</w:t>
            </w:r>
          </w:p>
        </w:tc>
        <w:tc>
          <w:tcPr>
            <w:tcW w:w="1440" w:type="dxa"/>
            <w:tcBorders>
              <w:top w:val="nil"/>
              <w:bottom w:val="nil"/>
            </w:tcBorders>
          </w:tcPr>
          <w:p>
            <w:pPr>
              <w:pStyle w:val="TableParagraph"/>
              <w:spacing w:before="65"/>
              <w:ind w:left="11" w:right="1"/>
              <w:jc w:val="center"/>
              <w:rPr>
                <w:sz w:val="24"/>
              </w:rPr>
            </w:pPr>
            <w:r>
              <w:rPr>
                <w:spacing w:val="-5"/>
                <w:sz w:val="24"/>
              </w:rPr>
              <w:t>100</w:t>
            </w:r>
          </w:p>
        </w:tc>
      </w:tr>
      <w:tr>
        <w:trPr>
          <w:trHeight w:val="462" w:hRule="atLeast"/>
        </w:trPr>
        <w:tc>
          <w:tcPr>
            <w:tcW w:w="2560" w:type="dxa"/>
            <w:tcBorders>
              <w:top w:val="nil"/>
              <w:right w:val="nil"/>
            </w:tcBorders>
          </w:tcPr>
          <w:p>
            <w:pPr>
              <w:pStyle w:val="TableParagraph"/>
              <w:spacing w:before="68"/>
              <w:ind w:left="9"/>
              <w:rPr>
                <w:sz w:val="24"/>
              </w:rPr>
            </w:pPr>
            <w:r>
              <w:rPr>
                <w:spacing w:val="-2"/>
                <w:sz w:val="24"/>
              </w:rPr>
              <w:t>Missing</w:t>
            </w:r>
          </w:p>
        </w:tc>
        <w:tc>
          <w:tcPr>
            <w:tcW w:w="1400" w:type="dxa"/>
            <w:tcBorders>
              <w:top w:val="nil"/>
              <w:left w:val="nil"/>
            </w:tcBorders>
          </w:tcPr>
          <w:p>
            <w:pPr>
              <w:pStyle w:val="TableParagraph"/>
              <w:rPr>
                <w:sz w:val="24"/>
              </w:rPr>
            </w:pPr>
          </w:p>
        </w:tc>
        <w:tc>
          <w:tcPr>
            <w:tcW w:w="1440" w:type="dxa"/>
            <w:tcBorders>
              <w:top w:val="nil"/>
            </w:tcBorders>
          </w:tcPr>
          <w:p>
            <w:pPr>
              <w:pStyle w:val="TableParagraph"/>
              <w:rPr>
                <w:sz w:val="24"/>
              </w:rPr>
            </w:pPr>
          </w:p>
        </w:tc>
        <w:tc>
          <w:tcPr>
            <w:tcW w:w="1080" w:type="dxa"/>
            <w:tcBorders>
              <w:top w:val="nil"/>
            </w:tcBorders>
          </w:tcPr>
          <w:p>
            <w:pPr>
              <w:pStyle w:val="TableParagraph"/>
              <w:spacing w:before="68"/>
              <w:ind w:left="11" w:right="2"/>
              <w:jc w:val="center"/>
              <w:rPr>
                <w:sz w:val="24"/>
              </w:rPr>
            </w:pPr>
            <w:r>
              <w:rPr>
                <w:spacing w:val="-5"/>
                <w:sz w:val="24"/>
              </w:rPr>
              <w:t>1.7</w:t>
            </w:r>
          </w:p>
        </w:tc>
        <w:tc>
          <w:tcPr>
            <w:tcW w:w="1081" w:type="dxa"/>
            <w:tcBorders>
              <w:top w:val="nil"/>
            </w:tcBorders>
          </w:tcPr>
          <w:p>
            <w:pPr>
              <w:pStyle w:val="TableParagraph"/>
              <w:rPr>
                <w:sz w:val="24"/>
              </w:rPr>
            </w:pPr>
          </w:p>
        </w:tc>
        <w:tc>
          <w:tcPr>
            <w:tcW w:w="1440" w:type="dxa"/>
            <w:tcBorders>
              <w:top w:val="nil"/>
            </w:tcBorders>
          </w:tcPr>
          <w:p>
            <w:pPr>
              <w:pStyle w:val="TableParagraph"/>
              <w:rPr>
                <w:sz w:val="24"/>
              </w:rPr>
            </w:pPr>
          </w:p>
        </w:tc>
      </w:tr>
      <w:tr>
        <w:trPr>
          <w:trHeight w:val="421" w:hRule="atLeast"/>
        </w:trPr>
        <w:tc>
          <w:tcPr>
            <w:tcW w:w="3960" w:type="dxa"/>
            <w:gridSpan w:val="2"/>
          </w:tcPr>
          <w:p>
            <w:pPr>
              <w:pStyle w:val="TableParagraph"/>
              <w:spacing w:before="3"/>
              <w:ind w:left="9"/>
              <w:rPr>
                <w:b/>
                <w:sz w:val="24"/>
              </w:rPr>
            </w:pPr>
            <w:r>
              <w:rPr>
                <w:b/>
                <w:spacing w:val="-2"/>
                <w:sz w:val="24"/>
              </w:rPr>
              <w:t>Total</w:t>
            </w:r>
          </w:p>
        </w:tc>
        <w:tc>
          <w:tcPr>
            <w:tcW w:w="1440" w:type="dxa"/>
          </w:tcPr>
          <w:p>
            <w:pPr>
              <w:pStyle w:val="TableParagraph"/>
              <w:spacing w:line="275" w:lineRule="exact"/>
              <w:ind w:right="527"/>
              <w:jc w:val="right"/>
              <w:rPr>
                <w:sz w:val="24"/>
              </w:rPr>
            </w:pPr>
            <w:r>
              <w:rPr>
                <w:spacing w:val="-5"/>
                <w:sz w:val="24"/>
              </w:rPr>
              <w:t>236</w:t>
            </w:r>
          </w:p>
        </w:tc>
        <w:tc>
          <w:tcPr>
            <w:tcW w:w="1080" w:type="dxa"/>
          </w:tcPr>
          <w:p>
            <w:pPr>
              <w:pStyle w:val="TableParagraph"/>
              <w:spacing w:line="275" w:lineRule="exact"/>
              <w:ind w:left="11" w:right="2"/>
              <w:jc w:val="center"/>
              <w:rPr>
                <w:sz w:val="24"/>
              </w:rPr>
            </w:pPr>
            <w:r>
              <w:rPr>
                <w:spacing w:val="-4"/>
                <w:sz w:val="24"/>
              </w:rPr>
              <w:t>98.3</w:t>
            </w:r>
          </w:p>
        </w:tc>
        <w:tc>
          <w:tcPr>
            <w:tcW w:w="1081" w:type="dxa"/>
          </w:tcPr>
          <w:p>
            <w:pPr>
              <w:pStyle w:val="TableParagraph"/>
              <w:spacing w:line="275" w:lineRule="exact"/>
              <w:ind w:left="12" w:right="1"/>
              <w:jc w:val="center"/>
              <w:rPr>
                <w:sz w:val="24"/>
              </w:rPr>
            </w:pPr>
            <w:r>
              <w:rPr>
                <w:spacing w:val="-5"/>
                <w:sz w:val="24"/>
              </w:rPr>
              <w:t>100</w:t>
            </w:r>
          </w:p>
        </w:tc>
        <w:tc>
          <w:tcPr>
            <w:tcW w:w="1440" w:type="dxa"/>
          </w:tcPr>
          <w:p>
            <w:pPr>
              <w:pStyle w:val="TableParagraph"/>
              <w:rPr>
                <w:sz w:val="24"/>
              </w:rPr>
            </w:pPr>
          </w:p>
        </w:tc>
      </w:tr>
    </w:tbl>
    <w:p>
      <w:pPr>
        <w:pStyle w:val="BodyText"/>
        <w:spacing w:before="146"/>
        <w:ind w:left="0"/>
        <w:rPr>
          <w:b/>
        </w:rPr>
      </w:pPr>
    </w:p>
    <w:p>
      <w:pPr>
        <w:pStyle w:val="ListParagraph"/>
        <w:numPr>
          <w:ilvl w:val="2"/>
          <w:numId w:val="19"/>
        </w:numPr>
        <w:tabs>
          <w:tab w:pos="2249" w:val="left" w:leader="none"/>
        </w:tabs>
        <w:spacing w:line="240" w:lineRule="auto" w:before="0" w:after="0"/>
        <w:ind w:left="2249" w:right="0" w:hanging="660"/>
        <w:jc w:val="both"/>
        <w:rPr>
          <w:b/>
          <w:sz w:val="24"/>
        </w:rPr>
      </w:pPr>
      <w:r>
        <w:rPr>
          <w:b/>
          <w:sz w:val="24"/>
        </w:rPr>
        <w:t>Distribution</w:t>
      </w:r>
      <w:r>
        <w:rPr>
          <w:b/>
          <w:spacing w:val="-2"/>
          <w:sz w:val="24"/>
        </w:rPr>
        <w:t> </w:t>
      </w:r>
      <w:r>
        <w:rPr>
          <w:b/>
          <w:sz w:val="24"/>
        </w:rPr>
        <w:t>of</w:t>
      </w:r>
      <w:r>
        <w:rPr>
          <w:b/>
          <w:spacing w:val="-1"/>
          <w:sz w:val="24"/>
        </w:rPr>
        <w:t> </w:t>
      </w:r>
      <w:r>
        <w:rPr>
          <w:b/>
          <w:sz w:val="24"/>
        </w:rPr>
        <w:t>Respondents</w:t>
      </w:r>
      <w:r>
        <w:rPr>
          <w:b/>
          <w:spacing w:val="-1"/>
          <w:sz w:val="24"/>
        </w:rPr>
        <w:t> </w:t>
      </w:r>
      <w:r>
        <w:rPr>
          <w:b/>
          <w:sz w:val="24"/>
        </w:rPr>
        <w:t>by</w:t>
      </w:r>
      <w:r>
        <w:rPr>
          <w:b/>
          <w:spacing w:val="-1"/>
          <w:sz w:val="24"/>
        </w:rPr>
        <w:t> </w:t>
      </w:r>
      <w:r>
        <w:rPr>
          <w:b/>
          <w:spacing w:val="-2"/>
          <w:sz w:val="24"/>
        </w:rPr>
        <w:t>Occupation</w:t>
      </w:r>
    </w:p>
    <w:p>
      <w:pPr>
        <w:pStyle w:val="BodyText"/>
        <w:spacing w:line="360" w:lineRule="auto" w:before="132"/>
        <w:ind w:right="1255" w:firstLine="729"/>
        <w:jc w:val="both"/>
      </w:pPr>
      <w:r>
        <w:rPr/>
        <w:t>The occupation of respondents is summarized in Table 4. From Table 4, the frequency distribution shows that 30 of the respondents [15.7%] were unemployed. While majority of the respondents, representing [47.1%] are intermediate staff of government and companies. This and the number of respondents that claimed to be employed, suggest some structural deformity in the socio-economic characteristics of the communities. A situation where 15.7% of the sampled populations are</w:t>
      </w:r>
      <w:r>
        <w:rPr>
          <w:spacing w:val="40"/>
        </w:rPr>
        <w:t> </w:t>
      </w:r>
      <w:r>
        <w:rPr/>
        <w:t>unemployed</w:t>
      </w:r>
      <w:r>
        <w:rPr>
          <w:spacing w:val="12"/>
        </w:rPr>
        <w:t> </w:t>
      </w:r>
      <w:r>
        <w:rPr/>
        <w:t>and</w:t>
      </w:r>
      <w:r>
        <w:rPr>
          <w:spacing w:val="13"/>
        </w:rPr>
        <w:t> </w:t>
      </w:r>
      <w:r>
        <w:rPr/>
        <w:t>47.1%</w:t>
      </w:r>
      <w:r>
        <w:rPr>
          <w:spacing w:val="14"/>
        </w:rPr>
        <w:t> </w:t>
      </w:r>
      <w:r>
        <w:rPr/>
        <w:t>depends</w:t>
      </w:r>
      <w:r>
        <w:rPr>
          <w:spacing w:val="13"/>
        </w:rPr>
        <w:t> </w:t>
      </w:r>
      <w:r>
        <w:rPr/>
        <w:t>on</w:t>
      </w:r>
      <w:r>
        <w:rPr>
          <w:spacing w:val="13"/>
        </w:rPr>
        <w:t> </w:t>
      </w:r>
      <w:r>
        <w:rPr/>
        <w:t>the</w:t>
      </w:r>
      <w:r>
        <w:rPr>
          <w:spacing w:val="15"/>
        </w:rPr>
        <w:t> </w:t>
      </w:r>
      <w:r>
        <w:rPr/>
        <w:t>government</w:t>
      </w:r>
      <w:r>
        <w:rPr>
          <w:spacing w:val="13"/>
        </w:rPr>
        <w:t> </w:t>
      </w:r>
      <w:r>
        <w:rPr/>
        <w:t>and</w:t>
      </w:r>
      <w:r>
        <w:rPr>
          <w:spacing w:val="13"/>
        </w:rPr>
        <w:t> </w:t>
      </w:r>
      <w:r>
        <w:rPr/>
        <w:t>companies</w:t>
      </w:r>
      <w:r>
        <w:rPr>
          <w:spacing w:val="15"/>
        </w:rPr>
        <w:t> </w:t>
      </w:r>
      <w:r>
        <w:rPr/>
        <w:t>(probably</w:t>
      </w:r>
      <w:r>
        <w:rPr>
          <w:spacing w:val="9"/>
        </w:rPr>
        <w:t> </w:t>
      </w:r>
      <w:r>
        <w:rPr>
          <w:spacing w:val="-2"/>
        </w:rPr>
        <w:t>oil/gas</w:t>
      </w:r>
    </w:p>
    <w:p>
      <w:pPr>
        <w:spacing w:after="0" w:line="360" w:lineRule="auto"/>
        <w:jc w:val="both"/>
        <w:sectPr>
          <w:pgSz w:w="11910" w:h="16840"/>
          <w:pgMar w:header="0" w:footer="1561" w:top="1360" w:bottom="1760" w:left="720" w:right="180"/>
        </w:sectPr>
      </w:pPr>
    </w:p>
    <w:p>
      <w:pPr>
        <w:pStyle w:val="BodyText"/>
        <w:spacing w:before="60"/>
      </w:pPr>
      <w:r>
        <w:rPr/>
        <mc:AlternateContent>
          <mc:Choice Requires="wps">
            <w:drawing>
              <wp:anchor distT="0" distB="0" distL="0" distR="0" allowOverlap="1" layoutInCell="1" locked="0" behindDoc="1" simplePos="0" relativeHeight="480667136">
                <wp:simplePos x="0" y="0"/>
                <wp:positionH relativeFrom="page">
                  <wp:posOffset>-1537026</wp:posOffset>
                </wp:positionH>
                <wp:positionV relativeFrom="page">
                  <wp:posOffset>4900424</wp:posOffset>
                </wp:positionV>
                <wp:extent cx="10669905" cy="914400"/>
                <wp:effectExtent l="0" t="0" r="0" b="0"/>
                <wp:wrapNone/>
                <wp:docPr id="294" name="Textbox 294"/>
                <wp:cNvGraphicFramePr>
                  <a:graphicFrameLocks/>
                </wp:cNvGraphicFramePr>
                <a:graphic>
                  <a:graphicData uri="http://schemas.microsoft.com/office/word/2010/wordprocessingShape">
                    <wps:wsp>
                      <wps:cNvPr id="294" name="Textbox 294"/>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49344;rotation:306" type="#_x0000_t136" fillcolor="#ff5400" stroked="f">
                <o:extrusion v:ext="view" autorotationcenter="t"/>
                <v:textpath style="font-family:&quot;Arial MT&quot;;font-size:72pt;v-text-kern:t;mso-text-shadow:auto" string="UNIVERSITY OF IBADAN"/>
                <w10:wrap type="none"/>
              </v:shape>
            </w:pict>
          </mc:Fallback>
        </mc:AlternateContent>
      </w:r>
      <w:r>
        <w:rPr/>
        <w:t>companies</w:t>
      </w:r>
      <w:r>
        <w:rPr>
          <w:spacing w:val="-3"/>
        </w:rPr>
        <w:t> </w:t>
      </w:r>
      <w:r>
        <w:rPr/>
        <w:t>at</w:t>
      </w:r>
      <w:r>
        <w:rPr>
          <w:spacing w:val="-1"/>
        </w:rPr>
        <w:t> </w:t>
      </w:r>
      <w:r>
        <w:rPr/>
        <w:t>lower skills)</w:t>
      </w:r>
      <w:r>
        <w:rPr>
          <w:spacing w:val="-1"/>
        </w:rPr>
        <w:t> </w:t>
      </w:r>
      <w:r>
        <w:rPr/>
        <w:t>for</w:t>
      </w:r>
      <w:r>
        <w:rPr>
          <w:spacing w:val="-2"/>
        </w:rPr>
        <w:t> </w:t>
      </w:r>
      <w:r>
        <w:rPr/>
        <w:t>survival is</w:t>
      </w:r>
      <w:r>
        <w:rPr>
          <w:spacing w:val="-1"/>
        </w:rPr>
        <w:t> </w:t>
      </w:r>
      <w:r>
        <w:rPr/>
        <w:t>not </w:t>
      </w:r>
      <w:r>
        <w:rPr>
          <w:spacing w:val="-2"/>
        </w:rPr>
        <w:t>sustainable.</w:t>
      </w:r>
    </w:p>
    <w:p>
      <w:pPr>
        <w:pStyle w:val="Heading2"/>
        <w:spacing w:before="142"/>
      </w:pPr>
      <w:r>
        <w:rPr/>
        <w:t>Table</w:t>
      </w:r>
      <w:r>
        <w:rPr>
          <w:spacing w:val="-1"/>
        </w:rPr>
        <w:t> </w:t>
      </w:r>
      <w:r>
        <w:rPr/>
        <w:t>4:</w:t>
      </w:r>
      <w:r>
        <w:rPr>
          <w:spacing w:val="-3"/>
        </w:rPr>
        <w:t> </w:t>
      </w:r>
      <w:r>
        <w:rPr/>
        <w:t>Occupation of</w:t>
      </w:r>
      <w:r>
        <w:rPr>
          <w:spacing w:val="-1"/>
        </w:rPr>
        <w:t> </w:t>
      </w:r>
      <w:r>
        <w:rPr>
          <w:spacing w:val="-2"/>
        </w:rPr>
        <w:t>Respondents</w:t>
      </w:r>
    </w:p>
    <w:p>
      <w:pPr>
        <w:pStyle w:val="BodyText"/>
        <w:spacing w:before="2" w:after="1"/>
        <w:ind w:left="0"/>
        <w:rPr>
          <w:b/>
          <w:sz w:val="12"/>
        </w:rPr>
      </w:pP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41"/>
        <w:gridCol w:w="1532"/>
        <w:gridCol w:w="1170"/>
        <w:gridCol w:w="1081"/>
        <w:gridCol w:w="1352"/>
      </w:tblGrid>
      <w:tr>
        <w:trPr>
          <w:trHeight w:val="348" w:hRule="atLeast"/>
        </w:trPr>
        <w:tc>
          <w:tcPr>
            <w:tcW w:w="4141" w:type="dxa"/>
            <w:vMerge w:val="restart"/>
          </w:tcPr>
          <w:p>
            <w:pPr>
              <w:pStyle w:val="TableParagraph"/>
              <w:rPr>
                <w:sz w:val="24"/>
              </w:rPr>
            </w:pPr>
          </w:p>
        </w:tc>
        <w:tc>
          <w:tcPr>
            <w:tcW w:w="1532" w:type="dxa"/>
            <w:vMerge w:val="restart"/>
          </w:tcPr>
          <w:p>
            <w:pPr>
              <w:pStyle w:val="TableParagraph"/>
              <w:spacing w:before="210"/>
              <w:ind w:left="215"/>
              <w:rPr>
                <w:b/>
                <w:sz w:val="24"/>
              </w:rPr>
            </w:pPr>
            <w:r>
              <w:rPr>
                <w:b/>
                <w:spacing w:val="-2"/>
                <w:sz w:val="24"/>
              </w:rPr>
              <w:t>Frequency</w:t>
            </w:r>
          </w:p>
        </w:tc>
        <w:tc>
          <w:tcPr>
            <w:tcW w:w="1170" w:type="dxa"/>
            <w:vMerge w:val="restart"/>
          </w:tcPr>
          <w:p>
            <w:pPr>
              <w:pStyle w:val="TableParagraph"/>
              <w:spacing w:before="210"/>
              <w:ind w:left="188"/>
              <w:rPr>
                <w:b/>
                <w:sz w:val="24"/>
              </w:rPr>
            </w:pPr>
            <w:r>
              <w:rPr>
                <w:b/>
                <w:spacing w:val="-2"/>
                <w:sz w:val="24"/>
              </w:rPr>
              <w:t>Percent</w:t>
            </w:r>
          </w:p>
        </w:tc>
        <w:tc>
          <w:tcPr>
            <w:tcW w:w="1081" w:type="dxa"/>
            <w:tcBorders>
              <w:bottom w:val="nil"/>
            </w:tcBorders>
          </w:tcPr>
          <w:p>
            <w:pPr>
              <w:pStyle w:val="TableParagraph"/>
              <w:spacing w:line="275" w:lineRule="exact"/>
              <w:ind w:left="12" w:right="8"/>
              <w:jc w:val="center"/>
              <w:rPr>
                <w:b/>
                <w:sz w:val="24"/>
              </w:rPr>
            </w:pPr>
            <w:r>
              <w:rPr>
                <w:b/>
                <w:spacing w:val="-2"/>
                <w:sz w:val="24"/>
              </w:rPr>
              <w:t>Valid</w:t>
            </w:r>
          </w:p>
        </w:tc>
        <w:tc>
          <w:tcPr>
            <w:tcW w:w="1352" w:type="dxa"/>
            <w:tcBorders>
              <w:bottom w:val="nil"/>
            </w:tcBorders>
          </w:tcPr>
          <w:p>
            <w:pPr>
              <w:pStyle w:val="TableParagraph"/>
              <w:spacing w:line="275" w:lineRule="exact"/>
              <w:ind w:left="1" w:right="1"/>
              <w:jc w:val="center"/>
              <w:rPr>
                <w:b/>
                <w:sz w:val="24"/>
              </w:rPr>
            </w:pPr>
            <w:r>
              <w:rPr>
                <w:b/>
                <w:spacing w:val="-2"/>
                <w:sz w:val="24"/>
              </w:rPr>
              <w:t>Cumulative</w:t>
            </w:r>
          </w:p>
        </w:tc>
      </w:tr>
      <w:tr>
        <w:trPr>
          <w:trHeight w:val="476" w:hRule="atLeast"/>
        </w:trPr>
        <w:tc>
          <w:tcPr>
            <w:tcW w:w="4141" w:type="dxa"/>
            <w:vMerge/>
            <w:tcBorders>
              <w:top w:val="nil"/>
            </w:tcBorders>
          </w:tcPr>
          <w:p>
            <w:pPr>
              <w:rPr>
                <w:sz w:val="2"/>
                <w:szCs w:val="2"/>
              </w:rPr>
            </w:pPr>
          </w:p>
        </w:tc>
        <w:tc>
          <w:tcPr>
            <w:tcW w:w="1532" w:type="dxa"/>
            <w:vMerge/>
            <w:tcBorders>
              <w:top w:val="nil"/>
            </w:tcBorders>
          </w:tcPr>
          <w:p>
            <w:pPr>
              <w:rPr>
                <w:sz w:val="2"/>
                <w:szCs w:val="2"/>
              </w:rPr>
            </w:pPr>
          </w:p>
        </w:tc>
        <w:tc>
          <w:tcPr>
            <w:tcW w:w="1170" w:type="dxa"/>
            <w:vMerge/>
            <w:tcBorders>
              <w:top w:val="nil"/>
            </w:tcBorders>
          </w:tcPr>
          <w:p>
            <w:pPr>
              <w:rPr>
                <w:sz w:val="2"/>
                <w:szCs w:val="2"/>
              </w:rPr>
            </w:pPr>
          </w:p>
        </w:tc>
        <w:tc>
          <w:tcPr>
            <w:tcW w:w="1081" w:type="dxa"/>
            <w:tcBorders>
              <w:top w:val="nil"/>
            </w:tcBorders>
          </w:tcPr>
          <w:p>
            <w:pPr>
              <w:pStyle w:val="TableParagraph"/>
              <w:spacing w:before="63"/>
              <w:ind w:left="12" w:right="9"/>
              <w:jc w:val="center"/>
              <w:rPr>
                <w:b/>
                <w:sz w:val="24"/>
              </w:rPr>
            </w:pPr>
            <w:r>
              <w:rPr>
                <w:b/>
                <w:spacing w:val="-2"/>
                <w:sz w:val="24"/>
              </w:rPr>
              <w:t>Percent</w:t>
            </w:r>
          </w:p>
        </w:tc>
        <w:tc>
          <w:tcPr>
            <w:tcW w:w="1352" w:type="dxa"/>
            <w:tcBorders>
              <w:top w:val="nil"/>
            </w:tcBorders>
          </w:tcPr>
          <w:p>
            <w:pPr>
              <w:pStyle w:val="TableParagraph"/>
              <w:spacing w:before="63"/>
              <w:ind w:left="1" w:right="1"/>
              <w:jc w:val="center"/>
              <w:rPr>
                <w:b/>
                <w:sz w:val="24"/>
              </w:rPr>
            </w:pPr>
            <w:r>
              <w:rPr>
                <w:b/>
                <w:spacing w:val="-2"/>
                <w:sz w:val="24"/>
              </w:rPr>
              <w:t>Percent</w:t>
            </w:r>
          </w:p>
        </w:tc>
      </w:tr>
      <w:tr>
        <w:trPr>
          <w:trHeight w:val="359" w:hRule="atLeast"/>
        </w:trPr>
        <w:tc>
          <w:tcPr>
            <w:tcW w:w="4141" w:type="dxa"/>
            <w:tcBorders>
              <w:bottom w:val="nil"/>
            </w:tcBorders>
          </w:tcPr>
          <w:p>
            <w:pPr>
              <w:pStyle w:val="TableParagraph"/>
              <w:spacing w:before="3"/>
              <w:ind w:left="9"/>
              <w:rPr>
                <w:sz w:val="24"/>
              </w:rPr>
            </w:pPr>
            <w:r>
              <w:rPr>
                <w:sz w:val="24"/>
              </w:rPr>
              <w:t>Valid</w:t>
            </w:r>
            <w:r>
              <w:rPr>
                <w:spacing w:val="-2"/>
                <w:sz w:val="24"/>
              </w:rPr>
              <w:t> Unemployed</w:t>
            </w:r>
          </w:p>
        </w:tc>
        <w:tc>
          <w:tcPr>
            <w:tcW w:w="1532" w:type="dxa"/>
            <w:tcBorders>
              <w:bottom w:val="nil"/>
            </w:tcBorders>
          </w:tcPr>
          <w:p>
            <w:pPr>
              <w:pStyle w:val="TableParagraph"/>
              <w:spacing w:before="3"/>
              <w:ind w:left="4"/>
              <w:jc w:val="center"/>
              <w:rPr>
                <w:sz w:val="24"/>
              </w:rPr>
            </w:pPr>
            <w:r>
              <w:rPr>
                <w:spacing w:val="-5"/>
                <w:sz w:val="24"/>
              </w:rPr>
              <w:t>30</w:t>
            </w:r>
          </w:p>
        </w:tc>
        <w:tc>
          <w:tcPr>
            <w:tcW w:w="1170" w:type="dxa"/>
            <w:tcBorders>
              <w:bottom w:val="nil"/>
            </w:tcBorders>
          </w:tcPr>
          <w:p>
            <w:pPr>
              <w:pStyle w:val="TableParagraph"/>
              <w:spacing w:before="3"/>
              <w:ind w:left="6"/>
              <w:jc w:val="center"/>
              <w:rPr>
                <w:sz w:val="24"/>
              </w:rPr>
            </w:pPr>
            <w:r>
              <w:rPr>
                <w:spacing w:val="-4"/>
                <w:sz w:val="24"/>
              </w:rPr>
              <w:t>12.5</w:t>
            </w:r>
          </w:p>
        </w:tc>
        <w:tc>
          <w:tcPr>
            <w:tcW w:w="1081" w:type="dxa"/>
            <w:tcBorders>
              <w:bottom w:val="nil"/>
            </w:tcBorders>
          </w:tcPr>
          <w:p>
            <w:pPr>
              <w:pStyle w:val="TableParagraph"/>
              <w:spacing w:before="3"/>
              <w:ind w:left="12" w:right="9"/>
              <w:jc w:val="center"/>
              <w:rPr>
                <w:sz w:val="24"/>
              </w:rPr>
            </w:pPr>
            <w:r>
              <w:rPr>
                <w:spacing w:val="-4"/>
                <w:sz w:val="24"/>
              </w:rPr>
              <w:t>15.7</w:t>
            </w:r>
          </w:p>
        </w:tc>
        <w:tc>
          <w:tcPr>
            <w:tcW w:w="1352" w:type="dxa"/>
            <w:tcBorders>
              <w:bottom w:val="nil"/>
            </w:tcBorders>
          </w:tcPr>
          <w:p>
            <w:pPr>
              <w:pStyle w:val="TableParagraph"/>
              <w:spacing w:before="3"/>
              <w:ind w:left="1" w:right="1"/>
              <w:jc w:val="center"/>
              <w:rPr>
                <w:sz w:val="24"/>
              </w:rPr>
            </w:pPr>
            <w:r>
              <w:rPr>
                <w:spacing w:val="-4"/>
                <w:sz w:val="24"/>
              </w:rPr>
              <w:t>15.7</w:t>
            </w:r>
          </w:p>
        </w:tc>
      </w:tr>
      <w:tr>
        <w:trPr>
          <w:trHeight w:val="440" w:hRule="atLeast"/>
        </w:trPr>
        <w:tc>
          <w:tcPr>
            <w:tcW w:w="4141" w:type="dxa"/>
            <w:tcBorders>
              <w:top w:val="nil"/>
              <w:bottom w:val="nil"/>
            </w:tcBorders>
          </w:tcPr>
          <w:p>
            <w:pPr>
              <w:pStyle w:val="TableParagraph"/>
              <w:spacing w:before="69"/>
              <w:ind w:left="9"/>
              <w:rPr>
                <w:sz w:val="24"/>
              </w:rPr>
            </w:pPr>
            <w:r>
              <w:rPr>
                <w:sz w:val="24"/>
              </w:rPr>
              <w:t>Farming,</w:t>
            </w:r>
            <w:r>
              <w:rPr>
                <w:spacing w:val="-3"/>
                <w:sz w:val="24"/>
              </w:rPr>
              <w:t> </w:t>
            </w:r>
            <w:r>
              <w:rPr>
                <w:sz w:val="24"/>
              </w:rPr>
              <w:t>fisherman,</w:t>
            </w:r>
            <w:r>
              <w:rPr>
                <w:spacing w:val="-3"/>
                <w:sz w:val="24"/>
              </w:rPr>
              <w:t> </w:t>
            </w:r>
            <w:r>
              <w:rPr>
                <w:spacing w:val="-4"/>
                <w:sz w:val="24"/>
              </w:rPr>
              <w:t>petty</w:t>
            </w:r>
          </w:p>
        </w:tc>
        <w:tc>
          <w:tcPr>
            <w:tcW w:w="1532" w:type="dxa"/>
            <w:tcBorders>
              <w:top w:val="nil"/>
              <w:bottom w:val="nil"/>
            </w:tcBorders>
          </w:tcPr>
          <w:p>
            <w:pPr>
              <w:pStyle w:val="TableParagraph"/>
              <w:rPr>
                <w:sz w:val="24"/>
              </w:rPr>
            </w:pPr>
          </w:p>
        </w:tc>
        <w:tc>
          <w:tcPr>
            <w:tcW w:w="1170" w:type="dxa"/>
            <w:tcBorders>
              <w:top w:val="nil"/>
              <w:bottom w:val="nil"/>
            </w:tcBorders>
          </w:tcPr>
          <w:p>
            <w:pPr>
              <w:pStyle w:val="TableParagraph"/>
              <w:rPr>
                <w:sz w:val="24"/>
              </w:rPr>
            </w:pPr>
          </w:p>
        </w:tc>
        <w:tc>
          <w:tcPr>
            <w:tcW w:w="1081" w:type="dxa"/>
            <w:tcBorders>
              <w:top w:val="nil"/>
              <w:bottom w:val="nil"/>
            </w:tcBorders>
          </w:tcPr>
          <w:p>
            <w:pPr>
              <w:pStyle w:val="TableParagraph"/>
              <w:rPr>
                <w:sz w:val="24"/>
              </w:rPr>
            </w:pPr>
          </w:p>
        </w:tc>
        <w:tc>
          <w:tcPr>
            <w:tcW w:w="1352" w:type="dxa"/>
            <w:tcBorders>
              <w:top w:val="nil"/>
              <w:bottom w:val="nil"/>
            </w:tcBorders>
          </w:tcPr>
          <w:p>
            <w:pPr>
              <w:pStyle w:val="TableParagraph"/>
              <w:rPr>
                <w:sz w:val="24"/>
              </w:rPr>
            </w:pPr>
          </w:p>
        </w:tc>
      </w:tr>
      <w:tr>
        <w:trPr>
          <w:trHeight w:val="415" w:hRule="atLeast"/>
        </w:trPr>
        <w:tc>
          <w:tcPr>
            <w:tcW w:w="4141" w:type="dxa"/>
            <w:tcBorders>
              <w:top w:val="nil"/>
              <w:bottom w:val="nil"/>
            </w:tcBorders>
          </w:tcPr>
          <w:p>
            <w:pPr>
              <w:pStyle w:val="TableParagraph"/>
              <w:spacing w:before="85"/>
              <w:ind w:left="9"/>
              <w:rPr>
                <w:sz w:val="24"/>
              </w:rPr>
            </w:pPr>
            <w:r>
              <w:rPr>
                <w:sz w:val="24"/>
              </w:rPr>
              <w:t>trading</w:t>
            </w:r>
            <w:r>
              <w:rPr>
                <w:spacing w:val="-2"/>
                <w:sz w:val="24"/>
              </w:rPr>
              <w:t> </w:t>
            </w:r>
            <w:r>
              <w:rPr>
                <w:sz w:val="24"/>
              </w:rPr>
              <w:t>and</w:t>
            </w:r>
            <w:r>
              <w:rPr>
                <w:spacing w:val="-1"/>
                <w:sz w:val="24"/>
              </w:rPr>
              <w:t> </w:t>
            </w:r>
            <w:r>
              <w:rPr>
                <w:sz w:val="24"/>
              </w:rPr>
              <w:t>self</w:t>
            </w:r>
            <w:r>
              <w:rPr>
                <w:spacing w:val="-1"/>
                <w:sz w:val="24"/>
              </w:rPr>
              <w:t> </w:t>
            </w:r>
            <w:r>
              <w:rPr>
                <w:spacing w:val="-2"/>
                <w:sz w:val="24"/>
              </w:rPr>
              <w:t>employed</w:t>
            </w:r>
          </w:p>
        </w:tc>
        <w:tc>
          <w:tcPr>
            <w:tcW w:w="1532" w:type="dxa"/>
            <w:tcBorders>
              <w:top w:val="nil"/>
              <w:bottom w:val="nil"/>
            </w:tcBorders>
          </w:tcPr>
          <w:p>
            <w:pPr>
              <w:pStyle w:val="TableParagraph"/>
              <w:rPr>
                <w:sz w:val="24"/>
              </w:rPr>
            </w:pPr>
          </w:p>
        </w:tc>
        <w:tc>
          <w:tcPr>
            <w:tcW w:w="1170" w:type="dxa"/>
            <w:tcBorders>
              <w:top w:val="nil"/>
              <w:bottom w:val="nil"/>
            </w:tcBorders>
          </w:tcPr>
          <w:p>
            <w:pPr>
              <w:pStyle w:val="TableParagraph"/>
              <w:rPr>
                <w:sz w:val="24"/>
              </w:rPr>
            </w:pPr>
          </w:p>
        </w:tc>
        <w:tc>
          <w:tcPr>
            <w:tcW w:w="1081" w:type="dxa"/>
            <w:tcBorders>
              <w:top w:val="nil"/>
              <w:bottom w:val="nil"/>
            </w:tcBorders>
          </w:tcPr>
          <w:p>
            <w:pPr>
              <w:pStyle w:val="TableParagraph"/>
              <w:rPr>
                <w:sz w:val="24"/>
              </w:rPr>
            </w:pPr>
          </w:p>
        </w:tc>
        <w:tc>
          <w:tcPr>
            <w:tcW w:w="1352" w:type="dxa"/>
            <w:tcBorders>
              <w:top w:val="nil"/>
              <w:bottom w:val="nil"/>
            </w:tcBorders>
          </w:tcPr>
          <w:p>
            <w:pPr>
              <w:pStyle w:val="TableParagraph"/>
              <w:rPr>
                <w:sz w:val="24"/>
              </w:rPr>
            </w:pPr>
          </w:p>
        </w:tc>
      </w:tr>
      <w:tr>
        <w:trPr>
          <w:trHeight w:val="385" w:hRule="atLeast"/>
        </w:trPr>
        <w:tc>
          <w:tcPr>
            <w:tcW w:w="4141" w:type="dxa"/>
            <w:tcBorders>
              <w:top w:val="nil"/>
              <w:bottom w:val="nil"/>
            </w:tcBorders>
          </w:tcPr>
          <w:p>
            <w:pPr>
              <w:pStyle w:val="TableParagraph"/>
              <w:spacing w:before="44"/>
              <w:ind w:left="9"/>
              <w:rPr>
                <w:sz w:val="24"/>
              </w:rPr>
            </w:pPr>
            <w:r>
              <w:rPr>
                <w:spacing w:val="-2"/>
                <w:sz w:val="24"/>
              </w:rPr>
              <w:t>artisan</w:t>
            </w:r>
          </w:p>
        </w:tc>
        <w:tc>
          <w:tcPr>
            <w:tcW w:w="1532" w:type="dxa"/>
            <w:tcBorders>
              <w:top w:val="nil"/>
              <w:bottom w:val="nil"/>
            </w:tcBorders>
          </w:tcPr>
          <w:p>
            <w:pPr>
              <w:pStyle w:val="TableParagraph"/>
              <w:spacing w:before="44"/>
              <w:ind w:left="4"/>
              <w:jc w:val="center"/>
              <w:rPr>
                <w:sz w:val="24"/>
              </w:rPr>
            </w:pPr>
            <w:r>
              <w:rPr>
                <w:spacing w:val="-5"/>
                <w:sz w:val="24"/>
              </w:rPr>
              <w:t>29</w:t>
            </w:r>
          </w:p>
        </w:tc>
        <w:tc>
          <w:tcPr>
            <w:tcW w:w="1170" w:type="dxa"/>
            <w:tcBorders>
              <w:top w:val="nil"/>
              <w:bottom w:val="nil"/>
            </w:tcBorders>
          </w:tcPr>
          <w:p>
            <w:pPr>
              <w:pStyle w:val="TableParagraph"/>
              <w:spacing w:before="44"/>
              <w:ind w:left="6"/>
              <w:jc w:val="center"/>
              <w:rPr>
                <w:sz w:val="24"/>
              </w:rPr>
            </w:pPr>
            <w:r>
              <w:rPr>
                <w:spacing w:val="-4"/>
                <w:sz w:val="24"/>
              </w:rPr>
              <w:t>12.1</w:t>
            </w:r>
          </w:p>
        </w:tc>
        <w:tc>
          <w:tcPr>
            <w:tcW w:w="1081" w:type="dxa"/>
            <w:tcBorders>
              <w:top w:val="nil"/>
              <w:bottom w:val="nil"/>
            </w:tcBorders>
          </w:tcPr>
          <w:p>
            <w:pPr>
              <w:pStyle w:val="TableParagraph"/>
              <w:spacing w:before="44"/>
              <w:ind w:left="12" w:right="9"/>
              <w:jc w:val="center"/>
              <w:rPr>
                <w:sz w:val="24"/>
              </w:rPr>
            </w:pPr>
            <w:r>
              <w:rPr>
                <w:spacing w:val="-4"/>
                <w:sz w:val="24"/>
              </w:rPr>
              <w:t>15.2</w:t>
            </w:r>
          </w:p>
        </w:tc>
        <w:tc>
          <w:tcPr>
            <w:tcW w:w="1352" w:type="dxa"/>
            <w:tcBorders>
              <w:top w:val="nil"/>
              <w:bottom w:val="nil"/>
            </w:tcBorders>
          </w:tcPr>
          <w:p>
            <w:pPr>
              <w:pStyle w:val="TableParagraph"/>
              <w:spacing w:before="44"/>
              <w:ind w:left="1" w:right="1"/>
              <w:jc w:val="center"/>
              <w:rPr>
                <w:sz w:val="24"/>
              </w:rPr>
            </w:pPr>
            <w:r>
              <w:rPr>
                <w:spacing w:val="-4"/>
                <w:sz w:val="24"/>
              </w:rPr>
              <w:t>30.9</w:t>
            </w:r>
          </w:p>
        </w:tc>
      </w:tr>
      <w:tr>
        <w:trPr>
          <w:trHeight w:val="412" w:hRule="atLeast"/>
        </w:trPr>
        <w:tc>
          <w:tcPr>
            <w:tcW w:w="4141" w:type="dxa"/>
            <w:tcBorders>
              <w:top w:val="nil"/>
              <w:bottom w:val="nil"/>
            </w:tcBorders>
          </w:tcPr>
          <w:p>
            <w:pPr>
              <w:pStyle w:val="TableParagraph"/>
              <w:spacing w:before="55"/>
              <w:ind w:left="9"/>
              <w:rPr>
                <w:sz w:val="24"/>
              </w:rPr>
            </w:pPr>
            <w:r>
              <w:rPr>
                <w:sz w:val="24"/>
              </w:rPr>
              <w:t>Junior staff of</w:t>
            </w:r>
            <w:r>
              <w:rPr>
                <w:spacing w:val="-2"/>
                <w:sz w:val="24"/>
              </w:rPr>
              <w:t> government</w:t>
            </w:r>
          </w:p>
        </w:tc>
        <w:tc>
          <w:tcPr>
            <w:tcW w:w="1532" w:type="dxa"/>
            <w:tcBorders>
              <w:top w:val="nil"/>
              <w:bottom w:val="nil"/>
            </w:tcBorders>
          </w:tcPr>
          <w:p>
            <w:pPr>
              <w:pStyle w:val="TableParagraph"/>
              <w:rPr>
                <w:sz w:val="24"/>
              </w:rPr>
            </w:pPr>
          </w:p>
        </w:tc>
        <w:tc>
          <w:tcPr>
            <w:tcW w:w="1170" w:type="dxa"/>
            <w:tcBorders>
              <w:top w:val="nil"/>
              <w:bottom w:val="nil"/>
            </w:tcBorders>
          </w:tcPr>
          <w:p>
            <w:pPr>
              <w:pStyle w:val="TableParagraph"/>
              <w:rPr>
                <w:sz w:val="24"/>
              </w:rPr>
            </w:pPr>
          </w:p>
        </w:tc>
        <w:tc>
          <w:tcPr>
            <w:tcW w:w="1081" w:type="dxa"/>
            <w:tcBorders>
              <w:top w:val="nil"/>
              <w:bottom w:val="nil"/>
            </w:tcBorders>
          </w:tcPr>
          <w:p>
            <w:pPr>
              <w:pStyle w:val="TableParagraph"/>
              <w:rPr>
                <w:sz w:val="24"/>
              </w:rPr>
            </w:pPr>
          </w:p>
        </w:tc>
        <w:tc>
          <w:tcPr>
            <w:tcW w:w="1352" w:type="dxa"/>
            <w:tcBorders>
              <w:top w:val="nil"/>
              <w:bottom w:val="nil"/>
            </w:tcBorders>
          </w:tcPr>
          <w:p>
            <w:pPr>
              <w:pStyle w:val="TableParagraph"/>
              <w:rPr>
                <w:sz w:val="24"/>
              </w:rPr>
            </w:pPr>
          </w:p>
        </w:tc>
      </w:tr>
      <w:tr>
        <w:trPr>
          <w:trHeight w:val="425" w:hRule="atLeast"/>
        </w:trPr>
        <w:tc>
          <w:tcPr>
            <w:tcW w:w="4141" w:type="dxa"/>
            <w:tcBorders>
              <w:top w:val="nil"/>
              <w:bottom w:val="nil"/>
            </w:tcBorders>
          </w:tcPr>
          <w:p>
            <w:pPr>
              <w:pStyle w:val="TableParagraph"/>
              <w:spacing w:before="71"/>
              <w:ind w:left="9"/>
              <w:rPr>
                <w:sz w:val="24"/>
              </w:rPr>
            </w:pPr>
            <w:r>
              <w:rPr>
                <w:sz w:val="24"/>
              </w:rPr>
              <w:t>or</w:t>
            </w:r>
            <w:r>
              <w:rPr>
                <w:spacing w:val="-1"/>
                <w:sz w:val="24"/>
              </w:rPr>
              <w:t> </w:t>
            </w:r>
            <w:r>
              <w:rPr>
                <w:spacing w:val="-2"/>
                <w:sz w:val="24"/>
              </w:rPr>
              <w:t>companies</w:t>
            </w:r>
          </w:p>
        </w:tc>
        <w:tc>
          <w:tcPr>
            <w:tcW w:w="1532" w:type="dxa"/>
            <w:tcBorders>
              <w:top w:val="nil"/>
              <w:bottom w:val="nil"/>
            </w:tcBorders>
          </w:tcPr>
          <w:p>
            <w:pPr>
              <w:pStyle w:val="TableParagraph"/>
              <w:spacing w:before="71"/>
              <w:ind w:left="4"/>
              <w:jc w:val="center"/>
              <w:rPr>
                <w:sz w:val="24"/>
              </w:rPr>
            </w:pPr>
            <w:r>
              <w:rPr>
                <w:spacing w:val="-5"/>
                <w:sz w:val="24"/>
              </w:rPr>
              <w:t>35</w:t>
            </w:r>
          </w:p>
        </w:tc>
        <w:tc>
          <w:tcPr>
            <w:tcW w:w="1170" w:type="dxa"/>
            <w:tcBorders>
              <w:top w:val="nil"/>
              <w:bottom w:val="nil"/>
            </w:tcBorders>
          </w:tcPr>
          <w:p>
            <w:pPr>
              <w:pStyle w:val="TableParagraph"/>
              <w:spacing w:before="71"/>
              <w:ind w:left="6"/>
              <w:jc w:val="center"/>
              <w:rPr>
                <w:sz w:val="24"/>
              </w:rPr>
            </w:pPr>
            <w:r>
              <w:rPr>
                <w:spacing w:val="-4"/>
                <w:sz w:val="24"/>
              </w:rPr>
              <w:t>14.6</w:t>
            </w:r>
          </w:p>
        </w:tc>
        <w:tc>
          <w:tcPr>
            <w:tcW w:w="1081" w:type="dxa"/>
            <w:tcBorders>
              <w:top w:val="nil"/>
              <w:bottom w:val="nil"/>
            </w:tcBorders>
          </w:tcPr>
          <w:p>
            <w:pPr>
              <w:pStyle w:val="TableParagraph"/>
              <w:spacing w:before="71"/>
              <w:ind w:left="12" w:right="9"/>
              <w:jc w:val="center"/>
              <w:rPr>
                <w:sz w:val="24"/>
              </w:rPr>
            </w:pPr>
            <w:r>
              <w:rPr>
                <w:spacing w:val="-4"/>
                <w:sz w:val="24"/>
              </w:rPr>
              <w:t>18.3</w:t>
            </w:r>
          </w:p>
        </w:tc>
        <w:tc>
          <w:tcPr>
            <w:tcW w:w="1352" w:type="dxa"/>
            <w:tcBorders>
              <w:top w:val="nil"/>
              <w:bottom w:val="nil"/>
            </w:tcBorders>
          </w:tcPr>
          <w:p>
            <w:pPr>
              <w:pStyle w:val="TableParagraph"/>
              <w:spacing w:before="71"/>
              <w:ind w:left="1" w:right="1"/>
              <w:jc w:val="center"/>
              <w:rPr>
                <w:sz w:val="24"/>
              </w:rPr>
            </w:pPr>
            <w:r>
              <w:rPr>
                <w:spacing w:val="-4"/>
                <w:sz w:val="24"/>
              </w:rPr>
              <w:t>49.2</w:t>
            </w:r>
          </w:p>
        </w:tc>
      </w:tr>
      <w:tr>
        <w:trPr>
          <w:trHeight w:val="414" w:hRule="atLeast"/>
        </w:trPr>
        <w:tc>
          <w:tcPr>
            <w:tcW w:w="4141" w:type="dxa"/>
            <w:tcBorders>
              <w:top w:val="nil"/>
              <w:bottom w:val="nil"/>
            </w:tcBorders>
          </w:tcPr>
          <w:p>
            <w:pPr>
              <w:pStyle w:val="TableParagraph"/>
              <w:spacing w:before="67"/>
              <w:ind w:left="9"/>
              <w:rPr>
                <w:sz w:val="24"/>
              </w:rPr>
            </w:pPr>
            <w:r>
              <w:rPr>
                <w:sz w:val="24"/>
              </w:rPr>
              <w:t>Intermediate</w:t>
            </w:r>
            <w:r>
              <w:rPr>
                <w:spacing w:val="-4"/>
                <w:sz w:val="24"/>
              </w:rPr>
              <w:t> </w:t>
            </w:r>
            <w:r>
              <w:rPr>
                <w:sz w:val="24"/>
              </w:rPr>
              <w:t>staff</w:t>
            </w:r>
            <w:r>
              <w:rPr>
                <w:spacing w:val="-3"/>
                <w:sz w:val="24"/>
              </w:rPr>
              <w:t> </w:t>
            </w:r>
            <w:r>
              <w:rPr>
                <w:spacing w:val="-5"/>
                <w:sz w:val="24"/>
              </w:rPr>
              <w:t>of</w:t>
            </w:r>
          </w:p>
        </w:tc>
        <w:tc>
          <w:tcPr>
            <w:tcW w:w="1532" w:type="dxa"/>
            <w:tcBorders>
              <w:top w:val="nil"/>
              <w:bottom w:val="nil"/>
            </w:tcBorders>
          </w:tcPr>
          <w:p>
            <w:pPr>
              <w:pStyle w:val="TableParagraph"/>
              <w:rPr>
                <w:sz w:val="24"/>
              </w:rPr>
            </w:pPr>
          </w:p>
        </w:tc>
        <w:tc>
          <w:tcPr>
            <w:tcW w:w="1170" w:type="dxa"/>
            <w:tcBorders>
              <w:top w:val="nil"/>
              <w:bottom w:val="nil"/>
            </w:tcBorders>
          </w:tcPr>
          <w:p>
            <w:pPr>
              <w:pStyle w:val="TableParagraph"/>
              <w:rPr>
                <w:sz w:val="24"/>
              </w:rPr>
            </w:pPr>
          </w:p>
        </w:tc>
        <w:tc>
          <w:tcPr>
            <w:tcW w:w="1081" w:type="dxa"/>
            <w:tcBorders>
              <w:top w:val="nil"/>
              <w:bottom w:val="nil"/>
            </w:tcBorders>
          </w:tcPr>
          <w:p>
            <w:pPr>
              <w:pStyle w:val="TableParagraph"/>
              <w:rPr>
                <w:sz w:val="24"/>
              </w:rPr>
            </w:pPr>
          </w:p>
        </w:tc>
        <w:tc>
          <w:tcPr>
            <w:tcW w:w="1352" w:type="dxa"/>
            <w:tcBorders>
              <w:top w:val="nil"/>
              <w:bottom w:val="nil"/>
            </w:tcBorders>
          </w:tcPr>
          <w:p>
            <w:pPr>
              <w:pStyle w:val="TableParagraph"/>
              <w:rPr>
                <w:sz w:val="24"/>
              </w:rPr>
            </w:pPr>
          </w:p>
        </w:tc>
      </w:tr>
      <w:tr>
        <w:trPr>
          <w:trHeight w:val="418" w:hRule="atLeast"/>
        </w:trPr>
        <w:tc>
          <w:tcPr>
            <w:tcW w:w="4141" w:type="dxa"/>
            <w:tcBorders>
              <w:top w:val="nil"/>
              <w:bottom w:val="nil"/>
            </w:tcBorders>
          </w:tcPr>
          <w:p>
            <w:pPr>
              <w:pStyle w:val="TableParagraph"/>
              <w:spacing w:before="61"/>
              <w:ind w:left="9"/>
              <w:rPr>
                <w:sz w:val="24"/>
              </w:rPr>
            </w:pPr>
            <w:r>
              <w:rPr>
                <w:sz w:val="24"/>
              </w:rPr>
              <w:t>government</w:t>
            </w:r>
            <w:r>
              <w:rPr>
                <w:spacing w:val="-2"/>
                <w:sz w:val="24"/>
              </w:rPr>
              <w:t> </w:t>
            </w:r>
            <w:r>
              <w:rPr>
                <w:sz w:val="24"/>
              </w:rPr>
              <w:t>or</w:t>
            </w:r>
            <w:r>
              <w:rPr>
                <w:spacing w:val="-2"/>
                <w:sz w:val="24"/>
              </w:rPr>
              <w:t> companies</w:t>
            </w:r>
          </w:p>
        </w:tc>
        <w:tc>
          <w:tcPr>
            <w:tcW w:w="1532" w:type="dxa"/>
            <w:tcBorders>
              <w:top w:val="nil"/>
              <w:bottom w:val="nil"/>
            </w:tcBorders>
          </w:tcPr>
          <w:p>
            <w:pPr>
              <w:pStyle w:val="TableParagraph"/>
              <w:spacing w:before="61"/>
              <w:ind w:left="4"/>
              <w:jc w:val="center"/>
              <w:rPr>
                <w:sz w:val="24"/>
              </w:rPr>
            </w:pPr>
            <w:r>
              <w:rPr>
                <w:spacing w:val="-5"/>
                <w:sz w:val="24"/>
              </w:rPr>
              <w:t>55</w:t>
            </w:r>
          </w:p>
        </w:tc>
        <w:tc>
          <w:tcPr>
            <w:tcW w:w="1170" w:type="dxa"/>
            <w:tcBorders>
              <w:top w:val="nil"/>
              <w:bottom w:val="nil"/>
            </w:tcBorders>
          </w:tcPr>
          <w:p>
            <w:pPr>
              <w:pStyle w:val="TableParagraph"/>
              <w:spacing w:before="61"/>
              <w:ind w:left="6"/>
              <w:jc w:val="center"/>
              <w:rPr>
                <w:sz w:val="24"/>
              </w:rPr>
            </w:pPr>
            <w:r>
              <w:rPr>
                <w:spacing w:val="-4"/>
                <w:sz w:val="24"/>
              </w:rPr>
              <w:t>22.9</w:t>
            </w:r>
          </w:p>
        </w:tc>
        <w:tc>
          <w:tcPr>
            <w:tcW w:w="1081" w:type="dxa"/>
            <w:tcBorders>
              <w:top w:val="nil"/>
              <w:bottom w:val="nil"/>
            </w:tcBorders>
          </w:tcPr>
          <w:p>
            <w:pPr>
              <w:pStyle w:val="TableParagraph"/>
              <w:spacing w:before="61"/>
              <w:ind w:left="12" w:right="9"/>
              <w:jc w:val="center"/>
              <w:rPr>
                <w:sz w:val="24"/>
              </w:rPr>
            </w:pPr>
            <w:r>
              <w:rPr>
                <w:spacing w:val="-4"/>
                <w:sz w:val="24"/>
              </w:rPr>
              <w:t>28.8</w:t>
            </w:r>
          </w:p>
        </w:tc>
        <w:tc>
          <w:tcPr>
            <w:tcW w:w="1352" w:type="dxa"/>
            <w:tcBorders>
              <w:top w:val="nil"/>
              <w:bottom w:val="nil"/>
            </w:tcBorders>
          </w:tcPr>
          <w:p>
            <w:pPr>
              <w:pStyle w:val="TableParagraph"/>
              <w:spacing w:before="61"/>
              <w:ind w:left="1"/>
              <w:jc w:val="center"/>
              <w:rPr>
                <w:sz w:val="24"/>
              </w:rPr>
            </w:pPr>
            <w:r>
              <w:rPr>
                <w:spacing w:val="-5"/>
                <w:sz w:val="24"/>
              </w:rPr>
              <w:t>78</w:t>
            </w:r>
          </w:p>
        </w:tc>
      </w:tr>
      <w:tr>
        <w:trPr>
          <w:trHeight w:val="423" w:hRule="atLeast"/>
        </w:trPr>
        <w:tc>
          <w:tcPr>
            <w:tcW w:w="4141" w:type="dxa"/>
            <w:tcBorders>
              <w:top w:val="nil"/>
              <w:bottom w:val="nil"/>
            </w:tcBorders>
          </w:tcPr>
          <w:p>
            <w:pPr>
              <w:pStyle w:val="TableParagraph"/>
              <w:spacing w:before="71"/>
              <w:ind w:left="9"/>
              <w:rPr>
                <w:sz w:val="24"/>
              </w:rPr>
            </w:pPr>
            <w:r>
              <w:rPr>
                <w:sz w:val="24"/>
              </w:rPr>
              <w:t>Self</w:t>
            </w:r>
            <w:r>
              <w:rPr>
                <w:spacing w:val="-1"/>
                <w:sz w:val="24"/>
              </w:rPr>
              <w:t> </w:t>
            </w:r>
            <w:r>
              <w:rPr>
                <w:spacing w:val="-2"/>
                <w:sz w:val="24"/>
              </w:rPr>
              <w:t>employed</w:t>
            </w:r>
          </w:p>
        </w:tc>
        <w:tc>
          <w:tcPr>
            <w:tcW w:w="1532" w:type="dxa"/>
            <w:tcBorders>
              <w:top w:val="nil"/>
              <w:bottom w:val="nil"/>
            </w:tcBorders>
          </w:tcPr>
          <w:p>
            <w:pPr>
              <w:pStyle w:val="TableParagraph"/>
              <w:spacing w:before="71"/>
              <w:ind w:left="4"/>
              <w:jc w:val="center"/>
              <w:rPr>
                <w:sz w:val="24"/>
              </w:rPr>
            </w:pPr>
            <w:r>
              <w:rPr>
                <w:spacing w:val="-5"/>
                <w:sz w:val="24"/>
              </w:rPr>
              <w:t>26</w:t>
            </w:r>
          </w:p>
        </w:tc>
        <w:tc>
          <w:tcPr>
            <w:tcW w:w="1170" w:type="dxa"/>
            <w:tcBorders>
              <w:top w:val="nil"/>
              <w:bottom w:val="nil"/>
            </w:tcBorders>
          </w:tcPr>
          <w:p>
            <w:pPr>
              <w:pStyle w:val="TableParagraph"/>
              <w:spacing w:before="71"/>
              <w:ind w:left="6"/>
              <w:jc w:val="center"/>
              <w:rPr>
                <w:sz w:val="24"/>
              </w:rPr>
            </w:pPr>
            <w:r>
              <w:rPr>
                <w:spacing w:val="-4"/>
                <w:sz w:val="24"/>
              </w:rPr>
              <w:t>10.8</w:t>
            </w:r>
          </w:p>
        </w:tc>
        <w:tc>
          <w:tcPr>
            <w:tcW w:w="1081" w:type="dxa"/>
            <w:tcBorders>
              <w:top w:val="nil"/>
              <w:bottom w:val="nil"/>
            </w:tcBorders>
          </w:tcPr>
          <w:p>
            <w:pPr>
              <w:pStyle w:val="TableParagraph"/>
              <w:spacing w:before="71"/>
              <w:ind w:left="12" w:right="9"/>
              <w:jc w:val="center"/>
              <w:rPr>
                <w:sz w:val="24"/>
              </w:rPr>
            </w:pPr>
            <w:r>
              <w:rPr>
                <w:spacing w:val="-4"/>
                <w:sz w:val="24"/>
              </w:rPr>
              <w:t>13.6</w:t>
            </w:r>
          </w:p>
        </w:tc>
        <w:tc>
          <w:tcPr>
            <w:tcW w:w="1352" w:type="dxa"/>
            <w:tcBorders>
              <w:top w:val="nil"/>
              <w:bottom w:val="nil"/>
            </w:tcBorders>
          </w:tcPr>
          <w:p>
            <w:pPr>
              <w:pStyle w:val="TableParagraph"/>
              <w:spacing w:before="71"/>
              <w:ind w:left="1" w:right="1"/>
              <w:jc w:val="center"/>
              <w:rPr>
                <w:sz w:val="24"/>
              </w:rPr>
            </w:pPr>
            <w:r>
              <w:rPr>
                <w:spacing w:val="-4"/>
                <w:sz w:val="24"/>
              </w:rPr>
              <w:t>91.6</w:t>
            </w:r>
          </w:p>
        </w:tc>
      </w:tr>
      <w:tr>
        <w:trPr>
          <w:trHeight w:val="418" w:hRule="atLeast"/>
        </w:trPr>
        <w:tc>
          <w:tcPr>
            <w:tcW w:w="4141" w:type="dxa"/>
            <w:tcBorders>
              <w:top w:val="nil"/>
              <w:bottom w:val="nil"/>
            </w:tcBorders>
          </w:tcPr>
          <w:p>
            <w:pPr>
              <w:pStyle w:val="TableParagraph"/>
              <w:spacing w:before="65"/>
              <w:ind w:left="9"/>
              <w:rPr>
                <w:sz w:val="24"/>
              </w:rPr>
            </w:pPr>
            <w:r>
              <w:rPr>
                <w:sz w:val="24"/>
              </w:rPr>
              <w:t>Development</w:t>
            </w:r>
            <w:r>
              <w:rPr>
                <w:spacing w:val="-3"/>
                <w:sz w:val="24"/>
              </w:rPr>
              <w:t> </w:t>
            </w:r>
            <w:r>
              <w:rPr>
                <w:sz w:val="24"/>
              </w:rPr>
              <w:t>or</w:t>
            </w:r>
            <w:r>
              <w:rPr>
                <w:spacing w:val="-2"/>
                <w:sz w:val="24"/>
              </w:rPr>
              <w:t> social</w:t>
            </w:r>
          </w:p>
        </w:tc>
        <w:tc>
          <w:tcPr>
            <w:tcW w:w="1532" w:type="dxa"/>
            <w:tcBorders>
              <w:top w:val="nil"/>
              <w:bottom w:val="nil"/>
            </w:tcBorders>
          </w:tcPr>
          <w:p>
            <w:pPr>
              <w:pStyle w:val="TableParagraph"/>
              <w:rPr>
                <w:sz w:val="24"/>
              </w:rPr>
            </w:pPr>
          </w:p>
        </w:tc>
        <w:tc>
          <w:tcPr>
            <w:tcW w:w="1170" w:type="dxa"/>
            <w:tcBorders>
              <w:top w:val="nil"/>
              <w:bottom w:val="nil"/>
            </w:tcBorders>
          </w:tcPr>
          <w:p>
            <w:pPr>
              <w:pStyle w:val="TableParagraph"/>
              <w:rPr>
                <w:sz w:val="24"/>
              </w:rPr>
            </w:pPr>
          </w:p>
        </w:tc>
        <w:tc>
          <w:tcPr>
            <w:tcW w:w="1081" w:type="dxa"/>
            <w:tcBorders>
              <w:top w:val="nil"/>
              <w:bottom w:val="nil"/>
            </w:tcBorders>
          </w:tcPr>
          <w:p>
            <w:pPr>
              <w:pStyle w:val="TableParagraph"/>
              <w:rPr>
                <w:sz w:val="24"/>
              </w:rPr>
            </w:pPr>
          </w:p>
        </w:tc>
        <w:tc>
          <w:tcPr>
            <w:tcW w:w="1352" w:type="dxa"/>
            <w:tcBorders>
              <w:top w:val="nil"/>
              <w:bottom w:val="nil"/>
            </w:tcBorders>
          </w:tcPr>
          <w:p>
            <w:pPr>
              <w:pStyle w:val="TableParagraph"/>
              <w:rPr>
                <w:sz w:val="24"/>
              </w:rPr>
            </w:pPr>
          </w:p>
        </w:tc>
      </w:tr>
      <w:tr>
        <w:trPr>
          <w:trHeight w:val="411" w:hRule="atLeast"/>
        </w:trPr>
        <w:tc>
          <w:tcPr>
            <w:tcW w:w="4141" w:type="dxa"/>
            <w:tcBorders>
              <w:top w:val="nil"/>
              <w:bottom w:val="nil"/>
            </w:tcBorders>
          </w:tcPr>
          <w:p>
            <w:pPr>
              <w:pStyle w:val="TableParagraph"/>
              <w:spacing w:before="67"/>
              <w:ind w:left="9"/>
              <w:rPr>
                <w:sz w:val="24"/>
              </w:rPr>
            </w:pPr>
            <w:r>
              <w:rPr>
                <w:spacing w:val="-2"/>
                <w:sz w:val="24"/>
              </w:rPr>
              <w:t>worker</w:t>
            </w:r>
          </w:p>
        </w:tc>
        <w:tc>
          <w:tcPr>
            <w:tcW w:w="1532" w:type="dxa"/>
            <w:tcBorders>
              <w:top w:val="nil"/>
              <w:bottom w:val="nil"/>
            </w:tcBorders>
          </w:tcPr>
          <w:p>
            <w:pPr>
              <w:pStyle w:val="TableParagraph"/>
              <w:spacing w:before="67"/>
              <w:ind w:left="4"/>
              <w:jc w:val="center"/>
              <w:rPr>
                <w:sz w:val="24"/>
              </w:rPr>
            </w:pPr>
            <w:r>
              <w:rPr>
                <w:spacing w:val="-10"/>
                <w:sz w:val="24"/>
              </w:rPr>
              <w:t>9</w:t>
            </w:r>
          </w:p>
        </w:tc>
        <w:tc>
          <w:tcPr>
            <w:tcW w:w="1170" w:type="dxa"/>
            <w:tcBorders>
              <w:top w:val="nil"/>
              <w:bottom w:val="nil"/>
            </w:tcBorders>
          </w:tcPr>
          <w:p>
            <w:pPr>
              <w:pStyle w:val="TableParagraph"/>
              <w:spacing w:before="67"/>
              <w:ind w:left="6"/>
              <w:jc w:val="center"/>
              <w:rPr>
                <w:sz w:val="24"/>
              </w:rPr>
            </w:pPr>
            <w:r>
              <w:rPr>
                <w:spacing w:val="-5"/>
                <w:sz w:val="24"/>
              </w:rPr>
              <w:t>3.8</w:t>
            </w:r>
          </w:p>
        </w:tc>
        <w:tc>
          <w:tcPr>
            <w:tcW w:w="1081" w:type="dxa"/>
            <w:tcBorders>
              <w:top w:val="nil"/>
              <w:bottom w:val="nil"/>
            </w:tcBorders>
          </w:tcPr>
          <w:p>
            <w:pPr>
              <w:pStyle w:val="TableParagraph"/>
              <w:spacing w:before="67"/>
              <w:ind w:left="12" w:right="9"/>
              <w:jc w:val="center"/>
              <w:rPr>
                <w:sz w:val="24"/>
              </w:rPr>
            </w:pPr>
            <w:r>
              <w:rPr>
                <w:spacing w:val="-5"/>
                <w:sz w:val="24"/>
              </w:rPr>
              <w:t>4.7</w:t>
            </w:r>
          </w:p>
        </w:tc>
        <w:tc>
          <w:tcPr>
            <w:tcW w:w="1352" w:type="dxa"/>
            <w:tcBorders>
              <w:top w:val="nil"/>
              <w:bottom w:val="nil"/>
            </w:tcBorders>
          </w:tcPr>
          <w:p>
            <w:pPr>
              <w:pStyle w:val="TableParagraph"/>
              <w:spacing w:before="67"/>
              <w:ind w:left="1" w:right="1"/>
              <w:jc w:val="center"/>
              <w:rPr>
                <w:sz w:val="24"/>
              </w:rPr>
            </w:pPr>
            <w:r>
              <w:rPr>
                <w:spacing w:val="-4"/>
                <w:sz w:val="24"/>
              </w:rPr>
              <w:t>96.3</w:t>
            </w:r>
          </w:p>
        </w:tc>
      </w:tr>
      <w:tr>
        <w:trPr>
          <w:trHeight w:val="416" w:hRule="atLeast"/>
        </w:trPr>
        <w:tc>
          <w:tcPr>
            <w:tcW w:w="4141" w:type="dxa"/>
            <w:tcBorders>
              <w:top w:val="nil"/>
              <w:bottom w:val="nil"/>
            </w:tcBorders>
          </w:tcPr>
          <w:p>
            <w:pPr>
              <w:pStyle w:val="TableParagraph"/>
              <w:spacing w:before="58"/>
              <w:ind w:left="9"/>
              <w:rPr>
                <w:sz w:val="24"/>
              </w:rPr>
            </w:pPr>
            <w:r>
              <w:rPr>
                <w:sz w:val="24"/>
              </w:rPr>
              <w:t>Others</w:t>
            </w:r>
            <w:r>
              <w:rPr>
                <w:spacing w:val="-2"/>
                <w:sz w:val="24"/>
              </w:rPr>
              <w:t> (Specify)</w:t>
            </w:r>
          </w:p>
        </w:tc>
        <w:tc>
          <w:tcPr>
            <w:tcW w:w="1532" w:type="dxa"/>
            <w:tcBorders>
              <w:top w:val="nil"/>
              <w:bottom w:val="nil"/>
            </w:tcBorders>
          </w:tcPr>
          <w:p>
            <w:pPr>
              <w:pStyle w:val="TableParagraph"/>
              <w:spacing w:before="58"/>
              <w:ind w:left="4"/>
              <w:jc w:val="center"/>
              <w:rPr>
                <w:sz w:val="24"/>
              </w:rPr>
            </w:pPr>
            <w:r>
              <w:rPr>
                <w:spacing w:val="-10"/>
                <w:sz w:val="24"/>
              </w:rPr>
              <w:t>7</w:t>
            </w:r>
          </w:p>
        </w:tc>
        <w:tc>
          <w:tcPr>
            <w:tcW w:w="1170" w:type="dxa"/>
            <w:tcBorders>
              <w:top w:val="nil"/>
              <w:bottom w:val="nil"/>
            </w:tcBorders>
          </w:tcPr>
          <w:p>
            <w:pPr>
              <w:pStyle w:val="TableParagraph"/>
              <w:spacing w:before="58"/>
              <w:ind w:left="6"/>
              <w:jc w:val="center"/>
              <w:rPr>
                <w:sz w:val="24"/>
              </w:rPr>
            </w:pPr>
            <w:r>
              <w:rPr>
                <w:spacing w:val="-5"/>
                <w:sz w:val="24"/>
              </w:rPr>
              <w:t>2.9</w:t>
            </w:r>
          </w:p>
        </w:tc>
        <w:tc>
          <w:tcPr>
            <w:tcW w:w="1081" w:type="dxa"/>
            <w:tcBorders>
              <w:top w:val="nil"/>
              <w:bottom w:val="nil"/>
            </w:tcBorders>
          </w:tcPr>
          <w:p>
            <w:pPr>
              <w:pStyle w:val="TableParagraph"/>
              <w:spacing w:before="58"/>
              <w:ind w:left="12" w:right="9"/>
              <w:jc w:val="center"/>
              <w:rPr>
                <w:sz w:val="24"/>
              </w:rPr>
            </w:pPr>
            <w:r>
              <w:rPr>
                <w:spacing w:val="-5"/>
                <w:sz w:val="24"/>
              </w:rPr>
              <w:t>3.7</w:t>
            </w:r>
          </w:p>
        </w:tc>
        <w:tc>
          <w:tcPr>
            <w:tcW w:w="1352" w:type="dxa"/>
            <w:tcBorders>
              <w:top w:val="nil"/>
              <w:bottom w:val="nil"/>
            </w:tcBorders>
          </w:tcPr>
          <w:p>
            <w:pPr>
              <w:pStyle w:val="TableParagraph"/>
              <w:spacing w:before="58"/>
              <w:ind w:left="1"/>
              <w:jc w:val="center"/>
              <w:rPr>
                <w:sz w:val="24"/>
              </w:rPr>
            </w:pPr>
            <w:r>
              <w:rPr>
                <w:spacing w:val="-5"/>
                <w:sz w:val="24"/>
              </w:rPr>
              <w:t>100</w:t>
            </w:r>
          </w:p>
        </w:tc>
      </w:tr>
      <w:tr>
        <w:trPr>
          <w:trHeight w:val="470" w:hRule="atLeast"/>
        </w:trPr>
        <w:tc>
          <w:tcPr>
            <w:tcW w:w="4141" w:type="dxa"/>
            <w:tcBorders>
              <w:top w:val="nil"/>
            </w:tcBorders>
          </w:tcPr>
          <w:p>
            <w:pPr>
              <w:pStyle w:val="TableParagraph"/>
              <w:spacing w:before="71"/>
              <w:ind w:left="9"/>
              <w:rPr>
                <w:sz w:val="24"/>
              </w:rPr>
            </w:pPr>
            <w:r>
              <w:rPr>
                <w:spacing w:val="-2"/>
                <w:sz w:val="24"/>
              </w:rPr>
              <w:t>Missing</w:t>
            </w:r>
          </w:p>
        </w:tc>
        <w:tc>
          <w:tcPr>
            <w:tcW w:w="1532" w:type="dxa"/>
            <w:tcBorders>
              <w:top w:val="nil"/>
            </w:tcBorders>
          </w:tcPr>
          <w:p>
            <w:pPr>
              <w:pStyle w:val="TableParagraph"/>
              <w:spacing w:before="71"/>
              <w:ind w:left="4"/>
              <w:jc w:val="center"/>
              <w:rPr>
                <w:sz w:val="24"/>
              </w:rPr>
            </w:pPr>
            <w:r>
              <w:rPr>
                <w:spacing w:val="-5"/>
                <w:sz w:val="24"/>
              </w:rPr>
              <w:t>49</w:t>
            </w:r>
          </w:p>
        </w:tc>
        <w:tc>
          <w:tcPr>
            <w:tcW w:w="1170" w:type="dxa"/>
            <w:tcBorders>
              <w:top w:val="nil"/>
            </w:tcBorders>
          </w:tcPr>
          <w:p>
            <w:pPr>
              <w:pStyle w:val="TableParagraph"/>
              <w:spacing w:before="71"/>
              <w:ind w:left="6"/>
              <w:jc w:val="center"/>
              <w:rPr>
                <w:sz w:val="24"/>
              </w:rPr>
            </w:pPr>
            <w:r>
              <w:rPr>
                <w:spacing w:val="-4"/>
                <w:sz w:val="24"/>
              </w:rPr>
              <w:t>20.4</w:t>
            </w:r>
          </w:p>
        </w:tc>
        <w:tc>
          <w:tcPr>
            <w:tcW w:w="1081" w:type="dxa"/>
            <w:tcBorders>
              <w:top w:val="nil"/>
            </w:tcBorders>
          </w:tcPr>
          <w:p>
            <w:pPr>
              <w:pStyle w:val="TableParagraph"/>
              <w:rPr>
                <w:sz w:val="24"/>
              </w:rPr>
            </w:pPr>
          </w:p>
        </w:tc>
        <w:tc>
          <w:tcPr>
            <w:tcW w:w="1352" w:type="dxa"/>
            <w:tcBorders>
              <w:top w:val="nil"/>
            </w:tcBorders>
          </w:tcPr>
          <w:p>
            <w:pPr>
              <w:pStyle w:val="TableParagraph"/>
              <w:rPr>
                <w:sz w:val="24"/>
              </w:rPr>
            </w:pPr>
          </w:p>
        </w:tc>
      </w:tr>
      <w:tr>
        <w:trPr>
          <w:trHeight w:val="422" w:hRule="atLeast"/>
        </w:trPr>
        <w:tc>
          <w:tcPr>
            <w:tcW w:w="4141" w:type="dxa"/>
          </w:tcPr>
          <w:p>
            <w:pPr>
              <w:pStyle w:val="TableParagraph"/>
              <w:spacing w:before="3"/>
              <w:ind w:left="9"/>
              <w:rPr>
                <w:b/>
                <w:sz w:val="24"/>
              </w:rPr>
            </w:pPr>
            <w:r>
              <w:rPr>
                <w:b/>
                <w:spacing w:val="-2"/>
                <w:sz w:val="24"/>
              </w:rPr>
              <w:t>Total</w:t>
            </w:r>
          </w:p>
        </w:tc>
        <w:tc>
          <w:tcPr>
            <w:tcW w:w="1532" w:type="dxa"/>
          </w:tcPr>
          <w:p>
            <w:pPr>
              <w:pStyle w:val="TableParagraph"/>
              <w:spacing w:before="3"/>
              <w:ind w:left="4"/>
              <w:jc w:val="center"/>
              <w:rPr>
                <w:b/>
                <w:sz w:val="24"/>
              </w:rPr>
            </w:pPr>
            <w:r>
              <w:rPr>
                <w:b/>
                <w:spacing w:val="-5"/>
                <w:sz w:val="24"/>
              </w:rPr>
              <w:t>240</w:t>
            </w:r>
          </w:p>
        </w:tc>
        <w:tc>
          <w:tcPr>
            <w:tcW w:w="1170" w:type="dxa"/>
          </w:tcPr>
          <w:p>
            <w:pPr>
              <w:pStyle w:val="TableParagraph"/>
              <w:spacing w:before="3"/>
              <w:ind w:left="6" w:right="2"/>
              <w:jc w:val="center"/>
              <w:rPr>
                <w:b/>
                <w:sz w:val="24"/>
              </w:rPr>
            </w:pPr>
            <w:r>
              <w:rPr>
                <w:b/>
                <w:spacing w:val="-5"/>
                <w:sz w:val="24"/>
              </w:rPr>
              <w:t>100</w:t>
            </w:r>
          </w:p>
        </w:tc>
        <w:tc>
          <w:tcPr>
            <w:tcW w:w="1081" w:type="dxa"/>
          </w:tcPr>
          <w:p>
            <w:pPr>
              <w:pStyle w:val="TableParagraph"/>
              <w:rPr>
                <w:sz w:val="24"/>
              </w:rPr>
            </w:pPr>
          </w:p>
        </w:tc>
        <w:tc>
          <w:tcPr>
            <w:tcW w:w="1352" w:type="dxa"/>
          </w:tcPr>
          <w:p>
            <w:pPr>
              <w:pStyle w:val="TableParagraph"/>
              <w:rPr>
                <w:sz w:val="24"/>
              </w:rPr>
            </w:pPr>
          </w:p>
        </w:tc>
      </w:tr>
    </w:tbl>
    <w:p>
      <w:pPr>
        <w:pStyle w:val="BodyText"/>
        <w:spacing w:before="138"/>
        <w:ind w:left="0"/>
        <w:rPr>
          <w:b/>
        </w:rPr>
      </w:pPr>
    </w:p>
    <w:p>
      <w:pPr>
        <w:pStyle w:val="BodyText"/>
        <w:spacing w:line="360" w:lineRule="auto"/>
        <w:ind w:right="1264" w:firstLine="384"/>
        <w:jc w:val="both"/>
      </w:pPr>
      <w:r>
        <w:rPr/>
        <w:t>Contrasting this with the level of education in these States (Table 3), it can be safely deduced that the general high level of education has not translated into job opportunities for the people - since the percentage of the unemployed is still high.</w:t>
      </w:r>
    </w:p>
    <w:p>
      <w:pPr>
        <w:pStyle w:val="BodyText"/>
        <w:spacing w:line="360" w:lineRule="auto" w:before="1"/>
        <w:ind w:right="1257" w:firstLine="724"/>
        <w:jc w:val="both"/>
      </w:pPr>
      <w:r>
        <w:rPr/>
        <w:t>Dealing with the above paradoxical situation requires devising mechanisms</w:t>
      </w:r>
      <w:r>
        <w:rPr>
          <w:spacing w:val="40"/>
        </w:rPr>
        <w:t> </w:t>
      </w:r>
      <w:r>
        <w:rPr/>
        <w:t>for assisting the 15.7% population that is unemployed to create their own jobs, since there is a limit to the number of people that government and oil companies can </w:t>
      </w:r>
      <w:r>
        <w:rPr>
          <w:spacing w:val="-2"/>
        </w:rPr>
        <w:t>employ.</w:t>
      </w:r>
    </w:p>
    <w:p>
      <w:pPr>
        <w:pStyle w:val="Heading2"/>
        <w:numPr>
          <w:ilvl w:val="2"/>
          <w:numId w:val="19"/>
        </w:numPr>
        <w:tabs>
          <w:tab w:pos="2040" w:val="left" w:leader="none"/>
        </w:tabs>
        <w:spacing w:line="240" w:lineRule="auto" w:before="5" w:after="0"/>
        <w:ind w:left="2040" w:right="0" w:hanging="600"/>
        <w:jc w:val="both"/>
      </w:pPr>
      <w:r>
        <w:rPr/>
        <w:t>Distribution</w:t>
      </w:r>
      <w:r>
        <w:rPr>
          <w:spacing w:val="-2"/>
        </w:rPr>
        <w:t> </w:t>
      </w:r>
      <w:r>
        <w:rPr/>
        <w:t>of</w:t>
      </w:r>
      <w:r>
        <w:rPr>
          <w:spacing w:val="-1"/>
        </w:rPr>
        <w:t> </w:t>
      </w:r>
      <w:r>
        <w:rPr/>
        <w:t>Respondents</w:t>
      </w:r>
      <w:r>
        <w:rPr>
          <w:spacing w:val="-1"/>
        </w:rPr>
        <w:t> </w:t>
      </w:r>
      <w:r>
        <w:rPr/>
        <w:t>by</w:t>
      </w:r>
      <w:r>
        <w:rPr>
          <w:spacing w:val="-2"/>
        </w:rPr>
        <w:t> </w:t>
      </w:r>
      <w:r>
        <w:rPr/>
        <w:t>Marital</w:t>
      </w:r>
      <w:r>
        <w:rPr>
          <w:spacing w:val="-1"/>
        </w:rPr>
        <w:t> </w:t>
      </w:r>
      <w:r>
        <w:rPr>
          <w:spacing w:val="-2"/>
        </w:rPr>
        <w:t>Status</w:t>
      </w:r>
    </w:p>
    <w:p>
      <w:pPr>
        <w:pStyle w:val="BodyText"/>
        <w:spacing w:line="360" w:lineRule="auto" w:before="133"/>
        <w:ind w:right="1255" w:firstLine="715"/>
        <w:jc w:val="both"/>
      </w:pPr>
      <w:r>
        <w:rPr/>
        <w:t>The marital status of respondents is summarized in Table 5. While nearly one- third of respondents are single, nearly two-thirds are married. This is an indication</w:t>
      </w:r>
      <w:r>
        <w:rPr>
          <w:spacing w:val="40"/>
        </w:rPr>
        <w:t> </w:t>
      </w:r>
      <w:r>
        <w:rPr/>
        <w:t>that some of them would have children and dependants. Thus, the importance of employment and economic security for the family.</w:t>
      </w:r>
    </w:p>
    <w:p>
      <w:pPr>
        <w:spacing w:after="0" w:line="360" w:lineRule="auto"/>
        <w:jc w:val="both"/>
        <w:sectPr>
          <w:pgSz w:w="11910" w:h="16840"/>
          <w:pgMar w:header="0" w:footer="1561" w:top="1360" w:bottom="1760" w:left="720" w:right="180"/>
        </w:sectPr>
      </w:pPr>
    </w:p>
    <w:p>
      <w:pPr>
        <w:pStyle w:val="Heading2"/>
        <w:spacing w:before="78"/>
        <w:ind w:left="2155"/>
      </w:pPr>
      <w:r>
        <w:rPr/>
        <mc:AlternateContent>
          <mc:Choice Requires="wps">
            <w:drawing>
              <wp:anchor distT="0" distB="0" distL="0" distR="0" allowOverlap="1" layoutInCell="1" locked="0" behindDoc="1" simplePos="0" relativeHeight="480667648">
                <wp:simplePos x="0" y="0"/>
                <wp:positionH relativeFrom="page">
                  <wp:posOffset>-1537026</wp:posOffset>
                </wp:positionH>
                <wp:positionV relativeFrom="page">
                  <wp:posOffset>4900424</wp:posOffset>
                </wp:positionV>
                <wp:extent cx="10669905" cy="914400"/>
                <wp:effectExtent l="0" t="0" r="0" b="0"/>
                <wp:wrapNone/>
                <wp:docPr id="295" name="Textbox 295"/>
                <wp:cNvGraphicFramePr>
                  <a:graphicFrameLocks/>
                </wp:cNvGraphicFramePr>
                <a:graphic>
                  <a:graphicData uri="http://schemas.microsoft.com/office/word/2010/wordprocessingShape">
                    <wps:wsp>
                      <wps:cNvPr id="295" name="Textbox 295"/>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48832;rotation:306" type="#_x0000_t136" fillcolor="#ff5400" stroked="f">
                <o:extrusion v:ext="view" autorotationcenter="t"/>
                <v:textpath style="font-family:&quot;Arial MT&quot;;font-size:72pt;v-text-kern:t;mso-text-shadow:auto" string="UNIVERSITY OF IBADAN"/>
                <w10:wrap type="none"/>
              </v:shape>
            </w:pict>
          </mc:Fallback>
        </mc:AlternateContent>
      </w:r>
      <w:r>
        <w:rPr/>
        <w:t>Table</w:t>
      </w:r>
      <w:r>
        <w:rPr>
          <w:spacing w:val="-1"/>
        </w:rPr>
        <w:t> </w:t>
      </w:r>
      <w:r>
        <w:rPr/>
        <w:t>5:</w:t>
      </w:r>
      <w:r>
        <w:rPr>
          <w:spacing w:val="-3"/>
        </w:rPr>
        <w:t> </w:t>
      </w:r>
      <w:r>
        <w:rPr/>
        <w:t>Marital Status</w:t>
      </w:r>
      <w:r>
        <w:rPr>
          <w:spacing w:val="-1"/>
        </w:rPr>
        <w:t> </w:t>
      </w:r>
      <w:r>
        <w:rPr/>
        <w:t>of</w:t>
      </w:r>
      <w:r>
        <w:rPr>
          <w:spacing w:val="1"/>
        </w:rPr>
        <w:t> </w:t>
      </w:r>
      <w:r>
        <w:rPr>
          <w:spacing w:val="-2"/>
        </w:rPr>
        <w:t>Respondents</w:t>
      </w:r>
    </w:p>
    <w:p>
      <w:pPr>
        <w:pStyle w:val="BodyText"/>
        <w:spacing w:before="2" w:after="1"/>
        <w:ind w:left="0"/>
        <w:rPr>
          <w:b/>
          <w:sz w:val="12"/>
        </w:rPr>
      </w:pPr>
    </w:p>
    <w:tbl>
      <w:tblPr>
        <w:tblW w:w="0" w:type="auto"/>
        <w:jc w:val="left"/>
        <w:tblInd w:w="1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3"/>
        <w:gridCol w:w="1882"/>
        <w:gridCol w:w="1877"/>
        <w:gridCol w:w="1781"/>
        <w:gridCol w:w="1948"/>
      </w:tblGrid>
      <w:tr>
        <w:trPr>
          <w:trHeight w:val="331" w:hRule="atLeast"/>
        </w:trPr>
        <w:tc>
          <w:tcPr>
            <w:tcW w:w="1843" w:type="dxa"/>
            <w:vMerge w:val="restart"/>
          </w:tcPr>
          <w:p>
            <w:pPr>
              <w:pStyle w:val="TableParagraph"/>
              <w:rPr>
                <w:sz w:val="24"/>
              </w:rPr>
            </w:pPr>
          </w:p>
        </w:tc>
        <w:tc>
          <w:tcPr>
            <w:tcW w:w="1882" w:type="dxa"/>
            <w:vMerge w:val="restart"/>
          </w:tcPr>
          <w:p>
            <w:pPr>
              <w:pStyle w:val="TableParagraph"/>
              <w:spacing w:before="155"/>
              <w:ind w:left="434"/>
              <w:rPr>
                <w:sz w:val="24"/>
              </w:rPr>
            </w:pPr>
            <w:r>
              <w:rPr>
                <w:spacing w:val="-2"/>
                <w:sz w:val="24"/>
              </w:rPr>
              <w:t>Frequency</w:t>
            </w:r>
          </w:p>
        </w:tc>
        <w:tc>
          <w:tcPr>
            <w:tcW w:w="1877" w:type="dxa"/>
            <w:vMerge w:val="restart"/>
          </w:tcPr>
          <w:p>
            <w:pPr>
              <w:pStyle w:val="TableParagraph"/>
              <w:spacing w:before="155"/>
              <w:ind w:left="578"/>
              <w:rPr>
                <w:sz w:val="24"/>
              </w:rPr>
            </w:pPr>
            <w:r>
              <w:rPr>
                <w:spacing w:val="-2"/>
                <w:sz w:val="24"/>
              </w:rPr>
              <w:t>Percent</w:t>
            </w:r>
          </w:p>
        </w:tc>
        <w:tc>
          <w:tcPr>
            <w:tcW w:w="1781" w:type="dxa"/>
            <w:tcBorders>
              <w:bottom w:val="nil"/>
            </w:tcBorders>
          </w:tcPr>
          <w:p>
            <w:pPr>
              <w:pStyle w:val="TableParagraph"/>
              <w:spacing w:line="270" w:lineRule="exact"/>
              <w:ind w:left="8" w:right="3"/>
              <w:jc w:val="center"/>
              <w:rPr>
                <w:sz w:val="24"/>
              </w:rPr>
            </w:pPr>
            <w:r>
              <w:rPr>
                <w:spacing w:val="-2"/>
                <w:sz w:val="24"/>
              </w:rPr>
              <w:t>Valid</w:t>
            </w:r>
          </w:p>
        </w:tc>
        <w:tc>
          <w:tcPr>
            <w:tcW w:w="1948" w:type="dxa"/>
            <w:tcBorders>
              <w:bottom w:val="nil"/>
            </w:tcBorders>
          </w:tcPr>
          <w:p>
            <w:pPr>
              <w:pStyle w:val="TableParagraph"/>
              <w:spacing w:line="270" w:lineRule="exact"/>
              <w:ind w:left="14"/>
              <w:jc w:val="center"/>
              <w:rPr>
                <w:sz w:val="24"/>
              </w:rPr>
            </w:pPr>
            <w:r>
              <w:rPr>
                <w:spacing w:val="-2"/>
                <w:sz w:val="24"/>
              </w:rPr>
              <w:t>Cumulative</w:t>
            </w:r>
          </w:p>
        </w:tc>
      </w:tr>
      <w:tr>
        <w:trPr>
          <w:trHeight w:val="392" w:hRule="atLeast"/>
        </w:trPr>
        <w:tc>
          <w:tcPr>
            <w:tcW w:w="1843" w:type="dxa"/>
            <w:vMerge/>
            <w:tcBorders>
              <w:top w:val="nil"/>
            </w:tcBorders>
          </w:tcPr>
          <w:p>
            <w:pPr>
              <w:rPr>
                <w:sz w:val="2"/>
                <w:szCs w:val="2"/>
              </w:rPr>
            </w:pPr>
          </w:p>
        </w:tc>
        <w:tc>
          <w:tcPr>
            <w:tcW w:w="1882" w:type="dxa"/>
            <w:vMerge/>
            <w:tcBorders>
              <w:top w:val="nil"/>
            </w:tcBorders>
          </w:tcPr>
          <w:p>
            <w:pPr>
              <w:rPr>
                <w:sz w:val="2"/>
                <w:szCs w:val="2"/>
              </w:rPr>
            </w:pPr>
          </w:p>
        </w:tc>
        <w:tc>
          <w:tcPr>
            <w:tcW w:w="1877" w:type="dxa"/>
            <w:vMerge/>
            <w:tcBorders>
              <w:top w:val="nil"/>
            </w:tcBorders>
          </w:tcPr>
          <w:p>
            <w:pPr>
              <w:rPr>
                <w:sz w:val="2"/>
                <w:szCs w:val="2"/>
              </w:rPr>
            </w:pPr>
          </w:p>
        </w:tc>
        <w:tc>
          <w:tcPr>
            <w:tcW w:w="1781" w:type="dxa"/>
            <w:tcBorders>
              <w:top w:val="nil"/>
            </w:tcBorders>
          </w:tcPr>
          <w:p>
            <w:pPr>
              <w:pStyle w:val="TableParagraph"/>
              <w:spacing w:before="51"/>
              <w:ind w:left="8" w:right="6"/>
              <w:jc w:val="center"/>
              <w:rPr>
                <w:sz w:val="24"/>
              </w:rPr>
            </w:pPr>
            <w:r>
              <w:rPr>
                <w:spacing w:val="-2"/>
                <w:sz w:val="24"/>
              </w:rPr>
              <w:t>Percent</w:t>
            </w:r>
          </w:p>
        </w:tc>
        <w:tc>
          <w:tcPr>
            <w:tcW w:w="1948" w:type="dxa"/>
            <w:tcBorders>
              <w:top w:val="nil"/>
            </w:tcBorders>
          </w:tcPr>
          <w:p>
            <w:pPr>
              <w:pStyle w:val="TableParagraph"/>
              <w:spacing w:before="51"/>
              <w:ind w:left="14" w:right="5"/>
              <w:jc w:val="center"/>
              <w:rPr>
                <w:sz w:val="24"/>
              </w:rPr>
            </w:pPr>
            <w:r>
              <w:rPr>
                <w:spacing w:val="-2"/>
                <w:sz w:val="24"/>
              </w:rPr>
              <w:t>Percent</w:t>
            </w:r>
          </w:p>
        </w:tc>
      </w:tr>
      <w:tr>
        <w:trPr>
          <w:trHeight w:val="337" w:hRule="atLeast"/>
        </w:trPr>
        <w:tc>
          <w:tcPr>
            <w:tcW w:w="1843" w:type="dxa"/>
            <w:tcBorders>
              <w:bottom w:val="nil"/>
            </w:tcBorders>
          </w:tcPr>
          <w:p>
            <w:pPr>
              <w:pStyle w:val="TableParagraph"/>
              <w:spacing w:line="270" w:lineRule="exact"/>
              <w:ind w:left="11"/>
              <w:rPr>
                <w:sz w:val="24"/>
              </w:rPr>
            </w:pPr>
            <w:r>
              <w:rPr>
                <w:spacing w:val="-2"/>
                <w:sz w:val="24"/>
              </w:rPr>
              <w:t>Single</w:t>
            </w:r>
          </w:p>
        </w:tc>
        <w:tc>
          <w:tcPr>
            <w:tcW w:w="1882" w:type="dxa"/>
            <w:tcBorders>
              <w:bottom w:val="nil"/>
            </w:tcBorders>
          </w:tcPr>
          <w:p>
            <w:pPr>
              <w:pStyle w:val="TableParagraph"/>
              <w:spacing w:line="270" w:lineRule="exact"/>
              <w:ind w:left="10"/>
              <w:jc w:val="center"/>
              <w:rPr>
                <w:sz w:val="24"/>
              </w:rPr>
            </w:pPr>
            <w:r>
              <w:rPr>
                <w:spacing w:val="-5"/>
                <w:sz w:val="24"/>
              </w:rPr>
              <w:t>74</w:t>
            </w:r>
          </w:p>
        </w:tc>
        <w:tc>
          <w:tcPr>
            <w:tcW w:w="1877" w:type="dxa"/>
            <w:tcBorders>
              <w:bottom w:val="nil"/>
            </w:tcBorders>
          </w:tcPr>
          <w:p>
            <w:pPr>
              <w:pStyle w:val="TableParagraph"/>
              <w:spacing w:line="270" w:lineRule="exact"/>
              <w:ind w:left="10" w:right="3"/>
              <w:jc w:val="center"/>
              <w:rPr>
                <w:sz w:val="24"/>
              </w:rPr>
            </w:pPr>
            <w:r>
              <w:rPr>
                <w:spacing w:val="-4"/>
                <w:sz w:val="24"/>
              </w:rPr>
              <w:t>30.8</w:t>
            </w:r>
          </w:p>
        </w:tc>
        <w:tc>
          <w:tcPr>
            <w:tcW w:w="1781" w:type="dxa"/>
            <w:tcBorders>
              <w:bottom w:val="nil"/>
            </w:tcBorders>
          </w:tcPr>
          <w:p>
            <w:pPr>
              <w:pStyle w:val="TableParagraph"/>
              <w:spacing w:line="270" w:lineRule="exact"/>
              <w:ind w:left="8" w:right="3"/>
              <w:jc w:val="center"/>
              <w:rPr>
                <w:sz w:val="24"/>
              </w:rPr>
            </w:pPr>
            <w:r>
              <w:rPr>
                <w:spacing w:val="-5"/>
                <w:sz w:val="24"/>
              </w:rPr>
              <w:t>31</w:t>
            </w:r>
          </w:p>
        </w:tc>
        <w:tc>
          <w:tcPr>
            <w:tcW w:w="1948" w:type="dxa"/>
            <w:tcBorders>
              <w:bottom w:val="nil"/>
            </w:tcBorders>
          </w:tcPr>
          <w:p>
            <w:pPr>
              <w:pStyle w:val="TableParagraph"/>
              <w:spacing w:line="270" w:lineRule="exact"/>
              <w:ind w:left="14" w:right="2"/>
              <w:jc w:val="center"/>
              <w:rPr>
                <w:sz w:val="24"/>
              </w:rPr>
            </w:pPr>
            <w:r>
              <w:rPr>
                <w:spacing w:val="-5"/>
                <w:sz w:val="24"/>
              </w:rPr>
              <w:t>31</w:t>
            </w:r>
          </w:p>
        </w:tc>
      </w:tr>
      <w:tr>
        <w:trPr>
          <w:trHeight w:val="366" w:hRule="atLeast"/>
        </w:trPr>
        <w:tc>
          <w:tcPr>
            <w:tcW w:w="1843" w:type="dxa"/>
            <w:tcBorders>
              <w:top w:val="nil"/>
              <w:bottom w:val="nil"/>
            </w:tcBorders>
          </w:tcPr>
          <w:p>
            <w:pPr>
              <w:pStyle w:val="TableParagraph"/>
              <w:spacing w:before="57"/>
              <w:ind w:left="11"/>
              <w:rPr>
                <w:sz w:val="24"/>
              </w:rPr>
            </w:pPr>
            <w:r>
              <w:rPr>
                <w:spacing w:val="-2"/>
                <w:sz w:val="24"/>
              </w:rPr>
              <w:t>Married</w:t>
            </w:r>
          </w:p>
        </w:tc>
        <w:tc>
          <w:tcPr>
            <w:tcW w:w="1882" w:type="dxa"/>
            <w:tcBorders>
              <w:top w:val="nil"/>
              <w:bottom w:val="nil"/>
            </w:tcBorders>
          </w:tcPr>
          <w:p>
            <w:pPr>
              <w:pStyle w:val="TableParagraph"/>
              <w:spacing w:before="57"/>
              <w:ind w:left="10"/>
              <w:jc w:val="center"/>
              <w:rPr>
                <w:sz w:val="24"/>
              </w:rPr>
            </w:pPr>
            <w:r>
              <w:rPr>
                <w:spacing w:val="-5"/>
                <w:sz w:val="24"/>
              </w:rPr>
              <w:t>153</w:t>
            </w:r>
          </w:p>
        </w:tc>
        <w:tc>
          <w:tcPr>
            <w:tcW w:w="1877" w:type="dxa"/>
            <w:tcBorders>
              <w:top w:val="nil"/>
              <w:bottom w:val="nil"/>
            </w:tcBorders>
          </w:tcPr>
          <w:p>
            <w:pPr>
              <w:pStyle w:val="TableParagraph"/>
              <w:spacing w:before="57"/>
              <w:ind w:left="10" w:right="3"/>
              <w:jc w:val="center"/>
              <w:rPr>
                <w:sz w:val="24"/>
              </w:rPr>
            </w:pPr>
            <w:r>
              <w:rPr>
                <w:spacing w:val="-4"/>
                <w:sz w:val="24"/>
              </w:rPr>
              <w:t>63.8</w:t>
            </w:r>
          </w:p>
        </w:tc>
        <w:tc>
          <w:tcPr>
            <w:tcW w:w="1781" w:type="dxa"/>
            <w:tcBorders>
              <w:top w:val="nil"/>
              <w:bottom w:val="nil"/>
            </w:tcBorders>
          </w:tcPr>
          <w:p>
            <w:pPr>
              <w:pStyle w:val="TableParagraph"/>
              <w:spacing w:before="57"/>
              <w:ind w:left="8" w:right="3"/>
              <w:jc w:val="center"/>
              <w:rPr>
                <w:sz w:val="24"/>
              </w:rPr>
            </w:pPr>
            <w:r>
              <w:rPr>
                <w:spacing w:val="-5"/>
                <w:sz w:val="24"/>
              </w:rPr>
              <w:t>64</w:t>
            </w:r>
          </w:p>
        </w:tc>
        <w:tc>
          <w:tcPr>
            <w:tcW w:w="1948" w:type="dxa"/>
            <w:tcBorders>
              <w:top w:val="nil"/>
              <w:bottom w:val="nil"/>
            </w:tcBorders>
          </w:tcPr>
          <w:p>
            <w:pPr>
              <w:pStyle w:val="TableParagraph"/>
              <w:spacing w:before="57"/>
              <w:ind w:left="14" w:right="2"/>
              <w:jc w:val="center"/>
              <w:rPr>
                <w:sz w:val="24"/>
              </w:rPr>
            </w:pPr>
            <w:r>
              <w:rPr>
                <w:spacing w:val="-5"/>
                <w:sz w:val="24"/>
              </w:rPr>
              <w:t>95</w:t>
            </w:r>
          </w:p>
        </w:tc>
      </w:tr>
      <w:tr>
        <w:trPr>
          <w:trHeight w:val="345" w:hRule="atLeast"/>
        </w:trPr>
        <w:tc>
          <w:tcPr>
            <w:tcW w:w="1843" w:type="dxa"/>
            <w:tcBorders>
              <w:top w:val="nil"/>
              <w:bottom w:val="nil"/>
            </w:tcBorders>
          </w:tcPr>
          <w:p>
            <w:pPr>
              <w:pStyle w:val="TableParagraph"/>
              <w:spacing w:before="22"/>
              <w:ind w:left="11"/>
              <w:rPr>
                <w:sz w:val="24"/>
              </w:rPr>
            </w:pPr>
            <w:r>
              <w:rPr>
                <w:spacing w:val="-2"/>
                <w:sz w:val="24"/>
              </w:rPr>
              <w:t>Divorced</w:t>
            </w:r>
          </w:p>
        </w:tc>
        <w:tc>
          <w:tcPr>
            <w:tcW w:w="1882" w:type="dxa"/>
            <w:tcBorders>
              <w:top w:val="nil"/>
              <w:bottom w:val="nil"/>
            </w:tcBorders>
          </w:tcPr>
          <w:p>
            <w:pPr>
              <w:pStyle w:val="TableParagraph"/>
              <w:spacing w:before="22"/>
              <w:ind w:left="10"/>
              <w:jc w:val="center"/>
              <w:rPr>
                <w:sz w:val="24"/>
              </w:rPr>
            </w:pPr>
            <w:r>
              <w:rPr>
                <w:spacing w:val="-10"/>
                <w:sz w:val="24"/>
              </w:rPr>
              <w:t>5</w:t>
            </w:r>
          </w:p>
        </w:tc>
        <w:tc>
          <w:tcPr>
            <w:tcW w:w="1877" w:type="dxa"/>
            <w:tcBorders>
              <w:top w:val="nil"/>
              <w:bottom w:val="nil"/>
            </w:tcBorders>
          </w:tcPr>
          <w:p>
            <w:pPr>
              <w:pStyle w:val="TableParagraph"/>
              <w:spacing w:before="22"/>
              <w:ind w:left="10" w:right="3"/>
              <w:jc w:val="center"/>
              <w:rPr>
                <w:sz w:val="24"/>
              </w:rPr>
            </w:pPr>
            <w:r>
              <w:rPr>
                <w:spacing w:val="-5"/>
                <w:sz w:val="24"/>
              </w:rPr>
              <w:t>2.1</w:t>
            </w:r>
          </w:p>
        </w:tc>
        <w:tc>
          <w:tcPr>
            <w:tcW w:w="1781" w:type="dxa"/>
            <w:tcBorders>
              <w:top w:val="nil"/>
              <w:bottom w:val="nil"/>
            </w:tcBorders>
          </w:tcPr>
          <w:p>
            <w:pPr>
              <w:pStyle w:val="TableParagraph"/>
              <w:spacing w:before="22"/>
              <w:ind w:left="8"/>
              <w:jc w:val="center"/>
              <w:rPr>
                <w:sz w:val="24"/>
              </w:rPr>
            </w:pPr>
            <w:r>
              <w:rPr>
                <w:spacing w:val="-5"/>
                <w:sz w:val="24"/>
              </w:rPr>
              <w:t>2.1</w:t>
            </w:r>
          </w:p>
        </w:tc>
        <w:tc>
          <w:tcPr>
            <w:tcW w:w="1948" w:type="dxa"/>
            <w:tcBorders>
              <w:top w:val="nil"/>
              <w:bottom w:val="nil"/>
            </w:tcBorders>
          </w:tcPr>
          <w:p>
            <w:pPr>
              <w:pStyle w:val="TableParagraph"/>
              <w:spacing w:before="22"/>
              <w:ind w:left="14"/>
              <w:jc w:val="center"/>
              <w:rPr>
                <w:sz w:val="24"/>
              </w:rPr>
            </w:pPr>
            <w:r>
              <w:rPr>
                <w:spacing w:val="-4"/>
                <w:sz w:val="24"/>
              </w:rPr>
              <w:t>97.1</w:t>
            </w:r>
          </w:p>
        </w:tc>
      </w:tr>
      <w:tr>
        <w:trPr>
          <w:trHeight w:val="362" w:hRule="atLeast"/>
        </w:trPr>
        <w:tc>
          <w:tcPr>
            <w:tcW w:w="1843" w:type="dxa"/>
            <w:tcBorders>
              <w:top w:val="nil"/>
              <w:bottom w:val="nil"/>
            </w:tcBorders>
          </w:tcPr>
          <w:p>
            <w:pPr>
              <w:pStyle w:val="TableParagraph"/>
              <w:spacing w:before="37"/>
              <w:ind w:left="11"/>
              <w:rPr>
                <w:sz w:val="24"/>
              </w:rPr>
            </w:pPr>
            <w:r>
              <w:rPr>
                <w:spacing w:val="-2"/>
                <w:sz w:val="24"/>
              </w:rPr>
              <w:t>Widow</w:t>
            </w:r>
          </w:p>
        </w:tc>
        <w:tc>
          <w:tcPr>
            <w:tcW w:w="1882" w:type="dxa"/>
            <w:tcBorders>
              <w:top w:val="nil"/>
              <w:bottom w:val="nil"/>
            </w:tcBorders>
          </w:tcPr>
          <w:p>
            <w:pPr>
              <w:pStyle w:val="TableParagraph"/>
              <w:spacing w:before="37"/>
              <w:ind w:left="10"/>
              <w:jc w:val="center"/>
              <w:rPr>
                <w:sz w:val="24"/>
              </w:rPr>
            </w:pPr>
            <w:r>
              <w:rPr>
                <w:spacing w:val="-10"/>
                <w:sz w:val="24"/>
              </w:rPr>
              <w:t>6</w:t>
            </w:r>
          </w:p>
        </w:tc>
        <w:tc>
          <w:tcPr>
            <w:tcW w:w="1877" w:type="dxa"/>
            <w:tcBorders>
              <w:top w:val="nil"/>
              <w:bottom w:val="nil"/>
            </w:tcBorders>
          </w:tcPr>
          <w:p>
            <w:pPr>
              <w:pStyle w:val="TableParagraph"/>
              <w:spacing w:before="37"/>
              <w:ind w:left="10" w:right="3"/>
              <w:jc w:val="center"/>
              <w:rPr>
                <w:sz w:val="24"/>
              </w:rPr>
            </w:pPr>
            <w:r>
              <w:rPr>
                <w:spacing w:val="-5"/>
                <w:sz w:val="24"/>
              </w:rPr>
              <w:t>2.5</w:t>
            </w:r>
          </w:p>
        </w:tc>
        <w:tc>
          <w:tcPr>
            <w:tcW w:w="1781" w:type="dxa"/>
            <w:tcBorders>
              <w:top w:val="nil"/>
              <w:bottom w:val="nil"/>
            </w:tcBorders>
          </w:tcPr>
          <w:p>
            <w:pPr>
              <w:pStyle w:val="TableParagraph"/>
              <w:spacing w:before="37"/>
              <w:ind w:left="8"/>
              <w:jc w:val="center"/>
              <w:rPr>
                <w:sz w:val="24"/>
              </w:rPr>
            </w:pPr>
            <w:r>
              <w:rPr>
                <w:spacing w:val="-5"/>
                <w:sz w:val="24"/>
              </w:rPr>
              <w:t>2.5</w:t>
            </w:r>
          </w:p>
        </w:tc>
        <w:tc>
          <w:tcPr>
            <w:tcW w:w="1948" w:type="dxa"/>
            <w:tcBorders>
              <w:top w:val="nil"/>
              <w:bottom w:val="nil"/>
            </w:tcBorders>
          </w:tcPr>
          <w:p>
            <w:pPr>
              <w:pStyle w:val="TableParagraph"/>
              <w:spacing w:before="37"/>
              <w:ind w:left="14"/>
              <w:jc w:val="center"/>
              <w:rPr>
                <w:sz w:val="24"/>
              </w:rPr>
            </w:pPr>
            <w:r>
              <w:rPr>
                <w:spacing w:val="-4"/>
                <w:sz w:val="24"/>
              </w:rPr>
              <w:t>99.6</w:t>
            </w:r>
          </w:p>
        </w:tc>
      </w:tr>
      <w:tr>
        <w:trPr>
          <w:trHeight w:val="367" w:hRule="atLeast"/>
        </w:trPr>
        <w:tc>
          <w:tcPr>
            <w:tcW w:w="1843" w:type="dxa"/>
            <w:tcBorders>
              <w:top w:val="nil"/>
              <w:bottom w:val="nil"/>
            </w:tcBorders>
          </w:tcPr>
          <w:p>
            <w:pPr>
              <w:pStyle w:val="TableParagraph"/>
              <w:spacing w:before="39"/>
              <w:ind w:left="11"/>
              <w:rPr>
                <w:sz w:val="24"/>
              </w:rPr>
            </w:pPr>
            <w:r>
              <w:rPr>
                <w:spacing w:val="-2"/>
                <w:sz w:val="24"/>
              </w:rPr>
              <w:t>Others</w:t>
            </w:r>
          </w:p>
        </w:tc>
        <w:tc>
          <w:tcPr>
            <w:tcW w:w="1882" w:type="dxa"/>
            <w:tcBorders>
              <w:top w:val="nil"/>
              <w:bottom w:val="nil"/>
            </w:tcBorders>
          </w:tcPr>
          <w:p>
            <w:pPr>
              <w:pStyle w:val="TableParagraph"/>
              <w:spacing w:before="39"/>
              <w:ind w:left="10"/>
              <w:jc w:val="center"/>
              <w:rPr>
                <w:sz w:val="24"/>
              </w:rPr>
            </w:pPr>
            <w:r>
              <w:rPr>
                <w:spacing w:val="-10"/>
                <w:sz w:val="24"/>
              </w:rPr>
              <w:t>1</w:t>
            </w:r>
          </w:p>
        </w:tc>
        <w:tc>
          <w:tcPr>
            <w:tcW w:w="1877" w:type="dxa"/>
            <w:tcBorders>
              <w:top w:val="nil"/>
              <w:bottom w:val="nil"/>
            </w:tcBorders>
          </w:tcPr>
          <w:p>
            <w:pPr>
              <w:pStyle w:val="TableParagraph"/>
              <w:spacing w:before="39"/>
              <w:ind w:left="10" w:right="3"/>
              <w:jc w:val="center"/>
              <w:rPr>
                <w:sz w:val="24"/>
              </w:rPr>
            </w:pPr>
            <w:r>
              <w:rPr>
                <w:spacing w:val="-5"/>
                <w:sz w:val="24"/>
              </w:rPr>
              <w:t>0.4</w:t>
            </w:r>
          </w:p>
        </w:tc>
        <w:tc>
          <w:tcPr>
            <w:tcW w:w="1781" w:type="dxa"/>
            <w:tcBorders>
              <w:top w:val="nil"/>
              <w:bottom w:val="nil"/>
            </w:tcBorders>
          </w:tcPr>
          <w:p>
            <w:pPr>
              <w:pStyle w:val="TableParagraph"/>
              <w:spacing w:before="39"/>
              <w:ind w:left="8"/>
              <w:jc w:val="center"/>
              <w:rPr>
                <w:sz w:val="24"/>
              </w:rPr>
            </w:pPr>
            <w:r>
              <w:rPr>
                <w:spacing w:val="-5"/>
                <w:sz w:val="24"/>
              </w:rPr>
              <w:t>0.4</w:t>
            </w:r>
          </w:p>
        </w:tc>
        <w:tc>
          <w:tcPr>
            <w:tcW w:w="1948" w:type="dxa"/>
            <w:tcBorders>
              <w:top w:val="nil"/>
              <w:bottom w:val="nil"/>
            </w:tcBorders>
          </w:tcPr>
          <w:p>
            <w:pPr>
              <w:pStyle w:val="TableParagraph"/>
              <w:spacing w:before="39"/>
              <w:ind w:left="14" w:right="2"/>
              <w:jc w:val="center"/>
              <w:rPr>
                <w:sz w:val="24"/>
              </w:rPr>
            </w:pPr>
            <w:r>
              <w:rPr>
                <w:spacing w:val="-5"/>
                <w:sz w:val="24"/>
              </w:rPr>
              <w:t>100</w:t>
            </w:r>
          </w:p>
        </w:tc>
      </w:tr>
      <w:tr>
        <w:trPr>
          <w:trHeight w:val="366" w:hRule="atLeast"/>
        </w:trPr>
        <w:tc>
          <w:tcPr>
            <w:tcW w:w="1843" w:type="dxa"/>
            <w:tcBorders>
              <w:top w:val="nil"/>
              <w:bottom w:val="nil"/>
            </w:tcBorders>
          </w:tcPr>
          <w:p>
            <w:pPr>
              <w:pStyle w:val="TableParagraph"/>
              <w:rPr>
                <w:sz w:val="24"/>
              </w:rPr>
            </w:pPr>
          </w:p>
        </w:tc>
        <w:tc>
          <w:tcPr>
            <w:tcW w:w="1882" w:type="dxa"/>
            <w:tcBorders>
              <w:top w:val="nil"/>
              <w:bottom w:val="nil"/>
            </w:tcBorders>
          </w:tcPr>
          <w:p>
            <w:pPr>
              <w:pStyle w:val="TableParagraph"/>
              <w:spacing w:before="41"/>
              <w:ind w:left="10"/>
              <w:jc w:val="center"/>
              <w:rPr>
                <w:sz w:val="24"/>
              </w:rPr>
            </w:pPr>
            <w:r>
              <w:rPr>
                <w:spacing w:val="-5"/>
                <w:sz w:val="24"/>
              </w:rPr>
              <w:t>239</w:t>
            </w:r>
          </w:p>
        </w:tc>
        <w:tc>
          <w:tcPr>
            <w:tcW w:w="1877" w:type="dxa"/>
            <w:tcBorders>
              <w:top w:val="nil"/>
              <w:bottom w:val="nil"/>
            </w:tcBorders>
          </w:tcPr>
          <w:p>
            <w:pPr>
              <w:pStyle w:val="TableParagraph"/>
              <w:spacing w:before="41"/>
              <w:ind w:left="10" w:right="3"/>
              <w:jc w:val="center"/>
              <w:rPr>
                <w:sz w:val="24"/>
              </w:rPr>
            </w:pPr>
            <w:r>
              <w:rPr>
                <w:spacing w:val="-4"/>
                <w:sz w:val="24"/>
              </w:rPr>
              <w:t>99.6</w:t>
            </w:r>
          </w:p>
        </w:tc>
        <w:tc>
          <w:tcPr>
            <w:tcW w:w="1781" w:type="dxa"/>
            <w:tcBorders>
              <w:top w:val="nil"/>
              <w:bottom w:val="nil"/>
            </w:tcBorders>
          </w:tcPr>
          <w:p>
            <w:pPr>
              <w:pStyle w:val="TableParagraph"/>
              <w:spacing w:before="41"/>
              <w:ind w:left="8" w:right="3"/>
              <w:jc w:val="center"/>
              <w:rPr>
                <w:sz w:val="24"/>
              </w:rPr>
            </w:pPr>
            <w:r>
              <w:rPr>
                <w:spacing w:val="-5"/>
                <w:sz w:val="24"/>
              </w:rPr>
              <w:t>100</w:t>
            </w:r>
          </w:p>
        </w:tc>
        <w:tc>
          <w:tcPr>
            <w:tcW w:w="1948" w:type="dxa"/>
            <w:tcBorders>
              <w:top w:val="nil"/>
              <w:bottom w:val="nil"/>
            </w:tcBorders>
          </w:tcPr>
          <w:p>
            <w:pPr>
              <w:pStyle w:val="TableParagraph"/>
              <w:rPr>
                <w:sz w:val="24"/>
              </w:rPr>
            </w:pPr>
          </w:p>
        </w:tc>
      </w:tr>
      <w:tr>
        <w:trPr>
          <w:trHeight w:val="380" w:hRule="atLeast"/>
        </w:trPr>
        <w:tc>
          <w:tcPr>
            <w:tcW w:w="1843" w:type="dxa"/>
            <w:tcBorders>
              <w:top w:val="nil"/>
            </w:tcBorders>
          </w:tcPr>
          <w:p>
            <w:pPr>
              <w:pStyle w:val="TableParagraph"/>
              <w:spacing w:before="38"/>
              <w:ind w:left="11"/>
              <w:rPr>
                <w:sz w:val="24"/>
              </w:rPr>
            </w:pPr>
            <w:r>
              <w:rPr>
                <w:spacing w:val="-2"/>
                <w:sz w:val="24"/>
              </w:rPr>
              <w:t>Missing</w:t>
            </w:r>
          </w:p>
        </w:tc>
        <w:tc>
          <w:tcPr>
            <w:tcW w:w="1882" w:type="dxa"/>
            <w:tcBorders>
              <w:top w:val="nil"/>
            </w:tcBorders>
          </w:tcPr>
          <w:p>
            <w:pPr>
              <w:pStyle w:val="TableParagraph"/>
              <w:spacing w:before="38"/>
              <w:ind w:left="10"/>
              <w:jc w:val="center"/>
              <w:rPr>
                <w:sz w:val="24"/>
              </w:rPr>
            </w:pPr>
            <w:r>
              <w:rPr>
                <w:spacing w:val="-10"/>
                <w:sz w:val="24"/>
              </w:rPr>
              <w:t>1</w:t>
            </w:r>
          </w:p>
        </w:tc>
        <w:tc>
          <w:tcPr>
            <w:tcW w:w="1877" w:type="dxa"/>
            <w:tcBorders>
              <w:top w:val="nil"/>
            </w:tcBorders>
          </w:tcPr>
          <w:p>
            <w:pPr>
              <w:pStyle w:val="TableParagraph"/>
              <w:spacing w:before="38"/>
              <w:ind w:left="10" w:right="3"/>
              <w:jc w:val="center"/>
              <w:rPr>
                <w:sz w:val="24"/>
              </w:rPr>
            </w:pPr>
            <w:r>
              <w:rPr>
                <w:spacing w:val="-5"/>
                <w:sz w:val="24"/>
              </w:rPr>
              <w:t>0.4</w:t>
            </w:r>
          </w:p>
        </w:tc>
        <w:tc>
          <w:tcPr>
            <w:tcW w:w="1781" w:type="dxa"/>
            <w:tcBorders>
              <w:top w:val="nil"/>
            </w:tcBorders>
          </w:tcPr>
          <w:p>
            <w:pPr>
              <w:pStyle w:val="TableParagraph"/>
              <w:spacing w:before="38"/>
              <w:ind w:left="8"/>
              <w:jc w:val="center"/>
              <w:rPr>
                <w:sz w:val="24"/>
              </w:rPr>
            </w:pPr>
            <w:r>
              <w:rPr>
                <w:spacing w:val="-5"/>
                <w:sz w:val="24"/>
              </w:rPr>
              <w:t>3.1</w:t>
            </w:r>
          </w:p>
        </w:tc>
        <w:tc>
          <w:tcPr>
            <w:tcW w:w="1948" w:type="dxa"/>
            <w:tcBorders>
              <w:top w:val="nil"/>
            </w:tcBorders>
          </w:tcPr>
          <w:p>
            <w:pPr>
              <w:pStyle w:val="TableParagraph"/>
              <w:rPr>
                <w:sz w:val="24"/>
              </w:rPr>
            </w:pPr>
          </w:p>
        </w:tc>
      </w:tr>
      <w:tr>
        <w:trPr>
          <w:trHeight w:val="369" w:hRule="atLeast"/>
        </w:trPr>
        <w:tc>
          <w:tcPr>
            <w:tcW w:w="1843" w:type="dxa"/>
          </w:tcPr>
          <w:p>
            <w:pPr>
              <w:pStyle w:val="TableParagraph"/>
              <w:spacing w:line="275" w:lineRule="exact"/>
              <w:ind w:left="11"/>
              <w:rPr>
                <w:b/>
                <w:sz w:val="24"/>
              </w:rPr>
            </w:pPr>
            <w:r>
              <w:rPr>
                <w:b/>
                <w:spacing w:val="-2"/>
                <w:sz w:val="24"/>
              </w:rPr>
              <w:t>Total</w:t>
            </w:r>
          </w:p>
        </w:tc>
        <w:tc>
          <w:tcPr>
            <w:tcW w:w="1882" w:type="dxa"/>
          </w:tcPr>
          <w:p>
            <w:pPr>
              <w:pStyle w:val="TableParagraph"/>
              <w:spacing w:line="275" w:lineRule="exact"/>
              <w:ind w:left="10"/>
              <w:jc w:val="center"/>
              <w:rPr>
                <w:b/>
                <w:sz w:val="24"/>
              </w:rPr>
            </w:pPr>
            <w:r>
              <w:rPr>
                <w:b/>
                <w:spacing w:val="-5"/>
                <w:sz w:val="24"/>
              </w:rPr>
              <w:t>240</w:t>
            </w:r>
          </w:p>
        </w:tc>
        <w:tc>
          <w:tcPr>
            <w:tcW w:w="1877" w:type="dxa"/>
          </w:tcPr>
          <w:p>
            <w:pPr>
              <w:pStyle w:val="TableParagraph"/>
              <w:spacing w:line="275" w:lineRule="exact"/>
              <w:ind w:left="10"/>
              <w:jc w:val="center"/>
              <w:rPr>
                <w:b/>
                <w:sz w:val="24"/>
              </w:rPr>
            </w:pPr>
            <w:r>
              <w:rPr>
                <w:b/>
                <w:spacing w:val="-5"/>
                <w:sz w:val="24"/>
              </w:rPr>
              <w:t>100</w:t>
            </w:r>
          </w:p>
        </w:tc>
        <w:tc>
          <w:tcPr>
            <w:tcW w:w="1781" w:type="dxa"/>
          </w:tcPr>
          <w:p>
            <w:pPr>
              <w:pStyle w:val="TableParagraph"/>
              <w:rPr>
                <w:sz w:val="24"/>
              </w:rPr>
            </w:pPr>
          </w:p>
        </w:tc>
        <w:tc>
          <w:tcPr>
            <w:tcW w:w="1948" w:type="dxa"/>
          </w:tcPr>
          <w:p>
            <w:pPr>
              <w:pStyle w:val="TableParagraph"/>
              <w:rPr>
                <w:sz w:val="24"/>
              </w:rPr>
            </w:pPr>
          </w:p>
        </w:tc>
      </w:tr>
    </w:tbl>
    <w:p>
      <w:pPr>
        <w:pStyle w:val="BodyText"/>
        <w:spacing w:before="141"/>
        <w:ind w:left="0"/>
        <w:rPr>
          <w:b/>
        </w:rPr>
      </w:pPr>
    </w:p>
    <w:p>
      <w:pPr>
        <w:pStyle w:val="ListParagraph"/>
        <w:numPr>
          <w:ilvl w:val="2"/>
          <w:numId w:val="19"/>
        </w:numPr>
        <w:tabs>
          <w:tab w:pos="2160" w:val="left" w:leader="none"/>
        </w:tabs>
        <w:spacing w:line="240" w:lineRule="auto" w:before="0" w:after="0"/>
        <w:ind w:left="2160" w:right="0" w:hanging="720"/>
        <w:jc w:val="both"/>
        <w:rPr>
          <w:b/>
          <w:sz w:val="24"/>
        </w:rPr>
      </w:pPr>
      <w:r>
        <w:rPr>
          <w:b/>
          <w:sz w:val="24"/>
        </w:rPr>
        <w:t>Distribution</w:t>
      </w:r>
      <w:r>
        <w:rPr>
          <w:b/>
          <w:spacing w:val="-1"/>
          <w:sz w:val="24"/>
        </w:rPr>
        <w:t> </w:t>
      </w:r>
      <w:r>
        <w:rPr>
          <w:b/>
          <w:sz w:val="24"/>
        </w:rPr>
        <w:t>of</w:t>
      </w:r>
      <w:r>
        <w:rPr>
          <w:b/>
          <w:spacing w:val="-2"/>
          <w:sz w:val="24"/>
        </w:rPr>
        <w:t> </w:t>
      </w:r>
      <w:r>
        <w:rPr>
          <w:b/>
          <w:sz w:val="24"/>
        </w:rPr>
        <w:t>Respondents</w:t>
      </w:r>
      <w:r>
        <w:rPr>
          <w:b/>
          <w:spacing w:val="-1"/>
          <w:sz w:val="24"/>
        </w:rPr>
        <w:t> </w:t>
      </w:r>
      <w:r>
        <w:rPr>
          <w:b/>
          <w:sz w:val="24"/>
        </w:rPr>
        <w:t>by</w:t>
      </w:r>
      <w:r>
        <w:rPr>
          <w:b/>
          <w:spacing w:val="-1"/>
          <w:sz w:val="24"/>
        </w:rPr>
        <w:t> </w:t>
      </w:r>
      <w:r>
        <w:rPr>
          <w:b/>
          <w:spacing w:val="-2"/>
          <w:sz w:val="24"/>
        </w:rPr>
        <w:t>Religion</w:t>
      </w:r>
    </w:p>
    <w:p>
      <w:pPr>
        <w:pStyle w:val="BodyText"/>
        <w:spacing w:line="360" w:lineRule="auto" w:before="132"/>
        <w:ind w:right="1261" w:firstLine="720"/>
        <w:jc w:val="both"/>
      </w:pPr>
      <w:r>
        <w:rPr/>
        <w:t>Data presented in Table 6 shows that more than three quarters of the respondents are Christians, while 9.2% are Muslims and 4.2% are traditionalists. This is understandable because the 3 sampled States are predominantly Christians.</w:t>
      </w:r>
    </w:p>
    <w:p>
      <w:pPr>
        <w:pStyle w:val="Heading2"/>
        <w:spacing w:before="6"/>
        <w:jc w:val="both"/>
      </w:pPr>
      <w:r>
        <w:rPr/>
        <w:t>Table</w:t>
      </w:r>
      <w:r>
        <w:rPr>
          <w:spacing w:val="-1"/>
        </w:rPr>
        <w:t> </w:t>
      </w:r>
      <w:r>
        <w:rPr/>
        <w:t>6:</w:t>
      </w:r>
      <w:r>
        <w:rPr>
          <w:spacing w:val="-2"/>
        </w:rPr>
        <w:t> </w:t>
      </w:r>
      <w:r>
        <w:rPr/>
        <w:t>Religion of</w:t>
      </w:r>
      <w:r>
        <w:rPr>
          <w:spacing w:val="1"/>
        </w:rPr>
        <w:t> </w:t>
      </w:r>
      <w:r>
        <w:rPr>
          <w:spacing w:val="-2"/>
        </w:rPr>
        <w:t>Respondents</w:t>
      </w:r>
    </w:p>
    <w:p>
      <w:pPr>
        <w:pStyle w:val="BodyText"/>
        <w:spacing w:before="11"/>
        <w:ind w:left="0"/>
        <w:rPr>
          <w:b/>
          <w:sz w:val="11"/>
        </w:rPr>
      </w:pPr>
    </w:p>
    <w:tbl>
      <w:tblPr>
        <w:tblW w:w="0" w:type="auto"/>
        <w:jc w:val="left"/>
        <w:tblInd w:w="1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3"/>
        <w:gridCol w:w="1882"/>
        <w:gridCol w:w="1877"/>
        <w:gridCol w:w="1882"/>
        <w:gridCol w:w="1848"/>
      </w:tblGrid>
      <w:tr>
        <w:trPr>
          <w:trHeight w:val="347" w:hRule="atLeast"/>
        </w:trPr>
        <w:tc>
          <w:tcPr>
            <w:tcW w:w="1843" w:type="dxa"/>
            <w:vMerge w:val="restart"/>
          </w:tcPr>
          <w:p>
            <w:pPr>
              <w:pStyle w:val="TableParagraph"/>
              <w:rPr>
                <w:sz w:val="24"/>
              </w:rPr>
            </w:pPr>
          </w:p>
        </w:tc>
        <w:tc>
          <w:tcPr>
            <w:tcW w:w="1882" w:type="dxa"/>
            <w:vMerge w:val="restart"/>
          </w:tcPr>
          <w:p>
            <w:pPr>
              <w:pStyle w:val="TableParagraph"/>
              <w:spacing w:before="210"/>
              <w:ind w:left="394"/>
              <w:rPr>
                <w:b/>
                <w:sz w:val="24"/>
              </w:rPr>
            </w:pPr>
            <w:r>
              <w:rPr>
                <w:b/>
                <w:spacing w:val="-2"/>
                <w:sz w:val="24"/>
              </w:rPr>
              <w:t>Frequency</w:t>
            </w:r>
          </w:p>
        </w:tc>
        <w:tc>
          <w:tcPr>
            <w:tcW w:w="1877" w:type="dxa"/>
            <w:vMerge w:val="restart"/>
          </w:tcPr>
          <w:p>
            <w:pPr>
              <w:pStyle w:val="TableParagraph"/>
              <w:spacing w:before="210"/>
              <w:ind w:left="544"/>
              <w:rPr>
                <w:b/>
                <w:sz w:val="24"/>
              </w:rPr>
            </w:pPr>
            <w:r>
              <w:rPr>
                <w:b/>
                <w:spacing w:val="-2"/>
                <w:sz w:val="24"/>
              </w:rPr>
              <w:t>Percent</w:t>
            </w:r>
          </w:p>
        </w:tc>
        <w:tc>
          <w:tcPr>
            <w:tcW w:w="1882" w:type="dxa"/>
            <w:tcBorders>
              <w:bottom w:val="nil"/>
            </w:tcBorders>
          </w:tcPr>
          <w:p>
            <w:pPr>
              <w:pStyle w:val="TableParagraph"/>
              <w:spacing w:line="275" w:lineRule="exact"/>
              <w:ind w:left="10" w:right="2"/>
              <w:jc w:val="center"/>
              <w:rPr>
                <w:b/>
                <w:sz w:val="24"/>
              </w:rPr>
            </w:pPr>
            <w:r>
              <w:rPr>
                <w:b/>
                <w:spacing w:val="-2"/>
                <w:sz w:val="24"/>
              </w:rPr>
              <w:t>Valid</w:t>
            </w:r>
          </w:p>
        </w:tc>
        <w:tc>
          <w:tcPr>
            <w:tcW w:w="1848" w:type="dxa"/>
            <w:tcBorders>
              <w:bottom w:val="nil"/>
            </w:tcBorders>
          </w:tcPr>
          <w:p>
            <w:pPr>
              <w:pStyle w:val="TableParagraph"/>
              <w:spacing w:line="275" w:lineRule="exact"/>
              <w:ind w:left="15" w:right="2"/>
              <w:jc w:val="center"/>
              <w:rPr>
                <w:b/>
                <w:sz w:val="24"/>
              </w:rPr>
            </w:pPr>
            <w:r>
              <w:rPr>
                <w:b/>
                <w:spacing w:val="-2"/>
                <w:sz w:val="24"/>
              </w:rPr>
              <w:t>Cumulative</w:t>
            </w:r>
          </w:p>
        </w:tc>
      </w:tr>
      <w:tr>
        <w:trPr>
          <w:trHeight w:val="478" w:hRule="atLeast"/>
        </w:trPr>
        <w:tc>
          <w:tcPr>
            <w:tcW w:w="1843" w:type="dxa"/>
            <w:vMerge/>
            <w:tcBorders>
              <w:top w:val="nil"/>
            </w:tcBorders>
          </w:tcPr>
          <w:p>
            <w:pPr>
              <w:rPr>
                <w:sz w:val="2"/>
                <w:szCs w:val="2"/>
              </w:rPr>
            </w:pPr>
          </w:p>
        </w:tc>
        <w:tc>
          <w:tcPr>
            <w:tcW w:w="1882" w:type="dxa"/>
            <w:vMerge/>
            <w:tcBorders>
              <w:top w:val="nil"/>
            </w:tcBorders>
          </w:tcPr>
          <w:p>
            <w:pPr>
              <w:rPr>
                <w:sz w:val="2"/>
                <w:szCs w:val="2"/>
              </w:rPr>
            </w:pPr>
          </w:p>
        </w:tc>
        <w:tc>
          <w:tcPr>
            <w:tcW w:w="1877" w:type="dxa"/>
            <w:vMerge/>
            <w:tcBorders>
              <w:top w:val="nil"/>
            </w:tcBorders>
          </w:tcPr>
          <w:p>
            <w:pPr>
              <w:rPr>
                <w:sz w:val="2"/>
                <w:szCs w:val="2"/>
              </w:rPr>
            </w:pPr>
          </w:p>
        </w:tc>
        <w:tc>
          <w:tcPr>
            <w:tcW w:w="1882" w:type="dxa"/>
            <w:tcBorders>
              <w:top w:val="nil"/>
            </w:tcBorders>
          </w:tcPr>
          <w:p>
            <w:pPr>
              <w:pStyle w:val="TableParagraph"/>
              <w:spacing w:before="62"/>
              <w:ind w:left="10" w:right="3"/>
              <w:jc w:val="center"/>
              <w:rPr>
                <w:b/>
                <w:sz w:val="24"/>
              </w:rPr>
            </w:pPr>
            <w:r>
              <w:rPr>
                <w:b/>
                <w:spacing w:val="-2"/>
                <w:sz w:val="24"/>
              </w:rPr>
              <w:t>Percent</w:t>
            </w:r>
          </w:p>
        </w:tc>
        <w:tc>
          <w:tcPr>
            <w:tcW w:w="1848" w:type="dxa"/>
            <w:tcBorders>
              <w:top w:val="nil"/>
            </w:tcBorders>
          </w:tcPr>
          <w:p>
            <w:pPr>
              <w:pStyle w:val="TableParagraph"/>
              <w:spacing w:before="62"/>
              <w:ind w:left="15" w:right="2"/>
              <w:jc w:val="center"/>
              <w:rPr>
                <w:b/>
                <w:sz w:val="24"/>
              </w:rPr>
            </w:pPr>
            <w:r>
              <w:rPr>
                <w:b/>
                <w:spacing w:val="-2"/>
                <w:sz w:val="24"/>
              </w:rPr>
              <w:t>Percent</w:t>
            </w:r>
          </w:p>
        </w:tc>
      </w:tr>
      <w:tr>
        <w:trPr>
          <w:trHeight w:val="358" w:hRule="atLeast"/>
        </w:trPr>
        <w:tc>
          <w:tcPr>
            <w:tcW w:w="1843" w:type="dxa"/>
            <w:tcBorders>
              <w:bottom w:val="nil"/>
            </w:tcBorders>
          </w:tcPr>
          <w:p>
            <w:pPr>
              <w:pStyle w:val="TableParagraph"/>
              <w:spacing w:before="3"/>
              <w:ind w:left="11"/>
              <w:rPr>
                <w:sz w:val="24"/>
              </w:rPr>
            </w:pPr>
            <w:r>
              <w:rPr>
                <w:spacing w:val="-2"/>
                <w:sz w:val="24"/>
              </w:rPr>
              <w:t>Christianity</w:t>
            </w:r>
          </w:p>
        </w:tc>
        <w:tc>
          <w:tcPr>
            <w:tcW w:w="1882" w:type="dxa"/>
            <w:tcBorders>
              <w:bottom w:val="nil"/>
            </w:tcBorders>
          </w:tcPr>
          <w:p>
            <w:pPr>
              <w:pStyle w:val="TableParagraph"/>
              <w:spacing w:before="3"/>
              <w:ind w:left="286"/>
              <w:rPr>
                <w:sz w:val="24"/>
              </w:rPr>
            </w:pPr>
            <w:r>
              <w:rPr>
                <w:spacing w:val="-5"/>
                <w:sz w:val="24"/>
              </w:rPr>
              <w:t>205</w:t>
            </w:r>
          </w:p>
        </w:tc>
        <w:tc>
          <w:tcPr>
            <w:tcW w:w="1877" w:type="dxa"/>
            <w:tcBorders>
              <w:bottom w:val="nil"/>
            </w:tcBorders>
          </w:tcPr>
          <w:p>
            <w:pPr>
              <w:pStyle w:val="TableParagraph"/>
              <w:spacing w:before="3"/>
              <w:ind w:left="10" w:right="3"/>
              <w:jc w:val="center"/>
              <w:rPr>
                <w:sz w:val="24"/>
              </w:rPr>
            </w:pPr>
            <w:r>
              <w:rPr>
                <w:spacing w:val="-4"/>
                <w:sz w:val="24"/>
              </w:rPr>
              <w:t>85.4</w:t>
            </w:r>
          </w:p>
        </w:tc>
        <w:tc>
          <w:tcPr>
            <w:tcW w:w="1882" w:type="dxa"/>
            <w:tcBorders>
              <w:bottom w:val="nil"/>
            </w:tcBorders>
          </w:tcPr>
          <w:p>
            <w:pPr>
              <w:pStyle w:val="TableParagraph"/>
              <w:spacing w:before="3"/>
              <w:ind w:left="10" w:right="3"/>
              <w:jc w:val="center"/>
              <w:rPr>
                <w:sz w:val="24"/>
              </w:rPr>
            </w:pPr>
            <w:r>
              <w:rPr>
                <w:spacing w:val="-4"/>
                <w:sz w:val="24"/>
              </w:rPr>
              <w:t>85.4</w:t>
            </w:r>
          </w:p>
        </w:tc>
        <w:tc>
          <w:tcPr>
            <w:tcW w:w="1848" w:type="dxa"/>
            <w:tcBorders>
              <w:bottom w:val="nil"/>
            </w:tcBorders>
          </w:tcPr>
          <w:p>
            <w:pPr>
              <w:pStyle w:val="TableParagraph"/>
              <w:spacing w:before="3"/>
              <w:ind w:left="15" w:right="2"/>
              <w:jc w:val="center"/>
              <w:rPr>
                <w:sz w:val="24"/>
              </w:rPr>
            </w:pPr>
            <w:r>
              <w:rPr>
                <w:spacing w:val="-4"/>
                <w:sz w:val="24"/>
              </w:rPr>
              <w:t>85.4</w:t>
            </w:r>
          </w:p>
        </w:tc>
      </w:tr>
      <w:tr>
        <w:trPr>
          <w:trHeight w:val="403" w:hRule="atLeast"/>
        </w:trPr>
        <w:tc>
          <w:tcPr>
            <w:tcW w:w="1843" w:type="dxa"/>
            <w:tcBorders>
              <w:top w:val="nil"/>
              <w:bottom w:val="nil"/>
            </w:tcBorders>
          </w:tcPr>
          <w:p>
            <w:pPr>
              <w:pStyle w:val="TableParagraph"/>
              <w:spacing w:before="68"/>
              <w:ind w:left="11"/>
              <w:rPr>
                <w:sz w:val="24"/>
              </w:rPr>
            </w:pPr>
            <w:r>
              <w:rPr>
                <w:spacing w:val="-2"/>
                <w:sz w:val="24"/>
              </w:rPr>
              <w:t>Islam</w:t>
            </w:r>
          </w:p>
        </w:tc>
        <w:tc>
          <w:tcPr>
            <w:tcW w:w="1882" w:type="dxa"/>
            <w:tcBorders>
              <w:top w:val="nil"/>
              <w:bottom w:val="nil"/>
            </w:tcBorders>
          </w:tcPr>
          <w:p>
            <w:pPr>
              <w:pStyle w:val="TableParagraph"/>
              <w:spacing w:before="68"/>
              <w:ind w:left="346"/>
              <w:rPr>
                <w:sz w:val="24"/>
              </w:rPr>
            </w:pPr>
            <w:r>
              <w:rPr>
                <w:spacing w:val="-5"/>
                <w:sz w:val="24"/>
              </w:rPr>
              <w:t>22</w:t>
            </w:r>
          </w:p>
        </w:tc>
        <w:tc>
          <w:tcPr>
            <w:tcW w:w="1877" w:type="dxa"/>
            <w:tcBorders>
              <w:top w:val="nil"/>
              <w:bottom w:val="nil"/>
            </w:tcBorders>
          </w:tcPr>
          <w:p>
            <w:pPr>
              <w:pStyle w:val="TableParagraph"/>
              <w:spacing w:before="68"/>
              <w:ind w:left="10" w:right="3"/>
              <w:jc w:val="center"/>
              <w:rPr>
                <w:sz w:val="24"/>
              </w:rPr>
            </w:pPr>
            <w:r>
              <w:rPr>
                <w:spacing w:val="-5"/>
                <w:sz w:val="24"/>
              </w:rPr>
              <w:t>9.2</w:t>
            </w:r>
          </w:p>
        </w:tc>
        <w:tc>
          <w:tcPr>
            <w:tcW w:w="1882" w:type="dxa"/>
            <w:tcBorders>
              <w:top w:val="nil"/>
              <w:bottom w:val="nil"/>
            </w:tcBorders>
          </w:tcPr>
          <w:p>
            <w:pPr>
              <w:pStyle w:val="TableParagraph"/>
              <w:spacing w:before="68"/>
              <w:ind w:left="10" w:right="3"/>
              <w:jc w:val="center"/>
              <w:rPr>
                <w:sz w:val="24"/>
              </w:rPr>
            </w:pPr>
            <w:r>
              <w:rPr>
                <w:spacing w:val="-5"/>
                <w:sz w:val="24"/>
              </w:rPr>
              <w:t>9.2</w:t>
            </w:r>
          </w:p>
        </w:tc>
        <w:tc>
          <w:tcPr>
            <w:tcW w:w="1848" w:type="dxa"/>
            <w:tcBorders>
              <w:top w:val="nil"/>
              <w:bottom w:val="nil"/>
            </w:tcBorders>
          </w:tcPr>
          <w:p>
            <w:pPr>
              <w:pStyle w:val="TableParagraph"/>
              <w:spacing w:before="68"/>
              <w:ind w:left="15" w:right="2"/>
              <w:jc w:val="center"/>
              <w:rPr>
                <w:sz w:val="24"/>
              </w:rPr>
            </w:pPr>
            <w:r>
              <w:rPr>
                <w:spacing w:val="-4"/>
                <w:sz w:val="24"/>
              </w:rPr>
              <w:t>94.6</w:t>
            </w:r>
          </w:p>
        </w:tc>
      </w:tr>
      <w:tr>
        <w:trPr>
          <w:trHeight w:val="399" w:hRule="atLeast"/>
        </w:trPr>
        <w:tc>
          <w:tcPr>
            <w:tcW w:w="1843" w:type="dxa"/>
            <w:tcBorders>
              <w:top w:val="nil"/>
              <w:bottom w:val="nil"/>
            </w:tcBorders>
          </w:tcPr>
          <w:p>
            <w:pPr>
              <w:pStyle w:val="TableParagraph"/>
              <w:spacing w:before="49"/>
              <w:ind w:left="11"/>
              <w:rPr>
                <w:sz w:val="24"/>
              </w:rPr>
            </w:pPr>
            <w:r>
              <w:rPr>
                <w:spacing w:val="-2"/>
                <w:sz w:val="24"/>
              </w:rPr>
              <w:t>Traditional</w:t>
            </w:r>
          </w:p>
        </w:tc>
        <w:tc>
          <w:tcPr>
            <w:tcW w:w="1882" w:type="dxa"/>
            <w:tcBorders>
              <w:top w:val="nil"/>
              <w:bottom w:val="nil"/>
            </w:tcBorders>
          </w:tcPr>
          <w:p>
            <w:pPr>
              <w:pStyle w:val="TableParagraph"/>
              <w:spacing w:before="49"/>
              <w:ind w:left="346"/>
              <w:rPr>
                <w:sz w:val="24"/>
              </w:rPr>
            </w:pPr>
            <w:r>
              <w:rPr>
                <w:spacing w:val="-5"/>
                <w:sz w:val="24"/>
              </w:rPr>
              <w:t>10</w:t>
            </w:r>
          </w:p>
        </w:tc>
        <w:tc>
          <w:tcPr>
            <w:tcW w:w="1877" w:type="dxa"/>
            <w:tcBorders>
              <w:top w:val="nil"/>
              <w:bottom w:val="nil"/>
            </w:tcBorders>
          </w:tcPr>
          <w:p>
            <w:pPr>
              <w:pStyle w:val="TableParagraph"/>
              <w:spacing w:before="49"/>
              <w:ind w:left="10" w:right="3"/>
              <w:jc w:val="center"/>
              <w:rPr>
                <w:sz w:val="24"/>
              </w:rPr>
            </w:pPr>
            <w:r>
              <w:rPr>
                <w:spacing w:val="-5"/>
                <w:sz w:val="24"/>
              </w:rPr>
              <w:t>4.2</w:t>
            </w:r>
          </w:p>
        </w:tc>
        <w:tc>
          <w:tcPr>
            <w:tcW w:w="1882" w:type="dxa"/>
            <w:tcBorders>
              <w:top w:val="nil"/>
              <w:bottom w:val="nil"/>
            </w:tcBorders>
          </w:tcPr>
          <w:p>
            <w:pPr>
              <w:pStyle w:val="TableParagraph"/>
              <w:spacing w:before="49"/>
              <w:ind w:left="10" w:right="3"/>
              <w:jc w:val="center"/>
              <w:rPr>
                <w:sz w:val="24"/>
              </w:rPr>
            </w:pPr>
            <w:r>
              <w:rPr>
                <w:spacing w:val="-5"/>
                <w:sz w:val="24"/>
              </w:rPr>
              <w:t>4.2</w:t>
            </w:r>
          </w:p>
        </w:tc>
        <w:tc>
          <w:tcPr>
            <w:tcW w:w="1848" w:type="dxa"/>
            <w:tcBorders>
              <w:top w:val="nil"/>
              <w:bottom w:val="nil"/>
            </w:tcBorders>
          </w:tcPr>
          <w:p>
            <w:pPr>
              <w:pStyle w:val="TableParagraph"/>
              <w:spacing w:before="49"/>
              <w:ind w:left="15" w:right="2"/>
              <w:jc w:val="center"/>
              <w:rPr>
                <w:sz w:val="24"/>
              </w:rPr>
            </w:pPr>
            <w:r>
              <w:rPr>
                <w:spacing w:val="-4"/>
                <w:sz w:val="24"/>
              </w:rPr>
              <w:t>98.8</w:t>
            </w:r>
          </w:p>
        </w:tc>
      </w:tr>
      <w:tr>
        <w:trPr>
          <w:trHeight w:val="418" w:hRule="atLeast"/>
        </w:trPr>
        <w:tc>
          <w:tcPr>
            <w:tcW w:w="1843" w:type="dxa"/>
            <w:tcBorders>
              <w:top w:val="nil"/>
              <w:bottom w:val="nil"/>
            </w:tcBorders>
          </w:tcPr>
          <w:p>
            <w:pPr>
              <w:pStyle w:val="TableParagraph"/>
              <w:spacing w:before="64"/>
              <w:ind w:left="11"/>
              <w:rPr>
                <w:sz w:val="24"/>
              </w:rPr>
            </w:pPr>
            <w:r>
              <w:rPr>
                <w:spacing w:val="-2"/>
                <w:sz w:val="24"/>
              </w:rPr>
              <w:t>Others</w:t>
            </w:r>
          </w:p>
        </w:tc>
        <w:tc>
          <w:tcPr>
            <w:tcW w:w="1882" w:type="dxa"/>
            <w:tcBorders>
              <w:top w:val="nil"/>
              <w:bottom w:val="nil"/>
            </w:tcBorders>
          </w:tcPr>
          <w:p>
            <w:pPr>
              <w:pStyle w:val="TableParagraph"/>
              <w:rPr>
                <w:sz w:val="24"/>
              </w:rPr>
            </w:pPr>
          </w:p>
        </w:tc>
        <w:tc>
          <w:tcPr>
            <w:tcW w:w="1877" w:type="dxa"/>
            <w:tcBorders>
              <w:top w:val="nil"/>
              <w:bottom w:val="nil"/>
            </w:tcBorders>
          </w:tcPr>
          <w:p>
            <w:pPr>
              <w:pStyle w:val="TableParagraph"/>
              <w:rPr>
                <w:sz w:val="24"/>
              </w:rPr>
            </w:pPr>
          </w:p>
        </w:tc>
        <w:tc>
          <w:tcPr>
            <w:tcW w:w="1882" w:type="dxa"/>
            <w:tcBorders>
              <w:top w:val="nil"/>
              <w:bottom w:val="nil"/>
            </w:tcBorders>
          </w:tcPr>
          <w:p>
            <w:pPr>
              <w:pStyle w:val="TableParagraph"/>
              <w:rPr>
                <w:sz w:val="24"/>
              </w:rPr>
            </w:pPr>
          </w:p>
        </w:tc>
        <w:tc>
          <w:tcPr>
            <w:tcW w:w="1848" w:type="dxa"/>
            <w:tcBorders>
              <w:top w:val="nil"/>
              <w:bottom w:val="nil"/>
            </w:tcBorders>
          </w:tcPr>
          <w:p>
            <w:pPr>
              <w:pStyle w:val="TableParagraph"/>
              <w:rPr>
                <w:sz w:val="24"/>
              </w:rPr>
            </w:pPr>
          </w:p>
        </w:tc>
      </w:tr>
      <w:tr>
        <w:trPr>
          <w:trHeight w:val="495" w:hRule="atLeast"/>
        </w:trPr>
        <w:tc>
          <w:tcPr>
            <w:tcW w:w="1843" w:type="dxa"/>
            <w:tcBorders>
              <w:top w:val="nil"/>
            </w:tcBorders>
          </w:tcPr>
          <w:p>
            <w:pPr>
              <w:pStyle w:val="TableParagraph"/>
              <w:spacing w:before="68"/>
              <w:ind w:left="11"/>
              <w:rPr>
                <w:sz w:val="24"/>
              </w:rPr>
            </w:pPr>
            <w:r>
              <w:rPr>
                <w:spacing w:val="-2"/>
                <w:sz w:val="24"/>
              </w:rPr>
              <w:t>(Specify)</w:t>
            </w:r>
          </w:p>
        </w:tc>
        <w:tc>
          <w:tcPr>
            <w:tcW w:w="1882" w:type="dxa"/>
            <w:tcBorders>
              <w:top w:val="nil"/>
            </w:tcBorders>
          </w:tcPr>
          <w:p>
            <w:pPr>
              <w:pStyle w:val="TableParagraph"/>
              <w:spacing w:before="68"/>
              <w:ind w:left="406"/>
              <w:rPr>
                <w:sz w:val="24"/>
              </w:rPr>
            </w:pPr>
            <w:r>
              <w:rPr>
                <w:spacing w:val="-10"/>
                <w:sz w:val="24"/>
              </w:rPr>
              <w:t>3</w:t>
            </w:r>
          </w:p>
        </w:tc>
        <w:tc>
          <w:tcPr>
            <w:tcW w:w="1877" w:type="dxa"/>
            <w:tcBorders>
              <w:top w:val="nil"/>
            </w:tcBorders>
          </w:tcPr>
          <w:p>
            <w:pPr>
              <w:pStyle w:val="TableParagraph"/>
              <w:spacing w:before="68"/>
              <w:ind w:left="10" w:right="3"/>
              <w:jc w:val="center"/>
              <w:rPr>
                <w:sz w:val="24"/>
              </w:rPr>
            </w:pPr>
            <w:r>
              <w:rPr>
                <w:spacing w:val="-5"/>
                <w:sz w:val="24"/>
              </w:rPr>
              <w:t>1.3</w:t>
            </w:r>
          </w:p>
        </w:tc>
        <w:tc>
          <w:tcPr>
            <w:tcW w:w="1882" w:type="dxa"/>
            <w:tcBorders>
              <w:top w:val="nil"/>
            </w:tcBorders>
          </w:tcPr>
          <w:p>
            <w:pPr>
              <w:pStyle w:val="TableParagraph"/>
              <w:spacing w:before="68"/>
              <w:ind w:left="10" w:right="3"/>
              <w:jc w:val="center"/>
              <w:rPr>
                <w:sz w:val="24"/>
              </w:rPr>
            </w:pPr>
            <w:r>
              <w:rPr>
                <w:spacing w:val="-5"/>
                <w:sz w:val="24"/>
              </w:rPr>
              <w:t>1.3</w:t>
            </w:r>
          </w:p>
        </w:tc>
        <w:tc>
          <w:tcPr>
            <w:tcW w:w="1848" w:type="dxa"/>
            <w:tcBorders>
              <w:top w:val="nil"/>
            </w:tcBorders>
          </w:tcPr>
          <w:p>
            <w:pPr>
              <w:pStyle w:val="TableParagraph"/>
              <w:spacing w:before="68"/>
              <w:ind w:left="15"/>
              <w:jc w:val="center"/>
              <w:rPr>
                <w:sz w:val="24"/>
              </w:rPr>
            </w:pPr>
            <w:r>
              <w:rPr>
                <w:spacing w:val="-5"/>
                <w:sz w:val="24"/>
              </w:rPr>
              <w:t>100</w:t>
            </w:r>
          </w:p>
        </w:tc>
      </w:tr>
      <w:tr>
        <w:trPr>
          <w:trHeight w:val="412" w:hRule="atLeast"/>
        </w:trPr>
        <w:tc>
          <w:tcPr>
            <w:tcW w:w="1843" w:type="dxa"/>
          </w:tcPr>
          <w:p>
            <w:pPr>
              <w:pStyle w:val="TableParagraph"/>
              <w:spacing w:line="275" w:lineRule="exact"/>
              <w:ind w:left="11"/>
              <w:rPr>
                <w:b/>
                <w:sz w:val="24"/>
              </w:rPr>
            </w:pPr>
            <w:r>
              <w:rPr>
                <w:b/>
                <w:spacing w:val="-2"/>
                <w:sz w:val="24"/>
              </w:rPr>
              <w:t>Total</w:t>
            </w:r>
          </w:p>
        </w:tc>
        <w:tc>
          <w:tcPr>
            <w:tcW w:w="1882" w:type="dxa"/>
          </w:tcPr>
          <w:p>
            <w:pPr>
              <w:pStyle w:val="TableParagraph"/>
              <w:spacing w:line="275" w:lineRule="exact"/>
              <w:ind w:left="286"/>
              <w:rPr>
                <w:b/>
                <w:sz w:val="24"/>
              </w:rPr>
            </w:pPr>
            <w:r>
              <w:rPr>
                <w:b/>
                <w:spacing w:val="-5"/>
                <w:sz w:val="24"/>
              </w:rPr>
              <w:t>240</w:t>
            </w:r>
          </w:p>
        </w:tc>
        <w:tc>
          <w:tcPr>
            <w:tcW w:w="1877" w:type="dxa"/>
          </w:tcPr>
          <w:p>
            <w:pPr>
              <w:pStyle w:val="TableParagraph"/>
              <w:spacing w:line="275" w:lineRule="exact"/>
              <w:ind w:left="10"/>
              <w:jc w:val="center"/>
              <w:rPr>
                <w:b/>
                <w:sz w:val="24"/>
              </w:rPr>
            </w:pPr>
            <w:r>
              <w:rPr>
                <w:b/>
                <w:spacing w:val="-5"/>
                <w:sz w:val="24"/>
              </w:rPr>
              <w:t>100</w:t>
            </w:r>
          </w:p>
        </w:tc>
        <w:tc>
          <w:tcPr>
            <w:tcW w:w="1882" w:type="dxa"/>
          </w:tcPr>
          <w:p>
            <w:pPr>
              <w:pStyle w:val="TableParagraph"/>
              <w:rPr>
                <w:sz w:val="24"/>
              </w:rPr>
            </w:pPr>
          </w:p>
        </w:tc>
        <w:tc>
          <w:tcPr>
            <w:tcW w:w="1848" w:type="dxa"/>
          </w:tcPr>
          <w:p>
            <w:pPr>
              <w:pStyle w:val="TableParagraph"/>
              <w:rPr>
                <w:sz w:val="24"/>
              </w:rPr>
            </w:pPr>
          </w:p>
        </w:tc>
      </w:tr>
    </w:tbl>
    <w:p>
      <w:pPr>
        <w:pStyle w:val="BodyText"/>
        <w:spacing w:before="141"/>
        <w:ind w:left="0"/>
        <w:rPr>
          <w:b/>
        </w:rPr>
      </w:pPr>
    </w:p>
    <w:p>
      <w:pPr>
        <w:pStyle w:val="ListParagraph"/>
        <w:numPr>
          <w:ilvl w:val="2"/>
          <w:numId w:val="19"/>
        </w:numPr>
        <w:tabs>
          <w:tab w:pos="2160" w:val="left" w:leader="none"/>
        </w:tabs>
        <w:spacing w:line="240" w:lineRule="auto" w:before="0" w:after="0"/>
        <w:ind w:left="2160" w:right="0" w:hanging="720"/>
        <w:jc w:val="both"/>
        <w:rPr>
          <w:b/>
          <w:sz w:val="24"/>
        </w:rPr>
      </w:pPr>
      <w:r>
        <w:rPr>
          <w:b/>
          <w:sz w:val="24"/>
        </w:rPr>
        <w:t>Distribution</w:t>
      </w:r>
      <w:r>
        <w:rPr>
          <w:b/>
          <w:spacing w:val="-4"/>
          <w:sz w:val="24"/>
        </w:rPr>
        <w:t> </w:t>
      </w:r>
      <w:r>
        <w:rPr>
          <w:b/>
          <w:sz w:val="24"/>
        </w:rPr>
        <w:t>of</w:t>
      </w:r>
      <w:r>
        <w:rPr>
          <w:b/>
          <w:spacing w:val="-1"/>
          <w:sz w:val="24"/>
        </w:rPr>
        <w:t> </w:t>
      </w:r>
      <w:r>
        <w:rPr>
          <w:b/>
          <w:sz w:val="24"/>
        </w:rPr>
        <w:t>Respondents</w:t>
      </w:r>
      <w:r>
        <w:rPr>
          <w:b/>
          <w:spacing w:val="-2"/>
          <w:sz w:val="24"/>
        </w:rPr>
        <w:t> </w:t>
      </w:r>
      <w:r>
        <w:rPr>
          <w:b/>
          <w:sz w:val="24"/>
        </w:rPr>
        <w:t>by</w:t>
      </w:r>
      <w:r>
        <w:rPr>
          <w:b/>
          <w:spacing w:val="-2"/>
          <w:sz w:val="24"/>
        </w:rPr>
        <w:t> </w:t>
      </w:r>
      <w:r>
        <w:rPr>
          <w:b/>
          <w:sz w:val="24"/>
        </w:rPr>
        <w:t>Length</w:t>
      </w:r>
      <w:r>
        <w:rPr>
          <w:b/>
          <w:spacing w:val="-1"/>
          <w:sz w:val="24"/>
        </w:rPr>
        <w:t> </w:t>
      </w:r>
      <w:r>
        <w:rPr>
          <w:b/>
          <w:sz w:val="24"/>
        </w:rPr>
        <w:t>of</w:t>
      </w:r>
      <w:r>
        <w:rPr>
          <w:b/>
          <w:spacing w:val="-1"/>
          <w:sz w:val="24"/>
        </w:rPr>
        <w:t> </w:t>
      </w:r>
      <w:r>
        <w:rPr>
          <w:b/>
          <w:sz w:val="24"/>
        </w:rPr>
        <w:t>Stay</w:t>
      </w:r>
      <w:r>
        <w:rPr>
          <w:b/>
          <w:spacing w:val="-6"/>
          <w:sz w:val="24"/>
        </w:rPr>
        <w:t> </w:t>
      </w:r>
      <w:r>
        <w:rPr>
          <w:b/>
          <w:sz w:val="24"/>
        </w:rPr>
        <w:t>in </w:t>
      </w:r>
      <w:r>
        <w:rPr>
          <w:b/>
          <w:spacing w:val="-2"/>
          <w:sz w:val="24"/>
        </w:rPr>
        <w:t>Community</w:t>
      </w:r>
    </w:p>
    <w:p>
      <w:pPr>
        <w:pStyle w:val="BodyText"/>
        <w:spacing w:line="360" w:lineRule="auto" w:before="115"/>
        <w:ind w:right="1260" w:firstLine="720"/>
        <w:jc w:val="both"/>
      </w:pPr>
      <w:r>
        <w:rPr/>
        <w:t>The length of stay of respondents in the respective localities is summarized in Table 7. Table 7 thus shows that most of the respondents have been living in the communities in which they were interviewed for a long time. For instance, 48.1% of the respondents have been living in the various areas where they were interviewed for more than ten years. This suggests that the respondents have lived long enough to</w:t>
      </w:r>
      <w:r>
        <w:rPr>
          <w:spacing w:val="40"/>
        </w:rPr>
        <w:t> </w:t>
      </w:r>
      <w:r>
        <w:rPr/>
        <w:t>lend</w:t>
      </w:r>
      <w:r>
        <w:rPr>
          <w:spacing w:val="15"/>
        </w:rPr>
        <w:t> </w:t>
      </w:r>
      <w:r>
        <w:rPr/>
        <w:t>credence</w:t>
      </w:r>
      <w:r>
        <w:rPr>
          <w:spacing w:val="14"/>
        </w:rPr>
        <w:t> </w:t>
      </w:r>
      <w:r>
        <w:rPr/>
        <w:t>to</w:t>
      </w:r>
      <w:r>
        <w:rPr>
          <w:spacing w:val="16"/>
        </w:rPr>
        <w:t> </w:t>
      </w:r>
      <w:r>
        <w:rPr/>
        <w:t>their</w:t>
      </w:r>
      <w:r>
        <w:rPr>
          <w:spacing w:val="15"/>
        </w:rPr>
        <w:t> </w:t>
      </w:r>
      <w:r>
        <w:rPr/>
        <w:t>reports</w:t>
      </w:r>
      <w:r>
        <w:rPr>
          <w:spacing w:val="15"/>
        </w:rPr>
        <w:t> </w:t>
      </w:r>
      <w:r>
        <w:rPr/>
        <w:t>on</w:t>
      </w:r>
      <w:r>
        <w:rPr>
          <w:spacing w:val="15"/>
        </w:rPr>
        <w:t> </w:t>
      </w:r>
      <w:r>
        <w:rPr/>
        <w:t>many</w:t>
      </w:r>
      <w:r>
        <w:rPr>
          <w:spacing w:val="9"/>
        </w:rPr>
        <w:t> </w:t>
      </w:r>
      <w:r>
        <w:rPr/>
        <w:t>conflicts</w:t>
      </w:r>
      <w:r>
        <w:rPr>
          <w:spacing w:val="16"/>
        </w:rPr>
        <w:t> </w:t>
      </w:r>
      <w:r>
        <w:rPr/>
        <w:t>that</w:t>
      </w:r>
      <w:r>
        <w:rPr>
          <w:spacing w:val="15"/>
        </w:rPr>
        <w:t> </w:t>
      </w:r>
      <w:r>
        <w:rPr/>
        <w:t>have</w:t>
      </w:r>
      <w:r>
        <w:rPr>
          <w:spacing w:val="14"/>
        </w:rPr>
        <w:t> </w:t>
      </w:r>
      <w:r>
        <w:rPr/>
        <w:t>been</w:t>
      </w:r>
      <w:r>
        <w:rPr>
          <w:spacing w:val="16"/>
        </w:rPr>
        <w:t> </w:t>
      </w:r>
      <w:r>
        <w:rPr/>
        <w:t>witnessed</w:t>
      </w:r>
      <w:r>
        <w:rPr>
          <w:spacing w:val="15"/>
        </w:rPr>
        <w:t> </w:t>
      </w:r>
      <w:r>
        <w:rPr/>
        <w:t>in</w:t>
      </w:r>
      <w:r>
        <w:rPr>
          <w:spacing w:val="16"/>
        </w:rPr>
        <w:t> </w:t>
      </w:r>
      <w:r>
        <w:rPr/>
        <w:t>the</w:t>
      </w:r>
      <w:r>
        <w:rPr>
          <w:spacing w:val="16"/>
        </w:rPr>
        <w:t> </w:t>
      </w:r>
      <w:r>
        <w:rPr>
          <w:spacing w:val="-4"/>
        </w:rPr>
        <w:t>area</w:t>
      </w:r>
    </w:p>
    <w:p>
      <w:pPr>
        <w:spacing w:after="0" w:line="360" w:lineRule="auto"/>
        <w:jc w:val="both"/>
        <w:sectPr>
          <w:pgSz w:w="11910" w:h="16840"/>
          <w:pgMar w:header="0" w:footer="1561" w:top="1760" w:bottom="1760" w:left="720" w:right="180"/>
        </w:sectPr>
      </w:pPr>
    </w:p>
    <w:p>
      <w:pPr>
        <w:pStyle w:val="BodyText"/>
        <w:spacing w:line="360" w:lineRule="auto" w:before="60"/>
        <w:ind w:right="1263"/>
        <w:jc w:val="both"/>
      </w:pPr>
      <w:r>
        <w:rPr/>
        <mc:AlternateContent>
          <mc:Choice Requires="wps">
            <w:drawing>
              <wp:anchor distT="0" distB="0" distL="0" distR="0" allowOverlap="1" layoutInCell="1" locked="0" behindDoc="1" simplePos="0" relativeHeight="480668160">
                <wp:simplePos x="0" y="0"/>
                <wp:positionH relativeFrom="page">
                  <wp:posOffset>-1537026</wp:posOffset>
                </wp:positionH>
                <wp:positionV relativeFrom="page">
                  <wp:posOffset>4900424</wp:posOffset>
                </wp:positionV>
                <wp:extent cx="10669905" cy="914400"/>
                <wp:effectExtent l="0" t="0" r="0" b="0"/>
                <wp:wrapNone/>
                <wp:docPr id="296" name="Textbox 296"/>
                <wp:cNvGraphicFramePr>
                  <a:graphicFrameLocks/>
                </wp:cNvGraphicFramePr>
                <a:graphic>
                  <a:graphicData uri="http://schemas.microsoft.com/office/word/2010/wordprocessingShape">
                    <wps:wsp>
                      <wps:cNvPr id="296" name="Textbox 296"/>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48320;rotation:306" type="#_x0000_t136" fillcolor="#ff5400" stroked="f">
                <o:extrusion v:ext="view" autorotationcenter="t"/>
                <v:textpath style="font-family:&quot;Arial MT&quot;;font-size:72pt;v-text-kern:t;mso-text-shadow:auto" string="UNIVERSITY OF IBADAN"/>
                <w10:wrap type="none"/>
              </v:shape>
            </w:pict>
          </mc:Fallback>
        </mc:AlternateContent>
      </w:r>
      <w:r>
        <w:rPr/>
        <w:t>sampled. It also gives legitimacy to the opinions of the respondents on what goes on</w:t>
      </w:r>
      <w:r>
        <w:rPr>
          <w:spacing w:val="40"/>
        </w:rPr>
        <w:t> </w:t>
      </w:r>
      <w:r>
        <w:rPr/>
        <w:t>in their communities. Close to this group are those that have lived between 1 and 5 years. Those who have lived less than 1 year are next while those that have lived between 6 and 9 years are the least represented.</w:t>
      </w:r>
    </w:p>
    <w:p>
      <w:pPr>
        <w:pStyle w:val="Heading2"/>
        <w:spacing w:before="6"/>
        <w:jc w:val="both"/>
      </w:pPr>
      <w:r>
        <w:rPr/>
        <w:t>Table</w:t>
      </w:r>
      <w:r>
        <w:rPr>
          <w:spacing w:val="-1"/>
        </w:rPr>
        <w:t> </w:t>
      </w:r>
      <w:r>
        <w:rPr/>
        <w:t>7:</w:t>
      </w:r>
      <w:r>
        <w:rPr>
          <w:spacing w:val="-2"/>
        </w:rPr>
        <w:t> </w:t>
      </w:r>
      <w:r>
        <w:rPr/>
        <w:t>Length of</w:t>
      </w:r>
      <w:r>
        <w:rPr>
          <w:spacing w:val="-2"/>
        </w:rPr>
        <w:t> </w:t>
      </w:r>
      <w:r>
        <w:rPr/>
        <w:t>Stay in </w:t>
      </w:r>
      <w:r>
        <w:rPr>
          <w:spacing w:val="-2"/>
        </w:rPr>
        <w:t>Community</w:t>
      </w:r>
    </w:p>
    <w:p>
      <w:pPr>
        <w:pStyle w:val="BodyText"/>
        <w:spacing w:before="11"/>
        <w:ind w:left="0"/>
        <w:rPr>
          <w:b/>
          <w:sz w:val="11"/>
        </w:rPr>
      </w:pP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1601"/>
        <w:gridCol w:w="1340"/>
        <w:gridCol w:w="1640"/>
        <w:gridCol w:w="1816"/>
      </w:tblGrid>
      <w:tr>
        <w:trPr>
          <w:trHeight w:val="830" w:hRule="atLeast"/>
        </w:trPr>
        <w:tc>
          <w:tcPr>
            <w:tcW w:w="2132" w:type="dxa"/>
          </w:tcPr>
          <w:p>
            <w:pPr>
              <w:pStyle w:val="TableParagraph"/>
              <w:rPr>
                <w:sz w:val="24"/>
              </w:rPr>
            </w:pPr>
          </w:p>
        </w:tc>
        <w:tc>
          <w:tcPr>
            <w:tcW w:w="1601" w:type="dxa"/>
          </w:tcPr>
          <w:p>
            <w:pPr>
              <w:pStyle w:val="TableParagraph"/>
              <w:spacing w:before="1"/>
              <w:ind w:left="105"/>
              <w:rPr>
                <w:b/>
                <w:sz w:val="24"/>
              </w:rPr>
            </w:pPr>
            <w:r>
              <w:rPr>
                <w:b/>
                <w:spacing w:val="-2"/>
                <w:sz w:val="24"/>
              </w:rPr>
              <w:t>Frequency</w:t>
            </w:r>
          </w:p>
        </w:tc>
        <w:tc>
          <w:tcPr>
            <w:tcW w:w="1340" w:type="dxa"/>
          </w:tcPr>
          <w:p>
            <w:pPr>
              <w:pStyle w:val="TableParagraph"/>
              <w:spacing w:before="1"/>
              <w:ind w:left="107"/>
              <w:rPr>
                <w:b/>
                <w:sz w:val="24"/>
              </w:rPr>
            </w:pPr>
            <w:r>
              <w:rPr>
                <w:b/>
                <w:spacing w:val="-2"/>
                <w:sz w:val="24"/>
              </w:rPr>
              <w:t>Percent</w:t>
            </w:r>
          </w:p>
        </w:tc>
        <w:tc>
          <w:tcPr>
            <w:tcW w:w="1640" w:type="dxa"/>
          </w:tcPr>
          <w:p>
            <w:pPr>
              <w:pStyle w:val="TableParagraph"/>
              <w:spacing w:before="1"/>
              <w:ind w:left="104"/>
              <w:rPr>
                <w:b/>
                <w:sz w:val="24"/>
              </w:rPr>
            </w:pPr>
            <w:r>
              <w:rPr>
                <w:b/>
                <w:sz w:val="24"/>
              </w:rPr>
              <w:t>Valid</w:t>
            </w:r>
            <w:r>
              <w:rPr>
                <w:b/>
                <w:spacing w:val="-1"/>
                <w:sz w:val="24"/>
              </w:rPr>
              <w:t> </w:t>
            </w:r>
            <w:r>
              <w:rPr>
                <w:b/>
                <w:spacing w:val="-2"/>
                <w:sz w:val="24"/>
              </w:rPr>
              <w:t>Percent</w:t>
            </w:r>
          </w:p>
        </w:tc>
        <w:tc>
          <w:tcPr>
            <w:tcW w:w="1816" w:type="dxa"/>
          </w:tcPr>
          <w:p>
            <w:pPr>
              <w:pStyle w:val="TableParagraph"/>
              <w:spacing w:before="1"/>
              <w:ind w:left="106"/>
              <w:rPr>
                <w:b/>
                <w:sz w:val="24"/>
              </w:rPr>
            </w:pPr>
            <w:r>
              <w:rPr>
                <w:b/>
                <w:spacing w:val="-2"/>
                <w:sz w:val="24"/>
              </w:rPr>
              <w:t>Cumulative</w:t>
            </w:r>
          </w:p>
          <w:p>
            <w:pPr>
              <w:pStyle w:val="TableParagraph"/>
              <w:spacing w:before="137"/>
              <w:ind w:left="106"/>
              <w:rPr>
                <w:b/>
                <w:sz w:val="24"/>
              </w:rPr>
            </w:pPr>
            <w:r>
              <w:rPr>
                <w:b/>
                <w:spacing w:val="-2"/>
                <w:sz w:val="24"/>
              </w:rPr>
              <w:t>Percent</w:t>
            </w:r>
          </w:p>
        </w:tc>
      </w:tr>
      <w:tr>
        <w:trPr>
          <w:trHeight w:val="752" w:hRule="atLeast"/>
        </w:trPr>
        <w:tc>
          <w:tcPr>
            <w:tcW w:w="2132" w:type="dxa"/>
            <w:vMerge w:val="restart"/>
          </w:tcPr>
          <w:p>
            <w:pPr>
              <w:pStyle w:val="TableParagraph"/>
              <w:spacing w:line="270" w:lineRule="exact"/>
              <w:ind w:left="107"/>
              <w:rPr>
                <w:sz w:val="24"/>
              </w:rPr>
            </w:pPr>
            <w:r>
              <w:rPr>
                <w:spacing w:val="-2"/>
                <w:sz w:val="24"/>
              </w:rPr>
              <w:t>Valid</w:t>
            </w:r>
          </w:p>
          <w:p>
            <w:pPr>
              <w:pStyle w:val="TableParagraph"/>
              <w:spacing w:line="360" w:lineRule="auto" w:before="137"/>
              <w:ind w:left="527" w:right="76" w:hanging="58"/>
              <w:rPr>
                <w:sz w:val="24"/>
              </w:rPr>
            </w:pPr>
            <w:r>
              <w:rPr>
                <w:sz w:val="24"/>
              </w:rPr>
              <w:t>Less</w:t>
            </w:r>
            <w:r>
              <w:rPr>
                <w:spacing w:val="-15"/>
                <w:sz w:val="24"/>
              </w:rPr>
              <w:t> </w:t>
            </w:r>
            <w:r>
              <w:rPr>
                <w:sz w:val="24"/>
              </w:rPr>
              <w:t>than1</w:t>
            </w:r>
            <w:r>
              <w:rPr>
                <w:spacing w:val="-15"/>
                <w:sz w:val="24"/>
              </w:rPr>
              <w:t> </w:t>
            </w:r>
            <w:r>
              <w:rPr>
                <w:sz w:val="24"/>
              </w:rPr>
              <w:t>year 1 – 5 years</w:t>
            </w:r>
          </w:p>
          <w:p>
            <w:pPr>
              <w:pStyle w:val="TableParagraph"/>
              <w:ind w:left="527"/>
              <w:rPr>
                <w:sz w:val="24"/>
              </w:rPr>
            </w:pPr>
            <w:r>
              <w:rPr>
                <w:sz w:val="24"/>
              </w:rPr>
              <w:t>6</w:t>
            </w:r>
            <w:r>
              <w:rPr>
                <w:spacing w:val="-2"/>
                <w:sz w:val="24"/>
              </w:rPr>
              <w:t> </w:t>
            </w:r>
            <w:r>
              <w:rPr>
                <w:sz w:val="24"/>
              </w:rPr>
              <w:t>– 9</w:t>
            </w:r>
            <w:r>
              <w:rPr>
                <w:spacing w:val="2"/>
                <w:sz w:val="24"/>
              </w:rPr>
              <w:t> </w:t>
            </w:r>
            <w:r>
              <w:rPr>
                <w:spacing w:val="-2"/>
                <w:sz w:val="24"/>
              </w:rPr>
              <w:t>years</w:t>
            </w:r>
          </w:p>
          <w:p>
            <w:pPr>
              <w:pStyle w:val="TableParagraph"/>
              <w:spacing w:line="360" w:lineRule="auto" w:before="139"/>
              <w:ind w:left="527"/>
              <w:rPr>
                <w:sz w:val="24"/>
              </w:rPr>
            </w:pPr>
            <w:r>
              <w:rPr>
                <w:sz w:val="24"/>
              </w:rPr>
              <w:t>10</w:t>
            </w:r>
            <w:r>
              <w:rPr>
                <w:spacing w:val="-15"/>
                <w:sz w:val="24"/>
              </w:rPr>
              <w:t> </w:t>
            </w:r>
            <w:r>
              <w:rPr>
                <w:sz w:val="24"/>
              </w:rPr>
              <w:t>years</w:t>
            </w:r>
            <w:r>
              <w:rPr>
                <w:spacing w:val="-15"/>
                <w:sz w:val="24"/>
              </w:rPr>
              <w:t> </w:t>
            </w:r>
            <w:r>
              <w:rPr>
                <w:sz w:val="24"/>
              </w:rPr>
              <w:t>and </w:t>
            </w:r>
            <w:r>
              <w:rPr>
                <w:spacing w:val="-2"/>
                <w:sz w:val="24"/>
              </w:rPr>
              <w:t>above</w:t>
            </w:r>
          </w:p>
          <w:p>
            <w:pPr>
              <w:pStyle w:val="TableParagraph"/>
              <w:spacing w:before="5"/>
              <w:ind w:left="527"/>
              <w:rPr>
                <w:b/>
                <w:sz w:val="24"/>
              </w:rPr>
            </w:pPr>
            <w:r>
              <w:rPr>
                <w:b/>
                <w:spacing w:val="-2"/>
                <w:sz w:val="24"/>
              </w:rPr>
              <w:t>Total</w:t>
            </w:r>
          </w:p>
          <w:p>
            <w:pPr>
              <w:pStyle w:val="TableParagraph"/>
              <w:spacing w:before="132"/>
              <w:ind w:left="587"/>
              <w:rPr>
                <w:sz w:val="24"/>
              </w:rPr>
            </w:pPr>
            <w:r>
              <w:rPr>
                <w:spacing w:val="-2"/>
                <w:sz w:val="24"/>
              </w:rPr>
              <w:t>Missing</w:t>
            </w:r>
          </w:p>
        </w:tc>
        <w:tc>
          <w:tcPr>
            <w:tcW w:w="1601" w:type="dxa"/>
            <w:tcBorders>
              <w:bottom w:val="nil"/>
            </w:tcBorders>
          </w:tcPr>
          <w:p>
            <w:pPr>
              <w:pStyle w:val="TableParagraph"/>
              <w:spacing w:before="130"/>
              <w:rPr>
                <w:b/>
                <w:sz w:val="24"/>
              </w:rPr>
            </w:pPr>
          </w:p>
          <w:p>
            <w:pPr>
              <w:pStyle w:val="TableParagraph"/>
              <w:spacing w:before="1"/>
              <w:ind w:left="105"/>
              <w:rPr>
                <w:sz w:val="24"/>
              </w:rPr>
            </w:pPr>
            <w:r>
              <w:rPr>
                <w:spacing w:val="-5"/>
                <w:sz w:val="24"/>
              </w:rPr>
              <w:t>44</w:t>
            </w:r>
          </w:p>
        </w:tc>
        <w:tc>
          <w:tcPr>
            <w:tcW w:w="1340" w:type="dxa"/>
            <w:tcBorders>
              <w:bottom w:val="nil"/>
            </w:tcBorders>
          </w:tcPr>
          <w:p>
            <w:pPr>
              <w:pStyle w:val="TableParagraph"/>
              <w:spacing w:before="130"/>
              <w:rPr>
                <w:b/>
                <w:sz w:val="24"/>
              </w:rPr>
            </w:pPr>
          </w:p>
          <w:p>
            <w:pPr>
              <w:pStyle w:val="TableParagraph"/>
              <w:spacing w:before="1"/>
              <w:ind w:left="107"/>
              <w:rPr>
                <w:sz w:val="24"/>
              </w:rPr>
            </w:pPr>
            <w:r>
              <w:rPr>
                <w:spacing w:val="-4"/>
                <w:sz w:val="24"/>
              </w:rPr>
              <w:t>18.3</w:t>
            </w:r>
          </w:p>
        </w:tc>
        <w:tc>
          <w:tcPr>
            <w:tcW w:w="1640" w:type="dxa"/>
            <w:tcBorders>
              <w:bottom w:val="nil"/>
            </w:tcBorders>
          </w:tcPr>
          <w:p>
            <w:pPr>
              <w:pStyle w:val="TableParagraph"/>
              <w:spacing w:before="130"/>
              <w:rPr>
                <w:b/>
                <w:sz w:val="24"/>
              </w:rPr>
            </w:pPr>
          </w:p>
          <w:p>
            <w:pPr>
              <w:pStyle w:val="TableParagraph"/>
              <w:spacing w:before="1"/>
              <w:ind w:left="104"/>
              <w:rPr>
                <w:sz w:val="24"/>
              </w:rPr>
            </w:pPr>
            <w:r>
              <w:rPr>
                <w:spacing w:val="-4"/>
                <w:sz w:val="24"/>
              </w:rPr>
              <w:t>18.4</w:t>
            </w:r>
          </w:p>
        </w:tc>
        <w:tc>
          <w:tcPr>
            <w:tcW w:w="1816" w:type="dxa"/>
            <w:tcBorders>
              <w:bottom w:val="nil"/>
            </w:tcBorders>
          </w:tcPr>
          <w:p>
            <w:pPr>
              <w:pStyle w:val="TableParagraph"/>
              <w:spacing w:before="130"/>
              <w:rPr>
                <w:b/>
                <w:sz w:val="24"/>
              </w:rPr>
            </w:pPr>
          </w:p>
          <w:p>
            <w:pPr>
              <w:pStyle w:val="TableParagraph"/>
              <w:spacing w:before="1"/>
              <w:ind w:left="106"/>
              <w:rPr>
                <w:sz w:val="24"/>
              </w:rPr>
            </w:pPr>
            <w:r>
              <w:rPr>
                <w:spacing w:val="-4"/>
                <w:sz w:val="24"/>
              </w:rPr>
              <w:t>18.4</w:t>
            </w:r>
          </w:p>
        </w:tc>
      </w:tr>
      <w:tr>
        <w:trPr>
          <w:trHeight w:val="404" w:hRule="atLeast"/>
        </w:trPr>
        <w:tc>
          <w:tcPr>
            <w:tcW w:w="2132" w:type="dxa"/>
            <w:vMerge/>
            <w:tcBorders>
              <w:top w:val="nil"/>
            </w:tcBorders>
          </w:tcPr>
          <w:p>
            <w:pPr>
              <w:rPr>
                <w:sz w:val="2"/>
                <w:szCs w:val="2"/>
              </w:rPr>
            </w:pPr>
          </w:p>
        </w:tc>
        <w:tc>
          <w:tcPr>
            <w:tcW w:w="1601" w:type="dxa"/>
            <w:tcBorders>
              <w:top w:val="nil"/>
              <w:bottom w:val="nil"/>
            </w:tcBorders>
          </w:tcPr>
          <w:p>
            <w:pPr>
              <w:pStyle w:val="TableParagraph"/>
              <w:spacing w:before="59"/>
              <w:ind w:left="105"/>
              <w:rPr>
                <w:sz w:val="24"/>
              </w:rPr>
            </w:pPr>
            <w:r>
              <w:rPr>
                <w:spacing w:val="-5"/>
                <w:sz w:val="24"/>
              </w:rPr>
              <w:t>46</w:t>
            </w:r>
          </w:p>
        </w:tc>
        <w:tc>
          <w:tcPr>
            <w:tcW w:w="1340" w:type="dxa"/>
            <w:tcBorders>
              <w:top w:val="nil"/>
              <w:bottom w:val="nil"/>
            </w:tcBorders>
          </w:tcPr>
          <w:p>
            <w:pPr>
              <w:pStyle w:val="TableParagraph"/>
              <w:spacing w:before="59"/>
              <w:ind w:left="107"/>
              <w:rPr>
                <w:sz w:val="24"/>
              </w:rPr>
            </w:pPr>
            <w:r>
              <w:rPr>
                <w:spacing w:val="-4"/>
                <w:sz w:val="24"/>
              </w:rPr>
              <w:t>19.2</w:t>
            </w:r>
          </w:p>
        </w:tc>
        <w:tc>
          <w:tcPr>
            <w:tcW w:w="1640" w:type="dxa"/>
            <w:tcBorders>
              <w:top w:val="nil"/>
              <w:bottom w:val="nil"/>
            </w:tcBorders>
          </w:tcPr>
          <w:p>
            <w:pPr>
              <w:pStyle w:val="TableParagraph"/>
              <w:spacing w:before="59"/>
              <w:ind w:left="104"/>
              <w:rPr>
                <w:sz w:val="24"/>
              </w:rPr>
            </w:pPr>
            <w:r>
              <w:rPr>
                <w:spacing w:val="-4"/>
                <w:sz w:val="24"/>
              </w:rPr>
              <w:t>19.2</w:t>
            </w:r>
          </w:p>
        </w:tc>
        <w:tc>
          <w:tcPr>
            <w:tcW w:w="1816" w:type="dxa"/>
            <w:tcBorders>
              <w:top w:val="nil"/>
              <w:bottom w:val="nil"/>
            </w:tcBorders>
          </w:tcPr>
          <w:p>
            <w:pPr>
              <w:pStyle w:val="TableParagraph"/>
              <w:spacing w:before="59"/>
              <w:ind w:left="106"/>
              <w:rPr>
                <w:sz w:val="24"/>
              </w:rPr>
            </w:pPr>
            <w:r>
              <w:rPr>
                <w:spacing w:val="-4"/>
                <w:sz w:val="24"/>
              </w:rPr>
              <w:t>37.7</w:t>
            </w:r>
          </w:p>
        </w:tc>
      </w:tr>
      <w:tr>
        <w:trPr>
          <w:trHeight w:val="610" w:hRule="atLeast"/>
        </w:trPr>
        <w:tc>
          <w:tcPr>
            <w:tcW w:w="2132" w:type="dxa"/>
            <w:vMerge/>
            <w:tcBorders>
              <w:top w:val="nil"/>
            </w:tcBorders>
          </w:tcPr>
          <w:p>
            <w:pPr>
              <w:rPr>
                <w:sz w:val="2"/>
                <w:szCs w:val="2"/>
              </w:rPr>
            </w:pPr>
          </w:p>
        </w:tc>
        <w:tc>
          <w:tcPr>
            <w:tcW w:w="1601" w:type="dxa"/>
            <w:tcBorders>
              <w:top w:val="nil"/>
              <w:bottom w:val="nil"/>
            </w:tcBorders>
          </w:tcPr>
          <w:p>
            <w:pPr>
              <w:pStyle w:val="TableParagraph"/>
              <w:spacing w:before="58"/>
              <w:ind w:left="105"/>
              <w:rPr>
                <w:sz w:val="24"/>
              </w:rPr>
            </w:pPr>
            <w:r>
              <w:rPr>
                <w:spacing w:val="-5"/>
                <w:sz w:val="24"/>
              </w:rPr>
              <w:t>34</w:t>
            </w:r>
          </w:p>
        </w:tc>
        <w:tc>
          <w:tcPr>
            <w:tcW w:w="1340" w:type="dxa"/>
            <w:tcBorders>
              <w:top w:val="nil"/>
              <w:bottom w:val="nil"/>
            </w:tcBorders>
          </w:tcPr>
          <w:p>
            <w:pPr>
              <w:pStyle w:val="TableParagraph"/>
              <w:spacing w:before="58"/>
              <w:ind w:left="107"/>
              <w:rPr>
                <w:sz w:val="24"/>
              </w:rPr>
            </w:pPr>
            <w:r>
              <w:rPr>
                <w:spacing w:val="-4"/>
                <w:sz w:val="24"/>
              </w:rPr>
              <w:t>14.2</w:t>
            </w:r>
          </w:p>
        </w:tc>
        <w:tc>
          <w:tcPr>
            <w:tcW w:w="1640" w:type="dxa"/>
            <w:tcBorders>
              <w:top w:val="nil"/>
              <w:bottom w:val="nil"/>
            </w:tcBorders>
          </w:tcPr>
          <w:p>
            <w:pPr>
              <w:pStyle w:val="TableParagraph"/>
              <w:spacing w:before="58"/>
              <w:ind w:left="104"/>
              <w:rPr>
                <w:sz w:val="24"/>
              </w:rPr>
            </w:pPr>
            <w:r>
              <w:rPr>
                <w:spacing w:val="-4"/>
                <w:sz w:val="24"/>
              </w:rPr>
              <w:t>14.2</w:t>
            </w:r>
          </w:p>
        </w:tc>
        <w:tc>
          <w:tcPr>
            <w:tcW w:w="1816" w:type="dxa"/>
            <w:tcBorders>
              <w:top w:val="nil"/>
              <w:bottom w:val="nil"/>
            </w:tcBorders>
          </w:tcPr>
          <w:p>
            <w:pPr>
              <w:pStyle w:val="TableParagraph"/>
              <w:spacing w:before="58"/>
              <w:ind w:left="106"/>
              <w:rPr>
                <w:sz w:val="24"/>
              </w:rPr>
            </w:pPr>
            <w:r>
              <w:rPr>
                <w:spacing w:val="-4"/>
                <w:sz w:val="24"/>
              </w:rPr>
              <w:t>51.4</w:t>
            </w:r>
          </w:p>
        </w:tc>
      </w:tr>
      <w:tr>
        <w:trPr>
          <w:trHeight w:val="613" w:hRule="atLeast"/>
        </w:trPr>
        <w:tc>
          <w:tcPr>
            <w:tcW w:w="2132" w:type="dxa"/>
            <w:vMerge/>
            <w:tcBorders>
              <w:top w:val="nil"/>
            </w:tcBorders>
          </w:tcPr>
          <w:p>
            <w:pPr>
              <w:rPr>
                <w:sz w:val="2"/>
                <w:szCs w:val="2"/>
              </w:rPr>
            </w:pPr>
          </w:p>
        </w:tc>
        <w:tc>
          <w:tcPr>
            <w:tcW w:w="1601" w:type="dxa"/>
            <w:tcBorders>
              <w:top w:val="nil"/>
              <w:bottom w:val="nil"/>
            </w:tcBorders>
          </w:tcPr>
          <w:p>
            <w:pPr>
              <w:pStyle w:val="TableParagraph"/>
              <w:spacing w:before="266"/>
              <w:ind w:left="105"/>
              <w:rPr>
                <w:sz w:val="24"/>
              </w:rPr>
            </w:pPr>
            <w:r>
              <w:rPr>
                <w:spacing w:val="-5"/>
                <w:sz w:val="24"/>
              </w:rPr>
              <w:t>115</w:t>
            </w:r>
          </w:p>
        </w:tc>
        <w:tc>
          <w:tcPr>
            <w:tcW w:w="1340" w:type="dxa"/>
            <w:tcBorders>
              <w:top w:val="nil"/>
              <w:bottom w:val="nil"/>
            </w:tcBorders>
          </w:tcPr>
          <w:p>
            <w:pPr>
              <w:pStyle w:val="TableParagraph"/>
              <w:spacing w:before="266"/>
              <w:ind w:left="107"/>
              <w:rPr>
                <w:sz w:val="24"/>
              </w:rPr>
            </w:pPr>
            <w:r>
              <w:rPr>
                <w:spacing w:val="-4"/>
                <w:sz w:val="24"/>
              </w:rPr>
              <w:t>47.9</w:t>
            </w:r>
          </w:p>
        </w:tc>
        <w:tc>
          <w:tcPr>
            <w:tcW w:w="1640" w:type="dxa"/>
            <w:tcBorders>
              <w:top w:val="nil"/>
              <w:bottom w:val="nil"/>
            </w:tcBorders>
          </w:tcPr>
          <w:p>
            <w:pPr>
              <w:pStyle w:val="TableParagraph"/>
              <w:spacing w:before="266"/>
              <w:ind w:left="104"/>
              <w:rPr>
                <w:sz w:val="24"/>
              </w:rPr>
            </w:pPr>
            <w:r>
              <w:rPr>
                <w:spacing w:val="-4"/>
                <w:sz w:val="24"/>
              </w:rPr>
              <w:t>48.1</w:t>
            </w:r>
          </w:p>
        </w:tc>
        <w:tc>
          <w:tcPr>
            <w:tcW w:w="1816" w:type="dxa"/>
            <w:tcBorders>
              <w:top w:val="nil"/>
              <w:bottom w:val="nil"/>
            </w:tcBorders>
          </w:tcPr>
          <w:p>
            <w:pPr>
              <w:pStyle w:val="TableParagraph"/>
              <w:spacing w:before="266"/>
              <w:ind w:left="106"/>
              <w:rPr>
                <w:sz w:val="24"/>
              </w:rPr>
            </w:pPr>
            <w:r>
              <w:rPr>
                <w:spacing w:val="-5"/>
                <w:sz w:val="24"/>
              </w:rPr>
              <w:t>100</w:t>
            </w:r>
          </w:p>
        </w:tc>
      </w:tr>
      <w:tr>
        <w:trPr>
          <w:trHeight w:val="404" w:hRule="atLeast"/>
        </w:trPr>
        <w:tc>
          <w:tcPr>
            <w:tcW w:w="2132" w:type="dxa"/>
            <w:vMerge/>
            <w:tcBorders>
              <w:top w:val="nil"/>
            </w:tcBorders>
          </w:tcPr>
          <w:p>
            <w:pPr>
              <w:rPr>
                <w:sz w:val="2"/>
                <w:szCs w:val="2"/>
              </w:rPr>
            </w:pPr>
          </w:p>
        </w:tc>
        <w:tc>
          <w:tcPr>
            <w:tcW w:w="1601" w:type="dxa"/>
            <w:tcBorders>
              <w:top w:val="nil"/>
              <w:bottom w:val="nil"/>
            </w:tcBorders>
          </w:tcPr>
          <w:p>
            <w:pPr>
              <w:pStyle w:val="TableParagraph"/>
              <w:spacing w:before="62"/>
              <w:ind w:left="105"/>
              <w:rPr>
                <w:b/>
                <w:sz w:val="24"/>
              </w:rPr>
            </w:pPr>
            <w:r>
              <w:rPr>
                <w:b/>
                <w:spacing w:val="-5"/>
                <w:sz w:val="24"/>
              </w:rPr>
              <w:t>239</w:t>
            </w:r>
          </w:p>
        </w:tc>
        <w:tc>
          <w:tcPr>
            <w:tcW w:w="1340" w:type="dxa"/>
            <w:tcBorders>
              <w:top w:val="nil"/>
              <w:bottom w:val="nil"/>
            </w:tcBorders>
          </w:tcPr>
          <w:p>
            <w:pPr>
              <w:pStyle w:val="TableParagraph"/>
              <w:spacing w:before="62"/>
              <w:ind w:left="107"/>
              <w:rPr>
                <w:b/>
                <w:sz w:val="24"/>
              </w:rPr>
            </w:pPr>
            <w:r>
              <w:rPr>
                <w:b/>
                <w:spacing w:val="-4"/>
                <w:sz w:val="24"/>
              </w:rPr>
              <w:t>99.6</w:t>
            </w:r>
          </w:p>
        </w:tc>
        <w:tc>
          <w:tcPr>
            <w:tcW w:w="1640" w:type="dxa"/>
            <w:tcBorders>
              <w:top w:val="nil"/>
              <w:bottom w:val="nil"/>
            </w:tcBorders>
          </w:tcPr>
          <w:p>
            <w:pPr>
              <w:pStyle w:val="TableParagraph"/>
              <w:spacing w:before="62"/>
              <w:ind w:left="104"/>
              <w:rPr>
                <w:b/>
                <w:sz w:val="24"/>
              </w:rPr>
            </w:pPr>
            <w:r>
              <w:rPr>
                <w:b/>
                <w:spacing w:val="-5"/>
                <w:sz w:val="24"/>
              </w:rPr>
              <w:t>100</w:t>
            </w:r>
          </w:p>
        </w:tc>
        <w:tc>
          <w:tcPr>
            <w:tcW w:w="1816" w:type="dxa"/>
            <w:tcBorders>
              <w:top w:val="nil"/>
              <w:bottom w:val="nil"/>
            </w:tcBorders>
          </w:tcPr>
          <w:p>
            <w:pPr>
              <w:pStyle w:val="TableParagraph"/>
              <w:rPr>
                <w:sz w:val="24"/>
              </w:rPr>
            </w:pPr>
          </w:p>
        </w:tc>
      </w:tr>
      <w:tr>
        <w:trPr>
          <w:trHeight w:val="476" w:hRule="atLeast"/>
        </w:trPr>
        <w:tc>
          <w:tcPr>
            <w:tcW w:w="2132" w:type="dxa"/>
            <w:vMerge/>
            <w:tcBorders>
              <w:top w:val="nil"/>
            </w:tcBorders>
          </w:tcPr>
          <w:p>
            <w:pPr>
              <w:rPr>
                <w:sz w:val="2"/>
                <w:szCs w:val="2"/>
              </w:rPr>
            </w:pPr>
          </w:p>
        </w:tc>
        <w:tc>
          <w:tcPr>
            <w:tcW w:w="1601" w:type="dxa"/>
            <w:tcBorders>
              <w:top w:val="nil"/>
            </w:tcBorders>
          </w:tcPr>
          <w:p>
            <w:pPr>
              <w:pStyle w:val="TableParagraph"/>
              <w:spacing w:before="56"/>
              <w:ind w:left="105"/>
              <w:rPr>
                <w:sz w:val="24"/>
              </w:rPr>
            </w:pPr>
            <w:r>
              <w:rPr>
                <w:spacing w:val="-10"/>
                <w:sz w:val="24"/>
              </w:rPr>
              <w:t>1</w:t>
            </w:r>
          </w:p>
        </w:tc>
        <w:tc>
          <w:tcPr>
            <w:tcW w:w="1340" w:type="dxa"/>
            <w:tcBorders>
              <w:top w:val="nil"/>
            </w:tcBorders>
          </w:tcPr>
          <w:p>
            <w:pPr>
              <w:pStyle w:val="TableParagraph"/>
              <w:spacing w:before="56"/>
              <w:ind w:left="107"/>
              <w:rPr>
                <w:sz w:val="24"/>
              </w:rPr>
            </w:pPr>
            <w:r>
              <w:rPr>
                <w:spacing w:val="-5"/>
                <w:sz w:val="24"/>
              </w:rPr>
              <w:t>0.4</w:t>
            </w:r>
          </w:p>
        </w:tc>
        <w:tc>
          <w:tcPr>
            <w:tcW w:w="1640" w:type="dxa"/>
            <w:tcBorders>
              <w:top w:val="nil"/>
            </w:tcBorders>
          </w:tcPr>
          <w:p>
            <w:pPr>
              <w:pStyle w:val="TableParagraph"/>
              <w:rPr>
                <w:sz w:val="24"/>
              </w:rPr>
            </w:pPr>
          </w:p>
        </w:tc>
        <w:tc>
          <w:tcPr>
            <w:tcW w:w="1816" w:type="dxa"/>
            <w:tcBorders>
              <w:top w:val="nil"/>
            </w:tcBorders>
          </w:tcPr>
          <w:p>
            <w:pPr>
              <w:pStyle w:val="TableParagraph"/>
              <w:rPr>
                <w:sz w:val="24"/>
              </w:rPr>
            </w:pPr>
          </w:p>
        </w:tc>
      </w:tr>
      <w:tr>
        <w:trPr>
          <w:trHeight w:val="412" w:hRule="atLeast"/>
        </w:trPr>
        <w:tc>
          <w:tcPr>
            <w:tcW w:w="2132" w:type="dxa"/>
          </w:tcPr>
          <w:p>
            <w:pPr>
              <w:pStyle w:val="TableParagraph"/>
              <w:rPr>
                <w:sz w:val="24"/>
              </w:rPr>
            </w:pPr>
          </w:p>
        </w:tc>
        <w:tc>
          <w:tcPr>
            <w:tcW w:w="1601" w:type="dxa"/>
          </w:tcPr>
          <w:p>
            <w:pPr>
              <w:pStyle w:val="TableParagraph"/>
              <w:spacing w:line="275" w:lineRule="exact"/>
              <w:ind w:left="105"/>
              <w:rPr>
                <w:b/>
                <w:sz w:val="24"/>
              </w:rPr>
            </w:pPr>
            <w:r>
              <w:rPr>
                <w:b/>
                <w:spacing w:val="-5"/>
                <w:sz w:val="24"/>
              </w:rPr>
              <w:t>240</w:t>
            </w:r>
          </w:p>
        </w:tc>
        <w:tc>
          <w:tcPr>
            <w:tcW w:w="1340" w:type="dxa"/>
          </w:tcPr>
          <w:p>
            <w:pPr>
              <w:pStyle w:val="TableParagraph"/>
              <w:spacing w:line="275" w:lineRule="exact"/>
              <w:ind w:left="107"/>
              <w:rPr>
                <w:b/>
                <w:sz w:val="24"/>
              </w:rPr>
            </w:pPr>
            <w:r>
              <w:rPr>
                <w:b/>
                <w:spacing w:val="-5"/>
                <w:sz w:val="24"/>
              </w:rPr>
              <w:t>100</w:t>
            </w:r>
          </w:p>
        </w:tc>
        <w:tc>
          <w:tcPr>
            <w:tcW w:w="1640" w:type="dxa"/>
          </w:tcPr>
          <w:p>
            <w:pPr>
              <w:pStyle w:val="TableParagraph"/>
              <w:rPr>
                <w:sz w:val="24"/>
              </w:rPr>
            </w:pPr>
          </w:p>
        </w:tc>
        <w:tc>
          <w:tcPr>
            <w:tcW w:w="1816" w:type="dxa"/>
          </w:tcPr>
          <w:p>
            <w:pPr>
              <w:pStyle w:val="TableParagraph"/>
              <w:rPr>
                <w:sz w:val="24"/>
              </w:rPr>
            </w:pPr>
          </w:p>
        </w:tc>
      </w:tr>
    </w:tbl>
    <w:p>
      <w:pPr>
        <w:pStyle w:val="BodyText"/>
        <w:spacing w:before="141"/>
        <w:ind w:left="0"/>
        <w:rPr>
          <w:b/>
        </w:rPr>
      </w:pPr>
    </w:p>
    <w:p>
      <w:pPr>
        <w:pStyle w:val="ListParagraph"/>
        <w:numPr>
          <w:ilvl w:val="2"/>
          <w:numId w:val="19"/>
        </w:numPr>
        <w:tabs>
          <w:tab w:pos="2280" w:val="left" w:leader="none"/>
        </w:tabs>
        <w:spacing w:line="240" w:lineRule="auto" w:before="0" w:after="0"/>
        <w:ind w:left="2280" w:right="0" w:hanging="840"/>
        <w:jc w:val="both"/>
        <w:rPr>
          <w:b/>
          <w:sz w:val="24"/>
        </w:rPr>
      </w:pPr>
      <w:r>
        <w:rPr>
          <w:b/>
          <w:sz w:val="24"/>
        </w:rPr>
        <w:t>Interpretation</w:t>
      </w:r>
      <w:r>
        <w:rPr>
          <w:b/>
          <w:spacing w:val="-4"/>
          <w:sz w:val="24"/>
        </w:rPr>
        <w:t> </w:t>
      </w:r>
      <w:r>
        <w:rPr>
          <w:b/>
          <w:sz w:val="24"/>
        </w:rPr>
        <w:t>of</w:t>
      </w:r>
      <w:r>
        <w:rPr>
          <w:b/>
          <w:spacing w:val="-1"/>
          <w:sz w:val="24"/>
        </w:rPr>
        <w:t> </w:t>
      </w:r>
      <w:r>
        <w:rPr>
          <w:b/>
          <w:sz w:val="24"/>
        </w:rPr>
        <w:t>level</w:t>
      </w:r>
      <w:r>
        <w:rPr>
          <w:b/>
          <w:spacing w:val="-2"/>
          <w:sz w:val="24"/>
        </w:rPr>
        <w:t> </w:t>
      </w:r>
      <w:r>
        <w:rPr>
          <w:b/>
          <w:sz w:val="24"/>
        </w:rPr>
        <w:t>of</w:t>
      </w:r>
      <w:r>
        <w:rPr>
          <w:b/>
          <w:spacing w:val="-1"/>
          <w:sz w:val="24"/>
        </w:rPr>
        <w:t> </w:t>
      </w:r>
      <w:r>
        <w:rPr>
          <w:b/>
          <w:sz w:val="24"/>
        </w:rPr>
        <w:t>Agreement</w:t>
      </w:r>
      <w:r>
        <w:rPr>
          <w:b/>
          <w:spacing w:val="-2"/>
          <w:sz w:val="24"/>
        </w:rPr>
        <w:t> </w:t>
      </w:r>
      <w:r>
        <w:rPr>
          <w:b/>
          <w:sz w:val="24"/>
        </w:rPr>
        <w:t>Scale</w:t>
      </w:r>
      <w:r>
        <w:rPr>
          <w:b/>
          <w:spacing w:val="-2"/>
          <w:sz w:val="24"/>
        </w:rPr>
        <w:t> </w:t>
      </w:r>
      <w:r>
        <w:rPr>
          <w:b/>
          <w:sz w:val="24"/>
        </w:rPr>
        <w:t>Used</w:t>
      </w:r>
      <w:r>
        <w:rPr>
          <w:b/>
          <w:spacing w:val="-2"/>
          <w:sz w:val="24"/>
        </w:rPr>
        <w:t> </w:t>
      </w:r>
      <w:r>
        <w:rPr>
          <w:b/>
          <w:sz w:val="24"/>
        </w:rPr>
        <w:t>in</w:t>
      </w:r>
      <w:r>
        <w:rPr>
          <w:b/>
          <w:spacing w:val="-1"/>
          <w:sz w:val="24"/>
        </w:rPr>
        <w:t> </w:t>
      </w:r>
      <w:r>
        <w:rPr>
          <w:b/>
          <w:sz w:val="24"/>
        </w:rPr>
        <w:t>Perception</w:t>
      </w:r>
      <w:r>
        <w:rPr>
          <w:b/>
          <w:spacing w:val="-1"/>
          <w:sz w:val="24"/>
        </w:rPr>
        <w:t> </w:t>
      </w:r>
      <w:r>
        <w:rPr>
          <w:b/>
          <w:spacing w:val="-2"/>
          <w:sz w:val="24"/>
        </w:rPr>
        <w:t>Survey</w:t>
      </w:r>
    </w:p>
    <w:p>
      <w:pPr>
        <w:pStyle w:val="BodyText"/>
        <w:spacing w:line="360" w:lineRule="auto" w:before="133"/>
        <w:ind w:right="1259" w:firstLine="720"/>
        <w:jc w:val="both"/>
      </w:pPr>
      <w:r>
        <w:rPr/>
        <w:t>For the perception survey, the data is summarized using descriptive statistics. Differences are tested using the T-test and One Way Analysis Of Variance</w:t>
      </w:r>
      <w:r>
        <w:rPr>
          <w:spacing w:val="80"/>
        </w:rPr>
        <w:t> </w:t>
      </w:r>
      <w:r>
        <w:rPr/>
        <w:t>(ANOVA), both at the 0.05 level of significance.</w:t>
      </w:r>
    </w:p>
    <w:p>
      <w:pPr>
        <w:pStyle w:val="BodyText"/>
        <w:spacing w:before="1"/>
        <w:jc w:val="both"/>
      </w:pPr>
      <w:r>
        <w:rPr/>
        <w:t>To</w:t>
      </w:r>
      <w:r>
        <w:rPr>
          <w:spacing w:val="-3"/>
        </w:rPr>
        <w:t> </w:t>
      </w:r>
      <w:r>
        <w:rPr/>
        <w:t>determine</w:t>
      </w:r>
      <w:r>
        <w:rPr>
          <w:spacing w:val="-2"/>
        </w:rPr>
        <w:t> </w:t>
      </w:r>
      <w:r>
        <w:rPr/>
        <w:t>the</w:t>
      </w:r>
      <w:r>
        <w:rPr>
          <w:spacing w:val="-1"/>
        </w:rPr>
        <w:t> </w:t>
      </w:r>
      <w:r>
        <w:rPr/>
        <w:t>significance</w:t>
      </w:r>
      <w:r>
        <w:rPr>
          <w:spacing w:val="-2"/>
        </w:rPr>
        <w:t> </w:t>
      </w:r>
      <w:r>
        <w:rPr/>
        <w:t>for</w:t>
      </w:r>
      <w:r>
        <w:rPr>
          <w:spacing w:val="-1"/>
        </w:rPr>
        <w:t> </w:t>
      </w:r>
      <w:r>
        <w:rPr/>
        <w:t>the</w:t>
      </w:r>
      <w:r>
        <w:rPr>
          <w:spacing w:val="-2"/>
        </w:rPr>
        <w:t> ANOVA:</w:t>
      </w:r>
    </w:p>
    <w:p>
      <w:pPr>
        <w:pStyle w:val="BodyText"/>
        <w:spacing w:before="137"/>
        <w:jc w:val="both"/>
      </w:pPr>
      <w:r>
        <w:rPr/>
        <w:t>-if</w:t>
      </w:r>
      <w:r>
        <w:rPr>
          <w:spacing w:val="-1"/>
        </w:rPr>
        <w:t> </w:t>
      </w:r>
      <w:r>
        <w:rPr/>
        <w:t>p</w:t>
      </w:r>
      <w:r>
        <w:rPr>
          <w:u w:val="single"/>
        </w:rPr>
        <w:t>&lt;</w:t>
      </w:r>
      <w:r>
        <w:rPr>
          <w:spacing w:val="-2"/>
        </w:rPr>
        <w:t> </w:t>
      </w:r>
      <w:r>
        <w:rPr/>
        <w:t>0.05</w:t>
      </w:r>
      <w:r>
        <w:rPr>
          <w:spacing w:val="-1"/>
        </w:rPr>
        <w:t> </w:t>
      </w:r>
      <w:r>
        <w:rPr/>
        <w:t>(Significant):</w:t>
      </w:r>
      <w:r>
        <w:rPr>
          <w:spacing w:val="1"/>
        </w:rPr>
        <w:t> </w:t>
      </w:r>
      <w:r>
        <w:rPr/>
        <w:t>if p</w:t>
      </w:r>
      <w:r>
        <w:rPr>
          <w:spacing w:val="-1"/>
        </w:rPr>
        <w:t> </w:t>
      </w:r>
      <w:r>
        <w:rPr/>
        <w:t>&gt;</w:t>
      </w:r>
      <w:r>
        <w:rPr>
          <w:spacing w:val="-3"/>
        </w:rPr>
        <w:t> </w:t>
      </w:r>
      <w:r>
        <w:rPr/>
        <w:t>0.05</w:t>
      </w:r>
      <w:r>
        <w:rPr>
          <w:spacing w:val="-1"/>
        </w:rPr>
        <w:t> </w:t>
      </w:r>
      <w:r>
        <w:rPr/>
        <w:t>(not </w:t>
      </w:r>
      <w:r>
        <w:rPr>
          <w:spacing w:val="-2"/>
        </w:rPr>
        <w:t>significant)</w:t>
      </w:r>
    </w:p>
    <w:p>
      <w:pPr>
        <w:pStyle w:val="BodyText"/>
        <w:spacing w:before="139"/>
      </w:pPr>
      <w:r>
        <w:rPr/>
        <w:t>or</w:t>
      </w:r>
      <w:r>
        <w:rPr>
          <w:spacing w:val="-2"/>
        </w:rPr>
        <w:t> </w:t>
      </w:r>
      <w:r>
        <w:rPr/>
        <w:t>if</w:t>
      </w:r>
      <w:r>
        <w:rPr>
          <w:spacing w:val="-1"/>
        </w:rPr>
        <w:t> </w:t>
      </w:r>
      <w:r>
        <w:rPr/>
        <w:t>F-value</w:t>
      </w:r>
      <w:r>
        <w:rPr>
          <w:spacing w:val="-1"/>
        </w:rPr>
        <w:t> </w:t>
      </w:r>
      <w:r>
        <w:rPr>
          <w:u w:val="single"/>
        </w:rPr>
        <w:t>&lt;</w:t>
      </w:r>
      <w:r>
        <w:rPr>
          <w:spacing w:val="-2"/>
        </w:rPr>
        <w:t> </w:t>
      </w:r>
      <w:r>
        <w:rPr/>
        <w:t>3.94</w:t>
      </w:r>
      <w:r>
        <w:rPr>
          <w:spacing w:val="1"/>
        </w:rPr>
        <w:t> </w:t>
      </w:r>
      <w:r>
        <w:rPr/>
        <w:t>(not significant):</w:t>
      </w:r>
      <w:r>
        <w:rPr>
          <w:spacing w:val="-1"/>
        </w:rPr>
        <w:t> </w:t>
      </w:r>
      <w:r>
        <w:rPr/>
        <w:t>if</w:t>
      </w:r>
      <w:r>
        <w:rPr>
          <w:spacing w:val="1"/>
        </w:rPr>
        <w:t> </w:t>
      </w:r>
      <w:r>
        <w:rPr/>
        <w:t>F-value </w:t>
      </w:r>
      <w:r>
        <w:rPr>
          <w:u w:val="single"/>
        </w:rPr>
        <w:t>&gt;</w:t>
      </w:r>
      <w:r>
        <w:rPr/>
        <w:t> 3.94 </w:t>
      </w:r>
      <w:r>
        <w:rPr>
          <w:spacing w:val="-2"/>
        </w:rPr>
        <w:t>(Significant).</w:t>
      </w:r>
    </w:p>
    <w:p>
      <w:pPr>
        <w:pStyle w:val="BodyText"/>
        <w:spacing w:line="360" w:lineRule="auto" w:before="137"/>
        <w:ind w:right="1260"/>
      </w:pPr>
      <w:r>
        <w:rPr/>
        <w:t>The Scheffe multiple range test was used to identify the variables contributing to the difference whenever there was a significant difference within a group.</w:t>
      </w:r>
    </w:p>
    <w:p>
      <w:pPr>
        <w:pStyle w:val="BodyText"/>
      </w:pPr>
      <w:r>
        <w:rPr/>
        <w:t>To</w:t>
      </w:r>
      <w:r>
        <w:rPr>
          <w:spacing w:val="-3"/>
        </w:rPr>
        <w:t> </w:t>
      </w:r>
      <w:r>
        <w:rPr/>
        <w:t>determine</w:t>
      </w:r>
      <w:r>
        <w:rPr>
          <w:spacing w:val="-1"/>
        </w:rPr>
        <w:t> </w:t>
      </w:r>
      <w:r>
        <w:rPr/>
        <w:t>the</w:t>
      </w:r>
      <w:r>
        <w:rPr>
          <w:spacing w:val="29"/>
        </w:rPr>
        <w:t>  </w:t>
      </w:r>
      <w:r>
        <w:rPr/>
        <w:t>significance</w:t>
      </w:r>
      <w:r>
        <w:rPr>
          <w:spacing w:val="-1"/>
        </w:rPr>
        <w:t> </w:t>
      </w:r>
      <w:r>
        <w:rPr/>
        <w:t>for</w:t>
      </w:r>
      <w:r>
        <w:rPr>
          <w:spacing w:val="-1"/>
        </w:rPr>
        <w:t> </w:t>
      </w:r>
      <w:r>
        <w:rPr/>
        <w:t>the T-</w:t>
      </w:r>
      <w:r>
        <w:rPr>
          <w:spacing w:val="-2"/>
        </w:rPr>
        <w:t>test:</w:t>
      </w:r>
    </w:p>
    <w:p>
      <w:pPr>
        <w:pStyle w:val="BodyText"/>
        <w:spacing w:before="140"/>
      </w:pPr>
      <w:r>
        <w:rPr/>
        <w:t>-if</w:t>
      </w:r>
      <w:r>
        <w:rPr>
          <w:spacing w:val="-1"/>
        </w:rPr>
        <w:t> </w:t>
      </w:r>
      <w:r>
        <w:rPr/>
        <w:t>p</w:t>
      </w:r>
      <w:r>
        <w:rPr>
          <w:spacing w:val="-2"/>
        </w:rPr>
        <w:t> </w:t>
      </w:r>
      <w:r>
        <w:rPr>
          <w:u w:val="single"/>
        </w:rPr>
        <w:t>&lt;</w:t>
      </w:r>
      <w:r>
        <w:rPr>
          <w:spacing w:val="-1"/>
        </w:rPr>
        <w:t> </w:t>
      </w:r>
      <w:r>
        <w:rPr/>
        <w:t>0.05</w:t>
      </w:r>
      <w:r>
        <w:rPr>
          <w:spacing w:val="-1"/>
        </w:rPr>
        <w:t> </w:t>
      </w:r>
      <w:r>
        <w:rPr/>
        <w:t>(Significant);</w:t>
      </w:r>
      <w:r>
        <w:rPr>
          <w:spacing w:val="1"/>
        </w:rPr>
        <w:t> </w:t>
      </w:r>
      <w:r>
        <w:rPr/>
        <w:t>if p</w:t>
      </w:r>
      <w:r>
        <w:rPr>
          <w:spacing w:val="-1"/>
        </w:rPr>
        <w:t> </w:t>
      </w:r>
      <w:r>
        <w:rPr/>
        <w:t>&gt;</w:t>
      </w:r>
      <w:r>
        <w:rPr>
          <w:spacing w:val="-2"/>
        </w:rPr>
        <w:t> </w:t>
      </w:r>
      <w:r>
        <w:rPr/>
        <w:t>0.05</w:t>
      </w:r>
      <w:r>
        <w:rPr>
          <w:spacing w:val="-1"/>
        </w:rPr>
        <w:t> </w:t>
      </w:r>
      <w:r>
        <w:rPr/>
        <w:t>(not </w:t>
      </w:r>
      <w:r>
        <w:rPr>
          <w:spacing w:val="-2"/>
        </w:rPr>
        <w:t>significant)</w:t>
      </w:r>
    </w:p>
    <w:p>
      <w:pPr>
        <w:pStyle w:val="BodyText"/>
        <w:spacing w:before="137"/>
      </w:pPr>
      <w:r>
        <w:rPr/>
        <w:t>or</w:t>
      </w:r>
      <w:r>
        <w:rPr>
          <w:spacing w:val="-2"/>
        </w:rPr>
        <w:t> </w:t>
      </w:r>
      <w:r>
        <w:rPr/>
        <w:t>if t-value</w:t>
      </w:r>
      <w:r>
        <w:rPr>
          <w:spacing w:val="-1"/>
        </w:rPr>
        <w:t> </w:t>
      </w:r>
      <w:r>
        <w:rPr/>
        <w:t>&lt;</w:t>
      </w:r>
      <w:r>
        <w:rPr>
          <w:spacing w:val="-2"/>
        </w:rPr>
        <w:t> </w:t>
      </w:r>
      <w:r>
        <w:rPr/>
        <w:t>1.96</w:t>
      </w:r>
      <w:r>
        <w:rPr>
          <w:spacing w:val="2"/>
        </w:rPr>
        <w:t> </w:t>
      </w:r>
      <w:r>
        <w:rPr/>
        <w:t>(not</w:t>
      </w:r>
      <w:r>
        <w:rPr>
          <w:spacing w:val="-1"/>
        </w:rPr>
        <w:t> </w:t>
      </w:r>
      <w:r>
        <w:rPr/>
        <w:t>significant);</w:t>
      </w:r>
      <w:r>
        <w:rPr>
          <w:spacing w:val="1"/>
        </w:rPr>
        <w:t> </w:t>
      </w:r>
      <w:r>
        <w:rPr/>
        <w:t>if t-value</w:t>
      </w:r>
      <w:r>
        <w:rPr>
          <w:spacing w:val="-1"/>
        </w:rPr>
        <w:t> </w:t>
      </w:r>
      <w:r>
        <w:rPr>
          <w:u w:val="single"/>
        </w:rPr>
        <w:t>&gt;</w:t>
      </w:r>
      <w:r>
        <w:rPr>
          <w:spacing w:val="-1"/>
        </w:rPr>
        <w:t> </w:t>
      </w:r>
      <w:r>
        <w:rPr/>
        <w:t>1.96 </w:t>
      </w:r>
      <w:r>
        <w:rPr>
          <w:spacing w:val="-2"/>
        </w:rPr>
        <w:t>(Significant).</w:t>
      </w:r>
    </w:p>
    <w:p>
      <w:pPr>
        <w:pStyle w:val="BodyText"/>
        <w:spacing w:line="360" w:lineRule="auto" w:before="139"/>
        <w:ind w:right="1260" w:firstLine="720"/>
      </w:pPr>
      <w:r>
        <w:rPr/>
        <w:t>The mean values of levels of agreement for each variable were interpreted as </w:t>
      </w:r>
      <w:r>
        <w:rPr>
          <w:spacing w:val="-2"/>
        </w:rPr>
        <w:t>follows:</w:t>
      </w:r>
    </w:p>
    <w:p>
      <w:pPr>
        <w:pStyle w:val="BodyText"/>
        <w:tabs>
          <w:tab w:pos="6742" w:val="left" w:leader="none"/>
        </w:tabs>
      </w:pPr>
      <w:r>
        <w:rPr/>
        <w:t>1 to 1.75 = Strongly</w:t>
      </w:r>
      <w:r>
        <w:rPr>
          <w:spacing w:val="-4"/>
        </w:rPr>
        <w:t> </w:t>
      </w:r>
      <w:r>
        <w:rPr>
          <w:spacing w:val="-2"/>
        </w:rPr>
        <w:t>Disagree</w:t>
      </w:r>
      <w:r>
        <w:rPr/>
        <w:tab/>
        <w:t>(SD)</w:t>
      </w:r>
      <w:r>
        <w:rPr>
          <w:spacing w:val="-1"/>
        </w:rPr>
        <w:t> </w:t>
      </w:r>
      <w:r>
        <w:rPr/>
        <w:t>[1 to</w:t>
      </w:r>
      <w:r>
        <w:rPr>
          <w:spacing w:val="1"/>
        </w:rPr>
        <w:t> </w:t>
      </w:r>
      <w:r>
        <w:rPr>
          <w:spacing w:val="-2"/>
        </w:rPr>
        <w:t>1.75]</w:t>
      </w:r>
    </w:p>
    <w:p>
      <w:pPr>
        <w:spacing w:after="0"/>
        <w:sectPr>
          <w:pgSz w:w="11910" w:h="16840"/>
          <w:pgMar w:header="0" w:footer="1561" w:top="1360" w:bottom="1760" w:left="720" w:right="180"/>
        </w:sectPr>
      </w:pPr>
    </w:p>
    <w:p>
      <w:pPr>
        <w:pStyle w:val="BodyText"/>
        <w:tabs>
          <w:tab w:pos="7141" w:val="left" w:leader="none"/>
        </w:tabs>
        <w:spacing w:before="60"/>
      </w:pPr>
      <w:r>
        <w:rPr/>
        <mc:AlternateContent>
          <mc:Choice Requires="wps">
            <w:drawing>
              <wp:anchor distT="0" distB="0" distL="0" distR="0" allowOverlap="1" layoutInCell="1" locked="0" behindDoc="1" simplePos="0" relativeHeight="480668672">
                <wp:simplePos x="0" y="0"/>
                <wp:positionH relativeFrom="page">
                  <wp:posOffset>-1537026</wp:posOffset>
                </wp:positionH>
                <wp:positionV relativeFrom="page">
                  <wp:posOffset>4900424</wp:posOffset>
                </wp:positionV>
                <wp:extent cx="10669905" cy="914400"/>
                <wp:effectExtent l="0" t="0" r="0" b="0"/>
                <wp:wrapNone/>
                <wp:docPr id="297" name="Textbox 297"/>
                <wp:cNvGraphicFramePr>
                  <a:graphicFrameLocks/>
                </wp:cNvGraphicFramePr>
                <a:graphic>
                  <a:graphicData uri="http://schemas.microsoft.com/office/word/2010/wordprocessingShape">
                    <wps:wsp>
                      <wps:cNvPr id="297" name="Textbox 297"/>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47808;rotation:306" type="#_x0000_t136" fillcolor="#ff5400" stroked="f">
                <o:extrusion v:ext="view" autorotationcenter="t"/>
                <v:textpath style="font-family:&quot;Arial MT&quot;;font-size:72pt;v-text-kern:t;mso-text-shadow:auto" string="UNIVERSITY OF IBADAN"/>
                <w10:wrap type="none"/>
              </v:shape>
            </w:pict>
          </mc:Fallback>
        </mc:AlternateContent>
      </w:r>
      <w:r>
        <w:rPr/>
        <w:t>Greater</w:t>
      </w:r>
      <w:r>
        <w:rPr>
          <w:spacing w:val="-3"/>
        </w:rPr>
        <w:t> </w:t>
      </w:r>
      <w:r>
        <w:rPr/>
        <w:t>than</w:t>
      </w:r>
      <w:r>
        <w:rPr>
          <w:spacing w:val="-1"/>
        </w:rPr>
        <w:t> </w:t>
      </w:r>
      <w:r>
        <w:rPr/>
        <w:t>1.75</w:t>
      </w:r>
      <w:r>
        <w:rPr>
          <w:spacing w:val="-1"/>
        </w:rPr>
        <w:t> </w:t>
      </w:r>
      <w:r>
        <w:rPr/>
        <w:t>to</w:t>
      </w:r>
      <w:r>
        <w:rPr>
          <w:spacing w:val="-1"/>
        </w:rPr>
        <w:t> </w:t>
      </w:r>
      <w:r>
        <w:rPr/>
        <w:t>2.5</w:t>
      </w:r>
      <w:r>
        <w:rPr>
          <w:spacing w:val="1"/>
        </w:rPr>
        <w:t> </w:t>
      </w:r>
      <w:r>
        <w:rPr/>
        <w:t>= </w:t>
      </w:r>
      <w:r>
        <w:rPr>
          <w:spacing w:val="-2"/>
        </w:rPr>
        <w:t>Disagree</w:t>
      </w:r>
      <w:r>
        <w:rPr/>
        <w:tab/>
        <w:t>(D)</w:t>
      </w:r>
      <w:r>
        <w:rPr>
          <w:spacing w:val="-3"/>
        </w:rPr>
        <w:t> </w:t>
      </w:r>
      <w:r>
        <w:rPr/>
        <w:t>[&gt;1.75</w:t>
      </w:r>
      <w:r>
        <w:rPr>
          <w:spacing w:val="-1"/>
        </w:rPr>
        <w:t> </w:t>
      </w:r>
      <w:r>
        <w:rPr/>
        <w:t>to</w:t>
      </w:r>
      <w:r>
        <w:rPr>
          <w:spacing w:val="-1"/>
        </w:rPr>
        <w:t> </w:t>
      </w:r>
      <w:r>
        <w:rPr>
          <w:spacing w:val="-4"/>
        </w:rPr>
        <w:t>2.5]</w:t>
      </w:r>
    </w:p>
    <w:p>
      <w:pPr>
        <w:pStyle w:val="BodyText"/>
        <w:tabs>
          <w:tab w:pos="7201" w:val="left" w:leader="none"/>
        </w:tabs>
        <w:spacing w:before="138"/>
      </w:pPr>
      <w:r>
        <w:rPr/>
        <w:t>Greater</w:t>
      </w:r>
      <w:r>
        <w:rPr>
          <w:spacing w:val="-1"/>
        </w:rPr>
        <w:t> </w:t>
      </w:r>
      <w:r>
        <w:rPr/>
        <w:t>than</w:t>
      </w:r>
      <w:r>
        <w:rPr>
          <w:spacing w:val="-1"/>
        </w:rPr>
        <w:t> </w:t>
      </w:r>
      <w:r>
        <w:rPr/>
        <w:t>2.5</w:t>
      </w:r>
      <w:r>
        <w:rPr>
          <w:spacing w:val="-1"/>
        </w:rPr>
        <w:t> </w:t>
      </w:r>
      <w:r>
        <w:rPr/>
        <w:t>to</w:t>
      </w:r>
      <w:r>
        <w:rPr>
          <w:spacing w:val="-1"/>
        </w:rPr>
        <w:t> </w:t>
      </w:r>
      <w:r>
        <w:rPr/>
        <w:t>3.25</w:t>
      </w:r>
      <w:r>
        <w:rPr>
          <w:spacing w:val="1"/>
        </w:rPr>
        <w:t> </w:t>
      </w:r>
      <w:r>
        <w:rPr/>
        <w:t>=</w:t>
      </w:r>
      <w:r>
        <w:rPr>
          <w:spacing w:val="-1"/>
        </w:rPr>
        <w:t> </w:t>
      </w:r>
      <w:r>
        <w:rPr>
          <w:spacing w:val="-2"/>
        </w:rPr>
        <w:t>Agree</w:t>
      </w:r>
      <w:r>
        <w:rPr/>
        <w:tab/>
        <w:t>(A)</w:t>
      </w:r>
      <w:r>
        <w:rPr>
          <w:spacing w:val="-3"/>
        </w:rPr>
        <w:t> </w:t>
      </w:r>
      <w:r>
        <w:rPr/>
        <w:t>[&gt;2.5</w:t>
      </w:r>
      <w:r>
        <w:rPr>
          <w:spacing w:val="-1"/>
        </w:rPr>
        <w:t> </w:t>
      </w:r>
      <w:r>
        <w:rPr/>
        <w:t>to</w:t>
      </w:r>
      <w:r>
        <w:rPr>
          <w:spacing w:val="-1"/>
        </w:rPr>
        <w:t> </w:t>
      </w:r>
      <w:r>
        <w:rPr>
          <w:spacing w:val="-2"/>
        </w:rPr>
        <w:t>3.25]</w:t>
      </w:r>
    </w:p>
    <w:p>
      <w:pPr>
        <w:pStyle w:val="BodyText"/>
        <w:tabs>
          <w:tab w:pos="7201" w:val="left" w:leader="none"/>
        </w:tabs>
        <w:spacing w:line="360" w:lineRule="auto" w:before="139"/>
        <w:ind w:right="2137"/>
      </w:pPr>
      <w:r>
        <w:rPr/>
        <w:t>Greater than 3.25 to 4 = Strongly Agree</w:t>
        <w:tab/>
        <w:t>(SA)</w:t>
      </w:r>
      <w:r>
        <w:rPr>
          <w:spacing w:val="-13"/>
        </w:rPr>
        <w:t> </w:t>
      </w:r>
      <w:r>
        <w:rPr/>
        <w:t>[&gt;3.25</w:t>
      </w:r>
      <w:r>
        <w:rPr>
          <w:spacing w:val="-12"/>
        </w:rPr>
        <w:t> </w:t>
      </w:r>
      <w:r>
        <w:rPr/>
        <w:t>to</w:t>
      </w:r>
      <w:r>
        <w:rPr>
          <w:spacing w:val="-12"/>
        </w:rPr>
        <w:t> </w:t>
      </w:r>
      <w:r>
        <w:rPr/>
        <w:t>4] This was used in the relevant sections that follow.</w:t>
      </w:r>
    </w:p>
    <w:p>
      <w:pPr>
        <w:pStyle w:val="BodyText"/>
        <w:spacing w:before="5"/>
        <w:ind w:left="0"/>
      </w:pPr>
    </w:p>
    <w:p>
      <w:pPr>
        <w:pStyle w:val="Heading2"/>
        <w:numPr>
          <w:ilvl w:val="2"/>
          <w:numId w:val="19"/>
        </w:numPr>
        <w:tabs>
          <w:tab w:pos="2100" w:val="left" w:leader="none"/>
        </w:tabs>
        <w:spacing w:line="240" w:lineRule="auto" w:before="0" w:after="0"/>
        <w:ind w:left="2100" w:right="0" w:hanging="660"/>
        <w:jc w:val="both"/>
      </w:pPr>
      <w:bookmarkStart w:name="_TOC_250004" w:id="38"/>
      <w:r>
        <w:rPr/>
        <w:t>Data</w:t>
      </w:r>
      <w:r>
        <w:rPr>
          <w:spacing w:val="-3"/>
        </w:rPr>
        <w:t> </w:t>
      </w:r>
      <w:r>
        <w:rPr/>
        <w:t>Presentation</w:t>
      </w:r>
      <w:r>
        <w:rPr>
          <w:spacing w:val="-2"/>
        </w:rPr>
        <w:t> </w:t>
      </w:r>
      <w:r>
        <w:rPr/>
        <w:t>and</w:t>
      </w:r>
      <w:r>
        <w:rPr>
          <w:spacing w:val="-2"/>
        </w:rPr>
        <w:t> </w:t>
      </w:r>
      <w:r>
        <w:rPr/>
        <w:t>Discussion</w:t>
      </w:r>
      <w:r>
        <w:rPr>
          <w:spacing w:val="-2"/>
        </w:rPr>
        <w:t> </w:t>
      </w:r>
      <w:r>
        <w:rPr/>
        <w:t>of</w:t>
      </w:r>
      <w:r>
        <w:rPr>
          <w:spacing w:val="-1"/>
        </w:rPr>
        <w:t> </w:t>
      </w:r>
      <w:r>
        <w:rPr/>
        <w:t>the</w:t>
      </w:r>
      <w:r>
        <w:rPr>
          <w:spacing w:val="-3"/>
        </w:rPr>
        <w:t> </w:t>
      </w:r>
      <w:r>
        <w:rPr/>
        <w:t>Perception</w:t>
      </w:r>
      <w:bookmarkEnd w:id="38"/>
      <w:r>
        <w:rPr>
          <w:spacing w:val="-2"/>
        </w:rPr>
        <w:t> Survey.</w:t>
      </w:r>
    </w:p>
    <w:p>
      <w:pPr>
        <w:pStyle w:val="ListParagraph"/>
        <w:numPr>
          <w:ilvl w:val="3"/>
          <w:numId w:val="19"/>
        </w:numPr>
        <w:tabs>
          <w:tab w:pos="2359" w:val="left" w:leader="none"/>
        </w:tabs>
        <w:spacing w:line="360" w:lineRule="auto" w:before="137" w:after="0"/>
        <w:ind w:left="1440" w:right="1253" w:firstLine="0"/>
        <w:jc w:val="both"/>
        <w:rPr>
          <w:b/>
          <w:sz w:val="24"/>
        </w:rPr>
      </w:pPr>
      <w:r>
        <w:rPr>
          <w:b/>
          <w:sz w:val="24"/>
        </w:rPr>
        <w:t>RQ4: Perception on the Use the Niger Delta Youth "Militant" to Describe Agitators for Resource Control</w:t>
      </w:r>
    </w:p>
    <w:p>
      <w:pPr>
        <w:pStyle w:val="BodyText"/>
        <w:spacing w:line="360" w:lineRule="auto"/>
        <w:ind w:right="1263" w:firstLine="710"/>
        <w:jc w:val="both"/>
      </w:pPr>
      <w:r>
        <w:rPr/>
        <w:t>Respondents were asked the extent of agreement to the idea of using the language Niger Delta youths "militant" to describe those agitating for resource</w:t>
      </w:r>
      <w:r>
        <w:rPr>
          <w:spacing w:val="40"/>
        </w:rPr>
        <w:t> </w:t>
      </w:r>
      <w:r>
        <w:rPr/>
        <w:t>control. The results from the descriptive statistics shows that there is a general disagreement by respondents on the views (f=l).</w:t>
      </w:r>
    </w:p>
    <w:p>
      <w:pPr>
        <w:pStyle w:val="BodyText"/>
        <w:ind w:left="0"/>
      </w:pPr>
    </w:p>
    <w:p>
      <w:pPr>
        <w:pStyle w:val="Heading2"/>
        <w:numPr>
          <w:ilvl w:val="3"/>
          <w:numId w:val="19"/>
        </w:numPr>
        <w:tabs>
          <w:tab w:pos="2880" w:val="left" w:leader="none"/>
        </w:tabs>
        <w:spacing w:line="360" w:lineRule="auto" w:before="0" w:after="0"/>
        <w:ind w:left="1440" w:right="1816" w:firstLine="0"/>
        <w:jc w:val="left"/>
      </w:pPr>
      <w:r>
        <w:rPr/>
        <w:t>RQ5:</w:t>
      </w:r>
      <w:r>
        <w:rPr>
          <w:spacing w:val="-5"/>
        </w:rPr>
        <w:t> </w:t>
      </w:r>
      <w:r>
        <w:rPr/>
        <w:t>Perception</w:t>
      </w:r>
      <w:r>
        <w:rPr>
          <w:spacing w:val="-4"/>
        </w:rPr>
        <w:t> </w:t>
      </w:r>
      <w:r>
        <w:rPr/>
        <w:t>of</w:t>
      </w:r>
      <w:r>
        <w:rPr>
          <w:spacing w:val="-4"/>
        </w:rPr>
        <w:t> </w:t>
      </w:r>
      <w:r>
        <w:rPr/>
        <w:t>status</w:t>
      </w:r>
      <w:r>
        <w:rPr>
          <w:spacing w:val="-4"/>
        </w:rPr>
        <w:t> </w:t>
      </w:r>
      <w:r>
        <w:rPr/>
        <w:t>of</w:t>
      </w:r>
      <w:r>
        <w:rPr>
          <w:spacing w:val="-5"/>
        </w:rPr>
        <w:t> </w:t>
      </w:r>
      <w:r>
        <w:rPr/>
        <w:t>"Militant"</w:t>
      </w:r>
      <w:r>
        <w:rPr>
          <w:spacing w:val="-4"/>
        </w:rPr>
        <w:t> </w:t>
      </w:r>
      <w:r>
        <w:rPr/>
        <w:t>Group</w:t>
      </w:r>
      <w:r>
        <w:rPr>
          <w:spacing w:val="-6"/>
        </w:rPr>
        <w:t> </w:t>
      </w:r>
      <w:r>
        <w:rPr/>
        <w:t>in</w:t>
      </w:r>
      <w:r>
        <w:rPr>
          <w:spacing w:val="-4"/>
        </w:rPr>
        <w:t> </w:t>
      </w:r>
      <w:r>
        <w:rPr/>
        <w:t>Niger</w:t>
      </w:r>
      <w:r>
        <w:rPr>
          <w:spacing w:val="-5"/>
        </w:rPr>
        <w:t> </w:t>
      </w:r>
      <w:r>
        <w:rPr/>
        <w:t>Delta Table 8:</w:t>
        <w:tab/>
        <w:t>Status of "Militant" Group in Niger Delta</w:t>
      </w: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8"/>
        <w:gridCol w:w="3082"/>
        <w:gridCol w:w="720"/>
        <w:gridCol w:w="1080"/>
        <w:gridCol w:w="737"/>
        <w:gridCol w:w="2336"/>
      </w:tblGrid>
      <w:tr>
        <w:trPr>
          <w:trHeight w:val="421" w:hRule="atLeast"/>
        </w:trPr>
        <w:tc>
          <w:tcPr>
            <w:tcW w:w="878" w:type="dxa"/>
          </w:tcPr>
          <w:p>
            <w:pPr>
              <w:pStyle w:val="TableParagraph"/>
              <w:rPr>
                <w:sz w:val="24"/>
              </w:rPr>
            </w:pPr>
          </w:p>
        </w:tc>
        <w:tc>
          <w:tcPr>
            <w:tcW w:w="3082" w:type="dxa"/>
          </w:tcPr>
          <w:p>
            <w:pPr>
              <w:pStyle w:val="TableParagraph"/>
              <w:rPr>
                <w:sz w:val="24"/>
              </w:rPr>
            </w:pPr>
          </w:p>
        </w:tc>
        <w:tc>
          <w:tcPr>
            <w:tcW w:w="720" w:type="dxa"/>
          </w:tcPr>
          <w:p>
            <w:pPr>
              <w:pStyle w:val="TableParagraph"/>
              <w:spacing w:line="275" w:lineRule="exact"/>
              <w:ind w:left="21" w:right="10"/>
              <w:jc w:val="center"/>
              <w:rPr>
                <w:sz w:val="24"/>
              </w:rPr>
            </w:pPr>
            <w:r>
              <w:rPr>
                <w:spacing w:val="-10"/>
                <w:sz w:val="24"/>
              </w:rPr>
              <w:t>N</w:t>
            </w:r>
          </w:p>
        </w:tc>
        <w:tc>
          <w:tcPr>
            <w:tcW w:w="1080" w:type="dxa"/>
          </w:tcPr>
          <w:p>
            <w:pPr>
              <w:pStyle w:val="TableParagraph"/>
              <w:spacing w:line="275" w:lineRule="exact"/>
              <w:ind w:left="11" w:right="2"/>
              <w:jc w:val="center"/>
              <w:rPr>
                <w:sz w:val="24"/>
              </w:rPr>
            </w:pPr>
            <w:r>
              <w:rPr>
                <w:spacing w:val="-4"/>
                <w:sz w:val="24"/>
              </w:rPr>
              <w:t>Mean</w:t>
            </w:r>
          </w:p>
        </w:tc>
        <w:tc>
          <w:tcPr>
            <w:tcW w:w="737" w:type="dxa"/>
          </w:tcPr>
          <w:p>
            <w:pPr>
              <w:pStyle w:val="TableParagraph"/>
              <w:spacing w:line="275" w:lineRule="exact"/>
              <w:ind w:left="10"/>
              <w:jc w:val="center"/>
              <w:rPr>
                <w:sz w:val="24"/>
              </w:rPr>
            </w:pPr>
            <w:r>
              <w:rPr>
                <w:spacing w:val="-5"/>
                <w:sz w:val="24"/>
              </w:rPr>
              <w:t>SD</w:t>
            </w:r>
          </w:p>
        </w:tc>
        <w:tc>
          <w:tcPr>
            <w:tcW w:w="2336" w:type="dxa"/>
          </w:tcPr>
          <w:p>
            <w:pPr>
              <w:pStyle w:val="TableParagraph"/>
              <w:spacing w:line="275" w:lineRule="exact"/>
              <w:ind w:left="10" w:right="4"/>
              <w:jc w:val="center"/>
              <w:rPr>
                <w:sz w:val="24"/>
              </w:rPr>
            </w:pPr>
            <w:r>
              <w:rPr>
                <w:sz w:val="24"/>
              </w:rPr>
              <w:t>Level</w:t>
            </w:r>
            <w:r>
              <w:rPr>
                <w:spacing w:val="-4"/>
                <w:sz w:val="24"/>
              </w:rPr>
              <w:t> </w:t>
            </w:r>
            <w:r>
              <w:rPr>
                <w:sz w:val="24"/>
              </w:rPr>
              <w:t>of</w:t>
            </w:r>
            <w:r>
              <w:rPr>
                <w:spacing w:val="-1"/>
                <w:sz w:val="24"/>
              </w:rPr>
              <w:t> </w:t>
            </w:r>
            <w:r>
              <w:rPr>
                <w:spacing w:val="-2"/>
                <w:sz w:val="24"/>
              </w:rPr>
              <w:t>Agreement</w:t>
            </w:r>
          </w:p>
        </w:tc>
      </w:tr>
      <w:tr>
        <w:trPr>
          <w:trHeight w:val="390" w:hRule="atLeast"/>
        </w:trPr>
        <w:tc>
          <w:tcPr>
            <w:tcW w:w="878" w:type="dxa"/>
            <w:tcBorders>
              <w:bottom w:val="nil"/>
            </w:tcBorders>
          </w:tcPr>
          <w:p>
            <w:pPr>
              <w:pStyle w:val="TableParagraph"/>
              <w:spacing w:line="270" w:lineRule="exact"/>
              <w:ind w:left="9"/>
              <w:rPr>
                <w:sz w:val="24"/>
              </w:rPr>
            </w:pPr>
            <w:r>
              <w:rPr>
                <w:spacing w:val="-5"/>
                <w:sz w:val="24"/>
              </w:rPr>
              <w:t>B13</w:t>
            </w:r>
          </w:p>
        </w:tc>
        <w:tc>
          <w:tcPr>
            <w:tcW w:w="3082" w:type="dxa"/>
            <w:tcBorders>
              <w:bottom w:val="nil"/>
            </w:tcBorders>
          </w:tcPr>
          <w:p>
            <w:pPr>
              <w:pStyle w:val="TableParagraph"/>
              <w:spacing w:before="25"/>
              <w:ind w:left="9"/>
              <w:rPr>
                <w:sz w:val="24"/>
              </w:rPr>
            </w:pPr>
            <w:r>
              <w:rPr>
                <w:sz w:val="24"/>
              </w:rPr>
              <w:t>Employed</w:t>
            </w:r>
            <w:r>
              <w:rPr>
                <w:spacing w:val="-4"/>
                <w:sz w:val="24"/>
              </w:rPr>
              <w:t> </w:t>
            </w:r>
            <w:r>
              <w:rPr>
                <w:spacing w:val="-2"/>
                <w:sz w:val="24"/>
              </w:rPr>
              <w:t>Youths</w:t>
            </w:r>
          </w:p>
        </w:tc>
        <w:tc>
          <w:tcPr>
            <w:tcW w:w="720" w:type="dxa"/>
            <w:tcBorders>
              <w:bottom w:val="nil"/>
            </w:tcBorders>
          </w:tcPr>
          <w:p>
            <w:pPr>
              <w:pStyle w:val="TableParagraph"/>
              <w:spacing w:line="270" w:lineRule="exact"/>
              <w:ind w:left="21" w:right="11"/>
              <w:jc w:val="center"/>
              <w:rPr>
                <w:sz w:val="24"/>
              </w:rPr>
            </w:pPr>
            <w:r>
              <w:rPr>
                <w:spacing w:val="-5"/>
                <w:sz w:val="24"/>
              </w:rPr>
              <w:t>236</w:t>
            </w:r>
          </w:p>
        </w:tc>
        <w:tc>
          <w:tcPr>
            <w:tcW w:w="1080" w:type="dxa"/>
            <w:tcBorders>
              <w:bottom w:val="nil"/>
            </w:tcBorders>
          </w:tcPr>
          <w:p>
            <w:pPr>
              <w:pStyle w:val="TableParagraph"/>
              <w:spacing w:line="270" w:lineRule="exact"/>
              <w:ind w:left="11" w:right="2"/>
              <w:jc w:val="center"/>
              <w:rPr>
                <w:sz w:val="24"/>
              </w:rPr>
            </w:pPr>
            <w:r>
              <w:rPr>
                <w:spacing w:val="-4"/>
                <w:sz w:val="24"/>
              </w:rPr>
              <w:t>1.85</w:t>
            </w:r>
          </w:p>
        </w:tc>
        <w:tc>
          <w:tcPr>
            <w:tcW w:w="737" w:type="dxa"/>
            <w:tcBorders>
              <w:bottom w:val="nil"/>
            </w:tcBorders>
          </w:tcPr>
          <w:p>
            <w:pPr>
              <w:pStyle w:val="TableParagraph"/>
              <w:spacing w:line="270" w:lineRule="exact"/>
              <w:ind w:left="10" w:right="4"/>
              <w:jc w:val="center"/>
              <w:rPr>
                <w:sz w:val="24"/>
              </w:rPr>
            </w:pPr>
            <w:r>
              <w:rPr>
                <w:spacing w:val="-4"/>
                <w:sz w:val="24"/>
              </w:rPr>
              <w:t>.905</w:t>
            </w:r>
          </w:p>
        </w:tc>
        <w:tc>
          <w:tcPr>
            <w:tcW w:w="2336" w:type="dxa"/>
            <w:tcBorders>
              <w:bottom w:val="nil"/>
            </w:tcBorders>
          </w:tcPr>
          <w:p>
            <w:pPr>
              <w:pStyle w:val="TableParagraph"/>
              <w:spacing w:line="270" w:lineRule="exact"/>
              <w:ind w:left="10"/>
              <w:jc w:val="center"/>
              <w:rPr>
                <w:sz w:val="24"/>
              </w:rPr>
            </w:pPr>
            <w:r>
              <w:rPr>
                <w:spacing w:val="-5"/>
                <w:sz w:val="24"/>
              </w:rPr>
              <w:t>SD</w:t>
            </w:r>
          </w:p>
        </w:tc>
      </w:tr>
      <w:tr>
        <w:trPr>
          <w:trHeight w:val="414" w:hRule="atLeast"/>
        </w:trPr>
        <w:tc>
          <w:tcPr>
            <w:tcW w:w="878" w:type="dxa"/>
            <w:tcBorders>
              <w:top w:val="nil"/>
              <w:bottom w:val="nil"/>
            </w:tcBorders>
          </w:tcPr>
          <w:p>
            <w:pPr>
              <w:pStyle w:val="TableParagraph"/>
              <w:spacing w:before="79"/>
              <w:ind w:left="9"/>
              <w:rPr>
                <w:sz w:val="24"/>
              </w:rPr>
            </w:pPr>
            <w:r>
              <w:rPr>
                <w:spacing w:val="-5"/>
                <w:sz w:val="24"/>
              </w:rPr>
              <w:t>B14</w:t>
            </w:r>
          </w:p>
        </w:tc>
        <w:tc>
          <w:tcPr>
            <w:tcW w:w="3082" w:type="dxa"/>
            <w:tcBorders>
              <w:top w:val="nil"/>
              <w:bottom w:val="nil"/>
            </w:tcBorders>
          </w:tcPr>
          <w:p>
            <w:pPr>
              <w:pStyle w:val="TableParagraph"/>
              <w:spacing w:before="79"/>
              <w:ind w:left="9"/>
              <w:rPr>
                <w:sz w:val="24"/>
              </w:rPr>
            </w:pPr>
            <w:r>
              <w:rPr>
                <w:sz w:val="24"/>
              </w:rPr>
              <w:t>Unemployed</w:t>
            </w:r>
            <w:r>
              <w:rPr>
                <w:spacing w:val="-4"/>
                <w:sz w:val="24"/>
              </w:rPr>
              <w:t> </w:t>
            </w:r>
            <w:r>
              <w:rPr>
                <w:spacing w:val="-2"/>
                <w:sz w:val="24"/>
              </w:rPr>
              <w:t>Youths</w:t>
            </w:r>
          </w:p>
        </w:tc>
        <w:tc>
          <w:tcPr>
            <w:tcW w:w="720" w:type="dxa"/>
            <w:tcBorders>
              <w:top w:val="nil"/>
              <w:bottom w:val="nil"/>
            </w:tcBorders>
          </w:tcPr>
          <w:p>
            <w:pPr>
              <w:pStyle w:val="TableParagraph"/>
              <w:spacing w:before="79"/>
              <w:ind w:left="21" w:right="11"/>
              <w:jc w:val="center"/>
              <w:rPr>
                <w:sz w:val="24"/>
              </w:rPr>
            </w:pPr>
            <w:r>
              <w:rPr>
                <w:spacing w:val="-5"/>
                <w:sz w:val="24"/>
              </w:rPr>
              <w:t>233</w:t>
            </w:r>
          </w:p>
        </w:tc>
        <w:tc>
          <w:tcPr>
            <w:tcW w:w="1080" w:type="dxa"/>
            <w:tcBorders>
              <w:top w:val="nil"/>
              <w:bottom w:val="nil"/>
            </w:tcBorders>
          </w:tcPr>
          <w:p>
            <w:pPr>
              <w:pStyle w:val="TableParagraph"/>
              <w:spacing w:before="79"/>
              <w:ind w:left="11" w:right="2"/>
              <w:jc w:val="center"/>
              <w:rPr>
                <w:sz w:val="24"/>
              </w:rPr>
            </w:pPr>
            <w:r>
              <w:rPr>
                <w:spacing w:val="-4"/>
                <w:sz w:val="24"/>
              </w:rPr>
              <w:t>3.38</w:t>
            </w:r>
          </w:p>
        </w:tc>
        <w:tc>
          <w:tcPr>
            <w:tcW w:w="737" w:type="dxa"/>
            <w:tcBorders>
              <w:top w:val="nil"/>
              <w:bottom w:val="nil"/>
            </w:tcBorders>
          </w:tcPr>
          <w:p>
            <w:pPr>
              <w:pStyle w:val="TableParagraph"/>
              <w:spacing w:before="79"/>
              <w:ind w:left="10" w:right="4"/>
              <w:jc w:val="center"/>
              <w:rPr>
                <w:sz w:val="24"/>
              </w:rPr>
            </w:pPr>
            <w:r>
              <w:rPr>
                <w:spacing w:val="-4"/>
                <w:sz w:val="24"/>
              </w:rPr>
              <w:t>.878</w:t>
            </w:r>
          </w:p>
        </w:tc>
        <w:tc>
          <w:tcPr>
            <w:tcW w:w="2336" w:type="dxa"/>
            <w:tcBorders>
              <w:top w:val="nil"/>
              <w:bottom w:val="nil"/>
            </w:tcBorders>
          </w:tcPr>
          <w:p>
            <w:pPr>
              <w:pStyle w:val="TableParagraph"/>
              <w:spacing w:before="79"/>
              <w:ind w:left="10"/>
              <w:jc w:val="center"/>
              <w:rPr>
                <w:sz w:val="24"/>
              </w:rPr>
            </w:pPr>
            <w:r>
              <w:rPr>
                <w:spacing w:val="-5"/>
                <w:sz w:val="24"/>
              </w:rPr>
              <w:t>SA</w:t>
            </w:r>
          </w:p>
        </w:tc>
      </w:tr>
      <w:tr>
        <w:trPr>
          <w:trHeight w:val="398" w:hRule="atLeast"/>
        </w:trPr>
        <w:tc>
          <w:tcPr>
            <w:tcW w:w="878" w:type="dxa"/>
            <w:tcBorders>
              <w:top w:val="nil"/>
              <w:bottom w:val="nil"/>
            </w:tcBorders>
          </w:tcPr>
          <w:p>
            <w:pPr>
              <w:pStyle w:val="TableParagraph"/>
              <w:spacing w:before="49"/>
              <w:ind w:left="9"/>
              <w:rPr>
                <w:sz w:val="24"/>
              </w:rPr>
            </w:pPr>
            <w:r>
              <w:rPr>
                <w:spacing w:val="-5"/>
                <w:sz w:val="24"/>
              </w:rPr>
              <w:t>B15</w:t>
            </w:r>
          </w:p>
        </w:tc>
        <w:tc>
          <w:tcPr>
            <w:tcW w:w="3082" w:type="dxa"/>
            <w:tcBorders>
              <w:top w:val="nil"/>
              <w:bottom w:val="nil"/>
            </w:tcBorders>
          </w:tcPr>
          <w:p>
            <w:pPr>
              <w:pStyle w:val="TableParagraph"/>
              <w:spacing w:before="49"/>
              <w:ind w:left="9"/>
              <w:rPr>
                <w:sz w:val="24"/>
              </w:rPr>
            </w:pPr>
            <w:r>
              <w:rPr>
                <w:sz w:val="24"/>
              </w:rPr>
              <w:t>Greedy</w:t>
            </w:r>
            <w:r>
              <w:rPr>
                <w:spacing w:val="-3"/>
                <w:sz w:val="24"/>
              </w:rPr>
              <w:t> </w:t>
            </w:r>
            <w:r>
              <w:rPr>
                <w:spacing w:val="-2"/>
                <w:sz w:val="24"/>
              </w:rPr>
              <w:t>Youths</w:t>
            </w:r>
          </w:p>
        </w:tc>
        <w:tc>
          <w:tcPr>
            <w:tcW w:w="720" w:type="dxa"/>
            <w:tcBorders>
              <w:top w:val="nil"/>
              <w:bottom w:val="nil"/>
            </w:tcBorders>
          </w:tcPr>
          <w:p>
            <w:pPr>
              <w:pStyle w:val="TableParagraph"/>
              <w:spacing w:before="49"/>
              <w:ind w:left="21" w:right="11"/>
              <w:jc w:val="center"/>
              <w:rPr>
                <w:sz w:val="24"/>
              </w:rPr>
            </w:pPr>
            <w:r>
              <w:rPr>
                <w:spacing w:val="-5"/>
                <w:sz w:val="24"/>
              </w:rPr>
              <w:t>235</w:t>
            </w:r>
          </w:p>
        </w:tc>
        <w:tc>
          <w:tcPr>
            <w:tcW w:w="1080" w:type="dxa"/>
            <w:tcBorders>
              <w:top w:val="nil"/>
              <w:bottom w:val="nil"/>
            </w:tcBorders>
          </w:tcPr>
          <w:p>
            <w:pPr>
              <w:pStyle w:val="TableParagraph"/>
              <w:spacing w:before="49"/>
              <w:ind w:left="11" w:right="2"/>
              <w:jc w:val="center"/>
              <w:rPr>
                <w:sz w:val="24"/>
              </w:rPr>
            </w:pPr>
            <w:r>
              <w:rPr>
                <w:spacing w:val="-4"/>
                <w:sz w:val="24"/>
              </w:rPr>
              <w:t>2.71</w:t>
            </w:r>
          </w:p>
        </w:tc>
        <w:tc>
          <w:tcPr>
            <w:tcW w:w="737" w:type="dxa"/>
            <w:tcBorders>
              <w:top w:val="nil"/>
              <w:bottom w:val="nil"/>
            </w:tcBorders>
          </w:tcPr>
          <w:p>
            <w:pPr>
              <w:pStyle w:val="TableParagraph"/>
              <w:spacing w:before="49"/>
              <w:ind w:left="10" w:right="4"/>
              <w:jc w:val="center"/>
              <w:rPr>
                <w:sz w:val="24"/>
              </w:rPr>
            </w:pPr>
            <w:r>
              <w:rPr>
                <w:spacing w:val="-2"/>
                <w:sz w:val="24"/>
              </w:rPr>
              <w:t>1.039</w:t>
            </w:r>
          </w:p>
        </w:tc>
        <w:tc>
          <w:tcPr>
            <w:tcW w:w="2336" w:type="dxa"/>
            <w:tcBorders>
              <w:top w:val="nil"/>
              <w:bottom w:val="nil"/>
            </w:tcBorders>
          </w:tcPr>
          <w:p>
            <w:pPr>
              <w:pStyle w:val="TableParagraph"/>
              <w:spacing w:before="49"/>
              <w:ind w:left="10" w:right="1"/>
              <w:jc w:val="center"/>
              <w:rPr>
                <w:sz w:val="24"/>
              </w:rPr>
            </w:pPr>
            <w:r>
              <w:rPr>
                <w:spacing w:val="-10"/>
                <w:sz w:val="24"/>
              </w:rPr>
              <w:t>A</w:t>
            </w:r>
          </w:p>
        </w:tc>
      </w:tr>
      <w:tr>
        <w:trPr>
          <w:trHeight w:val="462" w:hRule="atLeast"/>
        </w:trPr>
        <w:tc>
          <w:tcPr>
            <w:tcW w:w="878" w:type="dxa"/>
            <w:tcBorders>
              <w:top w:val="nil"/>
            </w:tcBorders>
          </w:tcPr>
          <w:p>
            <w:pPr>
              <w:pStyle w:val="TableParagraph"/>
              <w:spacing w:before="63"/>
              <w:ind w:left="9"/>
              <w:rPr>
                <w:sz w:val="24"/>
              </w:rPr>
            </w:pPr>
            <w:r>
              <w:rPr>
                <w:spacing w:val="-5"/>
                <w:sz w:val="24"/>
              </w:rPr>
              <w:t>B16</w:t>
            </w:r>
          </w:p>
        </w:tc>
        <w:tc>
          <w:tcPr>
            <w:tcW w:w="3082" w:type="dxa"/>
            <w:tcBorders>
              <w:top w:val="nil"/>
            </w:tcBorders>
          </w:tcPr>
          <w:p>
            <w:pPr>
              <w:pStyle w:val="TableParagraph"/>
              <w:spacing w:before="63"/>
              <w:ind w:left="9"/>
              <w:rPr>
                <w:sz w:val="24"/>
              </w:rPr>
            </w:pPr>
            <w:r>
              <w:rPr>
                <w:sz w:val="24"/>
              </w:rPr>
              <w:t>Lazy</w:t>
            </w:r>
            <w:r>
              <w:rPr>
                <w:spacing w:val="-3"/>
                <w:sz w:val="24"/>
              </w:rPr>
              <w:t> </w:t>
            </w:r>
            <w:r>
              <w:rPr>
                <w:spacing w:val="-2"/>
                <w:sz w:val="24"/>
              </w:rPr>
              <w:t>Youths</w:t>
            </w:r>
          </w:p>
        </w:tc>
        <w:tc>
          <w:tcPr>
            <w:tcW w:w="720" w:type="dxa"/>
            <w:tcBorders>
              <w:top w:val="nil"/>
            </w:tcBorders>
          </w:tcPr>
          <w:p>
            <w:pPr>
              <w:pStyle w:val="TableParagraph"/>
              <w:spacing w:before="63"/>
              <w:ind w:left="21" w:right="11"/>
              <w:jc w:val="center"/>
              <w:rPr>
                <w:sz w:val="24"/>
              </w:rPr>
            </w:pPr>
            <w:r>
              <w:rPr>
                <w:spacing w:val="-5"/>
                <w:sz w:val="24"/>
              </w:rPr>
              <w:t>234</w:t>
            </w:r>
          </w:p>
        </w:tc>
        <w:tc>
          <w:tcPr>
            <w:tcW w:w="1080" w:type="dxa"/>
            <w:tcBorders>
              <w:top w:val="nil"/>
            </w:tcBorders>
          </w:tcPr>
          <w:p>
            <w:pPr>
              <w:pStyle w:val="TableParagraph"/>
              <w:spacing w:before="63"/>
              <w:ind w:left="11" w:right="2"/>
              <w:jc w:val="center"/>
              <w:rPr>
                <w:sz w:val="24"/>
              </w:rPr>
            </w:pPr>
            <w:r>
              <w:rPr>
                <w:spacing w:val="-4"/>
                <w:sz w:val="24"/>
              </w:rPr>
              <w:t>2.63</w:t>
            </w:r>
          </w:p>
        </w:tc>
        <w:tc>
          <w:tcPr>
            <w:tcW w:w="737" w:type="dxa"/>
            <w:tcBorders>
              <w:top w:val="nil"/>
            </w:tcBorders>
          </w:tcPr>
          <w:p>
            <w:pPr>
              <w:pStyle w:val="TableParagraph"/>
              <w:spacing w:before="63"/>
              <w:ind w:left="10" w:right="4"/>
              <w:jc w:val="center"/>
              <w:rPr>
                <w:sz w:val="24"/>
              </w:rPr>
            </w:pPr>
            <w:r>
              <w:rPr>
                <w:spacing w:val="-2"/>
                <w:sz w:val="24"/>
              </w:rPr>
              <w:t>1.079</w:t>
            </w:r>
          </w:p>
        </w:tc>
        <w:tc>
          <w:tcPr>
            <w:tcW w:w="2336" w:type="dxa"/>
            <w:tcBorders>
              <w:top w:val="nil"/>
            </w:tcBorders>
          </w:tcPr>
          <w:p>
            <w:pPr>
              <w:pStyle w:val="TableParagraph"/>
              <w:spacing w:before="63"/>
              <w:ind w:left="10" w:right="1"/>
              <w:jc w:val="center"/>
              <w:rPr>
                <w:sz w:val="24"/>
              </w:rPr>
            </w:pPr>
            <w:r>
              <w:rPr>
                <w:spacing w:val="-10"/>
                <w:sz w:val="24"/>
              </w:rPr>
              <w:t>A</w:t>
            </w:r>
          </w:p>
        </w:tc>
      </w:tr>
    </w:tbl>
    <w:p>
      <w:pPr>
        <w:pStyle w:val="BodyText"/>
        <w:spacing w:before="133"/>
        <w:ind w:left="0"/>
        <w:rPr>
          <w:b/>
        </w:rPr>
      </w:pPr>
    </w:p>
    <w:p>
      <w:pPr>
        <w:pStyle w:val="BodyText"/>
        <w:spacing w:line="360" w:lineRule="auto"/>
        <w:ind w:right="1260" w:firstLine="720"/>
        <w:jc w:val="both"/>
      </w:pPr>
      <w:r>
        <w:rPr/>
        <w:t>Respondents were asked to classify "militant" groups in the Niger Delta as employed youths, unemployed youths or lazy youths. Majority of the respondents in all the States claim that "militant" groups in the Niger Delta are unemployed youths. Equally,</w:t>
      </w:r>
      <w:r>
        <w:rPr>
          <w:spacing w:val="-4"/>
        </w:rPr>
        <w:t> </w:t>
      </w:r>
      <w:r>
        <w:rPr/>
        <w:t>the</w:t>
      </w:r>
      <w:r>
        <w:rPr>
          <w:spacing w:val="-2"/>
        </w:rPr>
        <w:t> </w:t>
      </w:r>
      <w:r>
        <w:rPr/>
        <w:t>respondents</w:t>
      </w:r>
      <w:r>
        <w:rPr>
          <w:spacing w:val="-2"/>
        </w:rPr>
        <w:t> </w:t>
      </w:r>
      <w:r>
        <w:rPr/>
        <w:t>described</w:t>
      </w:r>
      <w:r>
        <w:rPr>
          <w:spacing w:val="-4"/>
        </w:rPr>
        <w:t> </w:t>
      </w:r>
      <w:r>
        <w:rPr/>
        <w:t>the</w:t>
      </w:r>
      <w:r>
        <w:rPr>
          <w:spacing w:val="-3"/>
        </w:rPr>
        <w:t> </w:t>
      </w:r>
      <w:r>
        <w:rPr/>
        <w:t>"militants"</w:t>
      </w:r>
      <w:r>
        <w:rPr>
          <w:spacing w:val="-4"/>
        </w:rPr>
        <w:t> </w:t>
      </w:r>
      <w:r>
        <w:rPr/>
        <w:t>youths</w:t>
      </w:r>
      <w:r>
        <w:rPr>
          <w:spacing w:val="-4"/>
        </w:rPr>
        <w:t> </w:t>
      </w:r>
      <w:r>
        <w:rPr/>
        <w:t>in</w:t>
      </w:r>
      <w:r>
        <w:rPr>
          <w:spacing w:val="-4"/>
        </w:rPr>
        <w:t> </w:t>
      </w:r>
      <w:r>
        <w:rPr/>
        <w:t>4.6.11.1</w:t>
      </w:r>
      <w:r>
        <w:rPr>
          <w:spacing w:val="-4"/>
        </w:rPr>
        <w:t> </w:t>
      </w:r>
      <w:r>
        <w:rPr/>
        <w:t>perception</w:t>
      </w:r>
      <w:r>
        <w:rPr>
          <w:spacing w:val="-4"/>
        </w:rPr>
        <w:t> </w:t>
      </w:r>
      <w:r>
        <w:rPr/>
        <w:t>on</w:t>
      </w:r>
      <w:r>
        <w:rPr>
          <w:spacing w:val="-4"/>
        </w:rPr>
        <w:t> </w:t>
      </w:r>
      <w:r>
        <w:rPr/>
        <w:t>the Niger Delta youths "militant" to describe agitations of resource control.</w:t>
      </w:r>
    </w:p>
    <w:p>
      <w:pPr>
        <w:pStyle w:val="BodyText"/>
        <w:spacing w:line="360" w:lineRule="auto"/>
        <w:ind w:right="1258" w:firstLine="720"/>
        <w:jc w:val="both"/>
      </w:pPr>
      <w:r>
        <w:rPr/>
        <w:t>Respondents were asked the extent of agreement to the idea of using the language Niger Delta youths "militants" to describe those agitating for resource control. The result from the descriptive statistics shows that there is a general disagreement by respondent on the views (f= 1). The Niger Delta youths are greedy and lazy.</w:t>
      </w:r>
      <w:r>
        <w:rPr>
          <w:spacing w:val="80"/>
        </w:rPr>
        <w:t> </w:t>
      </w:r>
      <w:r>
        <w:rPr/>
        <w:t>Extant literature considered youth unemployment as the most potent triggers of conflicts in the surveyed states.</w:t>
      </w:r>
    </w:p>
    <w:p>
      <w:pPr>
        <w:spacing w:after="0" w:line="360" w:lineRule="auto"/>
        <w:jc w:val="both"/>
        <w:sectPr>
          <w:pgSz w:w="11910" w:h="16840"/>
          <w:pgMar w:header="0" w:footer="1561" w:top="1360" w:bottom="1760" w:left="720" w:right="180"/>
        </w:sectPr>
      </w:pPr>
    </w:p>
    <w:p>
      <w:pPr>
        <w:pStyle w:val="Heading2"/>
        <w:numPr>
          <w:ilvl w:val="3"/>
          <w:numId w:val="19"/>
        </w:numPr>
        <w:tabs>
          <w:tab w:pos="2306" w:val="left" w:leader="none"/>
        </w:tabs>
        <w:spacing w:line="360" w:lineRule="auto" w:before="78" w:after="0"/>
        <w:ind w:left="1440" w:right="1265" w:firstLine="0"/>
        <w:jc w:val="left"/>
      </w:pPr>
      <w:r>
        <w:rPr/>
        <mc:AlternateContent>
          <mc:Choice Requires="wps">
            <w:drawing>
              <wp:anchor distT="0" distB="0" distL="0" distR="0" allowOverlap="1" layoutInCell="1" locked="0" behindDoc="1" simplePos="0" relativeHeight="480669184">
                <wp:simplePos x="0" y="0"/>
                <wp:positionH relativeFrom="page">
                  <wp:posOffset>-1537026</wp:posOffset>
                </wp:positionH>
                <wp:positionV relativeFrom="page">
                  <wp:posOffset>4900424</wp:posOffset>
                </wp:positionV>
                <wp:extent cx="10669905" cy="914400"/>
                <wp:effectExtent l="0" t="0" r="0" b="0"/>
                <wp:wrapNone/>
                <wp:docPr id="298" name="Textbox 298"/>
                <wp:cNvGraphicFramePr>
                  <a:graphicFrameLocks/>
                </wp:cNvGraphicFramePr>
                <a:graphic>
                  <a:graphicData uri="http://schemas.microsoft.com/office/word/2010/wordprocessingShape">
                    <wps:wsp>
                      <wps:cNvPr id="298" name="Textbox 298"/>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47296;rotation:306" type="#_x0000_t136" fillcolor="#ff5400" stroked="f">
                <o:extrusion v:ext="view" autorotationcenter="t"/>
                <v:textpath style="font-family:&quot;Arial MT&quot;;font-size:72pt;v-text-kern:t;mso-text-shadow:auto" string="UNIVERSITY OF IBADAN"/>
                <w10:wrap type="none"/>
              </v:shape>
            </w:pict>
          </mc:Fallback>
        </mc:AlternateContent>
      </w:r>
      <w:r>
        <w:rPr/>
        <w:t>RQ6: Perception on the causes of the militants Acts in the Niger Delta</w:t>
      </w:r>
      <w:r>
        <w:rPr>
          <w:spacing w:val="80"/>
        </w:rPr>
        <w:t> </w:t>
      </w:r>
      <w:r>
        <w:rPr/>
        <w:t>Region of Nigeria</w:t>
      </w:r>
    </w:p>
    <w:p>
      <w:pPr>
        <w:spacing w:before="1"/>
        <w:ind w:left="1440" w:right="0" w:firstLine="0"/>
        <w:jc w:val="left"/>
        <w:rPr>
          <w:b/>
          <w:sz w:val="24"/>
        </w:rPr>
      </w:pPr>
      <w:r>
        <w:rPr>
          <w:b/>
          <w:sz w:val="24"/>
        </w:rPr>
        <w:t>Table</w:t>
      </w:r>
      <w:r>
        <w:rPr>
          <w:b/>
          <w:spacing w:val="-3"/>
          <w:sz w:val="24"/>
        </w:rPr>
        <w:t> </w:t>
      </w:r>
      <w:r>
        <w:rPr>
          <w:b/>
          <w:sz w:val="24"/>
        </w:rPr>
        <w:t>9:</w:t>
      </w:r>
      <w:r>
        <w:rPr>
          <w:b/>
          <w:spacing w:val="-3"/>
          <w:sz w:val="24"/>
        </w:rPr>
        <w:t> </w:t>
      </w:r>
      <w:r>
        <w:rPr>
          <w:b/>
          <w:sz w:val="24"/>
        </w:rPr>
        <w:t>Perception</w:t>
      </w:r>
      <w:r>
        <w:rPr>
          <w:b/>
          <w:spacing w:val="-1"/>
          <w:sz w:val="24"/>
        </w:rPr>
        <w:t> </w:t>
      </w:r>
      <w:r>
        <w:rPr>
          <w:b/>
          <w:sz w:val="24"/>
        </w:rPr>
        <w:t>on</w:t>
      </w:r>
      <w:r>
        <w:rPr>
          <w:b/>
          <w:spacing w:val="-1"/>
          <w:sz w:val="24"/>
        </w:rPr>
        <w:t> </w:t>
      </w:r>
      <w:r>
        <w:rPr>
          <w:b/>
          <w:sz w:val="24"/>
        </w:rPr>
        <w:t>the</w:t>
      </w:r>
      <w:r>
        <w:rPr>
          <w:b/>
          <w:spacing w:val="-1"/>
          <w:sz w:val="24"/>
        </w:rPr>
        <w:t> </w:t>
      </w:r>
      <w:r>
        <w:rPr>
          <w:b/>
          <w:sz w:val="24"/>
        </w:rPr>
        <w:t>Causes</w:t>
      </w:r>
      <w:r>
        <w:rPr>
          <w:b/>
          <w:spacing w:val="-1"/>
          <w:sz w:val="24"/>
        </w:rPr>
        <w:t> </w:t>
      </w:r>
      <w:r>
        <w:rPr>
          <w:b/>
          <w:sz w:val="24"/>
        </w:rPr>
        <w:t>of the</w:t>
      </w:r>
      <w:r>
        <w:rPr>
          <w:b/>
          <w:spacing w:val="-2"/>
          <w:sz w:val="24"/>
        </w:rPr>
        <w:t> </w:t>
      </w:r>
      <w:r>
        <w:rPr>
          <w:b/>
          <w:sz w:val="24"/>
        </w:rPr>
        <w:t>Militants Acts</w:t>
      </w:r>
      <w:r>
        <w:rPr>
          <w:b/>
          <w:spacing w:val="-1"/>
          <w:sz w:val="24"/>
        </w:rPr>
        <w:t> </w:t>
      </w:r>
      <w:r>
        <w:rPr>
          <w:b/>
          <w:sz w:val="24"/>
        </w:rPr>
        <w:t>in</w:t>
      </w:r>
      <w:r>
        <w:rPr>
          <w:b/>
          <w:spacing w:val="-1"/>
          <w:sz w:val="24"/>
        </w:rPr>
        <w:t> </w:t>
      </w:r>
      <w:r>
        <w:rPr>
          <w:b/>
          <w:sz w:val="24"/>
        </w:rPr>
        <w:t>the</w:t>
      </w:r>
      <w:r>
        <w:rPr>
          <w:b/>
          <w:spacing w:val="-2"/>
          <w:sz w:val="24"/>
        </w:rPr>
        <w:t> </w:t>
      </w:r>
      <w:r>
        <w:rPr>
          <w:b/>
          <w:sz w:val="24"/>
        </w:rPr>
        <w:t>Niger</w:t>
      </w:r>
      <w:r>
        <w:rPr>
          <w:b/>
          <w:spacing w:val="-1"/>
          <w:sz w:val="24"/>
        </w:rPr>
        <w:t> </w:t>
      </w:r>
      <w:r>
        <w:rPr>
          <w:b/>
          <w:spacing w:val="-2"/>
          <w:sz w:val="24"/>
        </w:rPr>
        <w:t>Delta</w:t>
      </w:r>
    </w:p>
    <w:p>
      <w:pPr>
        <w:pStyle w:val="BodyText"/>
        <w:spacing w:before="1" w:after="1"/>
        <w:ind w:left="0"/>
        <w:rPr>
          <w:b/>
          <w:sz w:val="12"/>
        </w:rPr>
      </w:pP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96"/>
        <w:gridCol w:w="3805"/>
        <w:gridCol w:w="679"/>
        <w:gridCol w:w="897"/>
        <w:gridCol w:w="842"/>
        <w:gridCol w:w="1605"/>
      </w:tblGrid>
      <w:tr>
        <w:trPr>
          <w:trHeight w:val="827" w:hRule="atLeast"/>
        </w:trPr>
        <w:tc>
          <w:tcPr>
            <w:tcW w:w="696" w:type="dxa"/>
          </w:tcPr>
          <w:p>
            <w:pPr>
              <w:pStyle w:val="TableParagraph"/>
              <w:rPr>
                <w:sz w:val="24"/>
              </w:rPr>
            </w:pPr>
          </w:p>
        </w:tc>
        <w:tc>
          <w:tcPr>
            <w:tcW w:w="3805" w:type="dxa"/>
          </w:tcPr>
          <w:p>
            <w:pPr>
              <w:pStyle w:val="TableParagraph"/>
              <w:rPr>
                <w:sz w:val="24"/>
              </w:rPr>
            </w:pPr>
          </w:p>
        </w:tc>
        <w:tc>
          <w:tcPr>
            <w:tcW w:w="679" w:type="dxa"/>
          </w:tcPr>
          <w:p>
            <w:pPr>
              <w:pStyle w:val="TableParagraph"/>
              <w:spacing w:line="275" w:lineRule="exact"/>
              <w:ind w:left="107"/>
              <w:rPr>
                <w:b/>
                <w:sz w:val="24"/>
              </w:rPr>
            </w:pPr>
            <w:r>
              <w:rPr>
                <w:b/>
                <w:spacing w:val="-10"/>
                <w:sz w:val="24"/>
              </w:rPr>
              <w:t>N</w:t>
            </w:r>
          </w:p>
        </w:tc>
        <w:tc>
          <w:tcPr>
            <w:tcW w:w="897" w:type="dxa"/>
          </w:tcPr>
          <w:p>
            <w:pPr>
              <w:pStyle w:val="TableParagraph"/>
              <w:spacing w:line="275" w:lineRule="exact"/>
              <w:ind w:left="108"/>
              <w:rPr>
                <w:b/>
                <w:sz w:val="24"/>
              </w:rPr>
            </w:pPr>
            <w:r>
              <w:rPr>
                <w:b/>
                <w:spacing w:val="-4"/>
                <w:sz w:val="24"/>
              </w:rPr>
              <w:t>Mean</w:t>
            </w:r>
          </w:p>
        </w:tc>
        <w:tc>
          <w:tcPr>
            <w:tcW w:w="842" w:type="dxa"/>
          </w:tcPr>
          <w:p>
            <w:pPr>
              <w:pStyle w:val="TableParagraph"/>
              <w:spacing w:line="275" w:lineRule="exact"/>
              <w:ind w:left="108"/>
              <w:rPr>
                <w:b/>
                <w:sz w:val="24"/>
              </w:rPr>
            </w:pPr>
            <w:r>
              <w:rPr>
                <w:b/>
                <w:spacing w:val="-5"/>
                <w:sz w:val="24"/>
              </w:rPr>
              <w:t>SD</w:t>
            </w:r>
          </w:p>
        </w:tc>
        <w:tc>
          <w:tcPr>
            <w:tcW w:w="1605" w:type="dxa"/>
          </w:tcPr>
          <w:p>
            <w:pPr>
              <w:pStyle w:val="TableParagraph"/>
              <w:spacing w:line="275" w:lineRule="exact"/>
              <w:ind w:left="109"/>
              <w:rPr>
                <w:b/>
                <w:sz w:val="24"/>
              </w:rPr>
            </w:pPr>
            <w:r>
              <w:rPr>
                <w:b/>
                <w:sz w:val="24"/>
              </w:rPr>
              <w:t>Level</w:t>
            </w:r>
            <w:r>
              <w:rPr>
                <w:b/>
                <w:spacing w:val="-2"/>
                <w:sz w:val="24"/>
              </w:rPr>
              <w:t> </w:t>
            </w:r>
            <w:r>
              <w:rPr>
                <w:b/>
                <w:spacing w:val="-5"/>
                <w:sz w:val="24"/>
              </w:rPr>
              <w:t>of</w:t>
            </w:r>
          </w:p>
          <w:p>
            <w:pPr>
              <w:pStyle w:val="TableParagraph"/>
              <w:spacing w:before="139"/>
              <w:ind w:left="109"/>
              <w:rPr>
                <w:b/>
                <w:sz w:val="24"/>
              </w:rPr>
            </w:pPr>
            <w:r>
              <w:rPr>
                <w:b/>
                <w:spacing w:val="-2"/>
                <w:sz w:val="24"/>
              </w:rPr>
              <w:t>Agreement</w:t>
            </w:r>
          </w:p>
        </w:tc>
      </w:tr>
      <w:tr>
        <w:trPr>
          <w:trHeight w:val="551" w:hRule="atLeast"/>
        </w:trPr>
        <w:tc>
          <w:tcPr>
            <w:tcW w:w="696" w:type="dxa"/>
            <w:tcBorders>
              <w:bottom w:val="nil"/>
            </w:tcBorders>
          </w:tcPr>
          <w:p>
            <w:pPr>
              <w:pStyle w:val="TableParagraph"/>
              <w:spacing w:line="270" w:lineRule="exact"/>
              <w:ind w:left="107"/>
              <w:rPr>
                <w:sz w:val="24"/>
              </w:rPr>
            </w:pPr>
            <w:r>
              <w:rPr>
                <w:spacing w:val="-5"/>
                <w:sz w:val="24"/>
              </w:rPr>
              <w:t>B17</w:t>
            </w:r>
          </w:p>
        </w:tc>
        <w:tc>
          <w:tcPr>
            <w:tcW w:w="3805" w:type="dxa"/>
            <w:tcBorders>
              <w:bottom w:val="nil"/>
            </w:tcBorders>
          </w:tcPr>
          <w:p>
            <w:pPr>
              <w:pStyle w:val="TableParagraph"/>
              <w:spacing w:line="270" w:lineRule="exact"/>
              <w:ind w:left="107"/>
              <w:rPr>
                <w:sz w:val="24"/>
              </w:rPr>
            </w:pPr>
            <w:r>
              <w:rPr>
                <w:sz w:val="24"/>
              </w:rPr>
              <w:t>The</w:t>
            </w:r>
            <w:r>
              <w:rPr>
                <w:spacing w:val="-3"/>
                <w:sz w:val="24"/>
              </w:rPr>
              <w:t> </w:t>
            </w:r>
            <w:r>
              <w:rPr>
                <w:sz w:val="24"/>
              </w:rPr>
              <w:t>need</w:t>
            </w:r>
            <w:r>
              <w:rPr>
                <w:spacing w:val="1"/>
                <w:sz w:val="24"/>
              </w:rPr>
              <w:t> </w:t>
            </w:r>
            <w:r>
              <w:rPr>
                <w:sz w:val="24"/>
              </w:rPr>
              <w:t>for</w:t>
            </w:r>
            <w:r>
              <w:rPr>
                <w:spacing w:val="-3"/>
                <w:sz w:val="24"/>
              </w:rPr>
              <w:t> </w:t>
            </w:r>
            <w:r>
              <w:rPr>
                <w:sz w:val="24"/>
              </w:rPr>
              <w:t>sustainable</w:t>
            </w:r>
            <w:r>
              <w:rPr>
                <w:spacing w:val="1"/>
                <w:sz w:val="24"/>
              </w:rPr>
              <w:t> </w:t>
            </w:r>
            <w:r>
              <w:rPr>
                <w:spacing w:val="-2"/>
                <w:sz w:val="24"/>
              </w:rPr>
              <w:t>democracy.</w:t>
            </w:r>
          </w:p>
        </w:tc>
        <w:tc>
          <w:tcPr>
            <w:tcW w:w="679" w:type="dxa"/>
            <w:tcBorders>
              <w:bottom w:val="nil"/>
            </w:tcBorders>
          </w:tcPr>
          <w:p>
            <w:pPr>
              <w:pStyle w:val="TableParagraph"/>
              <w:spacing w:line="270" w:lineRule="exact"/>
              <w:ind w:left="107"/>
              <w:rPr>
                <w:sz w:val="24"/>
              </w:rPr>
            </w:pPr>
            <w:r>
              <w:rPr>
                <w:spacing w:val="-5"/>
                <w:sz w:val="24"/>
              </w:rPr>
              <w:t>238</w:t>
            </w:r>
          </w:p>
        </w:tc>
        <w:tc>
          <w:tcPr>
            <w:tcW w:w="897" w:type="dxa"/>
            <w:tcBorders>
              <w:bottom w:val="nil"/>
            </w:tcBorders>
          </w:tcPr>
          <w:p>
            <w:pPr>
              <w:pStyle w:val="TableParagraph"/>
              <w:spacing w:line="270" w:lineRule="exact"/>
              <w:ind w:left="108"/>
              <w:rPr>
                <w:sz w:val="24"/>
              </w:rPr>
            </w:pPr>
            <w:r>
              <w:rPr>
                <w:spacing w:val="-4"/>
                <w:sz w:val="24"/>
              </w:rPr>
              <w:t>2.36</w:t>
            </w:r>
          </w:p>
        </w:tc>
        <w:tc>
          <w:tcPr>
            <w:tcW w:w="842" w:type="dxa"/>
            <w:tcBorders>
              <w:bottom w:val="nil"/>
            </w:tcBorders>
          </w:tcPr>
          <w:p>
            <w:pPr>
              <w:pStyle w:val="TableParagraph"/>
              <w:spacing w:line="270" w:lineRule="exact"/>
              <w:ind w:left="108"/>
              <w:rPr>
                <w:sz w:val="24"/>
              </w:rPr>
            </w:pPr>
            <w:r>
              <w:rPr>
                <w:spacing w:val="-2"/>
                <w:sz w:val="24"/>
              </w:rPr>
              <w:t>1.089</w:t>
            </w:r>
          </w:p>
        </w:tc>
        <w:tc>
          <w:tcPr>
            <w:tcW w:w="1605" w:type="dxa"/>
            <w:tcBorders>
              <w:bottom w:val="nil"/>
            </w:tcBorders>
          </w:tcPr>
          <w:p>
            <w:pPr>
              <w:pStyle w:val="TableParagraph"/>
              <w:spacing w:line="270" w:lineRule="exact"/>
              <w:ind w:left="529"/>
              <w:rPr>
                <w:sz w:val="24"/>
              </w:rPr>
            </w:pPr>
            <w:r>
              <w:rPr>
                <w:spacing w:val="-10"/>
                <w:sz w:val="24"/>
              </w:rPr>
              <w:t>D</w:t>
            </w:r>
          </w:p>
        </w:tc>
      </w:tr>
      <w:tr>
        <w:trPr>
          <w:trHeight w:val="621" w:hRule="atLeast"/>
        </w:trPr>
        <w:tc>
          <w:tcPr>
            <w:tcW w:w="696" w:type="dxa"/>
            <w:tcBorders>
              <w:top w:val="nil"/>
              <w:bottom w:val="nil"/>
            </w:tcBorders>
          </w:tcPr>
          <w:p>
            <w:pPr>
              <w:pStyle w:val="TableParagraph"/>
              <w:spacing w:before="271"/>
              <w:ind w:left="107"/>
              <w:rPr>
                <w:sz w:val="24"/>
              </w:rPr>
            </w:pPr>
            <w:r>
              <w:rPr>
                <w:spacing w:val="-5"/>
                <w:sz w:val="24"/>
              </w:rPr>
              <w:t>B18</w:t>
            </w:r>
          </w:p>
        </w:tc>
        <w:tc>
          <w:tcPr>
            <w:tcW w:w="3805" w:type="dxa"/>
            <w:tcBorders>
              <w:top w:val="nil"/>
              <w:bottom w:val="nil"/>
            </w:tcBorders>
          </w:tcPr>
          <w:p>
            <w:pPr>
              <w:pStyle w:val="TableParagraph"/>
              <w:tabs>
                <w:tab w:pos="784" w:val="left" w:leader="none"/>
                <w:tab w:pos="1539" w:val="left" w:leader="none"/>
                <w:tab w:pos="2125" w:val="left" w:leader="none"/>
                <w:tab w:pos="3350" w:val="left" w:leader="none"/>
              </w:tabs>
              <w:spacing w:before="271"/>
              <w:ind w:left="107"/>
              <w:rPr>
                <w:sz w:val="24"/>
              </w:rPr>
            </w:pPr>
            <w:r>
              <w:rPr>
                <w:spacing w:val="-5"/>
                <w:sz w:val="24"/>
              </w:rPr>
              <w:t>The</w:t>
            </w:r>
            <w:r>
              <w:rPr>
                <w:sz w:val="24"/>
              </w:rPr>
              <w:tab/>
            </w:r>
            <w:r>
              <w:rPr>
                <w:spacing w:val="-4"/>
                <w:sz w:val="24"/>
              </w:rPr>
              <w:t>need</w:t>
            </w:r>
            <w:r>
              <w:rPr>
                <w:sz w:val="24"/>
              </w:rPr>
              <w:tab/>
            </w:r>
            <w:r>
              <w:rPr>
                <w:spacing w:val="-5"/>
                <w:sz w:val="24"/>
              </w:rPr>
              <w:t>for</w:t>
            </w:r>
            <w:r>
              <w:rPr>
                <w:sz w:val="24"/>
              </w:rPr>
              <w:tab/>
            </w:r>
            <w:r>
              <w:rPr>
                <w:spacing w:val="-2"/>
                <w:sz w:val="24"/>
              </w:rPr>
              <w:t>amenities</w:t>
            </w:r>
            <w:r>
              <w:rPr>
                <w:sz w:val="24"/>
              </w:rPr>
              <w:tab/>
            </w:r>
            <w:r>
              <w:rPr>
                <w:spacing w:val="-5"/>
                <w:sz w:val="24"/>
              </w:rPr>
              <w:t>and</w:t>
            </w:r>
          </w:p>
        </w:tc>
        <w:tc>
          <w:tcPr>
            <w:tcW w:w="679" w:type="dxa"/>
            <w:tcBorders>
              <w:top w:val="nil"/>
              <w:bottom w:val="nil"/>
            </w:tcBorders>
          </w:tcPr>
          <w:p>
            <w:pPr>
              <w:pStyle w:val="TableParagraph"/>
              <w:spacing w:before="271"/>
              <w:ind w:left="107"/>
              <w:rPr>
                <w:sz w:val="24"/>
              </w:rPr>
            </w:pPr>
            <w:r>
              <w:rPr>
                <w:spacing w:val="-5"/>
                <w:sz w:val="24"/>
              </w:rPr>
              <w:t>237</w:t>
            </w:r>
          </w:p>
        </w:tc>
        <w:tc>
          <w:tcPr>
            <w:tcW w:w="897" w:type="dxa"/>
            <w:tcBorders>
              <w:top w:val="nil"/>
              <w:bottom w:val="nil"/>
            </w:tcBorders>
          </w:tcPr>
          <w:p>
            <w:pPr>
              <w:pStyle w:val="TableParagraph"/>
              <w:spacing w:before="271"/>
              <w:ind w:left="108"/>
              <w:rPr>
                <w:sz w:val="24"/>
              </w:rPr>
            </w:pPr>
            <w:r>
              <w:rPr>
                <w:spacing w:val="-4"/>
                <w:sz w:val="24"/>
              </w:rPr>
              <w:t>2.99</w:t>
            </w:r>
          </w:p>
        </w:tc>
        <w:tc>
          <w:tcPr>
            <w:tcW w:w="842" w:type="dxa"/>
            <w:tcBorders>
              <w:top w:val="nil"/>
              <w:bottom w:val="nil"/>
            </w:tcBorders>
          </w:tcPr>
          <w:p>
            <w:pPr>
              <w:pStyle w:val="TableParagraph"/>
              <w:spacing w:before="271"/>
              <w:ind w:left="108"/>
              <w:rPr>
                <w:sz w:val="24"/>
              </w:rPr>
            </w:pPr>
            <w:r>
              <w:rPr>
                <w:spacing w:val="-2"/>
                <w:sz w:val="24"/>
              </w:rPr>
              <w:t>1.066</w:t>
            </w:r>
          </w:p>
        </w:tc>
        <w:tc>
          <w:tcPr>
            <w:tcW w:w="1605" w:type="dxa"/>
            <w:tcBorders>
              <w:top w:val="nil"/>
              <w:bottom w:val="nil"/>
            </w:tcBorders>
          </w:tcPr>
          <w:p>
            <w:pPr>
              <w:pStyle w:val="TableParagraph"/>
              <w:spacing w:before="271"/>
              <w:ind w:left="469"/>
              <w:rPr>
                <w:sz w:val="24"/>
              </w:rPr>
            </w:pPr>
            <w:r>
              <w:rPr>
                <w:spacing w:val="-10"/>
                <w:sz w:val="24"/>
              </w:rPr>
              <w:t>A</w:t>
            </w:r>
          </w:p>
        </w:tc>
      </w:tr>
      <w:tr>
        <w:trPr>
          <w:trHeight w:val="414" w:hRule="atLeast"/>
        </w:trPr>
        <w:tc>
          <w:tcPr>
            <w:tcW w:w="696" w:type="dxa"/>
            <w:tcBorders>
              <w:top w:val="nil"/>
              <w:bottom w:val="nil"/>
            </w:tcBorders>
          </w:tcPr>
          <w:p>
            <w:pPr>
              <w:pStyle w:val="TableParagraph"/>
              <w:rPr>
                <w:sz w:val="24"/>
              </w:rPr>
            </w:pPr>
          </w:p>
        </w:tc>
        <w:tc>
          <w:tcPr>
            <w:tcW w:w="3805" w:type="dxa"/>
            <w:tcBorders>
              <w:top w:val="nil"/>
              <w:bottom w:val="nil"/>
            </w:tcBorders>
          </w:tcPr>
          <w:p>
            <w:pPr>
              <w:pStyle w:val="TableParagraph"/>
              <w:spacing w:before="64"/>
              <w:ind w:left="107"/>
              <w:rPr>
                <w:sz w:val="24"/>
              </w:rPr>
            </w:pPr>
            <w:r>
              <w:rPr>
                <w:spacing w:val="-2"/>
                <w:sz w:val="24"/>
              </w:rPr>
              <w:t>development.</w:t>
            </w:r>
          </w:p>
        </w:tc>
        <w:tc>
          <w:tcPr>
            <w:tcW w:w="679" w:type="dxa"/>
            <w:tcBorders>
              <w:top w:val="nil"/>
              <w:bottom w:val="nil"/>
            </w:tcBorders>
          </w:tcPr>
          <w:p>
            <w:pPr>
              <w:pStyle w:val="TableParagraph"/>
              <w:rPr>
                <w:sz w:val="24"/>
              </w:rPr>
            </w:pPr>
          </w:p>
        </w:tc>
        <w:tc>
          <w:tcPr>
            <w:tcW w:w="897" w:type="dxa"/>
            <w:tcBorders>
              <w:top w:val="nil"/>
              <w:bottom w:val="nil"/>
            </w:tcBorders>
          </w:tcPr>
          <w:p>
            <w:pPr>
              <w:pStyle w:val="TableParagraph"/>
              <w:rPr>
                <w:sz w:val="24"/>
              </w:rPr>
            </w:pPr>
          </w:p>
        </w:tc>
        <w:tc>
          <w:tcPr>
            <w:tcW w:w="842" w:type="dxa"/>
            <w:tcBorders>
              <w:top w:val="nil"/>
              <w:bottom w:val="nil"/>
            </w:tcBorders>
          </w:tcPr>
          <w:p>
            <w:pPr>
              <w:pStyle w:val="TableParagraph"/>
              <w:rPr>
                <w:sz w:val="24"/>
              </w:rPr>
            </w:pPr>
          </w:p>
        </w:tc>
        <w:tc>
          <w:tcPr>
            <w:tcW w:w="1605" w:type="dxa"/>
            <w:tcBorders>
              <w:top w:val="nil"/>
              <w:bottom w:val="nil"/>
            </w:tcBorders>
          </w:tcPr>
          <w:p>
            <w:pPr>
              <w:pStyle w:val="TableParagraph"/>
              <w:rPr>
                <w:sz w:val="24"/>
              </w:rPr>
            </w:pPr>
          </w:p>
        </w:tc>
      </w:tr>
      <w:tr>
        <w:trPr>
          <w:trHeight w:val="414" w:hRule="atLeast"/>
        </w:trPr>
        <w:tc>
          <w:tcPr>
            <w:tcW w:w="696" w:type="dxa"/>
            <w:tcBorders>
              <w:top w:val="nil"/>
              <w:bottom w:val="nil"/>
            </w:tcBorders>
          </w:tcPr>
          <w:p>
            <w:pPr>
              <w:pStyle w:val="TableParagraph"/>
              <w:rPr>
                <w:sz w:val="24"/>
              </w:rPr>
            </w:pPr>
          </w:p>
        </w:tc>
        <w:tc>
          <w:tcPr>
            <w:tcW w:w="3805" w:type="dxa"/>
            <w:tcBorders>
              <w:top w:val="nil"/>
              <w:bottom w:val="nil"/>
            </w:tcBorders>
          </w:tcPr>
          <w:p>
            <w:pPr>
              <w:pStyle w:val="TableParagraph"/>
              <w:rPr>
                <w:sz w:val="24"/>
              </w:rPr>
            </w:pPr>
          </w:p>
        </w:tc>
        <w:tc>
          <w:tcPr>
            <w:tcW w:w="679" w:type="dxa"/>
            <w:tcBorders>
              <w:top w:val="nil"/>
              <w:bottom w:val="nil"/>
            </w:tcBorders>
          </w:tcPr>
          <w:p>
            <w:pPr>
              <w:pStyle w:val="TableParagraph"/>
              <w:spacing w:before="63"/>
              <w:ind w:left="107"/>
              <w:rPr>
                <w:sz w:val="24"/>
              </w:rPr>
            </w:pPr>
            <w:r>
              <w:rPr>
                <w:spacing w:val="-5"/>
                <w:sz w:val="24"/>
              </w:rPr>
              <w:t>236</w:t>
            </w:r>
          </w:p>
        </w:tc>
        <w:tc>
          <w:tcPr>
            <w:tcW w:w="897" w:type="dxa"/>
            <w:tcBorders>
              <w:top w:val="nil"/>
              <w:bottom w:val="nil"/>
            </w:tcBorders>
          </w:tcPr>
          <w:p>
            <w:pPr>
              <w:pStyle w:val="TableParagraph"/>
              <w:spacing w:before="63"/>
              <w:ind w:left="108"/>
              <w:rPr>
                <w:sz w:val="24"/>
              </w:rPr>
            </w:pPr>
            <w:r>
              <w:rPr>
                <w:spacing w:val="-4"/>
                <w:sz w:val="24"/>
              </w:rPr>
              <w:t>2.72</w:t>
            </w:r>
          </w:p>
        </w:tc>
        <w:tc>
          <w:tcPr>
            <w:tcW w:w="842" w:type="dxa"/>
            <w:tcBorders>
              <w:top w:val="nil"/>
              <w:bottom w:val="nil"/>
            </w:tcBorders>
          </w:tcPr>
          <w:p>
            <w:pPr>
              <w:pStyle w:val="TableParagraph"/>
              <w:spacing w:before="63"/>
              <w:ind w:left="108"/>
              <w:rPr>
                <w:sz w:val="24"/>
              </w:rPr>
            </w:pPr>
            <w:r>
              <w:rPr>
                <w:spacing w:val="-2"/>
                <w:sz w:val="24"/>
              </w:rPr>
              <w:t>1.054</w:t>
            </w:r>
          </w:p>
        </w:tc>
        <w:tc>
          <w:tcPr>
            <w:tcW w:w="1605" w:type="dxa"/>
            <w:tcBorders>
              <w:top w:val="nil"/>
              <w:bottom w:val="nil"/>
            </w:tcBorders>
          </w:tcPr>
          <w:p>
            <w:pPr>
              <w:pStyle w:val="TableParagraph"/>
              <w:spacing w:before="63"/>
              <w:ind w:left="529"/>
              <w:rPr>
                <w:sz w:val="24"/>
              </w:rPr>
            </w:pPr>
            <w:r>
              <w:rPr>
                <w:spacing w:val="-10"/>
                <w:sz w:val="24"/>
              </w:rPr>
              <w:t>A</w:t>
            </w:r>
          </w:p>
        </w:tc>
      </w:tr>
      <w:tr>
        <w:trPr>
          <w:trHeight w:val="413" w:hRule="atLeast"/>
        </w:trPr>
        <w:tc>
          <w:tcPr>
            <w:tcW w:w="696" w:type="dxa"/>
            <w:tcBorders>
              <w:top w:val="nil"/>
              <w:bottom w:val="nil"/>
            </w:tcBorders>
          </w:tcPr>
          <w:p>
            <w:pPr>
              <w:pStyle w:val="TableParagraph"/>
              <w:spacing w:before="64"/>
              <w:ind w:left="107"/>
              <w:rPr>
                <w:sz w:val="24"/>
              </w:rPr>
            </w:pPr>
            <w:r>
              <w:rPr>
                <w:spacing w:val="-5"/>
                <w:sz w:val="24"/>
              </w:rPr>
              <w:t>B19</w:t>
            </w:r>
          </w:p>
        </w:tc>
        <w:tc>
          <w:tcPr>
            <w:tcW w:w="3805" w:type="dxa"/>
            <w:tcBorders>
              <w:top w:val="nil"/>
              <w:bottom w:val="nil"/>
            </w:tcBorders>
          </w:tcPr>
          <w:p>
            <w:pPr>
              <w:pStyle w:val="TableParagraph"/>
              <w:spacing w:before="64"/>
              <w:ind w:left="107"/>
              <w:rPr>
                <w:sz w:val="24"/>
              </w:rPr>
            </w:pPr>
            <w:r>
              <w:rPr>
                <w:sz w:val="24"/>
              </w:rPr>
              <w:t>Selfish</w:t>
            </w:r>
            <w:r>
              <w:rPr>
                <w:spacing w:val="-2"/>
                <w:sz w:val="24"/>
              </w:rPr>
              <w:t> </w:t>
            </w:r>
            <w:r>
              <w:rPr>
                <w:sz w:val="24"/>
              </w:rPr>
              <w:t>interest</w:t>
            </w:r>
            <w:r>
              <w:rPr>
                <w:spacing w:val="-1"/>
                <w:sz w:val="24"/>
              </w:rPr>
              <w:t> </w:t>
            </w:r>
            <w:r>
              <w:rPr>
                <w:sz w:val="24"/>
              </w:rPr>
              <w:t>and </w:t>
            </w:r>
            <w:r>
              <w:rPr>
                <w:spacing w:val="-2"/>
                <w:sz w:val="24"/>
              </w:rPr>
              <w:t>greed.</w:t>
            </w:r>
          </w:p>
        </w:tc>
        <w:tc>
          <w:tcPr>
            <w:tcW w:w="679" w:type="dxa"/>
            <w:tcBorders>
              <w:top w:val="nil"/>
              <w:bottom w:val="nil"/>
            </w:tcBorders>
          </w:tcPr>
          <w:p>
            <w:pPr>
              <w:pStyle w:val="TableParagraph"/>
              <w:rPr>
                <w:sz w:val="24"/>
              </w:rPr>
            </w:pPr>
          </w:p>
        </w:tc>
        <w:tc>
          <w:tcPr>
            <w:tcW w:w="897" w:type="dxa"/>
            <w:tcBorders>
              <w:top w:val="nil"/>
              <w:bottom w:val="nil"/>
            </w:tcBorders>
          </w:tcPr>
          <w:p>
            <w:pPr>
              <w:pStyle w:val="TableParagraph"/>
              <w:rPr>
                <w:sz w:val="24"/>
              </w:rPr>
            </w:pPr>
          </w:p>
        </w:tc>
        <w:tc>
          <w:tcPr>
            <w:tcW w:w="842" w:type="dxa"/>
            <w:tcBorders>
              <w:top w:val="nil"/>
              <w:bottom w:val="nil"/>
            </w:tcBorders>
          </w:tcPr>
          <w:p>
            <w:pPr>
              <w:pStyle w:val="TableParagraph"/>
              <w:rPr>
                <w:sz w:val="24"/>
              </w:rPr>
            </w:pPr>
          </w:p>
        </w:tc>
        <w:tc>
          <w:tcPr>
            <w:tcW w:w="1605" w:type="dxa"/>
            <w:tcBorders>
              <w:top w:val="nil"/>
              <w:bottom w:val="nil"/>
            </w:tcBorders>
          </w:tcPr>
          <w:p>
            <w:pPr>
              <w:pStyle w:val="TableParagraph"/>
              <w:rPr>
                <w:sz w:val="24"/>
              </w:rPr>
            </w:pPr>
          </w:p>
        </w:tc>
      </w:tr>
      <w:tr>
        <w:trPr>
          <w:trHeight w:val="414" w:hRule="atLeast"/>
        </w:trPr>
        <w:tc>
          <w:tcPr>
            <w:tcW w:w="696" w:type="dxa"/>
            <w:tcBorders>
              <w:top w:val="nil"/>
              <w:bottom w:val="nil"/>
            </w:tcBorders>
          </w:tcPr>
          <w:p>
            <w:pPr>
              <w:pStyle w:val="TableParagraph"/>
              <w:rPr>
                <w:sz w:val="24"/>
              </w:rPr>
            </w:pPr>
          </w:p>
        </w:tc>
        <w:tc>
          <w:tcPr>
            <w:tcW w:w="3805" w:type="dxa"/>
            <w:tcBorders>
              <w:top w:val="nil"/>
              <w:bottom w:val="nil"/>
            </w:tcBorders>
          </w:tcPr>
          <w:p>
            <w:pPr>
              <w:pStyle w:val="TableParagraph"/>
              <w:rPr>
                <w:sz w:val="24"/>
              </w:rPr>
            </w:pPr>
          </w:p>
        </w:tc>
        <w:tc>
          <w:tcPr>
            <w:tcW w:w="679" w:type="dxa"/>
            <w:tcBorders>
              <w:top w:val="nil"/>
              <w:bottom w:val="nil"/>
            </w:tcBorders>
          </w:tcPr>
          <w:p>
            <w:pPr>
              <w:pStyle w:val="TableParagraph"/>
              <w:spacing w:before="63"/>
              <w:ind w:left="107"/>
              <w:rPr>
                <w:sz w:val="24"/>
              </w:rPr>
            </w:pPr>
            <w:r>
              <w:rPr>
                <w:spacing w:val="-5"/>
                <w:sz w:val="24"/>
              </w:rPr>
              <w:t>237</w:t>
            </w:r>
          </w:p>
        </w:tc>
        <w:tc>
          <w:tcPr>
            <w:tcW w:w="897" w:type="dxa"/>
            <w:tcBorders>
              <w:top w:val="nil"/>
              <w:bottom w:val="nil"/>
            </w:tcBorders>
          </w:tcPr>
          <w:p>
            <w:pPr>
              <w:pStyle w:val="TableParagraph"/>
              <w:spacing w:before="63"/>
              <w:ind w:left="108"/>
              <w:rPr>
                <w:sz w:val="24"/>
              </w:rPr>
            </w:pPr>
            <w:r>
              <w:rPr>
                <w:spacing w:val="-4"/>
                <w:sz w:val="24"/>
              </w:rPr>
              <w:t>2.89</w:t>
            </w:r>
          </w:p>
        </w:tc>
        <w:tc>
          <w:tcPr>
            <w:tcW w:w="842" w:type="dxa"/>
            <w:tcBorders>
              <w:top w:val="nil"/>
              <w:bottom w:val="nil"/>
            </w:tcBorders>
          </w:tcPr>
          <w:p>
            <w:pPr>
              <w:pStyle w:val="TableParagraph"/>
              <w:spacing w:before="63"/>
              <w:ind w:left="108"/>
              <w:rPr>
                <w:sz w:val="24"/>
              </w:rPr>
            </w:pPr>
            <w:r>
              <w:rPr>
                <w:spacing w:val="-2"/>
                <w:sz w:val="24"/>
              </w:rPr>
              <w:t>1.007</w:t>
            </w:r>
          </w:p>
        </w:tc>
        <w:tc>
          <w:tcPr>
            <w:tcW w:w="1605" w:type="dxa"/>
            <w:tcBorders>
              <w:top w:val="nil"/>
              <w:bottom w:val="nil"/>
            </w:tcBorders>
          </w:tcPr>
          <w:p>
            <w:pPr>
              <w:pStyle w:val="TableParagraph"/>
              <w:spacing w:before="63"/>
              <w:ind w:left="529"/>
              <w:rPr>
                <w:sz w:val="24"/>
              </w:rPr>
            </w:pPr>
            <w:r>
              <w:rPr>
                <w:spacing w:val="-10"/>
                <w:sz w:val="24"/>
              </w:rPr>
              <w:t>A</w:t>
            </w:r>
          </w:p>
        </w:tc>
      </w:tr>
      <w:tr>
        <w:trPr>
          <w:trHeight w:val="414" w:hRule="atLeast"/>
        </w:trPr>
        <w:tc>
          <w:tcPr>
            <w:tcW w:w="696" w:type="dxa"/>
            <w:tcBorders>
              <w:top w:val="nil"/>
              <w:bottom w:val="nil"/>
            </w:tcBorders>
          </w:tcPr>
          <w:p>
            <w:pPr>
              <w:pStyle w:val="TableParagraph"/>
              <w:spacing w:before="64"/>
              <w:ind w:left="107"/>
              <w:rPr>
                <w:sz w:val="24"/>
              </w:rPr>
            </w:pPr>
            <w:r>
              <w:rPr>
                <w:spacing w:val="-5"/>
                <w:sz w:val="24"/>
              </w:rPr>
              <w:t>B20</w:t>
            </w:r>
          </w:p>
        </w:tc>
        <w:tc>
          <w:tcPr>
            <w:tcW w:w="3805" w:type="dxa"/>
            <w:tcBorders>
              <w:top w:val="nil"/>
              <w:bottom w:val="nil"/>
            </w:tcBorders>
          </w:tcPr>
          <w:p>
            <w:pPr>
              <w:pStyle w:val="TableParagraph"/>
              <w:spacing w:before="64"/>
              <w:ind w:left="107"/>
              <w:rPr>
                <w:sz w:val="24"/>
              </w:rPr>
            </w:pPr>
            <w:r>
              <w:rPr>
                <w:sz w:val="24"/>
              </w:rPr>
              <w:t>Resource</w:t>
            </w:r>
            <w:r>
              <w:rPr>
                <w:spacing w:val="-4"/>
                <w:sz w:val="24"/>
              </w:rPr>
              <w:t> </w:t>
            </w:r>
            <w:r>
              <w:rPr>
                <w:spacing w:val="-2"/>
                <w:sz w:val="24"/>
              </w:rPr>
              <w:t>Control.</w:t>
            </w:r>
          </w:p>
        </w:tc>
        <w:tc>
          <w:tcPr>
            <w:tcW w:w="679" w:type="dxa"/>
            <w:tcBorders>
              <w:top w:val="nil"/>
              <w:bottom w:val="nil"/>
            </w:tcBorders>
          </w:tcPr>
          <w:p>
            <w:pPr>
              <w:pStyle w:val="TableParagraph"/>
              <w:rPr>
                <w:sz w:val="24"/>
              </w:rPr>
            </w:pPr>
          </w:p>
        </w:tc>
        <w:tc>
          <w:tcPr>
            <w:tcW w:w="897" w:type="dxa"/>
            <w:tcBorders>
              <w:top w:val="nil"/>
              <w:bottom w:val="nil"/>
            </w:tcBorders>
          </w:tcPr>
          <w:p>
            <w:pPr>
              <w:pStyle w:val="TableParagraph"/>
              <w:rPr>
                <w:sz w:val="24"/>
              </w:rPr>
            </w:pPr>
          </w:p>
        </w:tc>
        <w:tc>
          <w:tcPr>
            <w:tcW w:w="842" w:type="dxa"/>
            <w:tcBorders>
              <w:top w:val="nil"/>
              <w:bottom w:val="nil"/>
            </w:tcBorders>
          </w:tcPr>
          <w:p>
            <w:pPr>
              <w:pStyle w:val="TableParagraph"/>
              <w:rPr>
                <w:sz w:val="24"/>
              </w:rPr>
            </w:pPr>
          </w:p>
        </w:tc>
        <w:tc>
          <w:tcPr>
            <w:tcW w:w="1605" w:type="dxa"/>
            <w:tcBorders>
              <w:top w:val="nil"/>
              <w:bottom w:val="nil"/>
            </w:tcBorders>
          </w:tcPr>
          <w:p>
            <w:pPr>
              <w:pStyle w:val="TableParagraph"/>
              <w:rPr>
                <w:sz w:val="24"/>
              </w:rPr>
            </w:pPr>
          </w:p>
        </w:tc>
      </w:tr>
      <w:tr>
        <w:trPr>
          <w:trHeight w:val="413" w:hRule="atLeast"/>
        </w:trPr>
        <w:tc>
          <w:tcPr>
            <w:tcW w:w="696" w:type="dxa"/>
            <w:tcBorders>
              <w:top w:val="nil"/>
              <w:bottom w:val="nil"/>
            </w:tcBorders>
          </w:tcPr>
          <w:p>
            <w:pPr>
              <w:pStyle w:val="TableParagraph"/>
              <w:rPr>
                <w:sz w:val="24"/>
              </w:rPr>
            </w:pPr>
          </w:p>
        </w:tc>
        <w:tc>
          <w:tcPr>
            <w:tcW w:w="3805" w:type="dxa"/>
            <w:tcBorders>
              <w:top w:val="nil"/>
              <w:bottom w:val="nil"/>
            </w:tcBorders>
          </w:tcPr>
          <w:p>
            <w:pPr>
              <w:pStyle w:val="TableParagraph"/>
              <w:rPr>
                <w:sz w:val="24"/>
              </w:rPr>
            </w:pPr>
          </w:p>
        </w:tc>
        <w:tc>
          <w:tcPr>
            <w:tcW w:w="679" w:type="dxa"/>
            <w:tcBorders>
              <w:top w:val="nil"/>
              <w:bottom w:val="nil"/>
            </w:tcBorders>
          </w:tcPr>
          <w:p>
            <w:pPr>
              <w:pStyle w:val="TableParagraph"/>
              <w:spacing w:before="63"/>
              <w:ind w:left="107"/>
              <w:rPr>
                <w:sz w:val="24"/>
              </w:rPr>
            </w:pPr>
            <w:r>
              <w:rPr>
                <w:spacing w:val="-5"/>
                <w:sz w:val="24"/>
              </w:rPr>
              <w:t>236</w:t>
            </w:r>
          </w:p>
        </w:tc>
        <w:tc>
          <w:tcPr>
            <w:tcW w:w="897" w:type="dxa"/>
            <w:tcBorders>
              <w:top w:val="nil"/>
              <w:bottom w:val="nil"/>
            </w:tcBorders>
          </w:tcPr>
          <w:p>
            <w:pPr>
              <w:pStyle w:val="TableParagraph"/>
              <w:spacing w:before="63"/>
              <w:ind w:left="108"/>
              <w:rPr>
                <w:sz w:val="24"/>
              </w:rPr>
            </w:pPr>
            <w:r>
              <w:rPr>
                <w:spacing w:val="-4"/>
                <w:sz w:val="24"/>
              </w:rPr>
              <w:t>2.52</w:t>
            </w:r>
          </w:p>
        </w:tc>
        <w:tc>
          <w:tcPr>
            <w:tcW w:w="842" w:type="dxa"/>
            <w:tcBorders>
              <w:top w:val="nil"/>
              <w:bottom w:val="nil"/>
            </w:tcBorders>
          </w:tcPr>
          <w:p>
            <w:pPr>
              <w:pStyle w:val="TableParagraph"/>
              <w:spacing w:before="63"/>
              <w:ind w:left="108"/>
              <w:rPr>
                <w:sz w:val="24"/>
              </w:rPr>
            </w:pPr>
            <w:r>
              <w:rPr>
                <w:spacing w:val="-2"/>
                <w:sz w:val="24"/>
              </w:rPr>
              <w:t>1.054</w:t>
            </w:r>
          </w:p>
        </w:tc>
        <w:tc>
          <w:tcPr>
            <w:tcW w:w="1605" w:type="dxa"/>
            <w:tcBorders>
              <w:top w:val="nil"/>
              <w:bottom w:val="nil"/>
            </w:tcBorders>
          </w:tcPr>
          <w:p>
            <w:pPr>
              <w:pStyle w:val="TableParagraph"/>
              <w:spacing w:before="63"/>
              <w:ind w:left="529"/>
              <w:rPr>
                <w:sz w:val="24"/>
              </w:rPr>
            </w:pPr>
            <w:r>
              <w:rPr>
                <w:spacing w:val="-10"/>
                <w:sz w:val="24"/>
              </w:rPr>
              <w:t>A</w:t>
            </w:r>
          </w:p>
        </w:tc>
      </w:tr>
      <w:tr>
        <w:trPr>
          <w:trHeight w:val="413" w:hRule="atLeast"/>
        </w:trPr>
        <w:tc>
          <w:tcPr>
            <w:tcW w:w="696" w:type="dxa"/>
            <w:tcBorders>
              <w:top w:val="nil"/>
              <w:bottom w:val="nil"/>
            </w:tcBorders>
          </w:tcPr>
          <w:p>
            <w:pPr>
              <w:pStyle w:val="TableParagraph"/>
              <w:spacing w:before="64"/>
              <w:ind w:left="107"/>
              <w:rPr>
                <w:sz w:val="24"/>
              </w:rPr>
            </w:pPr>
            <w:r>
              <w:rPr>
                <w:spacing w:val="-5"/>
                <w:sz w:val="24"/>
              </w:rPr>
              <w:t>B21</w:t>
            </w:r>
          </w:p>
        </w:tc>
        <w:tc>
          <w:tcPr>
            <w:tcW w:w="3805" w:type="dxa"/>
            <w:tcBorders>
              <w:top w:val="nil"/>
              <w:bottom w:val="nil"/>
            </w:tcBorders>
          </w:tcPr>
          <w:p>
            <w:pPr>
              <w:pStyle w:val="TableParagraph"/>
              <w:spacing w:before="64"/>
              <w:ind w:left="107"/>
              <w:rPr>
                <w:sz w:val="24"/>
              </w:rPr>
            </w:pPr>
            <w:r>
              <w:rPr>
                <w:sz w:val="24"/>
              </w:rPr>
              <w:t>Environment</w:t>
            </w:r>
            <w:r>
              <w:rPr>
                <w:spacing w:val="-1"/>
                <w:sz w:val="24"/>
              </w:rPr>
              <w:t> </w:t>
            </w:r>
            <w:r>
              <w:rPr>
                <w:spacing w:val="-2"/>
                <w:sz w:val="24"/>
              </w:rPr>
              <w:t>degradation.</w:t>
            </w:r>
          </w:p>
        </w:tc>
        <w:tc>
          <w:tcPr>
            <w:tcW w:w="679" w:type="dxa"/>
            <w:tcBorders>
              <w:top w:val="nil"/>
              <w:bottom w:val="nil"/>
            </w:tcBorders>
          </w:tcPr>
          <w:p>
            <w:pPr>
              <w:pStyle w:val="TableParagraph"/>
              <w:rPr>
                <w:sz w:val="24"/>
              </w:rPr>
            </w:pPr>
          </w:p>
        </w:tc>
        <w:tc>
          <w:tcPr>
            <w:tcW w:w="897" w:type="dxa"/>
            <w:tcBorders>
              <w:top w:val="nil"/>
              <w:bottom w:val="nil"/>
            </w:tcBorders>
          </w:tcPr>
          <w:p>
            <w:pPr>
              <w:pStyle w:val="TableParagraph"/>
              <w:rPr>
                <w:sz w:val="24"/>
              </w:rPr>
            </w:pPr>
          </w:p>
        </w:tc>
        <w:tc>
          <w:tcPr>
            <w:tcW w:w="842" w:type="dxa"/>
            <w:tcBorders>
              <w:top w:val="nil"/>
              <w:bottom w:val="nil"/>
            </w:tcBorders>
          </w:tcPr>
          <w:p>
            <w:pPr>
              <w:pStyle w:val="TableParagraph"/>
              <w:rPr>
                <w:sz w:val="24"/>
              </w:rPr>
            </w:pPr>
          </w:p>
        </w:tc>
        <w:tc>
          <w:tcPr>
            <w:tcW w:w="1605" w:type="dxa"/>
            <w:tcBorders>
              <w:top w:val="nil"/>
              <w:bottom w:val="nil"/>
            </w:tcBorders>
          </w:tcPr>
          <w:p>
            <w:pPr>
              <w:pStyle w:val="TableParagraph"/>
              <w:rPr>
                <w:sz w:val="24"/>
              </w:rPr>
            </w:pPr>
          </w:p>
        </w:tc>
      </w:tr>
      <w:tr>
        <w:trPr>
          <w:trHeight w:val="413" w:hRule="atLeast"/>
        </w:trPr>
        <w:tc>
          <w:tcPr>
            <w:tcW w:w="696" w:type="dxa"/>
            <w:tcBorders>
              <w:top w:val="nil"/>
              <w:bottom w:val="nil"/>
            </w:tcBorders>
          </w:tcPr>
          <w:p>
            <w:pPr>
              <w:pStyle w:val="TableParagraph"/>
              <w:rPr>
                <w:sz w:val="24"/>
              </w:rPr>
            </w:pPr>
          </w:p>
        </w:tc>
        <w:tc>
          <w:tcPr>
            <w:tcW w:w="3805" w:type="dxa"/>
            <w:tcBorders>
              <w:top w:val="nil"/>
              <w:bottom w:val="nil"/>
            </w:tcBorders>
          </w:tcPr>
          <w:p>
            <w:pPr>
              <w:pStyle w:val="TableParagraph"/>
              <w:rPr>
                <w:sz w:val="24"/>
              </w:rPr>
            </w:pPr>
          </w:p>
        </w:tc>
        <w:tc>
          <w:tcPr>
            <w:tcW w:w="679" w:type="dxa"/>
            <w:tcBorders>
              <w:top w:val="nil"/>
              <w:bottom w:val="nil"/>
            </w:tcBorders>
          </w:tcPr>
          <w:p>
            <w:pPr>
              <w:pStyle w:val="TableParagraph"/>
              <w:spacing w:before="63"/>
              <w:ind w:left="107"/>
              <w:rPr>
                <w:sz w:val="24"/>
              </w:rPr>
            </w:pPr>
            <w:r>
              <w:rPr>
                <w:spacing w:val="-5"/>
                <w:sz w:val="24"/>
              </w:rPr>
              <w:t>203</w:t>
            </w:r>
          </w:p>
        </w:tc>
        <w:tc>
          <w:tcPr>
            <w:tcW w:w="897" w:type="dxa"/>
            <w:tcBorders>
              <w:top w:val="nil"/>
              <w:bottom w:val="nil"/>
            </w:tcBorders>
          </w:tcPr>
          <w:p>
            <w:pPr>
              <w:pStyle w:val="TableParagraph"/>
              <w:spacing w:before="63"/>
              <w:ind w:left="108"/>
              <w:rPr>
                <w:sz w:val="24"/>
              </w:rPr>
            </w:pPr>
            <w:r>
              <w:rPr>
                <w:spacing w:val="-4"/>
                <w:sz w:val="24"/>
              </w:rPr>
              <w:t>2.42</w:t>
            </w:r>
          </w:p>
        </w:tc>
        <w:tc>
          <w:tcPr>
            <w:tcW w:w="842" w:type="dxa"/>
            <w:tcBorders>
              <w:top w:val="nil"/>
              <w:bottom w:val="nil"/>
            </w:tcBorders>
          </w:tcPr>
          <w:p>
            <w:pPr>
              <w:pStyle w:val="TableParagraph"/>
              <w:spacing w:before="63"/>
              <w:ind w:left="108"/>
              <w:rPr>
                <w:sz w:val="24"/>
              </w:rPr>
            </w:pPr>
            <w:r>
              <w:rPr>
                <w:spacing w:val="-4"/>
                <w:sz w:val="24"/>
              </w:rPr>
              <w:t>.905</w:t>
            </w:r>
          </w:p>
        </w:tc>
        <w:tc>
          <w:tcPr>
            <w:tcW w:w="1605" w:type="dxa"/>
            <w:tcBorders>
              <w:top w:val="nil"/>
              <w:bottom w:val="nil"/>
            </w:tcBorders>
          </w:tcPr>
          <w:p>
            <w:pPr>
              <w:pStyle w:val="TableParagraph"/>
              <w:spacing w:before="63"/>
              <w:ind w:left="529"/>
              <w:rPr>
                <w:sz w:val="24"/>
              </w:rPr>
            </w:pPr>
            <w:r>
              <w:rPr>
                <w:spacing w:val="-10"/>
                <w:sz w:val="24"/>
              </w:rPr>
              <w:t>D</w:t>
            </w:r>
          </w:p>
        </w:tc>
      </w:tr>
      <w:tr>
        <w:trPr>
          <w:trHeight w:val="482" w:hRule="atLeast"/>
        </w:trPr>
        <w:tc>
          <w:tcPr>
            <w:tcW w:w="696" w:type="dxa"/>
            <w:tcBorders>
              <w:top w:val="nil"/>
            </w:tcBorders>
          </w:tcPr>
          <w:p>
            <w:pPr>
              <w:pStyle w:val="TableParagraph"/>
              <w:spacing w:before="64"/>
              <w:ind w:left="107"/>
              <w:rPr>
                <w:sz w:val="24"/>
              </w:rPr>
            </w:pPr>
            <w:r>
              <w:rPr>
                <w:spacing w:val="-5"/>
                <w:sz w:val="24"/>
              </w:rPr>
              <w:t>B22</w:t>
            </w:r>
          </w:p>
        </w:tc>
        <w:tc>
          <w:tcPr>
            <w:tcW w:w="3805" w:type="dxa"/>
            <w:tcBorders>
              <w:top w:val="nil"/>
            </w:tcBorders>
          </w:tcPr>
          <w:p>
            <w:pPr>
              <w:pStyle w:val="TableParagraph"/>
              <w:spacing w:before="64"/>
              <w:ind w:left="107"/>
              <w:rPr>
                <w:sz w:val="24"/>
              </w:rPr>
            </w:pPr>
            <w:r>
              <w:rPr>
                <w:sz w:val="24"/>
              </w:rPr>
              <w:t>All of the</w:t>
            </w:r>
            <w:r>
              <w:rPr>
                <w:spacing w:val="-1"/>
                <w:sz w:val="24"/>
              </w:rPr>
              <w:t> </w:t>
            </w:r>
            <w:r>
              <w:rPr>
                <w:spacing w:val="-2"/>
                <w:sz w:val="24"/>
              </w:rPr>
              <w:t>above</w:t>
            </w:r>
          </w:p>
        </w:tc>
        <w:tc>
          <w:tcPr>
            <w:tcW w:w="679" w:type="dxa"/>
            <w:tcBorders>
              <w:top w:val="nil"/>
            </w:tcBorders>
          </w:tcPr>
          <w:p>
            <w:pPr>
              <w:pStyle w:val="TableParagraph"/>
              <w:rPr>
                <w:sz w:val="24"/>
              </w:rPr>
            </w:pPr>
          </w:p>
        </w:tc>
        <w:tc>
          <w:tcPr>
            <w:tcW w:w="897" w:type="dxa"/>
            <w:tcBorders>
              <w:top w:val="nil"/>
            </w:tcBorders>
          </w:tcPr>
          <w:p>
            <w:pPr>
              <w:pStyle w:val="TableParagraph"/>
              <w:rPr>
                <w:sz w:val="24"/>
              </w:rPr>
            </w:pPr>
          </w:p>
        </w:tc>
        <w:tc>
          <w:tcPr>
            <w:tcW w:w="842" w:type="dxa"/>
            <w:tcBorders>
              <w:top w:val="nil"/>
            </w:tcBorders>
          </w:tcPr>
          <w:p>
            <w:pPr>
              <w:pStyle w:val="TableParagraph"/>
              <w:rPr>
                <w:sz w:val="24"/>
              </w:rPr>
            </w:pPr>
          </w:p>
        </w:tc>
        <w:tc>
          <w:tcPr>
            <w:tcW w:w="1605" w:type="dxa"/>
            <w:tcBorders>
              <w:top w:val="nil"/>
            </w:tcBorders>
          </w:tcPr>
          <w:p>
            <w:pPr>
              <w:pStyle w:val="TableParagraph"/>
              <w:rPr>
                <w:sz w:val="24"/>
              </w:rPr>
            </w:pPr>
          </w:p>
        </w:tc>
      </w:tr>
    </w:tbl>
    <w:p>
      <w:pPr>
        <w:pStyle w:val="BodyText"/>
        <w:spacing w:before="140"/>
        <w:ind w:left="0"/>
        <w:rPr>
          <w:b/>
        </w:rPr>
      </w:pPr>
    </w:p>
    <w:p>
      <w:pPr>
        <w:pStyle w:val="BodyText"/>
        <w:spacing w:line="360" w:lineRule="auto"/>
        <w:ind w:right="1261" w:firstLine="720"/>
        <w:jc w:val="both"/>
      </w:pPr>
      <w:r>
        <w:rPr/>
        <w:t>From the descriptive statistics presented in Table 9, it was generally agreed that the causes of the militants‟ acts in the region borders on the need for amenities and development, resource control and environmental degradation. Likewise, the respondents were of the view that the causes of militants acts also arose from selfishness and greed.</w:t>
      </w:r>
    </w:p>
    <w:p>
      <w:pPr>
        <w:pStyle w:val="BodyText"/>
        <w:spacing w:line="360" w:lineRule="auto"/>
        <w:ind w:right="1258" w:firstLine="720"/>
        <w:jc w:val="both"/>
      </w:pPr>
      <w:r>
        <w:rPr/>
        <w:t>During oral interviews, we asked the respondents to indicate the main role players in the militant activities. The submissions of our oral interviewees indicates that the main role players include the Movement for the Emancipation of Niger Delta (MEND),</w:t>
      </w:r>
      <w:r>
        <w:rPr>
          <w:spacing w:val="-2"/>
        </w:rPr>
        <w:t> </w:t>
      </w:r>
      <w:r>
        <w:rPr/>
        <w:t>criminals,</w:t>
      </w:r>
      <w:r>
        <w:rPr>
          <w:spacing w:val="-2"/>
        </w:rPr>
        <w:t> </w:t>
      </w:r>
      <w:r>
        <w:rPr/>
        <w:t>elites,</w:t>
      </w:r>
      <w:r>
        <w:rPr>
          <w:spacing w:val="-2"/>
        </w:rPr>
        <w:t> </w:t>
      </w:r>
      <w:r>
        <w:rPr/>
        <w:t>illegal</w:t>
      </w:r>
      <w:r>
        <w:rPr>
          <w:spacing w:val="-2"/>
        </w:rPr>
        <w:t> </w:t>
      </w:r>
      <w:r>
        <w:rPr/>
        <w:t>oil</w:t>
      </w:r>
      <w:r>
        <w:rPr>
          <w:spacing w:val="-2"/>
        </w:rPr>
        <w:t> </w:t>
      </w:r>
      <w:r>
        <w:rPr/>
        <w:t>bunkerers,</w:t>
      </w:r>
      <w:r>
        <w:rPr>
          <w:spacing w:val="-3"/>
        </w:rPr>
        <w:t> </w:t>
      </w:r>
      <w:r>
        <w:rPr/>
        <w:t>selfish</w:t>
      </w:r>
      <w:r>
        <w:rPr>
          <w:spacing w:val="-2"/>
        </w:rPr>
        <w:t> </w:t>
      </w:r>
      <w:r>
        <w:rPr/>
        <w:t>politicians,</w:t>
      </w:r>
      <w:r>
        <w:rPr>
          <w:spacing w:val="-3"/>
        </w:rPr>
        <w:t> </w:t>
      </w:r>
      <w:r>
        <w:rPr/>
        <w:t>restive</w:t>
      </w:r>
      <w:r>
        <w:rPr>
          <w:spacing w:val="-3"/>
        </w:rPr>
        <w:t> </w:t>
      </w:r>
      <w:r>
        <w:rPr/>
        <w:t>youths,</w:t>
      </w:r>
      <w:r>
        <w:rPr>
          <w:spacing w:val="-2"/>
        </w:rPr>
        <w:t> </w:t>
      </w:r>
      <w:r>
        <w:rPr/>
        <w:t>cult groups and citizens seeking relevance.</w:t>
      </w:r>
    </w:p>
    <w:p>
      <w:pPr>
        <w:spacing w:after="0" w:line="360" w:lineRule="auto"/>
        <w:jc w:val="both"/>
        <w:sectPr>
          <w:pgSz w:w="11910" w:h="16840"/>
          <w:pgMar w:header="0" w:footer="1561" w:top="1760" w:bottom="1760" w:left="720" w:right="180"/>
        </w:sectPr>
      </w:pPr>
    </w:p>
    <w:p>
      <w:pPr>
        <w:pStyle w:val="Heading2"/>
        <w:numPr>
          <w:ilvl w:val="3"/>
          <w:numId w:val="19"/>
        </w:numPr>
        <w:tabs>
          <w:tab w:pos="2280" w:val="left" w:leader="none"/>
          <w:tab w:pos="2880" w:val="left" w:leader="none"/>
        </w:tabs>
        <w:spacing w:line="360" w:lineRule="auto" w:before="78" w:after="0"/>
        <w:ind w:left="2880" w:right="1730" w:hanging="1440"/>
        <w:jc w:val="left"/>
      </w:pPr>
      <w:r>
        <w:rPr/>
        <mc:AlternateContent>
          <mc:Choice Requires="wps">
            <w:drawing>
              <wp:anchor distT="0" distB="0" distL="0" distR="0" allowOverlap="1" layoutInCell="1" locked="0" behindDoc="1" simplePos="0" relativeHeight="480669696">
                <wp:simplePos x="0" y="0"/>
                <wp:positionH relativeFrom="page">
                  <wp:posOffset>-1537026</wp:posOffset>
                </wp:positionH>
                <wp:positionV relativeFrom="page">
                  <wp:posOffset>4900424</wp:posOffset>
                </wp:positionV>
                <wp:extent cx="10669905" cy="914400"/>
                <wp:effectExtent l="0" t="0" r="0" b="0"/>
                <wp:wrapNone/>
                <wp:docPr id="299" name="Textbox 299"/>
                <wp:cNvGraphicFramePr>
                  <a:graphicFrameLocks/>
                </wp:cNvGraphicFramePr>
                <a:graphic>
                  <a:graphicData uri="http://schemas.microsoft.com/office/word/2010/wordprocessingShape">
                    <wps:wsp>
                      <wps:cNvPr id="299" name="Textbox 299"/>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46784;rotation:306" type="#_x0000_t136" fillcolor="#ff5400" stroked="f">
                <o:extrusion v:ext="view" autorotationcenter="t"/>
                <v:textpath style="font-family:&quot;Arial MT&quot;;font-size:72pt;v-text-kern:t;mso-text-shadow:auto" string="UNIVERSITY OF IBADAN"/>
                <w10:wrap type="none"/>
              </v:shape>
            </w:pict>
          </mc:Fallback>
        </mc:AlternateContent>
      </w:r>
      <w:r>
        <w:rPr/>
        <w:t>RQ7:</w:t>
      </w:r>
      <w:r>
        <w:rPr>
          <w:spacing w:val="-5"/>
        </w:rPr>
        <w:t> </w:t>
      </w:r>
      <w:r>
        <w:rPr/>
        <w:t>Perception</w:t>
      </w:r>
      <w:r>
        <w:rPr>
          <w:spacing w:val="-4"/>
        </w:rPr>
        <w:t> </w:t>
      </w:r>
      <w:r>
        <w:rPr/>
        <w:t>on</w:t>
      </w:r>
      <w:r>
        <w:rPr>
          <w:spacing w:val="-4"/>
        </w:rPr>
        <w:t> </w:t>
      </w:r>
      <w:r>
        <w:rPr/>
        <w:t>Best</w:t>
      </w:r>
      <w:r>
        <w:rPr>
          <w:spacing w:val="-4"/>
        </w:rPr>
        <w:t> </w:t>
      </w:r>
      <w:r>
        <w:rPr/>
        <w:t>Ways</w:t>
      </w:r>
      <w:r>
        <w:rPr>
          <w:spacing w:val="-4"/>
        </w:rPr>
        <w:t> </w:t>
      </w:r>
      <w:r>
        <w:rPr/>
        <w:t>of</w:t>
      </w:r>
      <w:r>
        <w:rPr>
          <w:spacing w:val="-3"/>
        </w:rPr>
        <w:t> </w:t>
      </w:r>
      <w:r>
        <w:rPr/>
        <w:t>Conflict</w:t>
      </w:r>
      <w:r>
        <w:rPr>
          <w:spacing w:val="-6"/>
        </w:rPr>
        <w:t> </w:t>
      </w:r>
      <w:r>
        <w:rPr/>
        <w:t>Management</w:t>
      </w:r>
      <w:r>
        <w:rPr>
          <w:spacing w:val="-4"/>
        </w:rPr>
        <w:t> </w:t>
      </w:r>
      <w:r>
        <w:rPr/>
        <w:t>in</w:t>
      </w:r>
      <w:r>
        <w:rPr>
          <w:spacing w:val="-4"/>
        </w:rPr>
        <w:t> </w:t>
      </w:r>
      <w:r>
        <w:rPr/>
        <w:t>the</w:t>
      </w:r>
      <w:r>
        <w:rPr>
          <w:spacing w:val="-3"/>
        </w:rPr>
        <w:t> </w:t>
      </w:r>
      <w:r>
        <w:rPr/>
        <w:t>Niger </w:t>
      </w:r>
      <w:r>
        <w:rPr>
          <w:spacing w:val="-2"/>
        </w:rPr>
        <w:t>Delta</w:t>
      </w:r>
    </w:p>
    <w:p>
      <w:pPr>
        <w:spacing w:before="1"/>
        <w:ind w:left="1440" w:right="0" w:firstLine="0"/>
        <w:jc w:val="left"/>
        <w:rPr>
          <w:b/>
          <w:sz w:val="24"/>
        </w:rPr>
      </w:pPr>
      <w:r>
        <w:rPr>
          <w:b/>
          <w:sz w:val="24"/>
        </w:rPr>
        <w:t>Table</w:t>
      </w:r>
      <w:r>
        <w:rPr>
          <w:b/>
          <w:spacing w:val="-1"/>
          <w:sz w:val="24"/>
        </w:rPr>
        <w:t> </w:t>
      </w:r>
      <w:r>
        <w:rPr>
          <w:b/>
          <w:sz w:val="24"/>
        </w:rPr>
        <w:t>10:</w:t>
      </w:r>
      <w:r>
        <w:rPr>
          <w:b/>
          <w:spacing w:val="-3"/>
          <w:sz w:val="24"/>
        </w:rPr>
        <w:t> </w:t>
      </w:r>
      <w:r>
        <w:rPr>
          <w:b/>
          <w:sz w:val="24"/>
        </w:rPr>
        <w:t>Perception</w:t>
      </w:r>
      <w:r>
        <w:rPr>
          <w:b/>
          <w:spacing w:val="-1"/>
          <w:sz w:val="24"/>
        </w:rPr>
        <w:t> </w:t>
      </w:r>
      <w:r>
        <w:rPr>
          <w:b/>
          <w:sz w:val="24"/>
        </w:rPr>
        <w:t>on</w:t>
      </w:r>
      <w:r>
        <w:rPr>
          <w:b/>
          <w:spacing w:val="-1"/>
          <w:sz w:val="24"/>
        </w:rPr>
        <w:t> </w:t>
      </w:r>
      <w:r>
        <w:rPr>
          <w:b/>
          <w:sz w:val="24"/>
        </w:rPr>
        <w:t>Best</w:t>
      </w:r>
      <w:r>
        <w:rPr>
          <w:b/>
          <w:spacing w:val="-1"/>
          <w:sz w:val="24"/>
        </w:rPr>
        <w:t> </w:t>
      </w:r>
      <w:r>
        <w:rPr>
          <w:b/>
          <w:sz w:val="24"/>
        </w:rPr>
        <w:t>Ways</w:t>
      </w:r>
      <w:r>
        <w:rPr>
          <w:b/>
          <w:spacing w:val="-1"/>
          <w:sz w:val="24"/>
        </w:rPr>
        <w:t> </w:t>
      </w:r>
      <w:r>
        <w:rPr>
          <w:b/>
          <w:sz w:val="24"/>
        </w:rPr>
        <w:t>of</w:t>
      </w:r>
      <w:r>
        <w:rPr>
          <w:b/>
          <w:spacing w:val="-1"/>
          <w:sz w:val="24"/>
        </w:rPr>
        <w:t> </w:t>
      </w:r>
      <w:r>
        <w:rPr>
          <w:b/>
          <w:sz w:val="24"/>
        </w:rPr>
        <w:t>Conflict</w:t>
      </w:r>
      <w:r>
        <w:rPr>
          <w:b/>
          <w:spacing w:val="-1"/>
          <w:sz w:val="24"/>
        </w:rPr>
        <w:t> </w:t>
      </w:r>
      <w:r>
        <w:rPr>
          <w:b/>
          <w:sz w:val="24"/>
        </w:rPr>
        <w:t>Management</w:t>
      </w:r>
      <w:r>
        <w:rPr>
          <w:b/>
          <w:spacing w:val="-1"/>
          <w:sz w:val="24"/>
        </w:rPr>
        <w:t> </w:t>
      </w:r>
      <w:r>
        <w:rPr>
          <w:b/>
          <w:sz w:val="24"/>
        </w:rPr>
        <w:t>in</w:t>
      </w:r>
      <w:r>
        <w:rPr>
          <w:b/>
          <w:spacing w:val="-1"/>
          <w:sz w:val="24"/>
        </w:rPr>
        <w:t> </w:t>
      </w:r>
      <w:r>
        <w:rPr>
          <w:b/>
          <w:sz w:val="24"/>
        </w:rPr>
        <w:t>the</w:t>
      </w:r>
      <w:r>
        <w:rPr>
          <w:b/>
          <w:spacing w:val="-2"/>
          <w:sz w:val="24"/>
        </w:rPr>
        <w:t> </w:t>
      </w:r>
      <w:r>
        <w:rPr>
          <w:b/>
          <w:sz w:val="24"/>
        </w:rPr>
        <w:t>Niger</w:t>
      </w:r>
      <w:r>
        <w:rPr>
          <w:b/>
          <w:spacing w:val="-1"/>
          <w:sz w:val="24"/>
        </w:rPr>
        <w:t> </w:t>
      </w:r>
      <w:r>
        <w:rPr>
          <w:b/>
          <w:spacing w:val="-2"/>
          <w:sz w:val="24"/>
        </w:rPr>
        <w:t>Delta</w:t>
      </w:r>
    </w:p>
    <w:p>
      <w:pPr>
        <w:pStyle w:val="BodyText"/>
        <w:spacing w:before="1" w:after="1"/>
        <w:ind w:left="0"/>
        <w:rPr>
          <w:b/>
          <w:sz w:val="12"/>
        </w:rPr>
      </w:pP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6"/>
        <w:gridCol w:w="3435"/>
        <w:gridCol w:w="730"/>
        <w:gridCol w:w="890"/>
        <w:gridCol w:w="945"/>
        <w:gridCol w:w="2294"/>
      </w:tblGrid>
      <w:tr>
        <w:trPr>
          <w:trHeight w:val="618" w:hRule="atLeast"/>
        </w:trPr>
        <w:tc>
          <w:tcPr>
            <w:tcW w:w="706" w:type="dxa"/>
          </w:tcPr>
          <w:p>
            <w:pPr>
              <w:pStyle w:val="TableParagraph"/>
              <w:rPr>
                <w:sz w:val="24"/>
              </w:rPr>
            </w:pPr>
          </w:p>
        </w:tc>
        <w:tc>
          <w:tcPr>
            <w:tcW w:w="3435" w:type="dxa"/>
          </w:tcPr>
          <w:p>
            <w:pPr>
              <w:pStyle w:val="TableParagraph"/>
              <w:rPr>
                <w:sz w:val="24"/>
              </w:rPr>
            </w:pPr>
          </w:p>
        </w:tc>
        <w:tc>
          <w:tcPr>
            <w:tcW w:w="730" w:type="dxa"/>
          </w:tcPr>
          <w:p>
            <w:pPr>
              <w:pStyle w:val="TableParagraph"/>
              <w:spacing w:before="97"/>
              <w:ind w:left="9"/>
              <w:jc w:val="center"/>
              <w:rPr>
                <w:sz w:val="24"/>
              </w:rPr>
            </w:pPr>
            <w:r>
              <w:rPr>
                <w:spacing w:val="-10"/>
                <w:sz w:val="24"/>
              </w:rPr>
              <w:t>N</w:t>
            </w:r>
          </w:p>
        </w:tc>
        <w:tc>
          <w:tcPr>
            <w:tcW w:w="890" w:type="dxa"/>
          </w:tcPr>
          <w:p>
            <w:pPr>
              <w:pStyle w:val="TableParagraph"/>
              <w:spacing w:before="97"/>
              <w:ind w:left="9" w:right="5"/>
              <w:jc w:val="center"/>
              <w:rPr>
                <w:sz w:val="24"/>
              </w:rPr>
            </w:pPr>
            <w:r>
              <w:rPr>
                <w:spacing w:val="-4"/>
                <w:sz w:val="24"/>
              </w:rPr>
              <w:t>Mean</w:t>
            </w:r>
          </w:p>
        </w:tc>
        <w:tc>
          <w:tcPr>
            <w:tcW w:w="945" w:type="dxa"/>
          </w:tcPr>
          <w:p>
            <w:pPr>
              <w:pStyle w:val="TableParagraph"/>
              <w:spacing w:before="97"/>
              <w:ind w:left="7" w:right="1"/>
              <w:jc w:val="center"/>
              <w:rPr>
                <w:sz w:val="24"/>
              </w:rPr>
            </w:pPr>
            <w:r>
              <w:rPr>
                <w:spacing w:val="-5"/>
                <w:sz w:val="24"/>
              </w:rPr>
              <w:t>SD</w:t>
            </w:r>
          </w:p>
        </w:tc>
        <w:tc>
          <w:tcPr>
            <w:tcW w:w="2294" w:type="dxa"/>
          </w:tcPr>
          <w:p>
            <w:pPr>
              <w:pStyle w:val="TableParagraph"/>
              <w:spacing w:before="97"/>
              <w:ind w:left="13" w:right="7"/>
              <w:jc w:val="center"/>
              <w:rPr>
                <w:sz w:val="24"/>
              </w:rPr>
            </w:pPr>
            <w:r>
              <w:rPr>
                <w:sz w:val="24"/>
              </w:rPr>
              <w:t>Level</w:t>
            </w:r>
            <w:r>
              <w:rPr>
                <w:spacing w:val="-4"/>
                <w:sz w:val="24"/>
              </w:rPr>
              <w:t> </w:t>
            </w:r>
            <w:r>
              <w:rPr>
                <w:sz w:val="24"/>
              </w:rPr>
              <w:t>of</w:t>
            </w:r>
            <w:r>
              <w:rPr>
                <w:spacing w:val="-1"/>
                <w:sz w:val="24"/>
              </w:rPr>
              <w:t> </w:t>
            </w:r>
            <w:r>
              <w:rPr>
                <w:spacing w:val="-2"/>
                <w:sz w:val="24"/>
              </w:rPr>
              <w:t>Agreement</w:t>
            </w:r>
          </w:p>
        </w:tc>
      </w:tr>
      <w:tr>
        <w:trPr>
          <w:trHeight w:val="349" w:hRule="atLeast"/>
        </w:trPr>
        <w:tc>
          <w:tcPr>
            <w:tcW w:w="706" w:type="dxa"/>
            <w:tcBorders>
              <w:bottom w:val="nil"/>
            </w:tcBorders>
          </w:tcPr>
          <w:p>
            <w:pPr>
              <w:pStyle w:val="TableParagraph"/>
              <w:spacing w:line="270" w:lineRule="exact"/>
              <w:ind w:left="9"/>
              <w:rPr>
                <w:sz w:val="24"/>
              </w:rPr>
            </w:pPr>
            <w:r>
              <w:rPr>
                <w:spacing w:val="-5"/>
                <w:sz w:val="24"/>
              </w:rPr>
              <w:t>B23</w:t>
            </w:r>
          </w:p>
        </w:tc>
        <w:tc>
          <w:tcPr>
            <w:tcW w:w="3435" w:type="dxa"/>
            <w:tcBorders>
              <w:bottom w:val="nil"/>
            </w:tcBorders>
          </w:tcPr>
          <w:p>
            <w:pPr>
              <w:pStyle w:val="TableParagraph"/>
              <w:spacing w:line="270" w:lineRule="exact"/>
              <w:ind w:left="9"/>
              <w:rPr>
                <w:sz w:val="24"/>
              </w:rPr>
            </w:pPr>
            <w:r>
              <w:rPr>
                <w:spacing w:val="-2"/>
                <w:sz w:val="24"/>
              </w:rPr>
              <w:t>Avoidance</w:t>
            </w:r>
          </w:p>
        </w:tc>
        <w:tc>
          <w:tcPr>
            <w:tcW w:w="730" w:type="dxa"/>
            <w:tcBorders>
              <w:bottom w:val="nil"/>
            </w:tcBorders>
          </w:tcPr>
          <w:p>
            <w:pPr>
              <w:pStyle w:val="TableParagraph"/>
              <w:spacing w:line="270" w:lineRule="exact"/>
              <w:ind w:left="9"/>
              <w:jc w:val="center"/>
              <w:rPr>
                <w:sz w:val="24"/>
              </w:rPr>
            </w:pPr>
            <w:r>
              <w:rPr>
                <w:spacing w:val="-5"/>
                <w:sz w:val="24"/>
              </w:rPr>
              <w:t>229</w:t>
            </w:r>
          </w:p>
        </w:tc>
        <w:tc>
          <w:tcPr>
            <w:tcW w:w="890" w:type="dxa"/>
            <w:tcBorders>
              <w:bottom w:val="nil"/>
            </w:tcBorders>
          </w:tcPr>
          <w:p>
            <w:pPr>
              <w:pStyle w:val="TableParagraph"/>
              <w:spacing w:line="270" w:lineRule="exact"/>
              <w:ind w:left="9"/>
              <w:jc w:val="center"/>
              <w:rPr>
                <w:sz w:val="24"/>
              </w:rPr>
            </w:pPr>
            <w:r>
              <w:rPr>
                <w:spacing w:val="-4"/>
                <w:sz w:val="24"/>
              </w:rPr>
              <w:t>1.94</w:t>
            </w:r>
          </w:p>
        </w:tc>
        <w:tc>
          <w:tcPr>
            <w:tcW w:w="945" w:type="dxa"/>
            <w:tcBorders>
              <w:bottom w:val="nil"/>
            </w:tcBorders>
          </w:tcPr>
          <w:p>
            <w:pPr>
              <w:pStyle w:val="TableParagraph"/>
              <w:spacing w:line="270" w:lineRule="exact"/>
              <w:ind w:left="7"/>
              <w:jc w:val="center"/>
              <w:rPr>
                <w:sz w:val="24"/>
              </w:rPr>
            </w:pPr>
            <w:r>
              <w:rPr>
                <w:spacing w:val="-2"/>
                <w:sz w:val="24"/>
              </w:rPr>
              <w:t>1.003</w:t>
            </w:r>
          </w:p>
        </w:tc>
        <w:tc>
          <w:tcPr>
            <w:tcW w:w="2294" w:type="dxa"/>
            <w:tcBorders>
              <w:bottom w:val="nil"/>
            </w:tcBorders>
          </w:tcPr>
          <w:p>
            <w:pPr>
              <w:pStyle w:val="TableParagraph"/>
              <w:spacing w:line="270" w:lineRule="exact"/>
              <w:ind w:left="13" w:right="1"/>
              <w:jc w:val="center"/>
              <w:rPr>
                <w:sz w:val="24"/>
              </w:rPr>
            </w:pPr>
            <w:r>
              <w:rPr>
                <w:spacing w:val="-10"/>
                <w:sz w:val="24"/>
              </w:rPr>
              <w:t>D</w:t>
            </w:r>
          </w:p>
        </w:tc>
      </w:tr>
      <w:tr>
        <w:trPr>
          <w:trHeight w:val="429" w:hRule="atLeast"/>
        </w:trPr>
        <w:tc>
          <w:tcPr>
            <w:tcW w:w="706" w:type="dxa"/>
            <w:tcBorders>
              <w:top w:val="nil"/>
              <w:bottom w:val="nil"/>
            </w:tcBorders>
          </w:tcPr>
          <w:p>
            <w:pPr>
              <w:pStyle w:val="TableParagraph"/>
              <w:spacing w:before="69"/>
              <w:ind w:left="9"/>
              <w:rPr>
                <w:sz w:val="24"/>
              </w:rPr>
            </w:pPr>
            <w:r>
              <w:rPr>
                <w:spacing w:val="-5"/>
                <w:sz w:val="24"/>
              </w:rPr>
              <w:t>B24</w:t>
            </w:r>
          </w:p>
        </w:tc>
        <w:tc>
          <w:tcPr>
            <w:tcW w:w="3435" w:type="dxa"/>
            <w:tcBorders>
              <w:top w:val="nil"/>
              <w:bottom w:val="nil"/>
            </w:tcBorders>
          </w:tcPr>
          <w:p>
            <w:pPr>
              <w:pStyle w:val="TableParagraph"/>
              <w:spacing w:before="69"/>
              <w:ind w:left="9"/>
              <w:rPr>
                <w:sz w:val="24"/>
              </w:rPr>
            </w:pPr>
            <w:r>
              <w:rPr>
                <w:sz w:val="24"/>
              </w:rPr>
              <w:t>Third</w:t>
            </w:r>
            <w:r>
              <w:rPr>
                <w:spacing w:val="1"/>
                <w:sz w:val="24"/>
              </w:rPr>
              <w:t> </w:t>
            </w:r>
            <w:r>
              <w:rPr>
                <w:sz w:val="24"/>
              </w:rPr>
              <w:t>party</w:t>
            </w:r>
            <w:r>
              <w:rPr>
                <w:spacing w:val="-4"/>
                <w:sz w:val="24"/>
              </w:rPr>
              <w:t> </w:t>
            </w:r>
            <w:r>
              <w:rPr>
                <w:spacing w:val="-2"/>
                <w:sz w:val="24"/>
              </w:rPr>
              <w:t>intervention.</w:t>
            </w:r>
          </w:p>
        </w:tc>
        <w:tc>
          <w:tcPr>
            <w:tcW w:w="730" w:type="dxa"/>
            <w:tcBorders>
              <w:top w:val="nil"/>
              <w:bottom w:val="nil"/>
            </w:tcBorders>
          </w:tcPr>
          <w:p>
            <w:pPr>
              <w:pStyle w:val="TableParagraph"/>
              <w:spacing w:before="69"/>
              <w:ind w:left="9"/>
              <w:jc w:val="center"/>
              <w:rPr>
                <w:sz w:val="24"/>
              </w:rPr>
            </w:pPr>
            <w:r>
              <w:rPr>
                <w:spacing w:val="-5"/>
                <w:sz w:val="24"/>
              </w:rPr>
              <w:t>232</w:t>
            </w:r>
          </w:p>
        </w:tc>
        <w:tc>
          <w:tcPr>
            <w:tcW w:w="890" w:type="dxa"/>
            <w:tcBorders>
              <w:top w:val="nil"/>
              <w:bottom w:val="nil"/>
            </w:tcBorders>
          </w:tcPr>
          <w:p>
            <w:pPr>
              <w:pStyle w:val="TableParagraph"/>
              <w:spacing w:before="69"/>
              <w:ind w:left="9"/>
              <w:jc w:val="center"/>
              <w:rPr>
                <w:sz w:val="24"/>
              </w:rPr>
            </w:pPr>
            <w:r>
              <w:rPr>
                <w:spacing w:val="-4"/>
                <w:sz w:val="24"/>
              </w:rPr>
              <w:t>2.56</w:t>
            </w:r>
          </w:p>
        </w:tc>
        <w:tc>
          <w:tcPr>
            <w:tcW w:w="945" w:type="dxa"/>
            <w:tcBorders>
              <w:top w:val="nil"/>
              <w:bottom w:val="nil"/>
            </w:tcBorders>
          </w:tcPr>
          <w:p>
            <w:pPr>
              <w:pStyle w:val="TableParagraph"/>
              <w:spacing w:before="69"/>
              <w:ind w:left="7"/>
              <w:jc w:val="center"/>
              <w:rPr>
                <w:sz w:val="24"/>
              </w:rPr>
            </w:pPr>
            <w:r>
              <w:rPr>
                <w:spacing w:val="-4"/>
                <w:sz w:val="24"/>
              </w:rPr>
              <w:t>.896</w:t>
            </w:r>
          </w:p>
        </w:tc>
        <w:tc>
          <w:tcPr>
            <w:tcW w:w="2294" w:type="dxa"/>
            <w:tcBorders>
              <w:top w:val="nil"/>
              <w:bottom w:val="nil"/>
            </w:tcBorders>
          </w:tcPr>
          <w:p>
            <w:pPr>
              <w:pStyle w:val="TableParagraph"/>
              <w:spacing w:before="69"/>
              <w:ind w:left="13" w:right="1"/>
              <w:jc w:val="center"/>
              <w:rPr>
                <w:sz w:val="24"/>
              </w:rPr>
            </w:pPr>
            <w:r>
              <w:rPr>
                <w:spacing w:val="-10"/>
                <w:sz w:val="24"/>
              </w:rPr>
              <w:t>A</w:t>
            </w:r>
          </w:p>
        </w:tc>
      </w:tr>
      <w:tr>
        <w:trPr>
          <w:trHeight w:val="427" w:hRule="atLeast"/>
        </w:trPr>
        <w:tc>
          <w:tcPr>
            <w:tcW w:w="706" w:type="dxa"/>
            <w:tcBorders>
              <w:top w:val="nil"/>
              <w:bottom w:val="nil"/>
            </w:tcBorders>
          </w:tcPr>
          <w:p>
            <w:pPr>
              <w:pStyle w:val="TableParagraph"/>
              <w:spacing w:before="74"/>
              <w:ind w:left="9"/>
              <w:rPr>
                <w:sz w:val="24"/>
              </w:rPr>
            </w:pPr>
            <w:r>
              <w:rPr>
                <w:spacing w:val="-5"/>
                <w:sz w:val="24"/>
              </w:rPr>
              <w:t>B25</w:t>
            </w:r>
          </w:p>
        </w:tc>
        <w:tc>
          <w:tcPr>
            <w:tcW w:w="3435" w:type="dxa"/>
            <w:tcBorders>
              <w:top w:val="nil"/>
              <w:bottom w:val="nil"/>
            </w:tcBorders>
          </w:tcPr>
          <w:p>
            <w:pPr>
              <w:pStyle w:val="TableParagraph"/>
              <w:spacing w:before="74"/>
              <w:ind w:left="9"/>
              <w:rPr>
                <w:sz w:val="24"/>
              </w:rPr>
            </w:pPr>
            <w:r>
              <w:rPr>
                <w:sz w:val="24"/>
              </w:rPr>
              <w:t>Joint problem </w:t>
            </w:r>
            <w:r>
              <w:rPr>
                <w:spacing w:val="-2"/>
                <w:sz w:val="24"/>
              </w:rPr>
              <w:t>solving,</w:t>
            </w:r>
          </w:p>
        </w:tc>
        <w:tc>
          <w:tcPr>
            <w:tcW w:w="730" w:type="dxa"/>
            <w:tcBorders>
              <w:top w:val="nil"/>
              <w:bottom w:val="nil"/>
            </w:tcBorders>
          </w:tcPr>
          <w:p>
            <w:pPr>
              <w:pStyle w:val="TableParagraph"/>
              <w:rPr>
                <w:sz w:val="24"/>
              </w:rPr>
            </w:pPr>
          </w:p>
        </w:tc>
        <w:tc>
          <w:tcPr>
            <w:tcW w:w="890" w:type="dxa"/>
            <w:tcBorders>
              <w:top w:val="nil"/>
              <w:bottom w:val="nil"/>
            </w:tcBorders>
          </w:tcPr>
          <w:p>
            <w:pPr>
              <w:pStyle w:val="TableParagraph"/>
              <w:rPr>
                <w:sz w:val="24"/>
              </w:rPr>
            </w:pPr>
          </w:p>
        </w:tc>
        <w:tc>
          <w:tcPr>
            <w:tcW w:w="945" w:type="dxa"/>
            <w:tcBorders>
              <w:top w:val="nil"/>
              <w:bottom w:val="nil"/>
            </w:tcBorders>
          </w:tcPr>
          <w:p>
            <w:pPr>
              <w:pStyle w:val="TableParagraph"/>
              <w:rPr>
                <w:sz w:val="24"/>
              </w:rPr>
            </w:pPr>
          </w:p>
        </w:tc>
        <w:tc>
          <w:tcPr>
            <w:tcW w:w="2294" w:type="dxa"/>
            <w:tcBorders>
              <w:top w:val="nil"/>
              <w:bottom w:val="nil"/>
            </w:tcBorders>
          </w:tcPr>
          <w:p>
            <w:pPr>
              <w:pStyle w:val="TableParagraph"/>
              <w:rPr>
                <w:sz w:val="24"/>
              </w:rPr>
            </w:pPr>
          </w:p>
        </w:tc>
      </w:tr>
      <w:tr>
        <w:trPr>
          <w:trHeight w:val="419" w:hRule="atLeast"/>
        </w:trPr>
        <w:tc>
          <w:tcPr>
            <w:tcW w:w="706" w:type="dxa"/>
            <w:tcBorders>
              <w:top w:val="nil"/>
              <w:bottom w:val="nil"/>
            </w:tcBorders>
          </w:tcPr>
          <w:p>
            <w:pPr>
              <w:pStyle w:val="TableParagraph"/>
              <w:rPr>
                <w:sz w:val="24"/>
              </w:rPr>
            </w:pPr>
          </w:p>
        </w:tc>
        <w:tc>
          <w:tcPr>
            <w:tcW w:w="3435" w:type="dxa"/>
            <w:tcBorders>
              <w:top w:val="nil"/>
              <w:bottom w:val="nil"/>
            </w:tcBorders>
          </w:tcPr>
          <w:p>
            <w:pPr>
              <w:pStyle w:val="TableParagraph"/>
              <w:spacing w:before="67"/>
              <w:ind w:left="9"/>
              <w:rPr>
                <w:sz w:val="24"/>
              </w:rPr>
            </w:pPr>
            <w:r>
              <w:rPr>
                <w:sz w:val="24"/>
              </w:rPr>
              <w:t>collaboration</w:t>
            </w:r>
            <w:r>
              <w:rPr>
                <w:spacing w:val="-3"/>
                <w:sz w:val="24"/>
              </w:rPr>
              <w:t> </w:t>
            </w:r>
            <w:r>
              <w:rPr>
                <w:sz w:val="24"/>
              </w:rPr>
              <w:t>and</w:t>
            </w:r>
            <w:r>
              <w:rPr>
                <w:spacing w:val="-2"/>
                <w:sz w:val="24"/>
              </w:rPr>
              <w:t> compromise</w:t>
            </w:r>
          </w:p>
        </w:tc>
        <w:tc>
          <w:tcPr>
            <w:tcW w:w="730" w:type="dxa"/>
            <w:tcBorders>
              <w:top w:val="nil"/>
              <w:bottom w:val="nil"/>
            </w:tcBorders>
          </w:tcPr>
          <w:p>
            <w:pPr>
              <w:pStyle w:val="TableParagraph"/>
              <w:rPr>
                <w:sz w:val="24"/>
              </w:rPr>
            </w:pPr>
          </w:p>
        </w:tc>
        <w:tc>
          <w:tcPr>
            <w:tcW w:w="890" w:type="dxa"/>
            <w:tcBorders>
              <w:top w:val="nil"/>
              <w:bottom w:val="nil"/>
            </w:tcBorders>
          </w:tcPr>
          <w:p>
            <w:pPr>
              <w:pStyle w:val="TableParagraph"/>
              <w:rPr>
                <w:sz w:val="24"/>
              </w:rPr>
            </w:pPr>
          </w:p>
        </w:tc>
        <w:tc>
          <w:tcPr>
            <w:tcW w:w="945" w:type="dxa"/>
            <w:tcBorders>
              <w:top w:val="nil"/>
              <w:bottom w:val="nil"/>
            </w:tcBorders>
          </w:tcPr>
          <w:p>
            <w:pPr>
              <w:pStyle w:val="TableParagraph"/>
              <w:rPr>
                <w:sz w:val="24"/>
              </w:rPr>
            </w:pPr>
          </w:p>
        </w:tc>
        <w:tc>
          <w:tcPr>
            <w:tcW w:w="2294" w:type="dxa"/>
            <w:tcBorders>
              <w:top w:val="nil"/>
              <w:bottom w:val="nil"/>
            </w:tcBorders>
          </w:tcPr>
          <w:p>
            <w:pPr>
              <w:pStyle w:val="TableParagraph"/>
              <w:rPr>
                <w:sz w:val="24"/>
              </w:rPr>
            </w:pPr>
          </w:p>
        </w:tc>
      </w:tr>
      <w:tr>
        <w:trPr>
          <w:trHeight w:val="415" w:hRule="atLeast"/>
        </w:trPr>
        <w:tc>
          <w:tcPr>
            <w:tcW w:w="706" w:type="dxa"/>
            <w:tcBorders>
              <w:top w:val="nil"/>
              <w:bottom w:val="nil"/>
            </w:tcBorders>
          </w:tcPr>
          <w:p>
            <w:pPr>
              <w:pStyle w:val="TableParagraph"/>
              <w:rPr>
                <w:sz w:val="24"/>
              </w:rPr>
            </w:pPr>
          </w:p>
        </w:tc>
        <w:tc>
          <w:tcPr>
            <w:tcW w:w="3435" w:type="dxa"/>
            <w:tcBorders>
              <w:top w:val="nil"/>
              <w:bottom w:val="nil"/>
            </w:tcBorders>
          </w:tcPr>
          <w:p>
            <w:pPr>
              <w:pStyle w:val="TableParagraph"/>
              <w:spacing w:before="66"/>
              <w:ind w:left="9"/>
              <w:rPr>
                <w:sz w:val="24"/>
              </w:rPr>
            </w:pPr>
            <w:r>
              <w:rPr>
                <w:spacing w:val="-2"/>
                <w:sz w:val="24"/>
              </w:rPr>
              <w:t>approach.</w:t>
            </w:r>
          </w:p>
        </w:tc>
        <w:tc>
          <w:tcPr>
            <w:tcW w:w="730" w:type="dxa"/>
            <w:tcBorders>
              <w:top w:val="nil"/>
              <w:bottom w:val="nil"/>
            </w:tcBorders>
          </w:tcPr>
          <w:p>
            <w:pPr>
              <w:pStyle w:val="TableParagraph"/>
              <w:spacing w:before="66"/>
              <w:ind w:left="9"/>
              <w:jc w:val="center"/>
              <w:rPr>
                <w:sz w:val="24"/>
              </w:rPr>
            </w:pPr>
            <w:r>
              <w:rPr>
                <w:spacing w:val="-5"/>
                <w:sz w:val="24"/>
              </w:rPr>
              <w:t>235</w:t>
            </w:r>
          </w:p>
        </w:tc>
        <w:tc>
          <w:tcPr>
            <w:tcW w:w="890" w:type="dxa"/>
            <w:tcBorders>
              <w:top w:val="nil"/>
              <w:bottom w:val="nil"/>
            </w:tcBorders>
          </w:tcPr>
          <w:p>
            <w:pPr>
              <w:pStyle w:val="TableParagraph"/>
              <w:spacing w:before="66"/>
              <w:ind w:left="9"/>
              <w:jc w:val="center"/>
              <w:rPr>
                <w:sz w:val="24"/>
              </w:rPr>
            </w:pPr>
            <w:r>
              <w:rPr>
                <w:spacing w:val="-4"/>
                <w:sz w:val="24"/>
              </w:rPr>
              <w:t>3.36</w:t>
            </w:r>
          </w:p>
        </w:tc>
        <w:tc>
          <w:tcPr>
            <w:tcW w:w="945" w:type="dxa"/>
            <w:tcBorders>
              <w:top w:val="nil"/>
              <w:bottom w:val="nil"/>
            </w:tcBorders>
          </w:tcPr>
          <w:p>
            <w:pPr>
              <w:pStyle w:val="TableParagraph"/>
              <w:spacing w:before="66"/>
              <w:ind w:left="7"/>
              <w:jc w:val="center"/>
              <w:rPr>
                <w:sz w:val="24"/>
              </w:rPr>
            </w:pPr>
            <w:r>
              <w:rPr>
                <w:spacing w:val="-4"/>
                <w:sz w:val="24"/>
              </w:rPr>
              <w:t>.842</w:t>
            </w:r>
          </w:p>
        </w:tc>
        <w:tc>
          <w:tcPr>
            <w:tcW w:w="2294" w:type="dxa"/>
            <w:tcBorders>
              <w:top w:val="nil"/>
              <w:bottom w:val="nil"/>
            </w:tcBorders>
          </w:tcPr>
          <w:p>
            <w:pPr>
              <w:pStyle w:val="TableParagraph"/>
              <w:spacing w:before="66"/>
              <w:ind w:left="13"/>
              <w:jc w:val="center"/>
              <w:rPr>
                <w:sz w:val="24"/>
              </w:rPr>
            </w:pPr>
            <w:r>
              <w:rPr>
                <w:spacing w:val="-5"/>
                <w:sz w:val="24"/>
              </w:rPr>
              <w:t>SA</w:t>
            </w:r>
          </w:p>
        </w:tc>
      </w:tr>
      <w:tr>
        <w:trPr>
          <w:trHeight w:val="413" w:hRule="atLeast"/>
        </w:trPr>
        <w:tc>
          <w:tcPr>
            <w:tcW w:w="706" w:type="dxa"/>
            <w:tcBorders>
              <w:top w:val="nil"/>
              <w:bottom w:val="nil"/>
            </w:tcBorders>
          </w:tcPr>
          <w:p>
            <w:pPr>
              <w:pStyle w:val="TableParagraph"/>
              <w:spacing w:before="63"/>
              <w:ind w:left="9"/>
              <w:rPr>
                <w:sz w:val="24"/>
              </w:rPr>
            </w:pPr>
            <w:r>
              <w:rPr>
                <w:spacing w:val="-5"/>
                <w:sz w:val="24"/>
              </w:rPr>
              <w:t>B26</w:t>
            </w:r>
          </w:p>
        </w:tc>
        <w:tc>
          <w:tcPr>
            <w:tcW w:w="3435" w:type="dxa"/>
            <w:tcBorders>
              <w:top w:val="nil"/>
              <w:bottom w:val="nil"/>
            </w:tcBorders>
          </w:tcPr>
          <w:p>
            <w:pPr>
              <w:pStyle w:val="TableParagraph"/>
              <w:spacing w:before="63"/>
              <w:ind w:left="9"/>
              <w:rPr>
                <w:sz w:val="24"/>
              </w:rPr>
            </w:pPr>
            <w:r>
              <w:rPr>
                <w:sz w:val="24"/>
              </w:rPr>
              <w:t>Military</w:t>
            </w:r>
            <w:r>
              <w:rPr>
                <w:spacing w:val="-6"/>
                <w:sz w:val="24"/>
              </w:rPr>
              <w:t> </w:t>
            </w:r>
            <w:r>
              <w:rPr>
                <w:sz w:val="24"/>
              </w:rPr>
              <w:t>and </w:t>
            </w:r>
            <w:r>
              <w:rPr>
                <w:spacing w:val="-2"/>
                <w:sz w:val="24"/>
              </w:rPr>
              <w:t>paramilitary</w:t>
            </w:r>
          </w:p>
        </w:tc>
        <w:tc>
          <w:tcPr>
            <w:tcW w:w="730" w:type="dxa"/>
            <w:tcBorders>
              <w:top w:val="nil"/>
              <w:bottom w:val="nil"/>
            </w:tcBorders>
          </w:tcPr>
          <w:p>
            <w:pPr>
              <w:pStyle w:val="TableParagraph"/>
              <w:rPr>
                <w:sz w:val="24"/>
              </w:rPr>
            </w:pPr>
          </w:p>
        </w:tc>
        <w:tc>
          <w:tcPr>
            <w:tcW w:w="890" w:type="dxa"/>
            <w:tcBorders>
              <w:top w:val="nil"/>
              <w:bottom w:val="nil"/>
            </w:tcBorders>
          </w:tcPr>
          <w:p>
            <w:pPr>
              <w:pStyle w:val="TableParagraph"/>
              <w:rPr>
                <w:sz w:val="24"/>
              </w:rPr>
            </w:pPr>
          </w:p>
        </w:tc>
        <w:tc>
          <w:tcPr>
            <w:tcW w:w="945" w:type="dxa"/>
            <w:tcBorders>
              <w:top w:val="nil"/>
              <w:bottom w:val="nil"/>
            </w:tcBorders>
          </w:tcPr>
          <w:p>
            <w:pPr>
              <w:pStyle w:val="TableParagraph"/>
              <w:rPr>
                <w:sz w:val="24"/>
              </w:rPr>
            </w:pPr>
          </w:p>
        </w:tc>
        <w:tc>
          <w:tcPr>
            <w:tcW w:w="2294" w:type="dxa"/>
            <w:tcBorders>
              <w:top w:val="nil"/>
              <w:bottom w:val="nil"/>
            </w:tcBorders>
          </w:tcPr>
          <w:p>
            <w:pPr>
              <w:pStyle w:val="TableParagraph"/>
              <w:rPr>
                <w:sz w:val="24"/>
              </w:rPr>
            </w:pPr>
          </w:p>
        </w:tc>
      </w:tr>
      <w:tr>
        <w:trPr>
          <w:trHeight w:val="550" w:hRule="atLeast"/>
        </w:trPr>
        <w:tc>
          <w:tcPr>
            <w:tcW w:w="706" w:type="dxa"/>
            <w:tcBorders>
              <w:top w:val="nil"/>
              <w:bottom w:val="nil"/>
            </w:tcBorders>
          </w:tcPr>
          <w:p>
            <w:pPr>
              <w:pStyle w:val="TableParagraph"/>
              <w:rPr>
                <w:sz w:val="24"/>
              </w:rPr>
            </w:pPr>
          </w:p>
        </w:tc>
        <w:tc>
          <w:tcPr>
            <w:tcW w:w="3435" w:type="dxa"/>
            <w:tcBorders>
              <w:top w:val="nil"/>
              <w:bottom w:val="nil"/>
            </w:tcBorders>
          </w:tcPr>
          <w:p>
            <w:pPr>
              <w:pStyle w:val="TableParagraph"/>
              <w:spacing w:before="64"/>
              <w:ind w:left="9"/>
              <w:rPr>
                <w:sz w:val="24"/>
              </w:rPr>
            </w:pPr>
            <w:r>
              <w:rPr>
                <w:sz w:val="24"/>
              </w:rPr>
              <w:t>miIitancy,</w:t>
            </w:r>
            <w:r>
              <w:rPr>
                <w:spacing w:val="-3"/>
                <w:sz w:val="24"/>
              </w:rPr>
              <w:t> </w:t>
            </w:r>
            <w:r>
              <w:rPr>
                <w:sz w:val="24"/>
              </w:rPr>
              <w:t>confrontation</w:t>
            </w:r>
            <w:r>
              <w:rPr>
                <w:spacing w:val="-2"/>
                <w:sz w:val="24"/>
              </w:rPr>
              <w:t> </w:t>
            </w:r>
            <w:r>
              <w:rPr>
                <w:spacing w:val="-5"/>
                <w:sz w:val="24"/>
              </w:rPr>
              <w:t>and</w:t>
            </w:r>
          </w:p>
        </w:tc>
        <w:tc>
          <w:tcPr>
            <w:tcW w:w="730" w:type="dxa"/>
            <w:tcBorders>
              <w:top w:val="nil"/>
              <w:bottom w:val="nil"/>
            </w:tcBorders>
          </w:tcPr>
          <w:p>
            <w:pPr>
              <w:pStyle w:val="TableParagraph"/>
              <w:spacing w:before="64"/>
              <w:ind w:left="9"/>
              <w:jc w:val="center"/>
              <w:rPr>
                <w:sz w:val="24"/>
              </w:rPr>
            </w:pPr>
            <w:r>
              <w:rPr>
                <w:spacing w:val="-5"/>
                <w:sz w:val="24"/>
              </w:rPr>
              <w:t>233</w:t>
            </w:r>
          </w:p>
        </w:tc>
        <w:tc>
          <w:tcPr>
            <w:tcW w:w="890" w:type="dxa"/>
            <w:tcBorders>
              <w:top w:val="nil"/>
              <w:bottom w:val="nil"/>
            </w:tcBorders>
          </w:tcPr>
          <w:p>
            <w:pPr>
              <w:pStyle w:val="TableParagraph"/>
              <w:spacing w:before="64"/>
              <w:ind w:left="9"/>
              <w:jc w:val="center"/>
              <w:rPr>
                <w:sz w:val="24"/>
              </w:rPr>
            </w:pPr>
            <w:r>
              <w:rPr>
                <w:spacing w:val="-4"/>
                <w:sz w:val="24"/>
              </w:rPr>
              <w:t>2.33</w:t>
            </w:r>
          </w:p>
        </w:tc>
        <w:tc>
          <w:tcPr>
            <w:tcW w:w="945" w:type="dxa"/>
            <w:tcBorders>
              <w:top w:val="nil"/>
              <w:bottom w:val="nil"/>
            </w:tcBorders>
          </w:tcPr>
          <w:p>
            <w:pPr>
              <w:pStyle w:val="TableParagraph"/>
              <w:spacing w:before="64"/>
              <w:ind w:left="7"/>
              <w:jc w:val="center"/>
              <w:rPr>
                <w:sz w:val="24"/>
              </w:rPr>
            </w:pPr>
            <w:r>
              <w:rPr>
                <w:spacing w:val="-4"/>
                <w:sz w:val="24"/>
              </w:rPr>
              <w:t>.945</w:t>
            </w:r>
          </w:p>
        </w:tc>
        <w:tc>
          <w:tcPr>
            <w:tcW w:w="2294" w:type="dxa"/>
            <w:tcBorders>
              <w:top w:val="nil"/>
              <w:bottom w:val="nil"/>
            </w:tcBorders>
          </w:tcPr>
          <w:p>
            <w:pPr>
              <w:pStyle w:val="TableParagraph"/>
              <w:spacing w:before="64"/>
              <w:ind w:left="13" w:right="1"/>
              <w:jc w:val="center"/>
              <w:rPr>
                <w:sz w:val="24"/>
              </w:rPr>
            </w:pPr>
            <w:r>
              <w:rPr>
                <w:spacing w:val="-10"/>
                <w:sz w:val="24"/>
              </w:rPr>
              <w:t>D</w:t>
            </w:r>
          </w:p>
        </w:tc>
      </w:tr>
      <w:tr>
        <w:trPr>
          <w:trHeight w:val="891" w:hRule="atLeast"/>
        </w:trPr>
        <w:tc>
          <w:tcPr>
            <w:tcW w:w="706" w:type="dxa"/>
            <w:tcBorders>
              <w:top w:val="nil"/>
            </w:tcBorders>
          </w:tcPr>
          <w:p>
            <w:pPr>
              <w:pStyle w:val="TableParagraph"/>
              <w:spacing w:before="200"/>
              <w:ind w:left="9"/>
              <w:rPr>
                <w:sz w:val="24"/>
              </w:rPr>
            </w:pPr>
            <w:r>
              <w:rPr>
                <w:spacing w:val="-5"/>
                <w:sz w:val="24"/>
              </w:rPr>
              <w:t>B27</w:t>
            </w:r>
          </w:p>
        </w:tc>
        <w:tc>
          <w:tcPr>
            <w:tcW w:w="3435" w:type="dxa"/>
            <w:tcBorders>
              <w:top w:val="nil"/>
            </w:tcBorders>
          </w:tcPr>
          <w:p>
            <w:pPr>
              <w:pStyle w:val="TableParagraph"/>
              <w:spacing w:before="200"/>
              <w:ind w:left="9"/>
              <w:rPr>
                <w:sz w:val="24"/>
              </w:rPr>
            </w:pPr>
            <w:r>
              <w:rPr>
                <w:spacing w:val="-2"/>
                <w:sz w:val="24"/>
              </w:rPr>
              <w:t>Sabotage</w:t>
            </w:r>
          </w:p>
        </w:tc>
        <w:tc>
          <w:tcPr>
            <w:tcW w:w="730" w:type="dxa"/>
            <w:tcBorders>
              <w:top w:val="nil"/>
            </w:tcBorders>
          </w:tcPr>
          <w:p>
            <w:pPr>
              <w:pStyle w:val="TableParagraph"/>
              <w:spacing w:before="200"/>
              <w:ind w:left="9"/>
              <w:jc w:val="center"/>
              <w:rPr>
                <w:sz w:val="24"/>
              </w:rPr>
            </w:pPr>
            <w:r>
              <w:rPr>
                <w:spacing w:val="-5"/>
                <w:sz w:val="24"/>
              </w:rPr>
              <w:t>230</w:t>
            </w:r>
          </w:p>
        </w:tc>
        <w:tc>
          <w:tcPr>
            <w:tcW w:w="890" w:type="dxa"/>
            <w:tcBorders>
              <w:top w:val="nil"/>
            </w:tcBorders>
          </w:tcPr>
          <w:p>
            <w:pPr>
              <w:pStyle w:val="TableParagraph"/>
              <w:spacing w:before="200"/>
              <w:ind w:left="9"/>
              <w:jc w:val="center"/>
              <w:rPr>
                <w:sz w:val="24"/>
              </w:rPr>
            </w:pPr>
            <w:r>
              <w:rPr>
                <w:spacing w:val="-4"/>
                <w:sz w:val="24"/>
              </w:rPr>
              <w:t>1.73</w:t>
            </w:r>
          </w:p>
        </w:tc>
        <w:tc>
          <w:tcPr>
            <w:tcW w:w="945" w:type="dxa"/>
            <w:tcBorders>
              <w:top w:val="nil"/>
            </w:tcBorders>
          </w:tcPr>
          <w:p>
            <w:pPr>
              <w:pStyle w:val="TableParagraph"/>
              <w:spacing w:before="200"/>
              <w:ind w:left="7"/>
              <w:jc w:val="center"/>
              <w:rPr>
                <w:sz w:val="24"/>
              </w:rPr>
            </w:pPr>
            <w:r>
              <w:rPr>
                <w:spacing w:val="-4"/>
                <w:sz w:val="24"/>
              </w:rPr>
              <w:t>.798</w:t>
            </w:r>
          </w:p>
        </w:tc>
        <w:tc>
          <w:tcPr>
            <w:tcW w:w="2294" w:type="dxa"/>
            <w:tcBorders>
              <w:top w:val="nil"/>
            </w:tcBorders>
          </w:tcPr>
          <w:p>
            <w:pPr>
              <w:pStyle w:val="TableParagraph"/>
              <w:spacing w:before="200"/>
              <w:ind w:left="13"/>
              <w:jc w:val="center"/>
              <w:rPr>
                <w:sz w:val="24"/>
              </w:rPr>
            </w:pPr>
            <w:r>
              <w:rPr>
                <w:spacing w:val="-5"/>
                <w:sz w:val="24"/>
              </w:rPr>
              <w:t>SD</w:t>
            </w:r>
          </w:p>
        </w:tc>
      </w:tr>
    </w:tbl>
    <w:p>
      <w:pPr>
        <w:pStyle w:val="BodyText"/>
        <w:spacing w:before="138"/>
        <w:ind w:left="0"/>
        <w:rPr>
          <w:b/>
        </w:rPr>
      </w:pPr>
    </w:p>
    <w:p>
      <w:pPr>
        <w:pStyle w:val="BodyText"/>
        <w:spacing w:line="360" w:lineRule="auto"/>
        <w:ind w:right="1256" w:firstLine="600"/>
        <w:jc w:val="both"/>
      </w:pPr>
      <w:r>
        <w:rPr/>
        <w:t>We</w:t>
      </w:r>
      <w:r>
        <w:rPr>
          <w:spacing w:val="-3"/>
        </w:rPr>
        <w:t> </w:t>
      </w:r>
      <w:r>
        <w:rPr/>
        <w:t>sought</w:t>
      </w:r>
      <w:r>
        <w:rPr>
          <w:spacing w:val="-2"/>
        </w:rPr>
        <w:t> </w:t>
      </w:r>
      <w:r>
        <w:rPr/>
        <w:t>to</w:t>
      </w:r>
      <w:r>
        <w:rPr>
          <w:spacing w:val="-2"/>
        </w:rPr>
        <w:t> </w:t>
      </w:r>
      <w:r>
        <w:rPr/>
        <w:t>know</w:t>
      </w:r>
      <w:r>
        <w:rPr>
          <w:spacing w:val="-2"/>
        </w:rPr>
        <w:t> </w:t>
      </w:r>
      <w:r>
        <w:rPr/>
        <w:t>from</w:t>
      </w:r>
      <w:r>
        <w:rPr>
          <w:spacing w:val="-2"/>
        </w:rPr>
        <w:t> </w:t>
      </w:r>
      <w:r>
        <w:rPr/>
        <w:t>the</w:t>
      </w:r>
      <w:r>
        <w:rPr>
          <w:spacing w:val="-2"/>
        </w:rPr>
        <w:t> </w:t>
      </w:r>
      <w:r>
        <w:rPr/>
        <w:t>respondents</w:t>
      </w:r>
      <w:r>
        <w:rPr>
          <w:spacing w:val="-2"/>
        </w:rPr>
        <w:t> </w:t>
      </w:r>
      <w:r>
        <w:rPr/>
        <w:t>the</w:t>
      </w:r>
      <w:r>
        <w:rPr>
          <w:spacing w:val="-3"/>
        </w:rPr>
        <w:t> </w:t>
      </w:r>
      <w:r>
        <w:rPr/>
        <w:t>public</w:t>
      </w:r>
      <w:r>
        <w:rPr>
          <w:spacing w:val="-2"/>
        </w:rPr>
        <w:t> </w:t>
      </w:r>
      <w:r>
        <w:rPr/>
        <w:t>perception</w:t>
      </w:r>
      <w:r>
        <w:rPr>
          <w:spacing w:val="-2"/>
        </w:rPr>
        <w:t> </w:t>
      </w:r>
      <w:r>
        <w:rPr/>
        <w:t>on</w:t>
      </w:r>
      <w:r>
        <w:rPr>
          <w:spacing w:val="-2"/>
        </w:rPr>
        <w:t> </w:t>
      </w:r>
      <w:r>
        <w:rPr/>
        <w:t>the</w:t>
      </w:r>
      <w:r>
        <w:rPr>
          <w:spacing w:val="-1"/>
        </w:rPr>
        <w:t> </w:t>
      </w:r>
      <w:r>
        <w:rPr/>
        <w:t>best</w:t>
      </w:r>
      <w:r>
        <w:rPr>
          <w:spacing w:val="-1"/>
        </w:rPr>
        <w:t> </w:t>
      </w:r>
      <w:r>
        <w:rPr/>
        <w:t>ways of conflict management in the Niger Delta. From the views expressed by the respondents, there is a general disagreement that avoidance and military/paramilitary option should be employed in conflict transformation in the region. The respondents also strongly disagree that people should result to the use of militancy, confrontation and sabotage to resolve the Niger Delta conflicts. Conversely, the respondents</w:t>
      </w:r>
      <w:r>
        <w:rPr>
          <w:spacing w:val="40"/>
        </w:rPr>
        <w:t> </w:t>
      </w:r>
      <w:r>
        <w:rPr/>
        <w:t>strongly agree that joint problem solving, collaboration and compromise approaches should be used in transforming the Niger Delta conflicts. Likewise, the respondents agree on the use of "Third Party" intervention approach in resolving the Niger Delta </w:t>
      </w:r>
      <w:r>
        <w:rPr>
          <w:spacing w:val="-2"/>
        </w:rPr>
        <w:t>conflict.</w:t>
      </w:r>
    </w:p>
    <w:p>
      <w:pPr>
        <w:pStyle w:val="BodyText"/>
        <w:spacing w:line="360" w:lineRule="auto"/>
        <w:ind w:right="1258" w:firstLine="600"/>
        <w:jc w:val="both"/>
      </w:pPr>
      <w:r>
        <w:rPr/>
        <w:t>From</w:t>
      </w:r>
      <w:r>
        <w:rPr>
          <w:spacing w:val="-1"/>
        </w:rPr>
        <w:t> </w:t>
      </w:r>
      <w:r>
        <w:rPr/>
        <w:t>the</w:t>
      </w:r>
      <w:r>
        <w:rPr>
          <w:spacing w:val="-1"/>
        </w:rPr>
        <w:t> </w:t>
      </w:r>
      <w:r>
        <w:rPr/>
        <w:t>views</w:t>
      </w:r>
      <w:r>
        <w:rPr>
          <w:spacing w:val="-1"/>
        </w:rPr>
        <w:t> </w:t>
      </w:r>
      <w:r>
        <w:rPr/>
        <w:t>of writers (including</w:t>
      </w:r>
      <w:r>
        <w:rPr>
          <w:spacing w:val="-3"/>
        </w:rPr>
        <w:t> </w:t>
      </w:r>
      <w:r>
        <w:rPr/>
        <w:t>news</w:t>
      </w:r>
      <w:r>
        <w:rPr>
          <w:spacing w:val="-1"/>
        </w:rPr>
        <w:t> </w:t>
      </w:r>
      <w:r>
        <w:rPr/>
        <w:t>media) on the</w:t>
      </w:r>
      <w:r>
        <w:rPr>
          <w:spacing w:val="-1"/>
        </w:rPr>
        <w:t> </w:t>
      </w:r>
      <w:r>
        <w:rPr/>
        <w:t>violent conflicts in the Niger Delta, there have been persistent calls for government to evolve an integrated approach to conflict management for sustainable peace and development in the Niger Delta. This entails giving the JTF operation a "human face". There is the need for the capacity of government functionaries to be further built in joint problem solving </w:t>
      </w:r>
      <w:r>
        <w:rPr>
          <w:spacing w:val="-2"/>
        </w:rPr>
        <w:t>strategies.</w:t>
      </w:r>
    </w:p>
    <w:p>
      <w:pPr>
        <w:spacing w:after="0" w:line="360" w:lineRule="auto"/>
        <w:jc w:val="both"/>
        <w:sectPr>
          <w:pgSz w:w="11910" w:h="16840"/>
          <w:pgMar w:header="0" w:footer="1561" w:top="1760" w:bottom="1760" w:left="720" w:right="180"/>
        </w:sectPr>
      </w:pPr>
    </w:p>
    <w:p>
      <w:pPr>
        <w:pStyle w:val="Heading2"/>
        <w:numPr>
          <w:ilvl w:val="3"/>
          <w:numId w:val="19"/>
        </w:numPr>
        <w:tabs>
          <w:tab w:pos="2284" w:val="left" w:leader="none"/>
        </w:tabs>
        <w:spacing w:line="360" w:lineRule="auto" w:before="78" w:after="0"/>
        <w:ind w:left="1440" w:right="1264" w:firstLine="0"/>
        <w:jc w:val="left"/>
      </w:pPr>
      <w:r>
        <w:rPr/>
        <mc:AlternateContent>
          <mc:Choice Requires="wps">
            <w:drawing>
              <wp:anchor distT="0" distB="0" distL="0" distR="0" allowOverlap="1" layoutInCell="1" locked="0" behindDoc="1" simplePos="0" relativeHeight="480670208">
                <wp:simplePos x="0" y="0"/>
                <wp:positionH relativeFrom="page">
                  <wp:posOffset>-1537026</wp:posOffset>
                </wp:positionH>
                <wp:positionV relativeFrom="page">
                  <wp:posOffset>4900424</wp:posOffset>
                </wp:positionV>
                <wp:extent cx="10669905" cy="914400"/>
                <wp:effectExtent l="0" t="0" r="0" b="0"/>
                <wp:wrapNone/>
                <wp:docPr id="300" name="Textbox 300"/>
                <wp:cNvGraphicFramePr>
                  <a:graphicFrameLocks/>
                </wp:cNvGraphicFramePr>
                <a:graphic>
                  <a:graphicData uri="http://schemas.microsoft.com/office/word/2010/wordprocessingShape">
                    <wps:wsp>
                      <wps:cNvPr id="300" name="Textbox 300"/>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46272;rotation:306" type="#_x0000_t136" fillcolor="#ff5400" stroked="f">
                <o:extrusion v:ext="view" autorotationcenter="t"/>
                <v:textpath style="font-family:&quot;Arial MT&quot;;font-size:72pt;v-text-kern:t;mso-text-shadow:auto" string="UNIVERSITY OF IBADAN"/>
                <w10:wrap type="none"/>
              </v:shape>
            </w:pict>
          </mc:Fallback>
        </mc:AlternateContent>
      </w:r>
      <w:r>
        <w:rPr/>
        <w:t>RQ8: Perception on why Joint</w:t>
      </w:r>
      <w:r>
        <w:rPr>
          <w:spacing w:val="-1"/>
        </w:rPr>
        <w:t> </w:t>
      </w:r>
      <w:r>
        <w:rPr/>
        <w:t>Problem</w:t>
      </w:r>
      <w:r>
        <w:rPr>
          <w:spacing w:val="-3"/>
        </w:rPr>
        <w:t> </w:t>
      </w:r>
      <w:r>
        <w:rPr/>
        <w:t>Solving Approach Has Not</w:t>
      </w:r>
      <w:r>
        <w:rPr>
          <w:spacing w:val="-1"/>
        </w:rPr>
        <w:t> </w:t>
      </w:r>
      <w:r>
        <w:rPr/>
        <w:t>Been Employed in the Niger Delta</w:t>
      </w:r>
    </w:p>
    <w:p>
      <w:pPr>
        <w:spacing w:line="360" w:lineRule="auto" w:before="1"/>
        <w:ind w:left="1440" w:right="1260" w:firstLine="0"/>
        <w:jc w:val="left"/>
        <w:rPr>
          <w:b/>
          <w:sz w:val="24"/>
        </w:rPr>
      </w:pPr>
      <w:r>
        <w:rPr>
          <w:b/>
          <w:sz w:val="24"/>
        </w:rPr>
        <w:t>Table</w:t>
      </w:r>
      <w:r>
        <w:rPr>
          <w:b/>
          <w:spacing w:val="34"/>
          <w:sz w:val="24"/>
        </w:rPr>
        <w:t> </w:t>
      </w:r>
      <w:r>
        <w:rPr>
          <w:b/>
          <w:sz w:val="24"/>
        </w:rPr>
        <w:t>11:</w:t>
      </w:r>
      <w:r>
        <w:rPr>
          <w:b/>
          <w:spacing w:val="34"/>
          <w:sz w:val="24"/>
        </w:rPr>
        <w:t> </w:t>
      </w:r>
      <w:r>
        <w:rPr>
          <w:b/>
          <w:sz w:val="24"/>
        </w:rPr>
        <w:t>Perception</w:t>
      </w:r>
      <w:r>
        <w:rPr>
          <w:b/>
          <w:spacing w:val="35"/>
          <w:sz w:val="24"/>
        </w:rPr>
        <w:t> </w:t>
      </w:r>
      <w:r>
        <w:rPr>
          <w:b/>
          <w:sz w:val="24"/>
        </w:rPr>
        <w:t>on</w:t>
      </w:r>
      <w:r>
        <w:rPr>
          <w:b/>
          <w:spacing w:val="35"/>
          <w:sz w:val="24"/>
        </w:rPr>
        <w:t> </w:t>
      </w:r>
      <w:r>
        <w:rPr>
          <w:b/>
          <w:sz w:val="24"/>
        </w:rPr>
        <w:t>Why</w:t>
      </w:r>
      <w:r>
        <w:rPr>
          <w:b/>
          <w:spacing w:val="35"/>
          <w:sz w:val="24"/>
        </w:rPr>
        <w:t> </w:t>
      </w:r>
      <w:r>
        <w:rPr>
          <w:b/>
          <w:sz w:val="24"/>
        </w:rPr>
        <w:t>Joint</w:t>
      </w:r>
      <w:r>
        <w:rPr>
          <w:b/>
          <w:spacing w:val="34"/>
          <w:sz w:val="24"/>
        </w:rPr>
        <w:t> </w:t>
      </w:r>
      <w:r>
        <w:rPr>
          <w:b/>
          <w:sz w:val="24"/>
        </w:rPr>
        <w:t>Problem</w:t>
      </w:r>
      <w:r>
        <w:rPr>
          <w:b/>
          <w:spacing w:val="34"/>
          <w:sz w:val="24"/>
        </w:rPr>
        <w:t> </w:t>
      </w:r>
      <w:r>
        <w:rPr>
          <w:b/>
          <w:sz w:val="24"/>
        </w:rPr>
        <w:t>Solving</w:t>
      </w:r>
      <w:r>
        <w:rPr>
          <w:b/>
          <w:spacing w:val="35"/>
          <w:sz w:val="24"/>
        </w:rPr>
        <w:t> </w:t>
      </w:r>
      <w:r>
        <w:rPr>
          <w:b/>
          <w:sz w:val="24"/>
        </w:rPr>
        <w:t>Approach</w:t>
      </w:r>
      <w:r>
        <w:rPr>
          <w:b/>
          <w:spacing w:val="35"/>
          <w:sz w:val="24"/>
        </w:rPr>
        <w:t> </w:t>
      </w:r>
      <w:r>
        <w:rPr>
          <w:b/>
          <w:sz w:val="24"/>
        </w:rPr>
        <w:t>Has</w:t>
      </w:r>
      <w:r>
        <w:rPr>
          <w:b/>
          <w:spacing w:val="33"/>
          <w:sz w:val="24"/>
        </w:rPr>
        <w:t> </w:t>
      </w:r>
      <w:r>
        <w:rPr>
          <w:b/>
          <w:sz w:val="24"/>
        </w:rPr>
        <w:t>Not</w:t>
      </w:r>
      <w:r>
        <w:rPr>
          <w:b/>
          <w:spacing w:val="33"/>
          <w:sz w:val="24"/>
        </w:rPr>
        <w:t> </w:t>
      </w:r>
      <w:r>
        <w:rPr>
          <w:b/>
          <w:sz w:val="24"/>
        </w:rPr>
        <w:t>Been Employed in the Niger Delta</w:t>
      </w: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96"/>
        <w:gridCol w:w="3625"/>
        <w:gridCol w:w="706"/>
        <w:gridCol w:w="620"/>
        <w:gridCol w:w="721"/>
        <w:gridCol w:w="2277"/>
      </w:tblGrid>
      <w:tr>
        <w:trPr>
          <w:trHeight w:val="417" w:hRule="atLeast"/>
        </w:trPr>
        <w:tc>
          <w:tcPr>
            <w:tcW w:w="696" w:type="dxa"/>
          </w:tcPr>
          <w:p>
            <w:pPr>
              <w:pStyle w:val="TableParagraph"/>
              <w:rPr>
                <w:sz w:val="24"/>
              </w:rPr>
            </w:pPr>
          </w:p>
        </w:tc>
        <w:tc>
          <w:tcPr>
            <w:tcW w:w="3625" w:type="dxa"/>
          </w:tcPr>
          <w:p>
            <w:pPr>
              <w:pStyle w:val="TableParagraph"/>
              <w:rPr>
                <w:sz w:val="24"/>
              </w:rPr>
            </w:pPr>
          </w:p>
        </w:tc>
        <w:tc>
          <w:tcPr>
            <w:tcW w:w="706" w:type="dxa"/>
          </w:tcPr>
          <w:p>
            <w:pPr>
              <w:pStyle w:val="TableParagraph"/>
              <w:spacing w:before="1"/>
              <w:ind w:left="9" w:right="5"/>
              <w:jc w:val="center"/>
              <w:rPr>
                <w:b/>
                <w:sz w:val="24"/>
              </w:rPr>
            </w:pPr>
            <w:r>
              <w:rPr>
                <w:b/>
                <w:spacing w:val="-10"/>
                <w:sz w:val="24"/>
              </w:rPr>
              <w:t>N</w:t>
            </w:r>
          </w:p>
        </w:tc>
        <w:tc>
          <w:tcPr>
            <w:tcW w:w="620" w:type="dxa"/>
          </w:tcPr>
          <w:p>
            <w:pPr>
              <w:pStyle w:val="TableParagraph"/>
              <w:spacing w:before="1"/>
              <w:ind w:left="7"/>
              <w:jc w:val="center"/>
              <w:rPr>
                <w:b/>
                <w:sz w:val="24"/>
              </w:rPr>
            </w:pPr>
            <w:r>
              <w:rPr>
                <w:b/>
                <w:spacing w:val="-4"/>
                <w:sz w:val="24"/>
              </w:rPr>
              <w:t>Mean</w:t>
            </w:r>
          </w:p>
        </w:tc>
        <w:tc>
          <w:tcPr>
            <w:tcW w:w="721" w:type="dxa"/>
          </w:tcPr>
          <w:p>
            <w:pPr>
              <w:pStyle w:val="TableParagraph"/>
              <w:spacing w:before="1"/>
              <w:ind w:left="7"/>
              <w:jc w:val="center"/>
              <w:rPr>
                <w:b/>
                <w:sz w:val="24"/>
              </w:rPr>
            </w:pPr>
            <w:r>
              <w:rPr>
                <w:b/>
                <w:spacing w:val="-5"/>
                <w:sz w:val="24"/>
              </w:rPr>
              <w:t>SD</w:t>
            </w:r>
          </w:p>
        </w:tc>
        <w:tc>
          <w:tcPr>
            <w:tcW w:w="2277" w:type="dxa"/>
          </w:tcPr>
          <w:p>
            <w:pPr>
              <w:pStyle w:val="TableParagraph"/>
              <w:spacing w:before="1"/>
              <w:ind w:left="5" w:right="6"/>
              <w:jc w:val="center"/>
              <w:rPr>
                <w:b/>
                <w:sz w:val="24"/>
              </w:rPr>
            </w:pPr>
            <w:r>
              <w:rPr>
                <w:b/>
                <w:sz w:val="24"/>
              </w:rPr>
              <w:t>Level</w:t>
            </w:r>
            <w:r>
              <w:rPr>
                <w:b/>
                <w:spacing w:val="-3"/>
                <w:sz w:val="24"/>
              </w:rPr>
              <w:t> </w:t>
            </w:r>
            <w:r>
              <w:rPr>
                <w:b/>
                <w:sz w:val="24"/>
              </w:rPr>
              <w:t>of </w:t>
            </w:r>
            <w:r>
              <w:rPr>
                <w:b/>
                <w:spacing w:val="-2"/>
                <w:sz w:val="24"/>
              </w:rPr>
              <w:t>Agreement</w:t>
            </w:r>
          </w:p>
        </w:tc>
      </w:tr>
      <w:tr>
        <w:trPr>
          <w:trHeight w:val="362" w:hRule="atLeast"/>
        </w:trPr>
        <w:tc>
          <w:tcPr>
            <w:tcW w:w="696" w:type="dxa"/>
            <w:tcBorders>
              <w:bottom w:val="nil"/>
            </w:tcBorders>
          </w:tcPr>
          <w:p>
            <w:pPr>
              <w:pStyle w:val="TableParagraph"/>
              <w:spacing w:before="6"/>
              <w:ind w:left="4"/>
              <w:jc w:val="center"/>
              <w:rPr>
                <w:sz w:val="24"/>
              </w:rPr>
            </w:pPr>
            <w:r>
              <w:rPr>
                <w:spacing w:val="-5"/>
                <w:sz w:val="24"/>
              </w:rPr>
              <w:t>B28</w:t>
            </w:r>
          </w:p>
        </w:tc>
        <w:tc>
          <w:tcPr>
            <w:tcW w:w="3625" w:type="dxa"/>
            <w:tcBorders>
              <w:bottom w:val="nil"/>
            </w:tcBorders>
          </w:tcPr>
          <w:p>
            <w:pPr>
              <w:pStyle w:val="TableParagraph"/>
              <w:spacing w:before="6"/>
              <w:ind w:left="9"/>
              <w:rPr>
                <w:sz w:val="24"/>
              </w:rPr>
            </w:pPr>
            <w:r>
              <w:rPr>
                <w:sz w:val="24"/>
              </w:rPr>
              <w:t>It</w:t>
            </w:r>
            <w:r>
              <w:rPr>
                <w:spacing w:val="-3"/>
                <w:sz w:val="24"/>
              </w:rPr>
              <w:t> </w:t>
            </w:r>
            <w:r>
              <w:rPr>
                <w:sz w:val="24"/>
              </w:rPr>
              <w:t>is</w:t>
            </w:r>
            <w:r>
              <w:rPr>
                <w:spacing w:val="-1"/>
                <w:sz w:val="24"/>
              </w:rPr>
              <w:t> </w:t>
            </w:r>
            <w:r>
              <w:rPr>
                <w:sz w:val="24"/>
              </w:rPr>
              <w:t>not</w:t>
            </w:r>
            <w:r>
              <w:rPr>
                <w:spacing w:val="-1"/>
                <w:sz w:val="24"/>
              </w:rPr>
              <w:t> </w:t>
            </w:r>
            <w:r>
              <w:rPr>
                <w:sz w:val="24"/>
              </w:rPr>
              <w:t>the</w:t>
            </w:r>
            <w:r>
              <w:rPr>
                <w:spacing w:val="-1"/>
                <w:sz w:val="24"/>
              </w:rPr>
              <w:t> </w:t>
            </w:r>
            <w:r>
              <w:rPr>
                <w:sz w:val="24"/>
              </w:rPr>
              <w:t>best</w:t>
            </w:r>
            <w:r>
              <w:rPr>
                <w:spacing w:val="-1"/>
                <w:sz w:val="24"/>
              </w:rPr>
              <w:t> </w:t>
            </w:r>
            <w:r>
              <w:rPr>
                <w:sz w:val="24"/>
              </w:rPr>
              <w:t>approach</w:t>
            </w:r>
            <w:r>
              <w:rPr>
                <w:spacing w:val="-1"/>
                <w:sz w:val="24"/>
              </w:rPr>
              <w:t> </w:t>
            </w:r>
            <w:r>
              <w:rPr>
                <w:spacing w:val="-5"/>
                <w:sz w:val="24"/>
              </w:rPr>
              <w:t>to</w:t>
            </w:r>
          </w:p>
        </w:tc>
        <w:tc>
          <w:tcPr>
            <w:tcW w:w="706" w:type="dxa"/>
            <w:tcBorders>
              <w:bottom w:val="nil"/>
            </w:tcBorders>
          </w:tcPr>
          <w:p>
            <w:pPr>
              <w:pStyle w:val="TableParagraph"/>
              <w:rPr>
                <w:sz w:val="24"/>
              </w:rPr>
            </w:pPr>
          </w:p>
        </w:tc>
        <w:tc>
          <w:tcPr>
            <w:tcW w:w="620" w:type="dxa"/>
            <w:tcBorders>
              <w:bottom w:val="nil"/>
            </w:tcBorders>
          </w:tcPr>
          <w:p>
            <w:pPr>
              <w:pStyle w:val="TableParagraph"/>
              <w:rPr>
                <w:sz w:val="24"/>
              </w:rPr>
            </w:pPr>
          </w:p>
        </w:tc>
        <w:tc>
          <w:tcPr>
            <w:tcW w:w="721" w:type="dxa"/>
            <w:tcBorders>
              <w:bottom w:val="nil"/>
            </w:tcBorders>
          </w:tcPr>
          <w:p>
            <w:pPr>
              <w:pStyle w:val="TableParagraph"/>
              <w:rPr>
                <w:sz w:val="24"/>
              </w:rPr>
            </w:pPr>
          </w:p>
        </w:tc>
        <w:tc>
          <w:tcPr>
            <w:tcW w:w="2277" w:type="dxa"/>
            <w:tcBorders>
              <w:bottom w:val="nil"/>
            </w:tcBorders>
          </w:tcPr>
          <w:p>
            <w:pPr>
              <w:pStyle w:val="TableParagraph"/>
              <w:rPr>
                <w:sz w:val="24"/>
              </w:rPr>
            </w:pPr>
          </w:p>
        </w:tc>
      </w:tr>
      <w:tr>
        <w:trPr>
          <w:trHeight w:val="421" w:hRule="atLeast"/>
        </w:trPr>
        <w:tc>
          <w:tcPr>
            <w:tcW w:w="696" w:type="dxa"/>
            <w:tcBorders>
              <w:top w:val="nil"/>
              <w:bottom w:val="nil"/>
            </w:tcBorders>
          </w:tcPr>
          <w:p>
            <w:pPr>
              <w:pStyle w:val="TableParagraph"/>
              <w:rPr>
                <w:sz w:val="24"/>
              </w:rPr>
            </w:pPr>
          </w:p>
        </w:tc>
        <w:tc>
          <w:tcPr>
            <w:tcW w:w="3625" w:type="dxa"/>
            <w:tcBorders>
              <w:top w:val="nil"/>
              <w:bottom w:val="nil"/>
            </w:tcBorders>
          </w:tcPr>
          <w:p>
            <w:pPr>
              <w:pStyle w:val="TableParagraph"/>
              <w:spacing w:before="70"/>
              <w:ind w:left="9"/>
              <w:rPr>
                <w:sz w:val="24"/>
              </w:rPr>
            </w:pPr>
            <w:r>
              <w:rPr>
                <w:sz w:val="24"/>
              </w:rPr>
              <w:t>the</w:t>
            </w:r>
            <w:r>
              <w:rPr>
                <w:spacing w:val="-2"/>
                <w:sz w:val="24"/>
              </w:rPr>
              <w:t> </w:t>
            </w:r>
            <w:r>
              <w:rPr>
                <w:sz w:val="24"/>
              </w:rPr>
              <w:t>Niger</w:t>
            </w:r>
            <w:r>
              <w:rPr>
                <w:spacing w:val="-3"/>
                <w:sz w:val="24"/>
              </w:rPr>
              <w:t> </w:t>
            </w:r>
            <w:r>
              <w:rPr>
                <w:sz w:val="24"/>
              </w:rPr>
              <w:t>Delta</w:t>
            </w:r>
            <w:r>
              <w:rPr>
                <w:spacing w:val="-1"/>
                <w:sz w:val="24"/>
              </w:rPr>
              <w:t> </w:t>
            </w:r>
            <w:r>
              <w:rPr>
                <w:sz w:val="24"/>
              </w:rPr>
              <w:t>region</w:t>
            </w:r>
            <w:r>
              <w:rPr>
                <w:spacing w:val="-1"/>
                <w:sz w:val="24"/>
              </w:rPr>
              <w:t> </w:t>
            </w:r>
            <w:r>
              <w:rPr>
                <w:spacing w:val="-2"/>
                <w:sz w:val="24"/>
              </w:rPr>
              <w:t>conflict.</w:t>
            </w:r>
          </w:p>
        </w:tc>
        <w:tc>
          <w:tcPr>
            <w:tcW w:w="706" w:type="dxa"/>
            <w:tcBorders>
              <w:top w:val="nil"/>
              <w:bottom w:val="nil"/>
            </w:tcBorders>
          </w:tcPr>
          <w:p>
            <w:pPr>
              <w:pStyle w:val="TableParagraph"/>
              <w:spacing w:before="70"/>
              <w:ind w:left="9" w:right="5"/>
              <w:jc w:val="center"/>
              <w:rPr>
                <w:sz w:val="24"/>
              </w:rPr>
            </w:pPr>
            <w:r>
              <w:rPr>
                <w:spacing w:val="-5"/>
                <w:sz w:val="24"/>
              </w:rPr>
              <w:t>235</w:t>
            </w:r>
          </w:p>
        </w:tc>
        <w:tc>
          <w:tcPr>
            <w:tcW w:w="620" w:type="dxa"/>
            <w:tcBorders>
              <w:top w:val="nil"/>
              <w:bottom w:val="nil"/>
            </w:tcBorders>
          </w:tcPr>
          <w:p>
            <w:pPr>
              <w:pStyle w:val="TableParagraph"/>
              <w:spacing w:before="70"/>
              <w:ind w:left="5"/>
              <w:jc w:val="center"/>
              <w:rPr>
                <w:sz w:val="24"/>
              </w:rPr>
            </w:pPr>
            <w:r>
              <w:rPr>
                <w:spacing w:val="-4"/>
                <w:sz w:val="24"/>
              </w:rPr>
              <w:t>2.12</w:t>
            </w:r>
          </w:p>
        </w:tc>
        <w:tc>
          <w:tcPr>
            <w:tcW w:w="721" w:type="dxa"/>
            <w:tcBorders>
              <w:top w:val="nil"/>
              <w:bottom w:val="nil"/>
            </w:tcBorders>
          </w:tcPr>
          <w:p>
            <w:pPr>
              <w:pStyle w:val="TableParagraph"/>
              <w:spacing w:before="70"/>
              <w:ind w:left="7" w:right="4"/>
              <w:jc w:val="center"/>
              <w:rPr>
                <w:sz w:val="24"/>
              </w:rPr>
            </w:pPr>
            <w:r>
              <w:rPr>
                <w:spacing w:val="-2"/>
                <w:sz w:val="24"/>
              </w:rPr>
              <w:t>1.091</w:t>
            </w:r>
          </w:p>
        </w:tc>
        <w:tc>
          <w:tcPr>
            <w:tcW w:w="2277" w:type="dxa"/>
            <w:tcBorders>
              <w:top w:val="nil"/>
              <w:bottom w:val="nil"/>
            </w:tcBorders>
          </w:tcPr>
          <w:p>
            <w:pPr>
              <w:pStyle w:val="TableParagraph"/>
              <w:spacing w:before="70"/>
              <w:ind w:left="6" w:right="1"/>
              <w:jc w:val="center"/>
              <w:rPr>
                <w:sz w:val="24"/>
              </w:rPr>
            </w:pPr>
            <w:r>
              <w:rPr>
                <w:spacing w:val="-10"/>
                <w:sz w:val="24"/>
              </w:rPr>
              <w:t>D</w:t>
            </w:r>
          </w:p>
        </w:tc>
      </w:tr>
      <w:tr>
        <w:trPr>
          <w:trHeight w:val="409" w:hRule="atLeast"/>
        </w:trPr>
        <w:tc>
          <w:tcPr>
            <w:tcW w:w="696" w:type="dxa"/>
            <w:tcBorders>
              <w:top w:val="nil"/>
              <w:bottom w:val="nil"/>
            </w:tcBorders>
          </w:tcPr>
          <w:p>
            <w:pPr>
              <w:pStyle w:val="TableParagraph"/>
              <w:spacing w:before="64"/>
              <w:ind w:left="4"/>
              <w:jc w:val="center"/>
              <w:rPr>
                <w:sz w:val="24"/>
              </w:rPr>
            </w:pPr>
            <w:r>
              <w:rPr>
                <w:spacing w:val="-5"/>
                <w:sz w:val="24"/>
              </w:rPr>
              <w:t>B29</w:t>
            </w:r>
          </w:p>
        </w:tc>
        <w:tc>
          <w:tcPr>
            <w:tcW w:w="3625" w:type="dxa"/>
            <w:tcBorders>
              <w:top w:val="nil"/>
              <w:bottom w:val="nil"/>
            </w:tcBorders>
          </w:tcPr>
          <w:p>
            <w:pPr>
              <w:pStyle w:val="TableParagraph"/>
              <w:spacing w:before="64"/>
              <w:ind w:left="9"/>
              <w:rPr>
                <w:sz w:val="24"/>
              </w:rPr>
            </w:pPr>
            <w:r>
              <w:rPr>
                <w:sz w:val="24"/>
              </w:rPr>
              <w:t>Conflictuals</w:t>
            </w:r>
            <w:r>
              <w:rPr>
                <w:spacing w:val="-1"/>
                <w:sz w:val="24"/>
              </w:rPr>
              <w:t> </w:t>
            </w:r>
            <w:r>
              <w:rPr>
                <w:sz w:val="24"/>
              </w:rPr>
              <w:t>are</w:t>
            </w:r>
            <w:r>
              <w:rPr>
                <w:spacing w:val="-3"/>
                <w:sz w:val="24"/>
              </w:rPr>
              <w:t> </w:t>
            </w:r>
            <w:r>
              <w:rPr>
                <w:sz w:val="24"/>
              </w:rPr>
              <w:t>not </w:t>
            </w:r>
            <w:r>
              <w:rPr>
                <w:spacing w:val="-2"/>
                <w:sz w:val="24"/>
              </w:rPr>
              <w:t>sincere.</w:t>
            </w:r>
          </w:p>
        </w:tc>
        <w:tc>
          <w:tcPr>
            <w:tcW w:w="706" w:type="dxa"/>
            <w:tcBorders>
              <w:top w:val="nil"/>
              <w:bottom w:val="nil"/>
            </w:tcBorders>
          </w:tcPr>
          <w:p>
            <w:pPr>
              <w:pStyle w:val="TableParagraph"/>
              <w:spacing w:before="64"/>
              <w:ind w:left="9" w:right="5"/>
              <w:jc w:val="center"/>
              <w:rPr>
                <w:sz w:val="24"/>
              </w:rPr>
            </w:pPr>
            <w:r>
              <w:rPr>
                <w:spacing w:val="-5"/>
                <w:sz w:val="24"/>
              </w:rPr>
              <w:t>235</w:t>
            </w:r>
          </w:p>
        </w:tc>
        <w:tc>
          <w:tcPr>
            <w:tcW w:w="620" w:type="dxa"/>
            <w:tcBorders>
              <w:top w:val="nil"/>
              <w:bottom w:val="nil"/>
            </w:tcBorders>
          </w:tcPr>
          <w:p>
            <w:pPr>
              <w:pStyle w:val="TableParagraph"/>
              <w:spacing w:before="64"/>
              <w:ind w:left="5"/>
              <w:jc w:val="center"/>
              <w:rPr>
                <w:sz w:val="24"/>
              </w:rPr>
            </w:pPr>
            <w:r>
              <w:rPr>
                <w:spacing w:val="-4"/>
                <w:sz w:val="24"/>
              </w:rPr>
              <w:t>2.85</w:t>
            </w:r>
          </w:p>
        </w:tc>
        <w:tc>
          <w:tcPr>
            <w:tcW w:w="721" w:type="dxa"/>
            <w:tcBorders>
              <w:top w:val="nil"/>
              <w:bottom w:val="nil"/>
            </w:tcBorders>
          </w:tcPr>
          <w:p>
            <w:pPr>
              <w:pStyle w:val="TableParagraph"/>
              <w:spacing w:before="64"/>
              <w:ind w:left="7" w:right="4"/>
              <w:jc w:val="center"/>
              <w:rPr>
                <w:sz w:val="24"/>
              </w:rPr>
            </w:pPr>
            <w:r>
              <w:rPr>
                <w:spacing w:val="-4"/>
                <w:sz w:val="24"/>
              </w:rPr>
              <w:t>.921</w:t>
            </w:r>
          </w:p>
        </w:tc>
        <w:tc>
          <w:tcPr>
            <w:tcW w:w="2277" w:type="dxa"/>
            <w:tcBorders>
              <w:top w:val="nil"/>
              <w:bottom w:val="nil"/>
            </w:tcBorders>
          </w:tcPr>
          <w:p>
            <w:pPr>
              <w:pStyle w:val="TableParagraph"/>
              <w:spacing w:before="64"/>
              <w:ind w:left="6" w:right="1"/>
              <w:jc w:val="center"/>
              <w:rPr>
                <w:sz w:val="24"/>
              </w:rPr>
            </w:pPr>
            <w:r>
              <w:rPr>
                <w:spacing w:val="-10"/>
                <w:sz w:val="24"/>
              </w:rPr>
              <w:t>A</w:t>
            </w:r>
          </w:p>
        </w:tc>
      </w:tr>
      <w:tr>
        <w:trPr>
          <w:trHeight w:val="417" w:hRule="atLeast"/>
        </w:trPr>
        <w:tc>
          <w:tcPr>
            <w:tcW w:w="696" w:type="dxa"/>
            <w:tcBorders>
              <w:top w:val="nil"/>
              <w:bottom w:val="nil"/>
            </w:tcBorders>
          </w:tcPr>
          <w:p>
            <w:pPr>
              <w:pStyle w:val="TableParagraph"/>
              <w:spacing w:before="58"/>
              <w:ind w:left="4"/>
              <w:jc w:val="center"/>
              <w:rPr>
                <w:sz w:val="24"/>
              </w:rPr>
            </w:pPr>
            <w:r>
              <w:rPr>
                <w:spacing w:val="-5"/>
                <w:sz w:val="24"/>
              </w:rPr>
              <w:t>B30</w:t>
            </w:r>
          </w:p>
        </w:tc>
        <w:tc>
          <w:tcPr>
            <w:tcW w:w="3625" w:type="dxa"/>
            <w:tcBorders>
              <w:top w:val="nil"/>
              <w:bottom w:val="nil"/>
            </w:tcBorders>
          </w:tcPr>
          <w:p>
            <w:pPr>
              <w:pStyle w:val="TableParagraph"/>
              <w:spacing w:before="58"/>
              <w:ind w:left="9"/>
              <w:rPr>
                <w:sz w:val="24"/>
              </w:rPr>
            </w:pPr>
            <w:r>
              <w:rPr>
                <w:sz w:val="24"/>
              </w:rPr>
              <w:t>There</w:t>
            </w:r>
            <w:r>
              <w:rPr>
                <w:spacing w:val="-5"/>
                <w:sz w:val="24"/>
              </w:rPr>
              <w:t> </w:t>
            </w:r>
            <w:r>
              <w:rPr>
                <w:sz w:val="24"/>
              </w:rPr>
              <w:t>is no</w:t>
            </w:r>
            <w:r>
              <w:rPr>
                <w:spacing w:val="-1"/>
                <w:sz w:val="24"/>
              </w:rPr>
              <w:t> </w:t>
            </w:r>
            <w:r>
              <w:rPr>
                <w:sz w:val="24"/>
              </w:rPr>
              <w:t>need for</w:t>
            </w:r>
            <w:r>
              <w:rPr>
                <w:spacing w:val="-2"/>
                <w:sz w:val="24"/>
              </w:rPr>
              <w:t> </w:t>
            </w:r>
            <w:r>
              <w:rPr>
                <w:spacing w:val="-4"/>
                <w:sz w:val="24"/>
              </w:rPr>
              <w:t>peace</w:t>
            </w:r>
          </w:p>
        </w:tc>
        <w:tc>
          <w:tcPr>
            <w:tcW w:w="706" w:type="dxa"/>
            <w:tcBorders>
              <w:top w:val="nil"/>
              <w:bottom w:val="nil"/>
            </w:tcBorders>
          </w:tcPr>
          <w:p>
            <w:pPr>
              <w:pStyle w:val="TableParagraph"/>
              <w:rPr>
                <w:sz w:val="24"/>
              </w:rPr>
            </w:pPr>
          </w:p>
        </w:tc>
        <w:tc>
          <w:tcPr>
            <w:tcW w:w="620" w:type="dxa"/>
            <w:tcBorders>
              <w:top w:val="nil"/>
              <w:bottom w:val="nil"/>
            </w:tcBorders>
          </w:tcPr>
          <w:p>
            <w:pPr>
              <w:pStyle w:val="TableParagraph"/>
              <w:rPr>
                <w:sz w:val="24"/>
              </w:rPr>
            </w:pPr>
          </w:p>
        </w:tc>
        <w:tc>
          <w:tcPr>
            <w:tcW w:w="721" w:type="dxa"/>
            <w:tcBorders>
              <w:top w:val="nil"/>
              <w:bottom w:val="nil"/>
            </w:tcBorders>
          </w:tcPr>
          <w:p>
            <w:pPr>
              <w:pStyle w:val="TableParagraph"/>
              <w:rPr>
                <w:sz w:val="24"/>
              </w:rPr>
            </w:pPr>
          </w:p>
        </w:tc>
        <w:tc>
          <w:tcPr>
            <w:tcW w:w="2277" w:type="dxa"/>
            <w:tcBorders>
              <w:top w:val="nil"/>
              <w:bottom w:val="nil"/>
            </w:tcBorders>
          </w:tcPr>
          <w:p>
            <w:pPr>
              <w:pStyle w:val="TableParagraph"/>
              <w:rPr>
                <w:sz w:val="24"/>
              </w:rPr>
            </w:pPr>
          </w:p>
        </w:tc>
      </w:tr>
      <w:tr>
        <w:trPr>
          <w:trHeight w:val="423" w:hRule="atLeast"/>
        </w:trPr>
        <w:tc>
          <w:tcPr>
            <w:tcW w:w="696" w:type="dxa"/>
            <w:tcBorders>
              <w:top w:val="nil"/>
              <w:bottom w:val="nil"/>
            </w:tcBorders>
          </w:tcPr>
          <w:p>
            <w:pPr>
              <w:pStyle w:val="TableParagraph"/>
              <w:rPr>
                <w:sz w:val="24"/>
              </w:rPr>
            </w:pPr>
          </w:p>
        </w:tc>
        <w:tc>
          <w:tcPr>
            <w:tcW w:w="3625" w:type="dxa"/>
            <w:tcBorders>
              <w:top w:val="nil"/>
              <w:bottom w:val="nil"/>
            </w:tcBorders>
          </w:tcPr>
          <w:p>
            <w:pPr>
              <w:pStyle w:val="TableParagraph"/>
              <w:spacing w:before="73"/>
              <w:ind w:left="9"/>
              <w:rPr>
                <w:sz w:val="24"/>
              </w:rPr>
            </w:pPr>
            <w:r>
              <w:rPr>
                <w:spacing w:val="-2"/>
                <w:sz w:val="24"/>
              </w:rPr>
              <w:t>negotiation.</w:t>
            </w:r>
          </w:p>
        </w:tc>
        <w:tc>
          <w:tcPr>
            <w:tcW w:w="706" w:type="dxa"/>
            <w:tcBorders>
              <w:top w:val="nil"/>
              <w:bottom w:val="nil"/>
            </w:tcBorders>
          </w:tcPr>
          <w:p>
            <w:pPr>
              <w:pStyle w:val="TableParagraph"/>
              <w:spacing w:before="73"/>
              <w:ind w:left="9" w:right="5"/>
              <w:jc w:val="center"/>
              <w:rPr>
                <w:sz w:val="24"/>
              </w:rPr>
            </w:pPr>
            <w:r>
              <w:rPr>
                <w:spacing w:val="-5"/>
                <w:sz w:val="24"/>
              </w:rPr>
              <w:t>234</w:t>
            </w:r>
          </w:p>
        </w:tc>
        <w:tc>
          <w:tcPr>
            <w:tcW w:w="620" w:type="dxa"/>
            <w:tcBorders>
              <w:top w:val="nil"/>
              <w:bottom w:val="nil"/>
            </w:tcBorders>
          </w:tcPr>
          <w:p>
            <w:pPr>
              <w:pStyle w:val="TableParagraph"/>
              <w:spacing w:before="73"/>
              <w:ind w:left="5"/>
              <w:jc w:val="center"/>
              <w:rPr>
                <w:sz w:val="24"/>
              </w:rPr>
            </w:pPr>
            <w:r>
              <w:rPr>
                <w:spacing w:val="-4"/>
                <w:sz w:val="24"/>
              </w:rPr>
              <w:t>1.79</w:t>
            </w:r>
          </w:p>
        </w:tc>
        <w:tc>
          <w:tcPr>
            <w:tcW w:w="721" w:type="dxa"/>
            <w:tcBorders>
              <w:top w:val="nil"/>
              <w:bottom w:val="nil"/>
            </w:tcBorders>
          </w:tcPr>
          <w:p>
            <w:pPr>
              <w:pStyle w:val="TableParagraph"/>
              <w:spacing w:before="73"/>
              <w:ind w:left="7" w:right="4"/>
              <w:jc w:val="center"/>
              <w:rPr>
                <w:sz w:val="24"/>
              </w:rPr>
            </w:pPr>
            <w:r>
              <w:rPr>
                <w:spacing w:val="-4"/>
                <w:sz w:val="24"/>
              </w:rPr>
              <w:t>.889</w:t>
            </w:r>
          </w:p>
        </w:tc>
        <w:tc>
          <w:tcPr>
            <w:tcW w:w="2277" w:type="dxa"/>
            <w:tcBorders>
              <w:top w:val="nil"/>
              <w:bottom w:val="nil"/>
            </w:tcBorders>
          </w:tcPr>
          <w:p>
            <w:pPr>
              <w:pStyle w:val="TableParagraph"/>
              <w:spacing w:before="73"/>
              <w:ind w:left="6" w:right="1"/>
              <w:jc w:val="center"/>
              <w:rPr>
                <w:sz w:val="24"/>
              </w:rPr>
            </w:pPr>
            <w:r>
              <w:rPr>
                <w:spacing w:val="-10"/>
                <w:sz w:val="24"/>
              </w:rPr>
              <w:t>D</w:t>
            </w:r>
          </w:p>
        </w:tc>
      </w:tr>
      <w:tr>
        <w:trPr>
          <w:trHeight w:val="463" w:hRule="atLeast"/>
        </w:trPr>
        <w:tc>
          <w:tcPr>
            <w:tcW w:w="696" w:type="dxa"/>
            <w:tcBorders>
              <w:top w:val="nil"/>
            </w:tcBorders>
          </w:tcPr>
          <w:p>
            <w:pPr>
              <w:pStyle w:val="TableParagraph"/>
              <w:spacing w:before="64"/>
              <w:ind w:left="4"/>
              <w:jc w:val="center"/>
              <w:rPr>
                <w:sz w:val="24"/>
              </w:rPr>
            </w:pPr>
            <w:r>
              <w:rPr>
                <w:spacing w:val="-5"/>
                <w:sz w:val="24"/>
              </w:rPr>
              <w:t>B31</w:t>
            </w:r>
          </w:p>
        </w:tc>
        <w:tc>
          <w:tcPr>
            <w:tcW w:w="3625" w:type="dxa"/>
            <w:tcBorders>
              <w:top w:val="nil"/>
            </w:tcBorders>
          </w:tcPr>
          <w:p>
            <w:pPr>
              <w:pStyle w:val="TableParagraph"/>
              <w:spacing w:before="64"/>
              <w:ind w:left="9"/>
              <w:rPr>
                <w:sz w:val="24"/>
              </w:rPr>
            </w:pPr>
            <w:r>
              <w:rPr>
                <w:sz w:val="24"/>
              </w:rPr>
              <w:t>Stakeholders</w:t>
            </w:r>
            <w:r>
              <w:rPr>
                <w:spacing w:val="-2"/>
                <w:sz w:val="24"/>
              </w:rPr>
              <w:t> </w:t>
            </w:r>
            <w:r>
              <w:rPr>
                <w:sz w:val="24"/>
              </w:rPr>
              <w:t>are</w:t>
            </w:r>
            <w:r>
              <w:rPr>
                <w:spacing w:val="-2"/>
                <w:sz w:val="24"/>
              </w:rPr>
              <w:t> </w:t>
            </w:r>
            <w:r>
              <w:rPr>
                <w:sz w:val="24"/>
              </w:rPr>
              <w:t>the</w:t>
            </w:r>
            <w:r>
              <w:rPr>
                <w:spacing w:val="-1"/>
                <w:sz w:val="24"/>
              </w:rPr>
              <w:t> </w:t>
            </w:r>
            <w:r>
              <w:rPr>
                <w:spacing w:val="-2"/>
                <w:sz w:val="24"/>
              </w:rPr>
              <w:t>problem.</w:t>
            </w:r>
          </w:p>
        </w:tc>
        <w:tc>
          <w:tcPr>
            <w:tcW w:w="706" w:type="dxa"/>
            <w:tcBorders>
              <w:top w:val="nil"/>
            </w:tcBorders>
          </w:tcPr>
          <w:p>
            <w:pPr>
              <w:pStyle w:val="TableParagraph"/>
              <w:spacing w:before="64"/>
              <w:ind w:left="9" w:right="5"/>
              <w:jc w:val="center"/>
              <w:rPr>
                <w:sz w:val="24"/>
              </w:rPr>
            </w:pPr>
            <w:r>
              <w:rPr>
                <w:spacing w:val="-5"/>
                <w:sz w:val="24"/>
              </w:rPr>
              <w:t>234</w:t>
            </w:r>
          </w:p>
        </w:tc>
        <w:tc>
          <w:tcPr>
            <w:tcW w:w="620" w:type="dxa"/>
            <w:tcBorders>
              <w:top w:val="nil"/>
            </w:tcBorders>
          </w:tcPr>
          <w:p>
            <w:pPr>
              <w:pStyle w:val="TableParagraph"/>
              <w:spacing w:before="64"/>
              <w:ind w:left="5"/>
              <w:jc w:val="center"/>
              <w:rPr>
                <w:sz w:val="24"/>
              </w:rPr>
            </w:pPr>
            <w:r>
              <w:rPr>
                <w:spacing w:val="-4"/>
                <w:sz w:val="24"/>
              </w:rPr>
              <w:t>2.94</w:t>
            </w:r>
          </w:p>
        </w:tc>
        <w:tc>
          <w:tcPr>
            <w:tcW w:w="721" w:type="dxa"/>
            <w:tcBorders>
              <w:top w:val="nil"/>
            </w:tcBorders>
          </w:tcPr>
          <w:p>
            <w:pPr>
              <w:pStyle w:val="TableParagraph"/>
              <w:spacing w:before="64"/>
              <w:ind w:left="7" w:right="4"/>
              <w:jc w:val="center"/>
              <w:rPr>
                <w:sz w:val="24"/>
              </w:rPr>
            </w:pPr>
            <w:r>
              <w:rPr>
                <w:spacing w:val="-2"/>
                <w:sz w:val="24"/>
              </w:rPr>
              <w:t>1.045</w:t>
            </w:r>
          </w:p>
        </w:tc>
        <w:tc>
          <w:tcPr>
            <w:tcW w:w="2277" w:type="dxa"/>
            <w:tcBorders>
              <w:top w:val="nil"/>
            </w:tcBorders>
          </w:tcPr>
          <w:p>
            <w:pPr>
              <w:pStyle w:val="TableParagraph"/>
              <w:spacing w:before="64"/>
              <w:ind w:left="6" w:right="1"/>
              <w:jc w:val="center"/>
              <w:rPr>
                <w:sz w:val="24"/>
              </w:rPr>
            </w:pPr>
            <w:r>
              <w:rPr>
                <w:spacing w:val="-10"/>
                <w:sz w:val="24"/>
              </w:rPr>
              <w:t>A</w:t>
            </w:r>
          </w:p>
        </w:tc>
      </w:tr>
    </w:tbl>
    <w:p>
      <w:pPr>
        <w:pStyle w:val="BodyText"/>
        <w:spacing w:before="136"/>
        <w:ind w:left="0"/>
        <w:rPr>
          <w:b/>
        </w:rPr>
      </w:pPr>
    </w:p>
    <w:p>
      <w:pPr>
        <w:pStyle w:val="BodyText"/>
        <w:spacing w:line="360" w:lineRule="auto" w:before="1"/>
        <w:ind w:right="1262" w:firstLine="720"/>
        <w:jc w:val="both"/>
      </w:pPr>
      <w:r>
        <w:rPr/>
        <w:t>From the data presented in Table 11, there are divergent views on the perception on why</w:t>
      </w:r>
      <w:r>
        <w:rPr>
          <w:spacing w:val="-1"/>
        </w:rPr>
        <w:t> </w:t>
      </w:r>
      <w:r>
        <w:rPr/>
        <w:t>the Joint Problem Solving Approach has not been employed in the resolution of the Niger Delta conflict. Most respondents disagree with the notion that it</w:t>
      </w:r>
      <w:r>
        <w:rPr>
          <w:spacing w:val="-3"/>
        </w:rPr>
        <w:t> </w:t>
      </w:r>
      <w:r>
        <w:rPr/>
        <w:t>is</w:t>
      </w:r>
      <w:r>
        <w:rPr>
          <w:spacing w:val="-3"/>
        </w:rPr>
        <w:t> </w:t>
      </w:r>
      <w:r>
        <w:rPr/>
        <w:t>not</w:t>
      </w:r>
      <w:r>
        <w:rPr>
          <w:spacing w:val="-3"/>
        </w:rPr>
        <w:t> </w:t>
      </w:r>
      <w:r>
        <w:rPr/>
        <w:t>the</w:t>
      </w:r>
      <w:r>
        <w:rPr>
          <w:spacing w:val="-4"/>
        </w:rPr>
        <w:t> </w:t>
      </w:r>
      <w:r>
        <w:rPr/>
        <w:t>best</w:t>
      </w:r>
      <w:r>
        <w:rPr>
          <w:spacing w:val="-2"/>
        </w:rPr>
        <w:t> </w:t>
      </w:r>
      <w:r>
        <w:rPr/>
        <w:t>approach</w:t>
      </w:r>
      <w:r>
        <w:rPr>
          <w:spacing w:val="-3"/>
        </w:rPr>
        <w:t> </w:t>
      </w:r>
      <w:r>
        <w:rPr/>
        <w:t>to</w:t>
      </w:r>
      <w:r>
        <w:rPr>
          <w:spacing w:val="-3"/>
        </w:rPr>
        <w:t> </w:t>
      </w:r>
      <w:r>
        <w:rPr/>
        <w:t>Niger</w:t>
      </w:r>
      <w:r>
        <w:rPr>
          <w:spacing w:val="-2"/>
        </w:rPr>
        <w:t> </w:t>
      </w:r>
      <w:r>
        <w:rPr/>
        <w:t>Delta</w:t>
      </w:r>
      <w:r>
        <w:rPr>
          <w:spacing w:val="-3"/>
        </w:rPr>
        <w:t> </w:t>
      </w:r>
      <w:r>
        <w:rPr/>
        <w:t>conflict. Likewise,</w:t>
      </w:r>
      <w:r>
        <w:rPr>
          <w:spacing w:val="-2"/>
        </w:rPr>
        <w:t> </w:t>
      </w:r>
      <w:r>
        <w:rPr/>
        <w:t>respondents</w:t>
      </w:r>
      <w:r>
        <w:rPr>
          <w:spacing w:val="-3"/>
        </w:rPr>
        <w:t> </w:t>
      </w:r>
      <w:r>
        <w:rPr/>
        <w:t>disagree</w:t>
      </w:r>
      <w:r>
        <w:rPr>
          <w:spacing w:val="-2"/>
        </w:rPr>
        <w:t> </w:t>
      </w:r>
      <w:r>
        <w:rPr/>
        <w:t>with the</w:t>
      </w:r>
      <w:r>
        <w:rPr>
          <w:spacing w:val="-1"/>
        </w:rPr>
        <w:t> </w:t>
      </w:r>
      <w:r>
        <w:rPr/>
        <w:t>view</w:t>
      </w:r>
      <w:r>
        <w:rPr>
          <w:spacing w:val="-1"/>
        </w:rPr>
        <w:t> </w:t>
      </w:r>
      <w:r>
        <w:rPr/>
        <w:t>that there is no need for</w:t>
      </w:r>
      <w:r>
        <w:rPr>
          <w:spacing w:val="-1"/>
        </w:rPr>
        <w:t> </w:t>
      </w:r>
      <w:r>
        <w:rPr/>
        <w:t>peace</w:t>
      </w:r>
      <w:r>
        <w:rPr>
          <w:spacing w:val="-1"/>
        </w:rPr>
        <w:t> </w:t>
      </w:r>
      <w:r>
        <w:rPr/>
        <w:t>negotiation through the</w:t>
      </w:r>
      <w:r>
        <w:rPr>
          <w:spacing w:val="-1"/>
        </w:rPr>
        <w:t> </w:t>
      </w:r>
      <w:r>
        <w:rPr/>
        <w:t>Joint Problem Solving strategy. The preponderance of opinion by respondents indicates that the stakeholders in the Niger Delta conflict are the real problem.</w:t>
      </w:r>
    </w:p>
    <w:p>
      <w:pPr>
        <w:pStyle w:val="BodyText"/>
        <w:spacing w:line="360" w:lineRule="auto"/>
        <w:ind w:right="1254" w:firstLine="720"/>
        <w:jc w:val="both"/>
      </w:pPr>
      <w:r>
        <w:rPr/>
        <w:t>The study identifies the parties to the Niger Delta conflict to include the Federal Government, State Government/Local Government, Oil/gas companies,</w:t>
      </w:r>
      <w:r>
        <w:rPr>
          <w:spacing w:val="40"/>
        </w:rPr>
        <w:t> </w:t>
      </w:r>
      <w:r>
        <w:rPr/>
        <w:t>NGOs and Civil Society Organizations (CSOs). Other stakeholders include the militants, youth organizations, Niger Delta Communities, security operatives and JTF personnel. It was also observed that there is little inter-agency co-operation and collaboration between the JTF and agencies charged with the task of internal security and safety in the Niger Delta.</w:t>
      </w:r>
    </w:p>
    <w:p>
      <w:pPr>
        <w:spacing w:after="0" w:line="360" w:lineRule="auto"/>
        <w:jc w:val="both"/>
        <w:sectPr>
          <w:pgSz w:w="11910" w:h="16840"/>
          <w:pgMar w:header="0" w:footer="1561" w:top="1760" w:bottom="1760" w:left="720" w:right="180"/>
        </w:sectPr>
      </w:pPr>
    </w:p>
    <w:p>
      <w:pPr>
        <w:pStyle w:val="Heading2"/>
        <w:spacing w:line="360" w:lineRule="auto" w:before="78"/>
        <w:ind w:right="1260"/>
      </w:pPr>
      <w:r>
        <w:rPr/>
        <mc:AlternateContent>
          <mc:Choice Requires="wps">
            <w:drawing>
              <wp:anchor distT="0" distB="0" distL="0" distR="0" allowOverlap="1" layoutInCell="1" locked="0" behindDoc="1" simplePos="0" relativeHeight="480670720">
                <wp:simplePos x="0" y="0"/>
                <wp:positionH relativeFrom="page">
                  <wp:posOffset>-1537026</wp:posOffset>
                </wp:positionH>
                <wp:positionV relativeFrom="page">
                  <wp:posOffset>4900424</wp:posOffset>
                </wp:positionV>
                <wp:extent cx="10669905" cy="914400"/>
                <wp:effectExtent l="0" t="0" r="0" b="0"/>
                <wp:wrapNone/>
                <wp:docPr id="301" name="Textbox 301"/>
                <wp:cNvGraphicFramePr>
                  <a:graphicFrameLocks/>
                </wp:cNvGraphicFramePr>
                <a:graphic>
                  <a:graphicData uri="http://schemas.microsoft.com/office/word/2010/wordprocessingShape">
                    <wps:wsp>
                      <wps:cNvPr id="301" name="Textbox 301"/>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45760;rotation:306" type="#_x0000_t136" fillcolor="#ff5400" stroked="f">
                <o:extrusion v:ext="view" autorotationcenter="t"/>
                <v:textpath style="font-family:&quot;Arial MT&quot;;font-size:72pt;v-text-kern:t;mso-text-shadow:auto" string="UNIVERSITY OF IBADAN"/>
                <w10:wrap type="none"/>
              </v:shape>
            </w:pict>
          </mc:Fallback>
        </mc:AlternateContent>
      </w:r>
      <w:r>
        <w:rPr/>
        <w:t>2.6.11.6 RQ9: The JTF Intervention in</w:t>
      </w:r>
      <w:r>
        <w:rPr>
          <w:spacing w:val="27"/>
        </w:rPr>
        <w:t> </w:t>
      </w:r>
      <w:r>
        <w:rPr/>
        <w:t>the Attainment of</w:t>
      </w:r>
      <w:r>
        <w:rPr>
          <w:spacing w:val="27"/>
        </w:rPr>
        <w:t> </w:t>
      </w:r>
      <w:r>
        <w:rPr/>
        <w:t>Sustainable Peace in</w:t>
      </w:r>
      <w:r>
        <w:rPr>
          <w:spacing w:val="80"/>
        </w:rPr>
        <w:t> </w:t>
      </w:r>
      <w:r>
        <w:rPr/>
        <w:t>the Niger Delta.</w:t>
      </w:r>
    </w:p>
    <w:p>
      <w:pPr>
        <w:pStyle w:val="BodyText"/>
        <w:spacing w:line="360" w:lineRule="auto"/>
        <w:ind w:right="1260" w:firstLine="720"/>
      </w:pPr>
      <w:r>
        <w:rPr/>
        <w:t>The perception of JTF intervention in the attainment of sustainable peace in</w:t>
      </w:r>
      <w:r>
        <w:rPr>
          <w:spacing w:val="80"/>
        </w:rPr>
        <w:t> </w:t>
      </w:r>
      <w:r>
        <w:rPr/>
        <w:t>Niger Delta is presented in Table 12.</w:t>
      </w:r>
    </w:p>
    <w:p>
      <w:pPr>
        <w:pStyle w:val="Heading2"/>
        <w:spacing w:before="1"/>
      </w:pPr>
      <w:r>
        <w:rPr/>
        <w:t>Table</w:t>
      </w:r>
      <w:r>
        <w:rPr>
          <w:spacing w:val="-3"/>
        </w:rPr>
        <w:t> </w:t>
      </w:r>
      <w:r>
        <w:rPr/>
        <w:t>12:</w:t>
      </w:r>
      <w:r>
        <w:rPr>
          <w:spacing w:val="-3"/>
        </w:rPr>
        <w:t> </w:t>
      </w:r>
      <w:r>
        <w:rPr/>
        <w:t>JTF</w:t>
      </w:r>
      <w:r>
        <w:rPr>
          <w:spacing w:val="-3"/>
        </w:rPr>
        <w:t> </w:t>
      </w:r>
      <w:r>
        <w:rPr/>
        <w:t>Intervention</w:t>
      </w:r>
      <w:r>
        <w:rPr>
          <w:spacing w:val="-1"/>
        </w:rPr>
        <w:t> </w:t>
      </w:r>
      <w:r>
        <w:rPr/>
        <w:t>in</w:t>
      </w:r>
      <w:r>
        <w:rPr>
          <w:spacing w:val="-1"/>
        </w:rPr>
        <w:t> </w:t>
      </w:r>
      <w:r>
        <w:rPr/>
        <w:t>Attainment</w:t>
      </w:r>
      <w:r>
        <w:rPr>
          <w:spacing w:val="-1"/>
        </w:rPr>
        <w:t> </w:t>
      </w:r>
      <w:r>
        <w:rPr/>
        <w:t>of</w:t>
      </w:r>
      <w:r>
        <w:rPr>
          <w:spacing w:val="-1"/>
        </w:rPr>
        <w:t> </w:t>
      </w:r>
      <w:r>
        <w:rPr/>
        <w:t>Sustainable</w:t>
      </w:r>
      <w:r>
        <w:rPr>
          <w:spacing w:val="-1"/>
        </w:rPr>
        <w:t> </w:t>
      </w:r>
      <w:r>
        <w:rPr>
          <w:spacing w:val="-2"/>
        </w:rPr>
        <w:t>Peace</w:t>
      </w:r>
    </w:p>
    <w:p>
      <w:pPr>
        <w:pStyle w:val="BodyText"/>
        <w:spacing w:before="1" w:after="1"/>
        <w:ind w:left="0"/>
        <w:rPr>
          <w:b/>
          <w:sz w:val="12"/>
        </w:rPr>
      </w:pP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4"/>
        <w:gridCol w:w="3195"/>
        <w:gridCol w:w="706"/>
        <w:gridCol w:w="708"/>
        <w:gridCol w:w="900"/>
        <w:gridCol w:w="2187"/>
      </w:tblGrid>
      <w:tr>
        <w:trPr>
          <w:trHeight w:val="412" w:hRule="atLeast"/>
        </w:trPr>
        <w:tc>
          <w:tcPr>
            <w:tcW w:w="874" w:type="dxa"/>
          </w:tcPr>
          <w:p>
            <w:pPr>
              <w:pStyle w:val="TableParagraph"/>
              <w:rPr>
                <w:sz w:val="24"/>
              </w:rPr>
            </w:pPr>
          </w:p>
        </w:tc>
        <w:tc>
          <w:tcPr>
            <w:tcW w:w="3195" w:type="dxa"/>
          </w:tcPr>
          <w:p>
            <w:pPr>
              <w:pStyle w:val="TableParagraph"/>
              <w:rPr>
                <w:sz w:val="24"/>
              </w:rPr>
            </w:pPr>
          </w:p>
        </w:tc>
        <w:tc>
          <w:tcPr>
            <w:tcW w:w="706" w:type="dxa"/>
          </w:tcPr>
          <w:p>
            <w:pPr>
              <w:pStyle w:val="TableParagraph"/>
              <w:spacing w:line="270" w:lineRule="exact"/>
              <w:ind w:left="9"/>
              <w:jc w:val="center"/>
              <w:rPr>
                <w:sz w:val="24"/>
              </w:rPr>
            </w:pPr>
            <w:r>
              <w:rPr>
                <w:spacing w:val="-10"/>
                <w:sz w:val="24"/>
              </w:rPr>
              <w:t>N</w:t>
            </w:r>
          </w:p>
        </w:tc>
        <w:tc>
          <w:tcPr>
            <w:tcW w:w="708" w:type="dxa"/>
          </w:tcPr>
          <w:p>
            <w:pPr>
              <w:pStyle w:val="TableParagraph"/>
              <w:spacing w:line="270" w:lineRule="exact"/>
              <w:ind w:left="8" w:right="5"/>
              <w:jc w:val="center"/>
              <w:rPr>
                <w:sz w:val="24"/>
              </w:rPr>
            </w:pPr>
            <w:r>
              <w:rPr>
                <w:spacing w:val="-4"/>
                <w:sz w:val="24"/>
              </w:rPr>
              <w:t>Mean</w:t>
            </w:r>
          </w:p>
        </w:tc>
        <w:tc>
          <w:tcPr>
            <w:tcW w:w="900" w:type="dxa"/>
          </w:tcPr>
          <w:p>
            <w:pPr>
              <w:pStyle w:val="TableParagraph"/>
              <w:spacing w:line="270" w:lineRule="exact"/>
              <w:ind w:left="11" w:right="4"/>
              <w:jc w:val="center"/>
              <w:rPr>
                <w:sz w:val="24"/>
              </w:rPr>
            </w:pPr>
            <w:r>
              <w:rPr>
                <w:spacing w:val="-5"/>
                <w:sz w:val="24"/>
              </w:rPr>
              <w:t>SD</w:t>
            </w:r>
          </w:p>
        </w:tc>
        <w:tc>
          <w:tcPr>
            <w:tcW w:w="2187" w:type="dxa"/>
          </w:tcPr>
          <w:p>
            <w:pPr>
              <w:pStyle w:val="TableParagraph"/>
              <w:spacing w:line="270" w:lineRule="exact"/>
              <w:ind w:left="7" w:right="3"/>
              <w:jc w:val="center"/>
              <w:rPr>
                <w:sz w:val="24"/>
              </w:rPr>
            </w:pPr>
            <w:r>
              <w:rPr>
                <w:sz w:val="24"/>
              </w:rPr>
              <w:t>Level</w:t>
            </w:r>
            <w:r>
              <w:rPr>
                <w:spacing w:val="-4"/>
                <w:sz w:val="24"/>
              </w:rPr>
              <w:t> </w:t>
            </w:r>
            <w:r>
              <w:rPr>
                <w:sz w:val="24"/>
              </w:rPr>
              <w:t>of</w:t>
            </w:r>
            <w:r>
              <w:rPr>
                <w:spacing w:val="-1"/>
                <w:sz w:val="24"/>
              </w:rPr>
              <w:t> </w:t>
            </w:r>
            <w:r>
              <w:rPr>
                <w:spacing w:val="-2"/>
                <w:sz w:val="24"/>
              </w:rPr>
              <w:t>Agreement</w:t>
            </w:r>
          </w:p>
        </w:tc>
      </w:tr>
      <w:tr>
        <w:trPr>
          <w:trHeight w:val="358" w:hRule="atLeast"/>
        </w:trPr>
        <w:tc>
          <w:tcPr>
            <w:tcW w:w="874" w:type="dxa"/>
            <w:tcBorders>
              <w:bottom w:val="nil"/>
            </w:tcBorders>
          </w:tcPr>
          <w:p>
            <w:pPr>
              <w:pStyle w:val="TableParagraph"/>
              <w:spacing w:before="1"/>
              <w:ind w:left="9"/>
              <w:rPr>
                <w:sz w:val="24"/>
              </w:rPr>
            </w:pPr>
            <w:r>
              <w:rPr>
                <w:spacing w:val="-5"/>
                <w:sz w:val="24"/>
              </w:rPr>
              <w:t>B32</w:t>
            </w:r>
          </w:p>
        </w:tc>
        <w:tc>
          <w:tcPr>
            <w:tcW w:w="3195" w:type="dxa"/>
            <w:tcBorders>
              <w:bottom w:val="nil"/>
            </w:tcBorders>
          </w:tcPr>
          <w:p>
            <w:pPr>
              <w:pStyle w:val="TableParagraph"/>
              <w:spacing w:before="1"/>
              <w:ind w:left="8"/>
              <w:rPr>
                <w:sz w:val="24"/>
              </w:rPr>
            </w:pPr>
            <w:r>
              <w:rPr>
                <w:sz w:val="24"/>
              </w:rPr>
              <w:t>Yes,</w:t>
            </w:r>
            <w:r>
              <w:rPr>
                <w:spacing w:val="-1"/>
                <w:sz w:val="24"/>
              </w:rPr>
              <w:t> </w:t>
            </w:r>
            <w:r>
              <w:rPr>
                <w:sz w:val="24"/>
              </w:rPr>
              <w:t>it</w:t>
            </w:r>
            <w:r>
              <w:rPr>
                <w:spacing w:val="-1"/>
                <w:sz w:val="24"/>
              </w:rPr>
              <w:t> </w:t>
            </w:r>
            <w:r>
              <w:rPr>
                <w:sz w:val="24"/>
              </w:rPr>
              <w:t>has</w:t>
            </w:r>
            <w:r>
              <w:rPr>
                <w:spacing w:val="-1"/>
                <w:sz w:val="24"/>
              </w:rPr>
              <w:t> </w:t>
            </w:r>
            <w:r>
              <w:rPr>
                <w:sz w:val="24"/>
              </w:rPr>
              <w:t>helped</w:t>
            </w:r>
            <w:r>
              <w:rPr>
                <w:spacing w:val="-1"/>
                <w:sz w:val="24"/>
              </w:rPr>
              <w:t> </w:t>
            </w:r>
            <w:r>
              <w:rPr>
                <w:sz w:val="24"/>
              </w:rPr>
              <w:t>to</w:t>
            </w:r>
            <w:r>
              <w:rPr>
                <w:spacing w:val="-1"/>
                <w:sz w:val="24"/>
              </w:rPr>
              <w:t> </w:t>
            </w:r>
            <w:r>
              <w:rPr>
                <w:spacing w:val="-2"/>
                <w:sz w:val="24"/>
              </w:rPr>
              <w:t>reduce</w:t>
            </w:r>
          </w:p>
        </w:tc>
        <w:tc>
          <w:tcPr>
            <w:tcW w:w="706" w:type="dxa"/>
            <w:tcBorders>
              <w:bottom w:val="nil"/>
            </w:tcBorders>
          </w:tcPr>
          <w:p>
            <w:pPr>
              <w:pStyle w:val="TableParagraph"/>
              <w:rPr>
                <w:sz w:val="24"/>
              </w:rPr>
            </w:pPr>
          </w:p>
        </w:tc>
        <w:tc>
          <w:tcPr>
            <w:tcW w:w="708" w:type="dxa"/>
            <w:tcBorders>
              <w:bottom w:val="nil"/>
            </w:tcBorders>
          </w:tcPr>
          <w:p>
            <w:pPr>
              <w:pStyle w:val="TableParagraph"/>
              <w:rPr>
                <w:sz w:val="24"/>
              </w:rPr>
            </w:pPr>
          </w:p>
        </w:tc>
        <w:tc>
          <w:tcPr>
            <w:tcW w:w="900" w:type="dxa"/>
            <w:tcBorders>
              <w:bottom w:val="nil"/>
            </w:tcBorders>
          </w:tcPr>
          <w:p>
            <w:pPr>
              <w:pStyle w:val="TableParagraph"/>
              <w:rPr>
                <w:sz w:val="24"/>
              </w:rPr>
            </w:pPr>
          </w:p>
        </w:tc>
        <w:tc>
          <w:tcPr>
            <w:tcW w:w="2187" w:type="dxa"/>
            <w:tcBorders>
              <w:bottom w:val="nil"/>
            </w:tcBorders>
          </w:tcPr>
          <w:p>
            <w:pPr>
              <w:pStyle w:val="TableParagraph"/>
              <w:rPr>
                <w:sz w:val="24"/>
              </w:rPr>
            </w:pPr>
          </w:p>
        </w:tc>
      </w:tr>
      <w:tr>
        <w:trPr>
          <w:trHeight w:val="423" w:hRule="atLeast"/>
        </w:trPr>
        <w:tc>
          <w:tcPr>
            <w:tcW w:w="874" w:type="dxa"/>
            <w:tcBorders>
              <w:top w:val="nil"/>
              <w:bottom w:val="nil"/>
            </w:tcBorders>
          </w:tcPr>
          <w:p>
            <w:pPr>
              <w:pStyle w:val="TableParagraph"/>
              <w:rPr>
                <w:sz w:val="24"/>
              </w:rPr>
            </w:pPr>
          </w:p>
        </w:tc>
        <w:tc>
          <w:tcPr>
            <w:tcW w:w="3195" w:type="dxa"/>
            <w:tcBorders>
              <w:top w:val="nil"/>
              <w:bottom w:val="nil"/>
            </w:tcBorders>
          </w:tcPr>
          <w:p>
            <w:pPr>
              <w:pStyle w:val="TableParagraph"/>
              <w:spacing w:before="70"/>
              <w:ind w:left="8"/>
              <w:rPr>
                <w:sz w:val="24"/>
              </w:rPr>
            </w:pPr>
            <w:r>
              <w:rPr>
                <w:sz w:val="24"/>
              </w:rPr>
              <w:t>conflict</w:t>
            </w:r>
            <w:r>
              <w:rPr>
                <w:spacing w:val="-2"/>
                <w:sz w:val="24"/>
              </w:rPr>
              <w:t> proliferation.</w:t>
            </w:r>
          </w:p>
        </w:tc>
        <w:tc>
          <w:tcPr>
            <w:tcW w:w="706" w:type="dxa"/>
            <w:tcBorders>
              <w:top w:val="nil"/>
              <w:bottom w:val="nil"/>
            </w:tcBorders>
          </w:tcPr>
          <w:p>
            <w:pPr>
              <w:pStyle w:val="TableParagraph"/>
              <w:spacing w:before="70"/>
              <w:ind w:left="9" w:right="1"/>
              <w:jc w:val="center"/>
              <w:rPr>
                <w:sz w:val="24"/>
              </w:rPr>
            </w:pPr>
            <w:r>
              <w:rPr>
                <w:spacing w:val="-5"/>
                <w:sz w:val="24"/>
              </w:rPr>
              <w:t>234</w:t>
            </w:r>
          </w:p>
        </w:tc>
        <w:tc>
          <w:tcPr>
            <w:tcW w:w="708" w:type="dxa"/>
            <w:tcBorders>
              <w:top w:val="nil"/>
              <w:bottom w:val="nil"/>
            </w:tcBorders>
          </w:tcPr>
          <w:p>
            <w:pPr>
              <w:pStyle w:val="TableParagraph"/>
              <w:spacing w:before="70"/>
              <w:ind w:left="8"/>
              <w:jc w:val="center"/>
              <w:rPr>
                <w:sz w:val="24"/>
              </w:rPr>
            </w:pPr>
            <w:r>
              <w:rPr>
                <w:spacing w:val="-4"/>
                <w:sz w:val="24"/>
              </w:rPr>
              <w:t>2.91</w:t>
            </w:r>
          </w:p>
        </w:tc>
        <w:tc>
          <w:tcPr>
            <w:tcW w:w="900" w:type="dxa"/>
            <w:tcBorders>
              <w:top w:val="nil"/>
              <w:bottom w:val="nil"/>
            </w:tcBorders>
          </w:tcPr>
          <w:p>
            <w:pPr>
              <w:pStyle w:val="TableParagraph"/>
              <w:spacing w:before="70"/>
              <w:ind w:left="11" w:right="3"/>
              <w:jc w:val="center"/>
              <w:rPr>
                <w:sz w:val="24"/>
              </w:rPr>
            </w:pPr>
            <w:r>
              <w:rPr>
                <w:spacing w:val="-4"/>
                <w:sz w:val="24"/>
              </w:rPr>
              <w:t>.967</w:t>
            </w:r>
          </w:p>
        </w:tc>
        <w:tc>
          <w:tcPr>
            <w:tcW w:w="2187" w:type="dxa"/>
            <w:tcBorders>
              <w:top w:val="nil"/>
              <w:bottom w:val="nil"/>
            </w:tcBorders>
          </w:tcPr>
          <w:p>
            <w:pPr>
              <w:pStyle w:val="TableParagraph"/>
              <w:spacing w:before="70"/>
              <w:ind w:left="7"/>
              <w:jc w:val="center"/>
              <w:rPr>
                <w:sz w:val="24"/>
              </w:rPr>
            </w:pPr>
            <w:r>
              <w:rPr>
                <w:spacing w:val="-10"/>
                <w:sz w:val="24"/>
              </w:rPr>
              <w:t>A</w:t>
            </w:r>
          </w:p>
        </w:tc>
      </w:tr>
      <w:tr>
        <w:trPr>
          <w:trHeight w:val="420" w:hRule="atLeast"/>
        </w:trPr>
        <w:tc>
          <w:tcPr>
            <w:tcW w:w="874" w:type="dxa"/>
            <w:tcBorders>
              <w:top w:val="nil"/>
              <w:bottom w:val="nil"/>
            </w:tcBorders>
          </w:tcPr>
          <w:p>
            <w:pPr>
              <w:pStyle w:val="TableParagraph"/>
              <w:spacing w:before="67"/>
              <w:ind w:left="9"/>
              <w:rPr>
                <w:sz w:val="24"/>
              </w:rPr>
            </w:pPr>
            <w:r>
              <w:rPr>
                <w:spacing w:val="-5"/>
                <w:sz w:val="24"/>
              </w:rPr>
              <w:t>B33</w:t>
            </w:r>
          </w:p>
        </w:tc>
        <w:tc>
          <w:tcPr>
            <w:tcW w:w="3195" w:type="dxa"/>
            <w:tcBorders>
              <w:top w:val="nil"/>
              <w:bottom w:val="nil"/>
            </w:tcBorders>
          </w:tcPr>
          <w:p>
            <w:pPr>
              <w:pStyle w:val="TableParagraph"/>
              <w:spacing w:before="67"/>
              <w:ind w:left="8"/>
              <w:rPr>
                <w:sz w:val="24"/>
              </w:rPr>
            </w:pPr>
            <w:r>
              <w:rPr>
                <w:sz w:val="24"/>
              </w:rPr>
              <w:t>Yes,</w:t>
            </w:r>
            <w:r>
              <w:rPr>
                <w:spacing w:val="-1"/>
                <w:sz w:val="24"/>
              </w:rPr>
              <w:t> </w:t>
            </w:r>
            <w:r>
              <w:rPr>
                <w:sz w:val="24"/>
              </w:rPr>
              <w:t>it</w:t>
            </w:r>
            <w:r>
              <w:rPr>
                <w:spacing w:val="-1"/>
                <w:sz w:val="24"/>
              </w:rPr>
              <w:t> </w:t>
            </w:r>
            <w:r>
              <w:rPr>
                <w:sz w:val="24"/>
              </w:rPr>
              <w:t>helped</w:t>
            </w:r>
            <w:r>
              <w:rPr>
                <w:spacing w:val="-1"/>
                <w:sz w:val="24"/>
              </w:rPr>
              <w:t> </w:t>
            </w:r>
            <w:r>
              <w:rPr>
                <w:sz w:val="24"/>
              </w:rPr>
              <w:t>to </w:t>
            </w:r>
            <w:r>
              <w:rPr>
                <w:spacing w:val="-2"/>
                <w:sz w:val="24"/>
              </w:rPr>
              <w:t>terminate</w:t>
            </w:r>
          </w:p>
        </w:tc>
        <w:tc>
          <w:tcPr>
            <w:tcW w:w="706" w:type="dxa"/>
            <w:tcBorders>
              <w:top w:val="nil"/>
              <w:bottom w:val="nil"/>
            </w:tcBorders>
          </w:tcPr>
          <w:p>
            <w:pPr>
              <w:pStyle w:val="TableParagraph"/>
              <w:rPr>
                <w:sz w:val="24"/>
              </w:rPr>
            </w:pPr>
          </w:p>
        </w:tc>
        <w:tc>
          <w:tcPr>
            <w:tcW w:w="708" w:type="dxa"/>
            <w:tcBorders>
              <w:top w:val="nil"/>
              <w:bottom w:val="nil"/>
            </w:tcBorders>
          </w:tcPr>
          <w:p>
            <w:pPr>
              <w:pStyle w:val="TableParagraph"/>
              <w:rPr>
                <w:sz w:val="24"/>
              </w:rPr>
            </w:pPr>
          </w:p>
        </w:tc>
        <w:tc>
          <w:tcPr>
            <w:tcW w:w="900" w:type="dxa"/>
            <w:tcBorders>
              <w:top w:val="nil"/>
              <w:bottom w:val="nil"/>
            </w:tcBorders>
          </w:tcPr>
          <w:p>
            <w:pPr>
              <w:pStyle w:val="TableParagraph"/>
              <w:rPr>
                <w:sz w:val="24"/>
              </w:rPr>
            </w:pPr>
          </w:p>
        </w:tc>
        <w:tc>
          <w:tcPr>
            <w:tcW w:w="2187" w:type="dxa"/>
            <w:tcBorders>
              <w:top w:val="nil"/>
              <w:bottom w:val="nil"/>
            </w:tcBorders>
          </w:tcPr>
          <w:p>
            <w:pPr>
              <w:pStyle w:val="TableParagraph"/>
              <w:rPr>
                <w:sz w:val="24"/>
              </w:rPr>
            </w:pPr>
          </w:p>
        </w:tc>
      </w:tr>
      <w:tr>
        <w:trPr>
          <w:trHeight w:val="419" w:hRule="atLeast"/>
        </w:trPr>
        <w:tc>
          <w:tcPr>
            <w:tcW w:w="874" w:type="dxa"/>
            <w:tcBorders>
              <w:top w:val="nil"/>
              <w:bottom w:val="nil"/>
            </w:tcBorders>
          </w:tcPr>
          <w:p>
            <w:pPr>
              <w:pStyle w:val="TableParagraph"/>
              <w:rPr>
                <w:sz w:val="24"/>
              </w:rPr>
            </w:pPr>
          </w:p>
        </w:tc>
        <w:tc>
          <w:tcPr>
            <w:tcW w:w="3195" w:type="dxa"/>
            <w:tcBorders>
              <w:top w:val="nil"/>
              <w:bottom w:val="nil"/>
            </w:tcBorders>
          </w:tcPr>
          <w:p>
            <w:pPr>
              <w:pStyle w:val="TableParagraph"/>
              <w:spacing w:before="67"/>
              <w:ind w:left="8"/>
              <w:rPr>
                <w:sz w:val="24"/>
              </w:rPr>
            </w:pPr>
            <w:r>
              <w:rPr>
                <w:sz w:val="24"/>
              </w:rPr>
              <w:t>conflict</w:t>
            </w:r>
            <w:r>
              <w:rPr>
                <w:spacing w:val="-2"/>
                <w:sz w:val="24"/>
              </w:rPr>
              <w:t> totally.</w:t>
            </w:r>
          </w:p>
        </w:tc>
        <w:tc>
          <w:tcPr>
            <w:tcW w:w="706" w:type="dxa"/>
            <w:tcBorders>
              <w:top w:val="nil"/>
              <w:bottom w:val="nil"/>
            </w:tcBorders>
          </w:tcPr>
          <w:p>
            <w:pPr>
              <w:pStyle w:val="TableParagraph"/>
              <w:spacing w:before="67"/>
              <w:ind w:left="9" w:right="1"/>
              <w:jc w:val="center"/>
              <w:rPr>
                <w:sz w:val="24"/>
              </w:rPr>
            </w:pPr>
            <w:r>
              <w:rPr>
                <w:spacing w:val="-5"/>
                <w:sz w:val="24"/>
              </w:rPr>
              <w:t>235</w:t>
            </w:r>
          </w:p>
        </w:tc>
        <w:tc>
          <w:tcPr>
            <w:tcW w:w="708" w:type="dxa"/>
            <w:tcBorders>
              <w:top w:val="nil"/>
              <w:bottom w:val="nil"/>
            </w:tcBorders>
          </w:tcPr>
          <w:p>
            <w:pPr>
              <w:pStyle w:val="TableParagraph"/>
              <w:spacing w:before="67"/>
              <w:ind w:left="8"/>
              <w:jc w:val="center"/>
              <w:rPr>
                <w:sz w:val="24"/>
              </w:rPr>
            </w:pPr>
            <w:r>
              <w:rPr>
                <w:spacing w:val="-4"/>
                <w:sz w:val="24"/>
              </w:rPr>
              <w:t>2.01</w:t>
            </w:r>
          </w:p>
        </w:tc>
        <w:tc>
          <w:tcPr>
            <w:tcW w:w="900" w:type="dxa"/>
            <w:tcBorders>
              <w:top w:val="nil"/>
              <w:bottom w:val="nil"/>
            </w:tcBorders>
          </w:tcPr>
          <w:p>
            <w:pPr>
              <w:pStyle w:val="TableParagraph"/>
              <w:spacing w:before="67"/>
              <w:ind w:left="11" w:right="3"/>
              <w:jc w:val="center"/>
              <w:rPr>
                <w:sz w:val="24"/>
              </w:rPr>
            </w:pPr>
            <w:r>
              <w:rPr>
                <w:spacing w:val="-4"/>
                <w:sz w:val="24"/>
              </w:rPr>
              <w:t>.870</w:t>
            </w:r>
          </w:p>
        </w:tc>
        <w:tc>
          <w:tcPr>
            <w:tcW w:w="2187" w:type="dxa"/>
            <w:tcBorders>
              <w:top w:val="nil"/>
              <w:bottom w:val="nil"/>
            </w:tcBorders>
          </w:tcPr>
          <w:p>
            <w:pPr>
              <w:pStyle w:val="TableParagraph"/>
              <w:spacing w:before="67"/>
              <w:ind w:left="7"/>
              <w:jc w:val="center"/>
              <w:rPr>
                <w:sz w:val="24"/>
              </w:rPr>
            </w:pPr>
            <w:r>
              <w:rPr>
                <w:spacing w:val="-10"/>
                <w:sz w:val="24"/>
              </w:rPr>
              <w:t>D</w:t>
            </w:r>
          </w:p>
        </w:tc>
      </w:tr>
      <w:tr>
        <w:trPr>
          <w:trHeight w:val="415" w:hRule="atLeast"/>
        </w:trPr>
        <w:tc>
          <w:tcPr>
            <w:tcW w:w="874" w:type="dxa"/>
            <w:tcBorders>
              <w:top w:val="nil"/>
              <w:bottom w:val="nil"/>
            </w:tcBorders>
          </w:tcPr>
          <w:p>
            <w:pPr>
              <w:pStyle w:val="TableParagraph"/>
              <w:spacing w:before="65"/>
              <w:ind w:left="9"/>
              <w:rPr>
                <w:sz w:val="24"/>
              </w:rPr>
            </w:pPr>
            <w:r>
              <w:rPr>
                <w:spacing w:val="-5"/>
                <w:sz w:val="24"/>
              </w:rPr>
              <w:t>B34</w:t>
            </w:r>
          </w:p>
        </w:tc>
        <w:tc>
          <w:tcPr>
            <w:tcW w:w="3195" w:type="dxa"/>
            <w:tcBorders>
              <w:top w:val="nil"/>
              <w:bottom w:val="nil"/>
            </w:tcBorders>
          </w:tcPr>
          <w:p>
            <w:pPr>
              <w:pStyle w:val="TableParagraph"/>
              <w:spacing w:before="65"/>
              <w:ind w:left="8"/>
              <w:rPr>
                <w:sz w:val="24"/>
              </w:rPr>
            </w:pPr>
            <w:r>
              <w:rPr>
                <w:sz w:val="24"/>
              </w:rPr>
              <w:t>No,</w:t>
            </w:r>
            <w:r>
              <w:rPr>
                <w:spacing w:val="-4"/>
                <w:sz w:val="24"/>
              </w:rPr>
              <w:t> </w:t>
            </w:r>
            <w:r>
              <w:rPr>
                <w:sz w:val="24"/>
              </w:rPr>
              <w:t>aim/objectives</w:t>
            </w:r>
            <w:r>
              <w:rPr>
                <w:spacing w:val="-2"/>
                <w:sz w:val="24"/>
              </w:rPr>
              <w:t> </w:t>
            </w:r>
            <w:r>
              <w:rPr>
                <w:sz w:val="24"/>
              </w:rPr>
              <w:t>of</w:t>
            </w:r>
            <w:r>
              <w:rPr>
                <w:spacing w:val="-1"/>
                <w:sz w:val="24"/>
              </w:rPr>
              <w:t> </w:t>
            </w:r>
            <w:r>
              <w:rPr>
                <w:spacing w:val="-5"/>
                <w:sz w:val="24"/>
              </w:rPr>
              <w:t>JTF</w:t>
            </w:r>
          </w:p>
        </w:tc>
        <w:tc>
          <w:tcPr>
            <w:tcW w:w="706" w:type="dxa"/>
            <w:tcBorders>
              <w:top w:val="nil"/>
              <w:bottom w:val="nil"/>
            </w:tcBorders>
          </w:tcPr>
          <w:p>
            <w:pPr>
              <w:pStyle w:val="TableParagraph"/>
              <w:rPr>
                <w:sz w:val="24"/>
              </w:rPr>
            </w:pPr>
          </w:p>
        </w:tc>
        <w:tc>
          <w:tcPr>
            <w:tcW w:w="708" w:type="dxa"/>
            <w:tcBorders>
              <w:top w:val="nil"/>
              <w:bottom w:val="nil"/>
            </w:tcBorders>
          </w:tcPr>
          <w:p>
            <w:pPr>
              <w:pStyle w:val="TableParagraph"/>
              <w:rPr>
                <w:sz w:val="24"/>
              </w:rPr>
            </w:pPr>
          </w:p>
        </w:tc>
        <w:tc>
          <w:tcPr>
            <w:tcW w:w="900" w:type="dxa"/>
            <w:tcBorders>
              <w:top w:val="nil"/>
              <w:bottom w:val="nil"/>
            </w:tcBorders>
          </w:tcPr>
          <w:p>
            <w:pPr>
              <w:pStyle w:val="TableParagraph"/>
              <w:rPr>
                <w:sz w:val="24"/>
              </w:rPr>
            </w:pPr>
          </w:p>
        </w:tc>
        <w:tc>
          <w:tcPr>
            <w:tcW w:w="2187" w:type="dxa"/>
            <w:tcBorders>
              <w:top w:val="nil"/>
              <w:bottom w:val="nil"/>
            </w:tcBorders>
          </w:tcPr>
          <w:p>
            <w:pPr>
              <w:pStyle w:val="TableParagraph"/>
              <w:rPr>
                <w:sz w:val="24"/>
              </w:rPr>
            </w:pPr>
          </w:p>
        </w:tc>
      </w:tr>
      <w:tr>
        <w:trPr>
          <w:trHeight w:val="415" w:hRule="atLeast"/>
        </w:trPr>
        <w:tc>
          <w:tcPr>
            <w:tcW w:w="874" w:type="dxa"/>
            <w:tcBorders>
              <w:top w:val="nil"/>
              <w:bottom w:val="nil"/>
            </w:tcBorders>
          </w:tcPr>
          <w:p>
            <w:pPr>
              <w:pStyle w:val="TableParagraph"/>
              <w:rPr>
                <w:sz w:val="24"/>
              </w:rPr>
            </w:pPr>
          </w:p>
        </w:tc>
        <w:tc>
          <w:tcPr>
            <w:tcW w:w="3195" w:type="dxa"/>
            <w:tcBorders>
              <w:top w:val="nil"/>
              <w:bottom w:val="nil"/>
            </w:tcBorders>
          </w:tcPr>
          <w:p>
            <w:pPr>
              <w:pStyle w:val="TableParagraph"/>
              <w:spacing w:before="63"/>
              <w:ind w:left="8"/>
              <w:rPr>
                <w:sz w:val="24"/>
              </w:rPr>
            </w:pPr>
            <w:r>
              <w:rPr>
                <w:sz w:val="24"/>
              </w:rPr>
              <w:t>not</w:t>
            </w:r>
            <w:r>
              <w:rPr>
                <w:spacing w:val="-1"/>
                <w:sz w:val="24"/>
              </w:rPr>
              <w:t> </w:t>
            </w:r>
            <w:r>
              <w:rPr>
                <w:sz w:val="24"/>
              </w:rPr>
              <w:t>achieved, JTF</w:t>
            </w:r>
            <w:r>
              <w:rPr>
                <w:spacing w:val="-3"/>
                <w:sz w:val="24"/>
              </w:rPr>
              <w:t> </w:t>
            </w:r>
            <w:r>
              <w:rPr>
                <w:sz w:val="24"/>
              </w:rPr>
              <w:t>is </w:t>
            </w:r>
            <w:r>
              <w:rPr>
                <w:spacing w:val="-2"/>
                <w:sz w:val="24"/>
              </w:rPr>
              <w:t>partisan.</w:t>
            </w:r>
          </w:p>
        </w:tc>
        <w:tc>
          <w:tcPr>
            <w:tcW w:w="706" w:type="dxa"/>
            <w:tcBorders>
              <w:top w:val="nil"/>
              <w:bottom w:val="nil"/>
            </w:tcBorders>
          </w:tcPr>
          <w:p>
            <w:pPr>
              <w:pStyle w:val="TableParagraph"/>
              <w:spacing w:before="63"/>
              <w:ind w:left="9" w:right="1"/>
              <w:jc w:val="center"/>
              <w:rPr>
                <w:sz w:val="24"/>
              </w:rPr>
            </w:pPr>
            <w:r>
              <w:rPr>
                <w:spacing w:val="-5"/>
                <w:sz w:val="24"/>
              </w:rPr>
              <w:t>235</w:t>
            </w:r>
          </w:p>
        </w:tc>
        <w:tc>
          <w:tcPr>
            <w:tcW w:w="708" w:type="dxa"/>
            <w:tcBorders>
              <w:top w:val="nil"/>
              <w:bottom w:val="nil"/>
            </w:tcBorders>
          </w:tcPr>
          <w:p>
            <w:pPr>
              <w:pStyle w:val="TableParagraph"/>
              <w:spacing w:before="63"/>
              <w:ind w:left="8"/>
              <w:jc w:val="center"/>
              <w:rPr>
                <w:sz w:val="24"/>
              </w:rPr>
            </w:pPr>
            <w:r>
              <w:rPr>
                <w:spacing w:val="-4"/>
                <w:sz w:val="24"/>
              </w:rPr>
              <w:t>2.26</w:t>
            </w:r>
          </w:p>
        </w:tc>
        <w:tc>
          <w:tcPr>
            <w:tcW w:w="900" w:type="dxa"/>
            <w:tcBorders>
              <w:top w:val="nil"/>
              <w:bottom w:val="nil"/>
            </w:tcBorders>
          </w:tcPr>
          <w:p>
            <w:pPr>
              <w:pStyle w:val="TableParagraph"/>
              <w:spacing w:before="63"/>
              <w:ind w:left="11" w:right="3"/>
              <w:jc w:val="center"/>
              <w:rPr>
                <w:sz w:val="24"/>
              </w:rPr>
            </w:pPr>
            <w:r>
              <w:rPr>
                <w:spacing w:val="-2"/>
                <w:sz w:val="24"/>
              </w:rPr>
              <w:t>1.006</w:t>
            </w:r>
          </w:p>
        </w:tc>
        <w:tc>
          <w:tcPr>
            <w:tcW w:w="2187" w:type="dxa"/>
            <w:tcBorders>
              <w:top w:val="nil"/>
              <w:bottom w:val="nil"/>
            </w:tcBorders>
          </w:tcPr>
          <w:p>
            <w:pPr>
              <w:pStyle w:val="TableParagraph"/>
              <w:spacing w:before="63"/>
              <w:ind w:left="7"/>
              <w:jc w:val="center"/>
              <w:rPr>
                <w:sz w:val="24"/>
              </w:rPr>
            </w:pPr>
            <w:r>
              <w:rPr>
                <w:spacing w:val="-10"/>
                <w:sz w:val="24"/>
              </w:rPr>
              <w:t>D</w:t>
            </w:r>
          </w:p>
        </w:tc>
      </w:tr>
      <w:tr>
        <w:trPr>
          <w:trHeight w:val="416" w:hRule="atLeast"/>
        </w:trPr>
        <w:tc>
          <w:tcPr>
            <w:tcW w:w="874" w:type="dxa"/>
            <w:tcBorders>
              <w:top w:val="nil"/>
              <w:bottom w:val="nil"/>
            </w:tcBorders>
          </w:tcPr>
          <w:p>
            <w:pPr>
              <w:pStyle w:val="TableParagraph"/>
              <w:spacing w:before="65"/>
              <w:ind w:left="9"/>
              <w:rPr>
                <w:sz w:val="24"/>
              </w:rPr>
            </w:pPr>
            <w:r>
              <w:rPr>
                <w:spacing w:val="-5"/>
                <w:sz w:val="24"/>
              </w:rPr>
              <w:t>B35</w:t>
            </w:r>
          </w:p>
        </w:tc>
        <w:tc>
          <w:tcPr>
            <w:tcW w:w="3195" w:type="dxa"/>
            <w:tcBorders>
              <w:top w:val="nil"/>
              <w:bottom w:val="nil"/>
            </w:tcBorders>
          </w:tcPr>
          <w:p>
            <w:pPr>
              <w:pStyle w:val="TableParagraph"/>
              <w:spacing w:before="65"/>
              <w:ind w:left="8"/>
              <w:rPr>
                <w:sz w:val="24"/>
              </w:rPr>
            </w:pPr>
            <w:r>
              <w:rPr>
                <w:sz w:val="24"/>
              </w:rPr>
              <w:t>Forceful</w:t>
            </w:r>
            <w:r>
              <w:rPr>
                <w:spacing w:val="-3"/>
                <w:sz w:val="24"/>
              </w:rPr>
              <w:t> </w:t>
            </w:r>
            <w:r>
              <w:rPr>
                <w:sz w:val="24"/>
              </w:rPr>
              <w:t>combat</w:t>
            </w:r>
            <w:r>
              <w:rPr>
                <w:spacing w:val="-2"/>
                <w:sz w:val="24"/>
              </w:rPr>
              <w:t> operations</w:t>
            </w:r>
          </w:p>
        </w:tc>
        <w:tc>
          <w:tcPr>
            <w:tcW w:w="706" w:type="dxa"/>
            <w:tcBorders>
              <w:top w:val="nil"/>
              <w:bottom w:val="nil"/>
            </w:tcBorders>
          </w:tcPr>
          <w:p>
            <w:pPr>
              <w:pStyle w:val="TableParagraph"/>
              <w:rPr>
                <w:sz w:val="24"/>
              </w:rPr>
            </w:pPr>
          </w:p>
        </w:tc>
        <w:tc>
          <w:tcPr>
            <w:tcW w:w="708" w:type="dxa"/>
            <w:tcBorders>
              <w:top w:val="nil"/>
              <w:bottom w:val="nil"/>
            </w:tcBorders>
          </w:tcPr>
          <w:p>
            <w:pPr>
              <w:pStyle w:val="TableParagraph"/>
              <w:rPr>
                <w:sz w:val="24"/>
              </w:rPr>
            </w:pPr>
          </w:p>
        </w:tc>
        <w:tc>
          <w:tcPr>
            <w:tcW w:w="900" w:type="dxa"/>
            <w:tcBorders>
              <w:top w:val="nil"/>
              <w:bottom w:val="nil"/>
            </w:tcBorders>
          </w:tcPr>
          <w:p>
            <w:pPr>
              <w:pStyle w:val="TableParagraph"/>
              <w:rPr>
                <w:sz w:val="24"/>
              </w:rPr>
            </w:pPr>
          </w:p>
        </w:tc>
        <w:tc>
          <w:tcPr>
            <w:tcW w:w="2187" w:type="dxa"/>
            <w:tcBorders>
              <w:top w:val="nil"/>
              <w:bottom w:val="nil"/>
            </w:tcBorders>
          </w:tcPr>
          <w:p>
            <w:pPr>
              <w:pStyle w:val="TableParagraph"/>
              <w:rPr>
                <w:sz w:val="24"/>
              </w:rPr>
            </w:pPr>
          </w:p>
        </w:tc>
      </w:tr>
      <w:tr>
        <w:trPr>
          <w:trHeight w:val="473" w:hRule="atLeast"/>
        </w:trPr>
        <w:tc>
          <w:tcPr>
            <w:tcW w:w="874" w:type="dxa"/>
            <w:tcBorders>
              <w:top w:val="nil"/>
            </w:tcBorders>
          </w:tcPr>
          <w:p>
            <w:pPr>
              <w:pStyle w:val="TableParagraph"/>
              <w:rPr>
                <w:sz w:val="24"/>
              </w:rPr>
            </w:pPr>
          </w:p>
        </w:tc>
        <w:tc>
          <w:tcPr>
            <w:tcW w:w="3195" w:type="dxa"/>
            <w:tcBorders>
              <w:top w:val="nil"/>
            </w:tcBorders>
          </w:tcPr>
          <w:p>
            <w:pPr>
              <w:pStyle w:val="TableParagraph"/>
              <w:spacing w:before="64"/>
              <w:ind w:left="8"/>
              <w:rPr>
                <w:sz w:val="24"/>
              </w:rPr>
            </w:pPr>
            <w:r>
              <w:rPr>
                <w:sz w:val="24"/>
              </w:rPr>
              <w:t>was</w:t>
            </w:r>
            <w:r>
              <w:rPr>
                <w:spacing w:val="-1"/>
                <w:sz w:val="24"/>
              </w:rPr>
              <w:t> </w:t>
            </w:r>
            <w:r>
              <w:rPr>
                <w:sz w:val="24"/>
              </w:rPr>
              <w:t>wrong</w:t>
            </w:r>
            <w:r>
              <w:rPr>
                <w:spacing w:val="-3"/>
                <w:sz w:val="24"/>
              </w:rPr>
              <w:t> </w:t>
            </w:r>
            <w:r>
              <w:rPr>
                <w:spacing w:val="-2"/>
                <w:sz w:val="24"/>
              </w:rPr>
              <w:t>approach.</w:t>
            </w:r>
          </w:p>
        </w:tc>
        <w:tc>
          <w:tcPr>
            <w:tcW w:w="706" w:type="dxa"/>
            <w:tcBorders>
              <w:top w:val="nil"/>
            </w:tcBorders>
          </w:tcPr>
          <w:p>
            <w:pPr>
              <w:pStyle w:val="TableParagraph"/>
              <w:spacing w:before="64"/>
              <w:ind w:left="9" w:right="1"/>
              <w:jc w:val="center"/>
              <w:rPr>
                <w:sz w:val="24"/>
              </w:rPr>
            </w:pPr>
            <w:r>
              <w:rPr>
                <w:spacing w:val="-5"/>
                <w:sz w:val="24"/>
              </w:rPr>
              <w:t>235</w:t>
            </w:r>
          </w:p>
        </w:tc>
        <w:tc>
          <w:tcPr>
            <w:tcW w:w="708" w:type="dxa"/>
            <w:tcBorders>
              <w:top w:val="nil"/>
            </w:tcBorders>
          </w:tcPr>
          <w:p>
            <w:pPr>
              <w:pStyle w:val="TableParagraph"/>
              <w:spacing w:before="64"/>
              <w:ind w:left="8"/>
              <w:jc w:val="center"/>
              <w:rPr>
                <w:sz w:val="24"/>
              </w:rPr>
            </w:pPr>
            <w:r>
              <w:rPr>
                <w:spacing w:val="-4"/>
                <w:sz w:val="24"/>
              </w:rPr>
              <w:t>2.65</w:t>
            </w:r>
          </w:p>
        </w:tc>
        <w:tc>
          <w:tcPr>
            <w:tcW w:w="900" w:type="dxa"/>
            <w:tcBorders>
              <w:top w:val="nil"/>
            </w:tcBorders>
          </w:tcPr>
          <w:p>
            <w:pPr>
              <w:pStyle w:val="TableParagraph"/>
              <w:spacing w:before="64"/>
              <w:ind w:left="11" w:right="3"/>
              <w:jc w:val="center"/>
              <w:rPr>
                <w:sz w:val="24"/>
              </w:rPr>
            </w:pPr>
            <w:r>
              <w:rPr>
                <w:spacing w:val="-2"/>
                <w:sz w:val="24"/>
              </w:rPr>
              <w:t>1.045</w:t>
            </w:r>
          </w:p>
        </w:tc>
        <w:tc>
          <w:tcPr>
            <w:tcW w:w="2187" w:type="dxa"/>
            <w:tcBorders>
              <w:top w:val="nil"/>
            </w:tcBorders>
          </w:tcPr>
          <w:p>
            <w:pPr>
              <w:pStyle w:val="TableParagraph"/>
              <w:spacing w:before="64"/>
              <w:ind w:left="7"/>
              <w:jc w:val="center"/>
              <w:rPr>
                <w:sz w:val="24"/>
              </w:rPr>
            </w:pPr>
            <w:r>
              <w:rPr>
                <w:spacing w:val="-10"/>
                <w:sz w:val="24"/>
              </w:rPr>
              <w:t>A</w:t>
            </w:r>
          </w:p>
        </w:tc>
      </w:tr>
    </w:tbl>
    <w:p>
      <w:pPr>
        <w:pStyle w:val="BodyText"/>
        <w:spacing w:before="140"/>
        <w:ind w:left="0"/>
        <w:rPr>
          <w:b/>
        </w:rPr>
      </w:pPr>
    </w:p>
    <w:p>
      <w:pPr>
        <w:pStyle w:val="ListParagraph"/>
        <w:numPr>
          <w:ilvl w:val="3"/>
          <w:numId w:val="25"/>
        </w:numPr>
        <w:tabs>
          <w:tab w:pos="2280" w:val="left" w:leader="none"/>
        </w:tabs>
        <w:spacing w:line="240" w:lineRule="auto" w:before="0" w:after="0"/>
        <w:ind w:left="2280" w:right="0" w:hanging="840"/>
        <w:jc w:val="both"/>
        <w:rPr>
          <w:b/>
          <w:sz w:val="24"/>
        </w:rPr>
      </w:pPr>
      <w:r>
        <w:rPr>
          <w:b/>
          <w:sz w:val="24"/>
        </w:rPr>
        <w:t>JTF</w:t>
      </w:r>
      <w:r>
        <w:rPr>
          <w:b/>
          <w:spacing w:val="-3"/>
          <w:sz w:val="24"/>
        </w:rPr>
        <w:t> </w:t>
      </w:r>
      <w:r>
        <w:rPr>
          <w:b/>
          <w:sz w:val="24"/>
        </w:rPr>
        <w:t>Helped</w:t>
      </w:r>
      <w:r>
        <w:rPr>
          <w:b/>
          <w:spacing w:val="-1"/>
          <w:sz w:val="24"/>
        </w:rPr>
        <w:t> </w:t>
      </w:r>
      <w:r>
        <w:rPr>
          <w:b/>
          <w:sz w:val="24"/>
        </w:rPr>
        <w:t>to Reduce</w:t>
      </w:r>
      <w:r>
        <w:rPr>
          <w:b/>
          <w:spacing w:val="-1"/>
          <w:sz w:val="24"/>
        </w:rPr>
        <w:t> </w:t>
      </w:r>
      <w:r>
        <w:rPr>
          <w:b/>
          <w:sz w:val="24"/>
        </w:rPr>
        <w:t>Conflict</w:t>
      </w:r>
      <w:r>
        <w:rPr>
          <w:b/>
          <w:spacing w:val="-1"/>
          <w:sz w:val="24"/>
        </w:rPr>
        <w:t> </w:t>
      </w:r>
      <w:r>
        <w:rPr>
          <w:b/>
          <w:spacing w:val="-2"/>
          <w:sz w:val="24"/>
        </w:rPr>
        <w:t>Proliferation</w:t>
      </w:r>
    </w:p>
    <w:p>
      <w:pPr>
        <w:pStyle w:val="BodyText"/>
        <w:spacing w:line="360" w:lineRule="auto" w:before="132"/>
        <w:ind w:right="1259" w:firstLine="710"/>
        <w:jc w:val="both"/>
      </w:pPr>
      <w:r>
        <w:rPr/>
        <w:t>From the data presented in Table 12, there is general agreement that the JTF has helped in the attainment of sustainable peace in Niger Delta. On a State by State basis,</w:t>
      </w:r>
      <w:r>
        <w:rPr>
          <w:spacing w:val="37"/>
        </w:rPr>
        <w:t> </w:t>
      </w:r>
      <w:r>
        <w:rPr/>
        <w:t>result</w:t>
      </w:r>
      <w:r>
        <w:rPr>
          <w:spacing w:val="38"/>
        </w:rPr>
        <w:t> </w:t>
      </w:r>
      <w:r>
        <w:rPr/>
        <w:t>of</w:t>
      </w:r>
      <w:r>
        <w:rPr>
          <w:spacing w:val="36"/>
        </w:rPr>
        <w:t> </w:t>
      </w:r>
      <w:r>
        <w:rPr/>
        <w:t>ANOVA</w:t>
      </w:r>
      <w:r>
        <w:rPr>
          <w:spacing w:val="39"/>
        </w:rPr>
        <w:t> </w:t>
      </w:r>
      <w:r>
        <w:rPr/>
        <w:t>indicates</w:t>
      </w:r>
      <w:r>
        <w:rPr>
          <w:spacing w:val="36"/>
        </w:rPr>
        <w:t> </w:t>
      </w:r>
      <w:r>
        <w:rPr/>
        <w:t>differences</w:t>
      </w:r>
      <w:r>
        <w:rPr>
          <w:spacing w:val="39"/>
        </w:rPr>
        <w:t> </w:t>
      </w:r>
      <w:r>
        <w:rPr/>
        <w:t>amongst</w:t>
      </w:r>
      <w:r>
        <w:rPr>
          <w:spacing w:val="38"/>
        </w:rPr>
        <w:t> </w:t>
      </w:r>
      <w:r>
        <w:rPr/>
        <w:t>the</w:t>
      </w:r>
      <w:r>
        <w:rPr>
          <w:spacing w:val="36"/>
        </w:rPr>
        <w:t> </w:t>
      </w:r>
      <w:r>
        <w:rPr/>
        <w:t>States</w:t>
      </w:r>
      <w:r>
        <w:rPr>
          <w:spacing w:val="39"/>
        </w:rPr>
        <w:t> </w:t>
      </w:r>
      <w:r>
        <w:rPr/>
        <w:t>(f</w:t>
      </w:r>
      <w:r>
        <w:rPr>
          <w:spacing w:val="39"/>
        </w:rPr>
        <w:t> </w:t>
      </w:r>
      <w:r>
        <w:rPr/>
        <w:t>=</w:t>
      </w:r>
      <w:r>
        <w:rPr>
          <w:spacing w:val="38"/>
        </w:rPr>
        <w:t> </w:t>
      </w:r>
      <w:r>
        <w:rPr/>
        <w:t>24.178,</w:t>
      </w:r>
      <w:r>
        <w:rPr>
          <w:spacing w:val="37"/>
        </w:rPr>
        <w:t> </w:t>
      </w:r>
      <w:r>
        <w:rPr/>
        <w:t>P</w:t>
      </w:r>
      <w:r>
        <w:rPr>
          <w:spacing w:val="38"/>
        </w:rPr>
        <w:t> </w:t>
      </w:r>
      <w:r>
        <w:rPr>
          <w:spacing w:val="-10"/>
        </w:rPr>
        <w:t>=</w:t>
      </w:r>
    </w:p>
    <w:p>
      <w:pPr>
        <w:pStyle w:val="BodyText"/>
        <w:spacing w:line="360" w:lineRule="auto" w:before="2"/>
        <w:ind w:right="1258"/>
        <w:jc w:val="both"/>
      </w:pPr>
      <w:r>
        <w:rPr/>
        <w:t>.000). Although they are all in the agree scale - Bayelsa mean value is 3.43 (SA), Delta mean value is 2.62 (A) and Rivers having a mean value of 2.58 (A). It can be deduced therefore that the JTF is a good interventionist stakeholder.</w:t>
      </w:r>
    </w:p>
    <w:p>
      <w:pPr>
        <w:pStyle w:val="BodyText"/>
        <w:spacing w:line="275" w:lineRule="exact"/>
        <w:ind w:left="2150"/>
        <w:jc w:val="both"/>
      </w:pPr>
      <w:r>
        <w:rPr/>
        <w:t>Considering</w:t>
      </w:r>
      <w:r>
        <w:rPr>
          <w:spacing w:val="27"/>
        </w:rPr>
        <w:t> </w:t>
      </w:r>
      <w:r>
        <w:rPr/>
        <w:t>the</w:t>
      </w:r>
      <w:r>
        <w:rPr>
          <w:spacing w:val="37"/>
        </w:rPr>
        <w:t> </w:t>
      </w:r>
      <w:r>
        <w:rPr/>
        <w:t>gender</w:t>
      </w:r>
      <w:r>
        <w:rPr>
          <w:spacing w:val="35"/>
        </w:rPr>
        <w:t> </w:t>
      </w:r>
      <w:r>
        <w:rPr/>
        <w:t>of</w:t>
      </w:r>
      <w:r>
        <w:rPr>
          <w:spacing w:val="32"/>
        </w:rPr>
        <w:t> </w:t>
      </w:r>
      <w:r>
        <w:rPr/>
        <w:t>respondents,</w:t>
      </w:r>
      <w:r>
        <w:rPr>
          <w:spacing w:val="34"/>
        </w:rPr>
        <w:t> </w:t>
      </w:r>
      <w:r>
        <w:rPr/>
        <w:t>results</w:t>
      </w:r>
      <w:r>
        <w:rPr>
          <w:spacing w:val="33"/>
        </w:rPr>
        <w:t> </w:t>
      </w:r>
      <w:r>
        <w:rPr/>
        <w:t>of</w:t>
      </w:r>
      <w:r>
        <w:rPr>
          <w:spacing w:val="32"/>
        </w:rPr>
        <w:t> </w:t>
      </w:r>
      <w:r>
        <w:rPr/>
        <w:t>the</w:t>
      </w:r>
      <w:r>
        <w:rPr>
          <w:spacing w:val="32"/>
        </w:rPr>
        <w:t> </w:t>
      </w:r>
      <w:r>
        <w:rPr/>
        <w:t>t-test-</w:t>
      </w:r>
      <w:r>
        <w:rPr>
          <w:spacing w:val="34"/>
        </w:rPr>
        <w:t>  </w:t>
      </w:r>
      <w:r>
        <w:rPr/>
        <w:t>t</w:t>
      </w:r>
      <w:r>
        <w:rPr>
          <w:spacing w:val="37"/>
        </w:rPr>
        <w:t> </w:t>
      </w:r>
      <w:r>
        <w:rPr/>
        <w:t>=</w:t>
      </w:r>
      <w:r>
        <w:rPr>
          <w:spacing w:val="32"/>
        </w:rPr>
        <w:t> </w:t>
      </w:r>
      <w:r>
        <w:rPr/>
        <w:t>2.314,</w:t>
      </w:r>
      <w:r>
        <w:rPr>
          <w:spacing w:val="37"/>
        </w:rPr>
        <w:t> </w:t>
      </w:r>
      <w:r>
        <w:rPr/>
        <w:t>P</w:t>
      </w:r>
      <w:r>
        <w:rPr>
          <w:spacing w:val="34"/>
        </w:rPr>
        <w:t> </w:t>
      </w:r>
      <w:r>
        <w:rPr>
          <w:spacing w:val="-10"/>
        </w:rPr>
        <w:t>=</w:t>
      </w:r>
    </w:p>
    <w:p>
      <w:pPr>
        <w:pStyle w:val="BodyText"/>
        <w:spacing w:line="360" w:lineRule="auto" w:before="139"/>
        <w:ind w:right="1262"/>
        <w:jc w:val="both"/>
      </w:pPr>
      <w:r>
        <w:rPr/>
        <w:t>.022. Although, there is significant difference between how the males and females rated this variable, the overall outcome being that, both groups agree with the statement males mean value is 2.99 while that of females has 2.64.</w:t>
      </w:r>
    </w:p>
    <w:p>
      <w:pPr>
        <w:pStyle w:val="BodyText"/>
        <w:spacing w:line="360" w:lineRule="auto"/>
        <w:ind w:right="1257" w:firstLine="710"/>
        <w:jc w:val="both"/>
      </w:pPr>
      <w:r>
        <w:rPr/>
        <w:t>Next is to ascertain whether the age difference of respondents has effect. However, on the age group of respondents, there are no significant differences in views (f = 1.310, P = .267). The mean values for 15 - 24 age group is 2.69 (A), 25 -</w:t>
      </w:r>
      <w:r>
        <w:rPr>
          <w:spacing w:val="40"/>
        </w:rPr>
        <w:t> </w:t>
      </w:r>
      <w:r>
        <w:rPr/>
        <w:t>34 age group is 3.00 (A), 35 - 49 age group is 2.92 (A), 50 - 60 age group is 2.96 (A) and</w:t>
      </w:r>
      <w:r>
        <w:rPr>
          <w:spacing w:val="3"/>
        </w:rPr>
        <w:t> </w:t>
      </w:r>
      <w:r>
        <w:rPr/>
        <w:t>&gt;</w:t>
      </w:r>
      <w:r>
        <w:rPr>
          <w:spacing w:val="2"/>
        </w:rPr>
        <w:t> </w:t>
      </w:r>
      <w:r>
        <w:rPr/>
        <w:t>60</w:t>
      </w:r>
      <w:r>
        <w:rPr>
          <w:spacing w:val="4"/>
        </w:rPr>
        <w:t> </w:t>
      </w:r>
      <w:r>
        <w:rPr/>
        <w:t>years</w:t>
      </w:r>
      <w:r>
        <w:rPr>
          <w:spacing w:val="4"/>
        </w:rPr>
        <w:t> </w:t>
      </w:r>
      <w:r>
        <w:rPr/>
        <w:t>is</w:t>
      </w:r>
      <w:r>
        <w:rPr>
          <w:spacing w:val="3"/>
        </w:rPr>
        <w:t> </w:t>
      </w:r>
      <w:r>
        <w:rPr/>
        <w:t>2.20(D).</w:t>
      </w:r>
      <w:r>
        <w:rPr>
          <w:spacing w:val="3"/>
        </w:rPr>
        <w:t> </w:t>
      </w:r>
      <w:r>
        <w:rPr/>
        <w:t>The</w:t>
      </w:r>
      <w:r>
        <w:rPr>
          <w:spacing w:val="2"/>
        </w:rPr>
        <w:t> </w:t>
      </w:r>
      <w:r>
        <w:rPr/>
        <w:t>observed</w:t>
      </w:r>
      <w:r>
        <w:rPr>
          <w:spacing w:val="3"/>
        </w:rPr>
        <w:t> </w:t>
      </w:r>
      <w:r>
        <w:rPr/>
        <w:t>difference</w:t>
      </w:r>
      <w:r>
        <w:rPr>
          <w:spacing w:val="2"/>
        </w:rPr>
        <w:t> </w:t>
      </w:r>
      <w:r>
        <w:rPr/>
        <w:t>of</w:t>
      </w:r>
      <w:r>
        <w:rPr>
          <w:spacing w:val="2"/>
        </w:rPr>
        <w:t> </w:t>
      </w:r>
      <w:r>
        <w:rPr/>
        <w:t>the</w:t>
      </w:r>
      <w:r>
        <w:rPr>
          <w:spacing w:val="3"/>
        </w:rPr>
        <w:t> </w:t>
      </w:r>
      <w:r>
        <w:rPr/>
        <w:t>age</w:t>
      </w:r>
      <w:r>
        <w:rPr>
          <w:spacing w:val="5"/>
        </w:rPr>
        <w:t> </w:t>
      </w:r>
      <w:r>
        <w:rPr/>
        <w:t>group</w:t>
      </w:r>
      <w:r>
        <w:rPr>
          <w:spacing w:val="2"/>
        </w:rPr>
        <w:t> </w:t>
      </w:r>
      <w:r>
        <w:rPr/>
        <w:t>of</w:t>
      </w:r>
      <w:r>
        <w:rPr>
          <w:spacing w:val="5"/>
        </w:rPr>
        <w:t> </w:t>
      </w:r>
      <w:r>
        <w:rPr/>
        <w:t>&gt;</w:t>
      </w:r>
      <w:r>
        <w:rPr>
          <w:spacing w:val="2"/>
        </w:rPr>
        <w:t> </w:t>
      </w:r>
      <w:r>
        <w:rPr/>
        <w:t>61</w:t>
      </w:r>
      <w:r>
        <w:rPr>
          <w:spacing w:val="5"/>
        </w:rPr>
        <w:t> </w:t>
      </w:r>
      <w:r>
        <w:rPr/>
        <w:t>years</w:t>
      </w:r>
      <w:r>
        <w:rPr>
          <w:spacing w:val="3"/>
        </w:rPr>
        <w:t> </w:t>
      </w:r>
      <w:r>
        <w:rPr>
          <w:spacing w:val="-5"/>
        </w:rPr>
        <w:t>can</w:t>
      </w:r>
    </w:p>
    <w:p>
      <w:pPr>
        <w:spacing w:after="0" w:line="360" w:lineRule="auto"/>
        <w:jc w:val="both"/>
        <w:sectPr>
          <w:pgSz w:w="11910" w:h="16840"/>
          <w:pgMar w:header="0" w:footer="1561" w:top="1760" w:bottom="1760" w:left="720" w:right="180"/>
        </w:sectPr>
      </w:pPr>
    </w:p>
    <w:p>
      <w:pPr>
        <w:pStyle w:val="BodyText"/>
        <w:spacing w:before="60"/>
        <w:jc w:val="both"/>
      </w:pPr>
      <w:r>
        <w:rPr/>
        <mc:AlternateContent>
          <mc:Choice Requires="wps">
            <w:drawing>
              <wp:anchor distT="0" distB="0" distL="0" distR="0" allowOverlap="1" layoutInCell="1" locked="0" behindDoc="1" simplePos="0" relativeHeight="480671232">
                <wp:simplePos x="0" y="0"/>
                <wp:positionH relativeFrom="page">
                  <wp:posOffset>-1537026</wp:posOffset>
                </wp:positionH>
                <wp:positionV relativeFrom="page">
                  <wp:posOffset>4900424</wp:posOffset>
                </wp:positionV>
                <wp:extent cx="10669905" cy="914400"/>
                <wp:effectExtent l="0" t="0" r="0" b="0"/>
                <wp:wrapNone/>
                <wp:docPr id="302" name="Textbox 302"/>
                <wp:cNvGraphicFramePr>
                  <a:graphicFrameLocks/>
                </wp:cNvGraphicFramePr>
                <a:graphic>
                  <a:graphicData uri="http://schemas.microsoft.com/office/word/2010/wordprocessingShape">
                    <wps:wsp>
                      <wps:cNvPr id="302" name="Textbox 302"/>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45248;rotation:306" type="#_x0000_t136" fillcolor="#ff5400" stroked="f">
                <o:extrusion v:ext="view" autorotationcenter="t"/>
                <v:textpath style="font-family:&quot;Arial MT&quot;;font-size:72pt;v-text-kern:t;mso-text-shadow:auto" string="UNIVERSITY OF IBADAN"/>
                <w10:wrap type="none"/>
              </v:shape>
            </w:pict>
          </mc:Fallback>
        </mc:AlternateContent>
      </w:r>
      <w:r>
        <w:rPr/>
        <w:t>be</w:t>
      </w:r>
      <w:r>
        <w:rPr>
          <w:spacing w:val="-3"/>
        </w:rPr>
        <w:t> </w:t>
      </w:r>
      <w:r>
        <w:rPr>
          <w:spacing w:val="-2"/>
        </w:rPr>
        <w:t>ignored.</w:t>
      </w:r>
    </w:p>
    <w:p>
      <w:pPr>
        <w:pStyle w:val="BodyText"/>
        <w:spacing w:line="360" w:lineRule="auto" w:before="138"/>
        <w:ind w:right="1257" w:firstLine="720"/>
        <w:jc w:val="both"/>
      </w:pPr>
      <w:r>
        <w:rPr/>
        <w:t>Considering the education background of respondents, there is a strong agreement across the communities. Thus, there are significant differences in the view based</w:t>
      </w:r>
      <w:r>
        <w:rPr>
          <w:spacing w:val="-2"/>
        </w:rPr>
        <w:t> </w:t>
      </w:r>
      <w:r>
        <w:rPr/>
        <w:t>on education</w:t>
      </w:r>
      <w:r>
        <w:rPr>
          <w:spacing w:val="-2"/>
        </w:rPr>
        <w:t> </w:t>
      </w:r>
      <w:r>
        <w:rPr/>
        <w:t>(f</w:t>
      </w:r>
      <w:r>
        <w:rPr>
          <w:spacing w:val="-2"/>
        </w:rPr>
        <w:t> </w:t>
      </w:r>
      <w:r>
        <w:rPr/>
        <w:t>=</w:t>
      </w:r>
      <w:r>
        <w:rPr>
          <w:spacing w:val="-3"/>
        </w:rPr>
        <w:t> </w:t>
      </w:r>
      <w:r>
        <w:rPr/>
        <w:t>3.423,</w:t>
      </w:r>
      <w:r>
        <w:rPr>
          <w:spacing w:val="-2"/>
        </w:rPr>
        <w:t> </w:t>
      </w:r>
      <w:r>
        <w:rPr/>
        <w:t>P</w:t>
      </w:r>
      <w:r>
        <w:rPr>
          <w:spacing w:val="-2"/>
        </w:rPr>
        <w:t> </w:t>
      </w:r>
      <w:r>
        <w:rPr/>
        <w:t>=</w:t>
      </w:r>
      <w:r>
        <w:rPr>
          <w:spacing w:val="-3"/>
        </w:rPr>
        <w:t> </w:t>
      </w:r>
      <w:r>
        <w:rPr/>
        <w:t>.010)</w:t>
      </w:r>
      <w:r>
        <w:rPr>
          <w:spacing w:val="-2"/>
        </w:rPr>
        <w:t> </w:t>
      </w:r>
      <w:r>
        <w:rPr/>
        <w:t>occurring</w:t>
      </w:r>
      <w:r>
        <w:rPr>
          <w:spacing w:val="-2"/>
        </w:rPr>
        <w:t> </w:t>
      </w:r>
      <w:r>
        <w:rPr/>
        <w:t>between</w:t>
      </w:r>
      <w:r>
        <w:rPr>
          <w:spacing w:val="-2"/>
        </w:rPr>
        <w:t> </w:t>
      </w:r>
      <w:r>
        <w:rPr/>
        <w:t>Group 3 -</w:t>
      </w:r>
      <w:r>
        <w:rPr>
          <w:spacing w:val="-3"/>
        </w:rPr>
        <w:t> </w:t>
      </w:r>
      <w:r>
        <w:rPr/>
        <w:t>Secondary</w:t>
      </w:r>
      <w:r>
        <w:rPr>
          <w:spacing w:val="-7"/>
        </w:rPr>
        <w:t> </w:t>
      </w:r>
      <w:r>
        <w:rPr/>
        <w:t>level of education and respondents in Group 5- University education, although both groups agree with this view.</w:t>
      </w:r>
    </w:p>
    <w:p>
      <w:pPr>
        <w:pStyle w:val="BodyText"/>
        <w:spacing w:line="360" w:lineRule="auto" w:before="1"/>
        <w:ind w:right="1258" w:firstLine="720"/>
        <w:jc w:val="both"/>
      </w:pPr>
      <w:r>
        <w:rPr/>
        <w:t>Based on the occupation of the respondents, there is no significant difference</w:t>
      </w:r>
      <w:r>
        <w:rPr>
          <w:spacing w:val="40"/>
        </w:rPr>
        <w:t> </w:t>
      </w:r>
      <w:r>
        <w:rPr/>
        <w:t>(f = 1.310, P = .255). All occupational groups agree with the view that, the JTF intervention</w:t>
      </w:r>
      <w:r>
        <w:rPr>
          <w:spacing w:val="-1"/>
        </w:rPr>
        <w:t> </w:t>
      </w:r>
      <w:r>
        <w:rPr/>
        <w:t>in</w:t>
      </w:r>
      <w:r>
        <w:rPr>
          <w:spacing w:val="-1"/>
        </w:rPr>
        <w:t> </w:t>
      </w:r>
      <w:r>
        <w:rPr/>
        <w:t>the</w:t>
      </w:r>
      <w:r>
        <w:rPr>
          <w:spacing w:val="-2"/>
        </w:rPr>
        <w:t> </w:t>
      </w:r>
      <w:r>
        <w:rPr/>
        <w:t>attainment</w:t>
      </w:r>
      <w:r>
        <w:rPr>
          <w:spacing w:val="-1"/>
        </w:rPr>
        <w:t> </w:t>
      </w:r>
      <w:r>
        <w:rPr/>
        <w:t>of</w:t>
      </w:r>
      <w:r>
        <w:rPr>
          <w:spacing w:val="-2"/>
        </w:rPr>
        <w:t> </w:t>
      </w:r>
      <w:r>
        <w:rPr/>
        <w:t>sustainable</w:t>
      </w:r>
      <w:r>
        <w:rPr>
          <w:spacing w:val="-2"/>
        </w:rPr>
        <w:t> </w:t>
      </w:r>
      <w:r>
        <w:rPr/>
        <w:t>peace</w:t>
      </w:r>
      <w:r>
        <w:rPr>
          <w:spacing w:val="-2"/>
        </w:rPr>
        <w:t> </w:t>
      </w:r>
      <w:r>
        <w:rPr/>
        <w:t>in</w:t>
      </w:r>
      <w:r>
        <w:rPr>
          <w:spacing w:val="-1"/>
        </w:rPr>
        <w:t> </w:t>
      </w:r>
      <w:r>
        <w:rPr/>
        <w:t>Niger</w:t>
      </w:r>
      <w:r>
        <w:rPr>
          <w:spacing w:val="-2"/>
        </w:rPr>
        <w:t> </w:t>
      </w:r>
      <w:r>
        <w:rPr/>
        <w:t>Delta</w:t>
      </w:r>
      <w:r>
        <w:rPr>
          <w:spacing w:val="-2"/>
        </w:rPr>
        <w:t> </w:t>
      </w:r>
      <w:r>
        <w:rPr/>
        <w:t>has</w:t>
      </w:r>
      <w:r>
        <w:rPr>
          <w:spacing w:val="-1"/>
        </w:rPr>
        <w:t> </w:t>
      </w:r>
      <w:r>
        <w:rPr/>
        <w:t>helped</w:t>
      </w:r>
      <w:r>
        <w:rPr>
          <w:spacing w:val="-1"/>
        </w:rPr>
        <w:t> </w:t>
      </w:r>
      <w:r>
        <w:rPr/>
        <w:t>to</w:t>
      </w:r>
      <w:r>
        <w:rPr>
          <w:spacing w:val="-1"/>
        </w:rPr>
        <w:t> </w:t>
      </w:r>
      <w:r>
        <w:rPr/>
        <w:t>reduce conflict proliferation.</w:t>
      </w:r>
    </w:p>
    <w:p>
      <w:pPr>
        <w:pStyle w:val="BodyText"/>
        <w:spacing w:line="360" w:lineRule="auto" w:before="1"/>
        <w:ind w:right="1258" w:firstLine="720"/>
        <w:jc w:val="both"/>
      </w:pPr>
      <w:r>
        <w:rPr/>
        <w:t>Furthermore, the length of stay of respondents in the community</w:t>
      </w:r>
      <w:r>
        <w:rPr>
          <w:spacing w:val="-1"/>
        </w:rPr>
        <w:t> </w:t>
      </w:r>
      <w:r>
        <w:rPr/>
        <w:t>is significant in this view (f = 6.585, P = .000). It is necessary to know where lies this difference in Group 1 (less than 1 year) and Group 4 (10 years and above), and Group 1 and Group 3</w:t>
      </w:r>
      <w:r>
        <w:rPr>
          <w:spacing w:val="5"/>
        </w:rPr>
        <w:t> </w:t>
      </w:r>
      <w:r>
        <w:rPr/>
        <w:t>(6</w:t>
      </w:r>
      <w:r>
        <w:rPr>
          <w:spacing w:val="5"/>
        </w:rPr>
        <w:t> </w:t>
      </w:r>
      <w:r>
        <w:rPr/>
        <w:t>-</w:t>
      </w:r>
      <w:r>
        <w:rPr>
          <w:spacing w:val="5"/>
        </w:rPr>
        <w:t> </w:t>
      </w:r>
      <w:r>
        <w:rPr/>
        <w:t>9</w:t>
      </w:r>
      <w:r>
        <w:rPr>
          <w:spacing w:val="7"/>
        </w:rPr>
        <w:t> </w:t>
      </w:r>
      <w:r>
        <w:rPr/>
        <w:t>years).</w:t>
      </w:r>
      <w:r>
        <w:rPr>
          <w:spacing w:val="5"/>
        </w:rPr>
        <w:t> </w:t>
      </w:r>
      <w:r>
        <w:rPr/>
        <w:t>By</w:t>
      </w:r>
      <w:r>
        <w:rPr>
          <w:spacing w:val="2"/>
        </w:rPr>
        <w:t> </w:t>
      </w:r>
      <w:r>
        <w:rPr/>
        <w:t>implication,</w:t>
      </w:r>
      <w:r>
        <w:rPr>
          <w:spacing w:val="5"/>
        </w:rPr>
        <w:t> </w:t>
      </w:r>
      <w:r>
        <w:rPr/>
        <w:t>they</w:t>
      </w:r>
      <w:r>
        <w:rPr>
          <w:spacing w:val="1"/>
        </w:rPr>
        <w:t> </w:t>
      </w:r>
      <w:r>
        <w:rPr/>
        <w:t>all</w:t>
      </w:r>
      <w:r>
        <w:rPr>
          <w:spacing w:val="6"/>
        </w:rPr>
        <w:t> </w:t>
      </w:r>
      <w:r>
        <w:rPr/>
        <w:t>agree</w:t>
      </w:r>
      <w:r>
        <w:rPr>
          <w:spacing w:val="5"/>
        </w:rPr>
        <w:t> </w:t>
      </w:r>
      <w:r>
        <w:rPr/>
        <w:t>with</w:t>
      </w:r>
      <w:r>
        <w:rPr>
          <w:spacing w:val="5"/>
        </w:rPr>
        <w:t> </w:t>
      </w:r>
      <w:r>
        <w:rPr/>
        <w:t>this</w:t>
      </w:r>
      <w:r>
        <w:rPr>
          <w:spacing w:val="6"/>
        </w:rPr>
        <w:t> </w:t>
      </w:r>
      <w:r>
        <w:rPr/>
        <w:t>view,</w:t>
      </w:r>
      <w:r>
        <w:rPr>
          <w:spacing w:val="5"/>
        </w:rPr>
        <w:t> </w:t>
      </w:r>
      <w:r>
        <w:rPr/>
        <w:t>Group</w:t>
      </w:r>
      <w:r>
        <w:rPr>
          <w:spacing w:val="5"/>
        </w:rPr>
        <w:t> </w:t>
      </w:r>
      <w:r>
        <w:rPr/>
        <w:t>1</w:t>
      </w:r>
      <w:r>
        <w:rPr>
          <w:spacing w:val="5"/>
        </w:rPr>
        <w:t> </w:t>
      </w:r>
      <w:r>
        <w:rPr/>
        <w:t>(3.44),</w:t>
      </w:r>
      <w:r>
        <w:rPr>
          <w:spacing w:val="5"/>
        </w:rPr>
        <w:t> </w:t>
      </w:r>
      <w:r>
        <w:rPr/>
        <w:t>Group</w:t>
      </w:r>
      <w:r>
        <w:rPr>
          <w:spacing w:val="5"/>
        </w:rPr>
        <w:t> </w:t>
      </w:r>
      <w:r>
        <w:rPr>
          <w:spacing w:val="-10"/>
        </w:rPr>
        <w:t>2</w:t>
      </w:r>
    </w:p>
    <w:p>
      <w:pPr>
        <w:pStyle w:val="BodyText"/>
        <w:jc w:val="both"/>
      </w:pPr>
      <w:r>
        <w:rPr/>
        <w:t>(2.95),</w:t>
      </w:r>
      <w:r>
        <w:rPr>
          <w:spacing w:val="-1"/>
        </w:rPr>
        <w:t> </w:t>
      </w:r>
      <w:r>
        <w:rPr/>
        <w:t>Group</w:t>
      </w:r>
      <w:r>
        <w:rPr>
          <w:spacing w:val="-2"/>
        </w:rPr>
        <w:t> </w:t>
      </w:r>
      <w:r>
        <w:rPr/>
        <w:t>3 (2.70)</w:t>
      </w:r>
      <w:r>
        <w:rPr>
          <w:spacing w:val="-1"/>
        </w:rPr>
        <w:t> </w:t>
      </w:r>
      <w:r>
        <w:rPr/>
        <w:t>and Group</w:t>
      </w:r>
      <w:r>
        <w:rPr>
          <w:spacing w:val="-1"/>
        </w:rPr>
        <w:t> </w:t>
      </w:r>
      <w:r>
        <w:rPr/>
        <w:t>4 </w:t>
      </w:r>
      <w:r>
        <w:rPr>
          <w:spacing w:val="-2"/>
        </w:rPr>
        <w:t>(2.73).</w:t>
      </w:r>
    </w:p>
    <w:p>
      <w:pPr>
        <w:pStyle w:val="BodyText"/>
        <w:spacing w:line="360" w:lineRule="auto" w:before="137"/>
        <w:ind w:right="1254" w:firstLine="715"/>
        <w:jc w:val="both"/>
      </w:pPr>
      <w:r>
        <w:rPr/>
        <w:t>On a cursory look at the descriptive statistics, it is clear that religion of respondents has an impact on the perception. There are significant differences</w:t>
      </w:r>
      <w:r>
        <w:rPr>
          <w:spacing w:val="40"/>
        </w:rPr>
        <w:t> </w:t>
      </w:r>
      <w:r>
        <w:rPr/>
        <w:t>between religious groups (f = 4.501, P = .008) reveals that there is difference in perception between Christians and Muslims, and between Christians and traditionalists. By implication the Muslim perceptions differ from the Christians and traditionalists. From the </w:t>
      </w:r>
      <w:r>
        <w:rPr>
          <w:i/>
        </w:rPr>
        <w:t>ANOVA </w:t>
      </w:r>
      <w:r>
        <w:rPr/>
        <w:t>means, traditional religion came out with disagree mean</w:t>
      </w:r>
      <w:r>
        <w:rPr>
          <w:spacing w:val="-1"/>
        </w:rPr>
        <w:t> </w:t>
      </w:r>
      <w:r>
        <w:rPr/>
        <w:t>which</w:t>
      </w:r>
      <w:r>
        <w:rPr>
          <w:spacing w:val="-1"/>
        </w:rPr>
        <w:t> </w:t>
      </w:r>
      <w:r>
        <w:rPr/>
        <w:t>is</w:t>
      </w:r>
      <w:r>
        <w:rPr>
          <w:spacing w:val="-1"/>
        </w:rPr>
        <w:t> </w:t>
      </w:r>
      <w:r>
        <w:rPr/>
        <w:t>not</w:t>
      </w:r>
      <w:r>
        <w:rPr>
          <w:spacing w:val="-1"/>
        </w:rPr>
        <w:t> </w:t>
      </w:r>
      <w:r>
        <w:rPr/>
        <w:t>significant</w:t>
      </w:r>
      <w:r>
        <w:rPr>
          <w:spacing w:val="-1"/>
        </w:rPr>
        <w:t> </w:t>
      </w:r>
      <w:r>
        <w:rPr/>
        <w:t>at</w:t>
      </w:r>
      <w:r>
        <w:rPr>
          <w:spacing w:val="-1"/>
        </w:rPr>
        <w:t> </w:t>
      </w:r>
      <w:r>
        <w:rPr/>
        <w:t>0.05</w:t>
      </w:r>
      <w:r>
        <w:rPr>
          <w:spacing w:val="-1"/>
        </w:rPr>
        <w:t> </w:t>
      </w:r>
      <w:r>
        <w:rPr/>
        <w:t>and</w:t>
      </w:r>
      <w:r>
        <w:rPr>
          <w:spacing w:val="-1"/>
        </w:rPr>
        <w:t> </w:t>
      </w:r>
      <w:r>
        <w:rPr/>
        <w:t>it</w:t>
      </w:r>
      <w:r>
        <w:rPr>
          <w:spacing w:val="-1"/>
        </w:rPr>
        <w:t> </w:t>
      </w:r>
      <w:r>
        <w:rPr/>
        <w:t>can</w:t>
      </w:r>
      <w:r>
        <w:rPr>
          <w:spacing w:val="-1"/>
        </w:rPr>
        <w:t> </w:t>
      </w:r>
      <w:r>
        <w:rPr/>
        <w:t>therefore</w:t>
      </w:r>
      <w:r>
        <w:rPr>
          <w:spacing w:val="-3"/>
        </w:rPr>
        <w:t> </w:t>
      </w:r>
      <w:r>
        <w:rPr/>
        <w:t>be</w:t>
      </w:r>
      <w:r>
        <w:rPr>
          <w:spacing w:val="-2"/>
        </w:rPr>
        <w:t> </w:t>
      </w:r>
      <w:r>
        <w:rPr/>
        <w:t>ignored.</w:t>
      </w:r>
      <w:r>
        <w:rPr>
          <w:spacing w:val="-1"/>
        </w:rPr>
        <w:t> </w:t>
      </w:r>
      <w:r>
        <w:rPr/>
        <w:t>The</w:t>
      </w:r>
      <w:r>
        <w:rPr>
          <w:spacing w:val="-2"/>
        </w:rPr>
        <w:t> </w:t>
      </w:r>
      <w:r>
        <w:rPr/>
        <w:t>mean</w:t>
      </w:r>
      <w:r>
        <w:rPr>
          <w:spacing w:val="-1"/>
        </w:rPr>
        <w:t> </w:t>
      </w:r>
      <w:r>
        <w:rPr/>
        <w:t>values for Christians = 2.87 (A), Muslims = 3.52 (SA), traditional religion = 2.40 (D) and other 3.00 (A).</w:t>
      </w:r>
      <w:r>
        <w:rPr>
          <w:spacing w:val="40"/>
        </w:rPr>
        <w:t> </w:t>
      </w:r>
      <w:r>
        <w:rPr/>
        <w:t>Lastly, based on the marital status of the respondents there is no significant difference in their views.</w:t>
      </w:r>
    </w:p>
    <w:p>
      <w:pPr>
        <w:pStyle w:val="BodyText"/>
        <w:spacing w:line="360" w:lineRule="auto"/>
        <w:ind w:right="1256" w:firstLine="720"/>
        <w:jc w:val="both"/>
      </w:pPr>
      <w:r>
        <w:rPr/>
        <w:t>The study notes that at inception, the JTF operations curtailed the criminal crisis in Warri and environs.</w:t>
      </w:r>
      <w:r>
        <w:rPr>
          <w:spacing w:val="40"/>
        </w:rPr>
        <w:t> </w:t>
      </w:r>
      <w:r>
        <w:rPr/>
        <w:t>The re-entrant processes of the oil and gas companies were also made possible through the JTF intervention. The study also reveals that the JTF has destroyed some identified militant camps, controlled communal clashes, curtailed illegal oil bunkering through arrests and seizures.</w:t>
      </w:r>
    </w:p>
    <w:p>
      <w:pPr>
        <w:spacing w:after="0" w:line="360" w:lineRule="auto"/>
        <w:jc w:val="both"/>
        <w:sectPr>
          <w:pgSz w:w="11910" w:h="16840"/>
          <w:pgMar w:header="0" w:footer="1561" w:top="1360" w:bottom="1760" w:left="720" w:right="180"/>
        </w:sectPr>
      </w:pPr>
    </w:p>
    <w:p>
      <w:pPr>
        <w:pStyle w:val="Heading2"/>
        <w:numPr>
          <w:ilvl w:val="3"/>
          <w:numId w:val="25"/>
        </w:numPr>
        <w:tabs>
          <w:tab w:pos="2400" w:val="left" w:leader="none"/>
        </w:tabs>
        <w:spacing w:line="240" w:lineRule="auto" w:before="78" w:after="0"/>
        <w:ind w:left="2400" w:right="0" w:hanging="960"/>
        <w:jc w:val="left"/>
      </w:pPr>
      <w:r>
        <w:rPr/>
        <mc:AlternateContent>
          <mc:Choice Requires="wps">
            <w:drawing>
              <wp:anchor distT="0" distB="0" distL="0" distR="0" allowOverlap="1" layoutInCell="1" locked="0" behindDoc="1" simplePos="0" relativeHeight="480671744">
                <wp:simplePos x="0" y="0"/>
                <wp:positionH relativeFrom="page">
                  <wp:posOffset>-1537026</wp:posOffset>
                </wp:positionH>
                <wp:positionV relativeFrom="page">
                  <wp:posOffset>4900424</wp:posOffset>
                </wp:positionV>
                <wp:extent cx="10669905" cy="914400"/>
                <wp:effectExtent l="0" t="0" r="0" b="0"/>
                <wp:wrapNone/>
                <wp:docPr id="303" name="Textbox 303"/>
                <wp:cNvGraphicFramePr>
                  <a:graphicFrameLocks/>
                </wp:cNvGraphicFramePr>
                <a:graphic>
                  <a:graphicData uri="http://schemas.microsoft.com/office/word/2010/wordprocessingShape">
                    <wps:wsp>
                      <wps:cNvPr id="303" name="Textbox 303"/>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44736;rotation:306" type="#_x0000_t136" fillcolor="#ff5400" stroked="f">
                <o:extrusion v:ext="view" autorotationcenter="t"/>
                <v:textpath style="font-family:&quot;Arial MT&quot;;font-size:72pt;v-text-kern:t;mso-text-shadow:auto" string="UNIVERSITY OF IBADAN"/>
                <w10:wrap type="none"/>
              </v:shape>
            </w:pict>
          </mc:Fallback>
        </mc:AlternateContent>
      </w:r>
      <w:r>
        <w:rPr/>
        <w:t>RQ10:</w:t>
      </w:r>
      <w:r>
        <w:rPr>
          <w:spacing w:val="-4"/>
        </w:rPr>
        <w:t> </w:t>
      </w:r>
      <w:r>
        <w:rPr/>
        <w:t>Perception of Niger</w:t>
      </w:r>
      <w:r>
        <w:rPr>
          <w:spacing w:val="-1"/>
        </w:rPr>
        <w:t> </w:t>
      </w:r>
      <w:r>
        <w:rPr/>
        <w:t>Delta</w:t>
      </w:r>
      <w:r>
        <w:rPr>
          <w:spacing w:val="-1"/>
        </w:rPr>
        <w:t> </w:t>
      </w:r>
      <w:r>
        <w:rPr/>
        <w:t>Youths on JTF</w:t>
      </w:r>
      <w:r>
        <w:rPr>
          <w:spacing w:val="-2"/>
        </w:rPr>
        <w:t> Operations</w:t>
      </w:r>
    </w:p>
    <w:p>
      <w:pPr>
        <w:pStyle w:val="BodyText"/>
        <w:spacing w:before="135"/>
      </w:pPr>
      <w:r>
        <w:rPr/>
        <w:t>How</w:t>
      </w:r>
      <w:r>
        <w:rPr>
          <w:spacing w:val="-2"/>
        </w:rPr>
        <w:t> </w:t>
      </w:r>
      <w:r>
        <w:rPr/>
        <w:t>do</w:t>
      </w:r>
      <w:r>
        <w:rPr>
          <w:spacing w:val="-1"/>
        </w:rPr>
        <w:t> </w:t>
      </w:r>
      <w:r>
        <w:rPr/>
        <w:t>active</w:t>
      </w:r>
      <w:r>
        <w:rPr>
          <w:spacing w:val="-1"/>
        </w:rPr>
        <w:t> </w:t>
      </w:r>
      <w:r>
        <w:rPr/>
        <w:t>Niger</w:t>
      </w:r>
      <w:r>
        <w:rPr>
          <w:spacing w:val="-1"/>
        </w:rPr>
        <w:t> </w:t>
      </w:r>
      <w:r>
        <w:rPr/>
        <w:t>Delta youths</w:t>
      </w:r>
      <w:r>
        <w:rPr>
          <w:spacing w:val="-1"/>
        </w:rPr>
        <w:t> </w:t>
      </w:r>
      <w:r>
        <w:rPr/>
        <w:t>perceive</w:t>
      </w:r>
      <w:r>
        <w:rPr>
          <w:spacing w:val="-1"/>
        </w:rPr>
        <w:t> </w:t>
      </w:r>
      <w:r>
        <w:rPr/>
        <w:t>the</w:t>
      </w:r>
      <w:r>
        <w:rPr>
          <w:spacing w:val="-1"/>
        </w:rPr>
        <w:t> </w:t>
      </w:r>
      <w:r>
        <w:rPr/>
        <w:t>JTF</w:t>
      </w:r>
      <w:r>
        <w:rPr>
          <w:spacing w:val="-2"/>
        </w:rPr>
        <w:t> Operations?</w:t>
      </w:r>
    </w:p>
    <w:p>
      <w:pPr>
        <w:pStyle w:val="Heading2"/>
        <w:tabs>
          <w:tab w:pos="2880" w:val="left" w:leader="none"/>
        </w:tabs>
        <w:spacing w:before="141"/>
      </w:pPr>
      <w:r>
        <w:rPr/>
        <w:t>Table </w:t>
      </w:r>
      <w:r>
        <w:rPr>
          <w:spacing w:val="-5"/>
        </w:rPr>
        <w:t>13:</w:t>
      </w:r>
      <w:r>
        <w:rPr/>
        <w:tab/>
        <w:t>Perception</w:t>
      </w:r>
      <w:r>
        <w:rPr>
          <w:spacing w:val="-3"/>
        </w:rPr>
        <w:t> </w:t>
      </w:r>
      <w:r>
        <w:rPr/>
        <w:t>of</w:t>
      </w:r>
      <w:r>
        <w:rPr>
          <w:spacing w:val="-1"/>
        </w:rPr>
        <w:t> </w:t>
      </w:r>
      <w:r>
        <w:rPr/>
        <w:t>Niger</w:t>
      </w:r>
      <w:r>
        <w:rPr>
          <w:spacing w:val="-1"/>
        </w:rPr>
        <w:t> </w:t>
      </w:r>
      <w:r>
        <w:rPr/>
        <w:t>Delta</w:t>
      </w:r>
      <w:r>
        <w:rPr>
          <w:spacing w:val="-1"/>
        </w:rPr>
        <w:t> </w:t>
      </w:r>
      <w:r>
        <w:rPr/>
        <w:t>Youths</w:t>
      </w:r>
      <w:r>
        <w:rPr>
          <w:spacing w:val="-2"/>
        </w:rPr>
        <w:t> </w:t>
      </w:r>
      <w:r>
        <w:rPr/>
        <w:t>on JTF</w:t>
      </w:r>
      <w:r>
        <w:rPr>
          <w:spacing w:val="-2"/>
        </w:rPr>
        <w:t> Operations.</w:t>
      </w:r>
    </w:p>
    <w:p>
      <w:pPr>
        <w:pStyle w:val="BodyText"/>
        <w:spacing w:before="2" w:after="1"/>
        <w:ind w:left="0"/>
        <w:rPr>
          <w:b/>
          <w:sz w:val="12"/>
        </w:rPr>
      </w:pPr>
    </w:p>
    <w:tbl>
      <w:tblPr>
        <w:tblW w:w="0" w:type="auto"/>
        <w:jc w:val="left"/>
        <w:tblInd w:w="1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5"/>
        <w:gridCol w:w="3416"/>
        <w:gridCol w:w="831"/>
        <w:gridCol w:w="1090"/>
        <w:gridCol w:w="917"/>
        <w:gridCol w:w="2384"/>
      </w:tblGrid>
      <w:tr>
        <w:trPr>
          <w:trHeight w:val="542" w:hRule="atLeast"/>
        </w:trPr>
        <w:tc>
          <w:tcPr>
            <w:tcW w:w="725" w:type="dxa"/>
          </w:tcPr>
          <w:p>
            <w:pPr>
              <w:pStyle w:val="TableParagraph"/>
              <w:rPr>
                <w:sz w:val="24"/>
              </w:rPr>
            </w:pPr>
          </w:p>
        </w:tc>
        <w:tc>
          <w:tcPr>
            <w:tcW w:w="3416" w:type="dxa"/>
          </w:tcPr>
          <w:p>
            <w:pPr>
              <w:pStyle w:val="TableParagraph"/>
              <w:rPr>
                <w:sz w:val="24"/>
              </w:rPr>
            </w:pPr>
          </w:p>
        </w:tc>
        <w:tc>
          <w:tcPr>
            <w:tcW w:w="831" w:type="dxa"/>
          </w:tcPr>
          <w:p>
            <w:pPr>
              <w:pStyle w:val="TableParagraph"/>
              <w:spacing w:before="59"/>
              <w:ind w:left="10" w:right="1"/>
              <w:jc w:val="center"/>
              <w:rPr>
                <w:sz w:val="24"/>
              </w:rPr>
            </w:pPr>
            <w:r>
              <w:rPr>
                <w:spacing w:val="-10"/>
                <w:sz w:val="24"/>
              </w:rPr>
              <w:t>N</w:t>
            </w:r>
          </w:p>
        </w:tc>
        <w:tc>
          <w:tcPr>
            <w:tcW w:w="1090" w:type="dxa"/>
          </w:tcPr>
          <w:p>
            <w:pPr>
              <w:pStyle w:val="TableParagraph"/>
              <w:spacing w:before="59"/>
              <w:ind w:left="5"/>
              <w:jc w:val="center"/>
              <w:rPr>
                <w:sz w:val="24"/>
              </w:rPr>
            </w:pPr>
            <w:r>
              <w:rPr>
                <w:spacing w:val="-4"/>
                <w:sz w:val="24"/>
              </w:rPr>
              <w:t>Mean</w:t>
            </w:r>
          </w:p>
        </w:tc>
        <w:tc>
          <w:tcPr>
            <w:tcW w:w="917" w:type="dxa"/>
          </w:tcPr>
          <w:p>
            <w:pPr>
              <w:pStyle w:val="TableParagraph"/>
              <w:spacing w:before="59"/>
              <w:ind w:left="8"/>
              <w:jc w:val="center"/>
              <w:rPr>
                <w:sz w:val="24"/>
              </w:rPr>
            </w:pPr>
            <w:r>
              <w:rPr>
                <w:spacing w:val="-5"/>
                <w:sz w:val="24"/>
              </w:rPr>
              <w:t>SD</w:t>
            </w:r>
          </w:p>
        </w:tc>
        <w:tc>
          <w:tcPr>
            <w:tcW w:w="2384" w:type="dxa"/>
          </w:tcPr>
          <w:p>
            <w:pPr>
              <w:pStyle w:val="TableParagraph"/>
              <w:spacing w:before="59"/>
              <w:ind w:left="5" w:right="1"/>
              <w:jc w:val="center"/>
              <w:rPr>
                <w:sz w:val="24"/>
              </w:rPr>
            </w:pPr>
            <w:r>
              <w:rPr>
                <w:sz w:val="24"/>
              </w:rPr>
              <w:t>Level</w:t>
            </w:r>
            <w:r>
              <w:rPr>
                <w:spacing w:val="-4"/>
                <w:sz w:val="24"/>
              </w:rPr>
              <w:t> </w:t>
            </w:r>
            <w:r>
              <w:rPr>
                <w:sz w:val="24"/>
              </w:rPr>
              <w:t>of</w:t>
            </w:r>
            <w:r>
              <w:rPr>
                <w:spacing w:val="-1"/>
                <w:sz w:val="24"/>
              </w:rPr>
              <w:t> </w:t>
            </w:r>
            <w:r>
              <w:rPr>
                <w:spacing w:val="-2"/>
                <w:sz w:val="24"/>
              </w:rPr>
              <w:t>Agreement</w:t>
            </w:r>
          </w:p>
        </w:tc>
      </w:tr>
      <w:tr>
        <w:trPr>
          <w:trHeight w:val="338" w:hRule="atLeast"/>
        </w:trPr>
        <w:tc>
          <w:tcPr>
            <w:tcW w:w="725" w:type="dxa"/>
            <w:vMerge w:val="restart"/>
          </w:tcPr>
          <w:p>
            <w:pPr>
              <w:pStyle w:val="TableParagraph"/>
              <w:spacing w:line="270" w:lineRule="exact"/>
              <w:ind w:left="160"/>
              <w:rPr>
                <w:sz w:val="24"/>
              </w:rPr>
            </w:pPr>
            <w:r>
              <w:rPr>
                <w:spacing w:val="-5"/>
                <w:sz w:val="24"/>
              </w:rPr>
              <w:t>B36</w:t>
            </w:r>
          </w:p>
        </w:tc>
        <w:tc>
          <w:tcPr>
            <w:tcW w:w="3416" w:type="dxa"/>
            <w:tcBorders>
              <w:bottom w:val="nil"/>
            </w:tcBorders>
          </w:tcPr>
          <w:p>
            <w:pPr>
              <w:pStyle w:val="TableParagraph"/>
              <w:spacing w:line="270" w:lineRule="exact"/>
              <w:ind w:left="9"/>
              <w:rPr>
                <w:sz w:val="24"/>
              </w:rPr>
            </w:pPr>
            <w:r>
              <w:rPr>
                <w:sz w:val="24"/>
              </w:rPr>
              <w:t>Government</w:t>
            </w:r>
            <w:r>
              <w:rPr>
                <w:spacing w:val="-5"/>
                <w:sz w:val="24"/>
              </w:rPr>
              <w:t> </w:t>
            </w:r>
            <w:r>
              <w:rPr>
                <w:sz w:val="24"/>
              </w:rPr>
              <w:t>as</w:t>
            </w:r>
            <w:r>
              <w:rPr>
                <w:spacing w:val="-1"/>
                <w:sz w:val="24"/>
              </w:rPr>
              <w:t> </w:t>
            </w:r>
            <w:r>
              <w:rPr>
                <w:sz w:val="24"/>
              </w:rPr>
              <w:t>agent</w:t>
            </w:r>
            <w:r>
              <w:rPr>
                <w:spacing w:val="-2"/>
                <w:sz w:val="24"/>
              </w:rPr>
              <w:t> </w:t>
            </w:r>
            <w:r>
              <w:rPr>
                <w:spacing w:val="-5"/>
                <w:sz w:val="24"/>
              </w:rPr>
              <w:t>of</w:t>
            </w:r>
          </w:p>
        </w:tc>
        <w:tc>
          <w:tcPr>
            <w:tcW w:w="831" w:type="dxa"/>
            <w:vMerge w:val="restart"/>
          </w:tcPr>
          <w:p>
            <w:pPr>
              <w:pStyle w:val="TableParagraph"/>
              <w:spacing w:before="130"/>
              <w:rPr>
                <w:b/>
                <w:sz w:val="24"/>
              </w:rPr>
            </w:pPr>
          </w:p>
          <w:p>
            <w:pPr>
              <w:pStyle w:val="TableParagraph"/>
              <w:spacing w:before="1"/>
              <w:ind w:left="234"/>
              <w:rPr>
                <w:sz w:val="24"/>
              </w:rPr>
            </w:pPr>
            <w:r>
              <w:rPr>
                <w:spacing w:val="-5"/>
                <w:sz w:val="24"/>
              </w:rPr>
              <w:t>237</w:t>
            </w:r>
          </w:p>
        </w:tc>
        <w:tc>
          <w:tcPr>
            <w:tcW w:w="1090" w:type="dxa"/>
            <w:vMerge w:val="restart"/>
          </w:tcPr>
          <w:p>
            <w:pPr>
              <w:pStyle w:val="TableParagraph"/>
              <w:spacing w:before="130"/>
              <w:rPr>
                <w:b/>
                <w:sz w:val="24"/>
              </w:rPr>
            </w:pPr>
          </w:p>
          <w:p>
            <w:pPr>
              <w:pStyle w:val="TableParagraph"/>
              <w:spacing w:before="1"/>
              <w:ind w:left="332"/>
              <w:rPr>
                <w:sz w:val="24"/>
              </w:rPr>
            </w:pPr>
            <w:r>
              <w:rPr>
                <w:spacing w:val="-4"/>
                <w:sz w:val="24"/>
              </w:rPr>
              <w:t>3.10</w:t>
            </w:r>
          </w:p>
        </w:tc>
        <w:tc>
          <w:tcPr>
            <w:tcW w:w="917" w:type="dxa"/>
            <w:vMerge w:val="restart"/>
          </w:tcPr>
          <w:p>
            <w:pPr>
              <w:pStyle w:val="TableParagraph"/>
              <w:spacing w:before="130"/>
              <w:rPr>
                <w:b/>
                <w:sz w:val="24"/>
              </w:rPr>
            </w:pPr>
          </w:p>
          <w:p>
            <w:pPr>
              <w:pStyle w:val="TableParagraph"/>
              <w:spacing w:before="1"/>
              <w:ind w:left="185"/>
              <w:rPr>
                <w:sz w:val="24"/>
              </w:rPr>
            </w:pPr>
            <w:r>
              <w:rPr>
                <w:spacing w:val="-2"/>
                <w:sz w:val="24"/>
              </w:rPr>
              <w:t>1.024</w:t>
            </w:r>
          </w:p>
        </w:tc>
        <w:tc>
          <w:tcPr>
            <w:tcW w:w="2384" w:type="dxa"/>
            <w:vMerge w:val="restart"/>
          </w:tcPr>
          <w:p>
            <w:pPr>
              <w:pStyle w:val="TableParagraph"/>
              <w:spacing w:before="130"/>
              <w:rPr>
                <w:b/>
                <w:sz w:val="24"/>
              </w:rPr>
            </w:pPr>
          </w:p>
          <w:p>
            <w:pPr>
              <w:pStyle w:val="TableParagraph"/>
              <w:spacing w:before="1"/>
              <w:ind w:left="5"/>
              <w:jc w:val="center"/>
              <w:rPr>
                <w:sz w:val="24"/>
              </w:rPr>
            </w:pPr>
            <w:r>
              <w:rPr>
                <w:spacing w:val="-10"/>
                <w:sz w:val="24"/>
              </w:rPr>
              <w:t>A</w:t>
            </w:r>
          </w:p>
        </w:tc>
      </w:tr>
      <w:tr>
        <w:trPr>
          <w:trHeight w:val="375" w:hRule="atLeast"/>
        </w:trPr>
        <w:tc>
          <w:tcPr>
            <w:tcW w:w="725" w:type="dxa"/>
            <w:vMerge/>
            <w:tcBorders>
              <w:top w:val="nil"/>
            </w:tcBorders>
          </w:tcPr>
          <w:p>
            <w:pPr>
              <w:rPr>
                <w:sz w:val="2"/>
                <w:szCs w:val="2"/>
              </w:rPr>
            </w:pPr>
          </w:p>
        </w:tc>
        <w:tc>
          <w:tcPr>
            <w:tcW w:w="3416" w:type="dxa"/>
            <w:tcBorders>
              <w:top w:val="nil"/>
            </w:tcBorders>
          </w:tcPr>
          <w:p>
            <w:pPr>
              <w:pStyle w:val="TableParagraph"/>
              <w:spacing w:before="58"/>
              <w:ind w:left="9"/>
              <w:rPr>
                <w:sz w:val="24"/>
              </w:rPr>
            </w:pPr>
            <w:r>
              <w:rPr>
                <w:sz w:val="24"/>
              </w:rPr>
              <w:t>oppression</w:t>
            </w:r>
            <w:r>
              <w:rPr>
                <w:spacing w:val="-2"/>
                <w:sz w:val="24"/>
              </w:rPr>
              <w:t> </w:t>
            </w:r>
            <w:r>
              <w:rPr>
                <w:sz w:val="24"/>
              </w:rPr>
              <w:t>&amp;</w:t>
            </w:r>
            <w:r>
              <w:rPr>
                <w:spacing w:val="-2"/>
                <w:sz w:val="24"/>
              </w:rPr>
              <w:t> tyranny.</w:t>
            </w:r>
          </w:p>
        </w:tc>
        <w:tc>
          <w:tcPr>
            <w:tcW w:w="831" w:type="dxa"/>
            <w:vMerge/>
            <w:tcBorders>
              <w:top w:val="nil"/>
            </w:tcBorders>
          </w:tcPr>
          <w:p>
            <w:pPr>
              <w:rPr>
                <w:sz w:val="2"/>
                <w:szCs w:val="2"/>
              </w:rPr>
            </w:pPr>
          </w:p>
        </w:tc>
        <w:tc>
          <w:tcPr>
            <w:tcW w:w="1090" w:type="dxa"/>
            <w:vMerge/>
            <w:tcBorders>
              <w:top w:val="nil"/>
            </w:tcBorders>
          </w:tcPr>
          <w:p>
            <w:pPr>
              <w:rPr>
                <w:sz w:val="2"/>
                <w:szCs w:val="2"/>
              </w:rPr>
            </w:pPr>
          </w:p>
        </w:tc>
        <w:tc>
          <w:tcPr>
            <w:tcW w:w="917" w:type="dxa"/>
            <w:vMerge/>
            <w:tcBorders>
              <w:top w:val="nil"/>
            </w:tcBorders>
          </w:tcPr>
          <w:p>
            <w:pPr>
              <w:rPr>
                <w:sz w:val="2"/>
                <w:szCs w:val="2"/>
              </w:rPr>
            </w:pPr>
          </w:p>
        </w:tc>
        <w:tc>
          <w:tcPr>
            <w:tcW w:w="2384" w:type="dxa"/>
            <w:vMerge/>
            <w:tcBorders>
              <w:top w:val="nil"/>
            </w:tcBorders>
          </w:tcPr>
          <w:p>
            <w:pPr>
              <w:rPr>
                <w:sz w:val="2"/>
                <w:szCs w:val="2"/>
              </w:rPr>
            </w:pPr>
          </w:p>
        </w:tc>
      </w:tr>
      <w:tr>
        <w:trPr>
          <w:trHeight w:val="336" w:hRule="atLeast"/>
        </w:trPr>
        <w:tc>
          <w:tcPr>
            <w:tcW w:w="725" w:type="dxa"/>
            <w:vMerge w:val="restart"/>
          </w:tcPr>
          <w:p>
            <w:pPr>
              <w:pStyle w:val="TableParagraph"/>
              <w:spacing w:line="270" w:lineRule="exact"/>
              <w:ind w:left="160"/>
              <w:rPr>
                <w:sz w:val="24"/>
              </w:rPr>
            </w:pPr>
            <w:r>
              <w:rPr>
                <w:spacing w:val="-5"/>
                <w:sz w:val="24"/>
              </w:rPr>
              <w:t>B37</w:t>
            </w:r>
          </w:p>
        </w:tc>
        <w:tc>
          <w:tcPr>
            <w:tcW w:w="3416" w:type="dxa"/>
            <w:tcBorders>
              <w:bottom w:val="nil"/>
            </w:tcBorders>
          </w:tcPr>
          <w:p>
            <w:pPr>
              <w:pStyle w:val="TableParagraph"/>
              <w:spacing w:line="270" w:lineRule="exact"/>
              <w:ind w:left="9"/>
              <w:rPr>
                <w:sz w:val="24"/>
              </w:rPr>
            </w:pPr>
            <w:r>
              <w:rPr>
                <w:sz w:val="24"/>
              </w:rPr>
              <w:t>Enemy</w:t>
            </w:r>
            <w:r>
              <w:rPr>
                <w:spacing w:val="-6"/>
                <w:sz w:val="24"/>
              </w:rPr>
              <w:t> </w:t>
            </w:r>
            <w:r>
              <w:rPr>
                <w:sz w:val="24"/>
              </w:rPr>
              <w:t>of</w:t>
            </w:r>
            <w:r>
              <w:rPr>
                <w:spacing w:val="2"/>
                <w:sz w:val="24"/>
              </w:rPr>
              <w:t> </w:t>
            </w:r>
            <w:r>
              <w:rPr>
                <w:sz w:val="24"/>
              </w:rPr>
              <w:t>youths</w:t>
            </w:r>
            <w:r>
              <w:rPr>
                <w:spacing w:val="-1"/>
                <w:sz w:val="24"/>
              </w:rPr>
              <w:t> </w:t>
            </w:r>
            <w:r>
              <w:rPr>
                <w:sz w:val="24"/>
              </w:rPr>
              <w:t>ambitions</w:t>
            </w:r>
            <w:r>
              <w:rPr>
                <w:spacing w:val="-1"/>
                <w:sz w:val="24"/>
              </w:rPr>
              <w:t> </w:t>
            </w:r>
            <w:r>
              <w:rPr>
                <w:spacing w:val="-10"/>
                <w:sz w:val="24"/>
              </w:rPr>
              <w:t>&amp;</w:t>
            </w:r>
          </w:p>
        </w:tc>
        <w:tc>
          <w:tcPr>
            <w:tcW w:w="831" w:type="dxa"/>
            <w:vMerge w:val="restart"/>
          </w:tcPr>
          <w:p>
            <w:pPr>
              <w:pStyle w:val="TableParagraph"/>
              <w:spacing w:before="126"/>
              <w:rPr>
                <w:b/>
                <w:sz w:val="24"/>
              </w:rPr>
            </w:pPr>
          </w:p>
          <w:p>
            <w:pPr>
              <w:pStyle w:val="TableParagraph"/>
              <w:ind w:left="234"/>
              <w:rPr>
                <w:sz w:val="24"/>
              </w:rPr>
            </w:pPr>
            <w:r>
              <w:rPr>
                <w:spacing w:val="-5"/>
                <w:sz w:val="24"/>
              </w:rPr>
              <w:t>237</w:t>
            </w:r>
          </w:p>
        </w:tc>
        <w:tc>
          <w:tcPr>
            <w:tcW w:w="1090" w:type="dxa"/>
            <w:vMerge w:val="restart"/>
          </w:tcPr>
          <w:p>
            <w:pPr>
              <w:pStyle w:val="TableParagraph"/>
              <w:spacing w:before="126"/>
              <w:rPr>
                <w:b/>
                <w:sz w:val="24"/>
              </w:rPr>
            </w:pPr>
          </w:p>
          <w:p>
            <w:pPr>
              <w:pStyle w:val="TableParagraph"/>
              <w:ind w:left="332"/>
              <w:rPr>
                <w:sz w:val="24"/>
              </w:rPr>
            </w:pPr>
            <w:r>
              <w:rPr>
                <w:spacing w:val="-4"/>
                <w:sz w:val="24"/>
              </w:rPr>
              <w:t>3.00</w:t>
            </w:r>
          </w:p>
        </w:tc>
        <w:tc>
          <w:tcPr>
            <w:tcW w:w="917" w:type="dxa"/>
            <w:vMerge w:val="restart"/>
          </w:tcPr>
          <w:p>
            <w:pPr>
              <w:pStyle w:val="TableParagraph"/>
              <w:spacing w:before="126"/>
              <w:rPr>
                <w:b/>
                <w:sz w:val="24"/>
              </w:rPr>
            </w:pPr>
          </w:p>
          <w:p>
            <w:pPr>
              <w:pStyle w:val="TableParagraph"/>
              <w:ind w:left="245"/>
              <w:rPr>
                <w:sz w:val="24"/>
              </w:rPr>
            </w:pPr>
            <w:r>
              <w:rPr>
                <w:spacing w:val="-4"/>
                <w:sz w:val="24"/>
              </w:rPr>
              <w:t>.925</w:t>
            </w:r>
          </w:p>
        </w:tc>
        <w:tc>
          <w:tcPr>
            <w:tcW w:w="2384" w:type="dxa"/>
            <w:vMerge w:val="restart"/>
          </w:tcPr>
          <w:p>
            <w:pPr>
              <w:pStyle w:val="TableParagraph"/>
              <w:spacing w:before="126"/>
              <w:rPr>
                <w:b/>
                <w:sz w:val="24"/>
              </w:rPr>
            </w:pPr>
          </w:p>
          <w:p>
            <w:pPr>
              <w:pStyle w:val="TableParagraph"/>
              <w:ind w:left="5"/>
              <w:jc w:val="center"/>
              <w:rPr>
                <w:sz w:val="24"/>
              </w:rPr>
            </w:pPr>
            <w:r>
              <w:rPr>
                <w:spacing w:val="-10"/>
                <w:sz w:val="24"/>
              </w:rPr>
              <w:t>A</w:t>
            </w:r>
          </w:p>
        </w:tc>
      </w:tr>
      <w:tr>
        <w:trPr>
          <w:trHeight w:val="373" w:hRule="atLeast"/>
        </w:trPr>
        <w:tc>
          <w:tcPr>
            <w:tcW w:w="725" w:type="dxa"/>
            <w:vMerge/>
            <w:tcBorders>
              <w:top w:val="nil"/>
            </w:tcBorders>
          </w:tcPr>
          <w:p>
            <w:pPr>
              <w:rPr>
                <w:sz w:val="2"/>
                <w:szCs w:val="2"/>
              </w:rPr>
            </w:pPr>
          </w:p>
        </w:tc>
        <w:tc>
          <w:tcPr>
            <w:tcW w:w="3416" w:type="dxa"/>
            <w:tcBorders>
              <w:top w:val="nil"/>
            </w:tcBorders>
          </w:tcPr>
          <w:p>
            <w:pPr>
              <w:pStyle w:val="TableParagraph"/>
              <w:spacing w:before="56"/>
              <w:ind w:left="9"/>
              <w:rPr>
                <w:sz w:val="24"/>
              </w:rPr>
            </w:pPr>
            <w:r>
              <w:rPr>
                <w:spacing w:val="-2"/>
                <w:sz w:val="24"/>
              </w:rPr>
              <w:t>struggles.</w:t>
            </w:r>
          </w:p>
        </w:tc>
        <w:tc>
          <w:tcPr>
            <w:tcW w:w="831" w:type="dxa"/>
            <w:vMerge/>
            <w:tcBorders>
              <w:top w:val="nil"/>
            </w:tcBorders>
          </w:tcPr>
          <w:p>
            <w:pPr>
              <w:rPr>
                <w:sz w:val="2"/>
                <w:szCs w:val="2"/>
              </w:rPr>
            </w:pPr>
          </w:p>
        </w:tc>
        <w:tc>
          <w:tcPr>
            <w:tcW w:w="1090" w:type="dxa"/>
            <w:vMerge/>
            <w:tcBorders>
              <w:top w:val="nil"/>
            </w:tcBorders>
          </w:tcPr>
          <w:p>
            <w:pPr>
              <w:rPr>
                <w:sz w:val="2"/>
                <w:szCs w:val="2"/>
              </w:rPr>
            </w:pPr>
          </w:p>
        </w:tc>
        <w:tc>
          <w:tcPr>
            <w:tcW w:w="917" w:type="dxa"/>
            <w:vMerge/>
            <w:tcBorders>
              <w:top w:val="nil"/>
            </w:tcBorders>
          </w:tcPr>
          <w:p>
            <w:pPr>
              <w:rPr>
                <w:sz w:val="2"/>
                <w:szCs w:val="2"/>
              </w:rPr>
            </w:pPr>
          </w:p>
        </w:tc>
        <w:tc>
          <w:tcPr>
            <w:tcW w:w="2384" w:type="dxa"/>
            <w:vMerge/>
            <w:tcBorders>
              <w:top w:val="nil"/>
            </w:tcBorders>
          </w:tcPr>
          <w:p>
            <w:pPr>
              <w:rPr>
                <w:sz w:val="2"/>
                <w:szCs w:val="2"/>
              </w:rPr>
            </w:pPr>
          </w:p>
        </w:tc>
      </w:tr>
      <w:tr>
        <w:trPr>
          <w:trHeight w:val="549" w:hRule="atLeast"/>
        </w:trPr>
        <w:tc>
          <w:tcPr>
            <w:tcW w:w="725" w:type="dxa"/>
          </w:tcPr>
          <w:p>
            <w:pPr>
              <w:pStyle w:val="TableParagraph"/>
              <w:spacing w:before="61"/>
              <w:ind w:left="160"/>
              <w:rPr>
                <w:sz w:val="24"/>
              </w:rPr>
            </w:pPr>
            <w:r>
              <w:rPr>
                <w:spacing w:val="-5"/>
                <w:sz w:val="24"/>
              </w:rPr>
              <w:t>B38</w:t>
            </w:r>
          </w:p>
        </w:tc>
        <w:tc>
          <w:tcPr>
            <w:tcW w:w="3416" w:type="dxa"/>
          </w:tcPr>
          <w:p>
            <w:pPr>
              <w:pStyle w:val="TableParagraph"/>
              <w:spacing w:before="61"/>
              <w:ind w:left="9"/>
              <w:rPr>
                <w:sz w:val="24"/>
              </w:rPr>
            </w:pPr>
            <w:r>
              <w:rPr>
                <w:sz w:val="24"/>
              </w:rPr>
              <w:t>Peacekeeping</w:t>
            </w:r>
            <w:r>
              <w:rPr>
                <w:spacing w:val="-5"/>
                <w:sz w:val="24"/>
              </w:rPr>
              <w:t> </w:t>
            </w:r>
            <w:r>
              <w:rPr>
                <w:spacing w:val="-2"/>
                <w:sz w:val="24"/>
              </w:rPr>
              <w:t>Agent.</w:t>
            </w:r>
          </w:p>
        </w:tc>
        <w:tc>
          <w:tcPr>
            <w:tcW w:w="831" w:type="dxa"/>
          </w:tcPr>
          <w:p>
            <w:pPr>
              <w:pStyle w:val="TableParagraph"/>
              <w:spacing w:before="61"/>
              <w:ind w:left="10" w:right="2"/>
              <w:jc w:val="center"/>
              <w:rPr>
                <w:sz w:val="24"/>
              </w:rPr>
            </w:pPr>
            <w:r>
              <w:rPr>
                <w:spacing w:val="-5"/>
                <w:sz w:val="24"/>
              </w:rPr>
              <w:t>237</w:t>
            </w:r>
          </w:p>
        </w:tc>
        <w:tc>
          <w:tcPr>
            <w:tcW w:w="1090" w:type="dxa"/>
          </w:tcPr>
          <w:p>
            <w:pPr>
              <w:pStyle w:val="TableParagraph"/>
              <w:spacing w:before="61"/>
              <w:ind w:left="5"/>
              <w:jc w:val="center"/>
              <w:rPr>
                <w:sz w:val="24"/>
              </w:rPr>
            </w:pPr>
            <w:r>
              <w:rPr>
                <w:spacing w:val="-4"/>
                <w:sz w:val="24"/>
              </w:rPr>
              <w:t>2.29</w:t>
            </w:r>
          </w:p>
        </w:tc>
        <w:tc>
          <w:tcPr>
            <w:tcW w:w="917" w:type="dxa"/>
          </w:tcPr>
          <w:p>
            <w:pPr>
              <w:pStyle w:val="TableParagraph"/>
              <w:spacing w:before="61"/>
              <w:ind w:left="8" w:right="4"/>
              <w:jc w:val="center"/>
              <w:rPr>
                <w:sz w:val="24"/>
              </w:rPr>
            </w:pPr>
            <w:r>
              <w:rPr>
                <w:spacing w:val="-4"/>
                <w:sz w:val="24"/>
              </w:rPr>
              <w:t>.985</w:t>
            </w:r>
          </w:p>
        </w:tc>
        <w:tc>
          <w:tcPr>
            <w:tcW w:w="2384" w:type="dxa"/>
          </w:tcPr>
          <w:p>
            <w:pPr>
              <w:pStyle w:val="TableParagraph"/>
              <w:spacing w:before="61"/>
              <w:ind w:left="5"/>
              <w:jc w:val="center"/>
              <w:rPr>
                <w:sz w:val="24"/>
              </w:rPr>
            </w:pPr>
            <w:r>
              <w:rPr>
                <w:spacing w:val="-10"/>
                <w:sz w:val="24"/>
              </w:rPr>
              <w:t>A</w:t>
            </w:r>
          </w:p>
        </w:tc>
      </w:tr>
      <w:tr>
        <w:trPr>
          <w:trHeight w:val="390" w:hRule="atLeast"/>
        </w:trPr>
        <w:tc>
          <w:tcPr>
            <w:tcW w:w="725" w:type="dxa"/>
            <w:vMerge w:val="restart"/>
          </w:tcPr>
          <w:p>
            <w:pPr>
              <w:pStyle w:val="TableParagraph"/>
              <w:spacing w:line="270" w:lineRule="exact"/>
              <w:ind w:left="160"/>
              <w:rPr>
                <w:sz w:val="24"/>
              </w:rPr>
            </w:pPr>
            <w:r>
              <w:rPr>
                <w:spacing w:val="-5"/>
                <w:sz w:val="24"/>
              </w:rPr>
              <w:t>B39</w:t>
            </w:r>
          </w:p>
        </w:tc>
        <w:tc>
          <w:tcPr>
            <w:tcW w:w="3416" w:type="dxa"/>
            <w:tcBorders>
              <w:bottom w:val="nil"/>
            </w:tcBorders>
          </w:tcPr>
          <w:p>
            <w:pPr>
              <w:pStyle w:val="TableParagraph"/>
              <w:spacing w:line="270" w:lineRule="exact"/>
              <w:ind w:left="9"/>
              <w:rPr>
                <w:sz w:val="24"/>
              </w:rPr>
            </w:pPr>
            <w:r>
              <w:rPr>
                <w:sz w:val="24"/>
              </w:rPr>
              <w:t>Opportunists</w:t>
            </w:r>
            <w:r>
              <w:rPr>
                <w:spacing w:val="-2"/>
                <w:sz w:val="24"/>
              </w:rPr>
              <w:t> </w:t>
            </w:r>
            <w:r>
              <w:rPr>
                <w:sz w:val="24"/>
              </w:rPr>
              <w:t>who</w:t>
            </w:r>
            <w:r>
              <w:rPr>
                <w:spacing w:val="-2"/>
                <w:sz w:val="24"/>
              </w:rPr>
              <w:t> </w:t>
            </w:r>
            <w:r>
              <w:rPr>
                <w:sz w:val="24"/>
              </w:rPr>
              <w:t>came</w:t>
            </w:r>
            <w:r>
              <w:rPr>
                <w:spacing w:val="-1"/>
                <w:sz w:val="24"/>
              </w:rPr>
              <w:t> </w:t>
            </w:r>
            <w:r>
              <w:rPr>
                <w:spacing w:val="-5"/>
                <w:sz w:val="24"/>
              </w:rPr>
              <w:t>to</w:t>
            </w:r>
          </w:p>
        </w:tc>
        <w:tc>
          <w:tcPr>
            <w:tcW w:w="831" w:type="dxa"/>
            <w:vMerge w:val="restart"/>
          </w:tcPr>
          <w:p>
            <w:pPr>
              <w:pStyle w:val="TableParagraph"/>
              <w:spacing w:before="234"/>
              <w:rPr>
                <w:b/>
                <w:sz w:val="24"/>
              </w:rPr>
            </w:pPr>
          </w:p>
          <w:p>
            <w:pPr>
              <w:pStyle w:val="TableParagraph"/>
              <w:ind w:left="234"/>
              <w:rPr>
                <w:sz w:val="24"/>
              </w:rPr>
            </w:pPr>
            <w:r>
              <w:rPr>
                <w:spacing w:val="-5"/>
                <w:sz w:val="24"/>
              </w:rPr>
              <w:t>236</w:t>
            </w:r>
          </w:p>
        </w:tc>
        <w:tc>
          <w:tcPr>
            <w:tcW w:w="1090" w:type="dxa"/>
            <w:vMerge w:val="restart"/>
          </w:tcPr>
          <w:p>
            <w:pPr>
              <w:pStyle w:val="TableParagraph"/>
              <w:spacing w:before="234"/>
              <w:rPr>
                <w:b/>
                <w:sz w:val="24"/>
              </w:rPr>
            </w:pPr>
          </w:p>
          <w:p>
            <w:pPr>
              <w:pStyle w:val="TableParagraph"/>
              <w:ind w:left="332"/>
              <w:rPr>
                <w:sz w:val="24"/>
              </w:rPr>
            </w:pPr>
            <w:r>
              <w:rPr>
                <w:spacing w:val="-4"/>
                <w:sz w:val="24"/>
              </w:rPr>
              <w:t>2.69</w:t>
            </w:r>
          </w:p>
        </w:tc>
        <w:tc>
          <w:tcPr>
            <w:tcW w:w="917" w:type="dxa"/>
            <w:vMerge w:val="restart"/>
          </w:tcPr>
          <w:p>
            <w:pPr>
              <w:pStyle w:val="TableParagraph"/>
              <w:spacing w:before="234"/>
              <w:rPr>
                <w:b/>
                <w:sz w:val="24"/>
              </w:rPr>
            </w:pPr>
          </w:p>
          <w:p>
            <w:pPr>
              <w:pStyle w:val="TableParagraph"/>
              <w:ind w:left="245"/>
              <w:rPr>
                <w:sz w:val="24"/>
              </w:rPr>
            </w:pPr>
            <w:r>
              <w:rPr>
                <w:spacing w:val="-4"/>
                <w:sz w:val="24"/>
              </w:rPr>
              <w:t>.947</w:t>
            </w:r>
          </w:p>
        </w:tc>
        <w:tc>
          <w:tcPr>
            <w:tcW w:w="2384" w:type="dxa"/>
            <w:vMerge w:val="restart"/>
          </w:tcPr>
          <w:p>
            <w:pPr>
              <w:pStyle w:val="TableParagraph"/>
              <w:spacing w:before="234"/>
              <w:rPr>
                <w:b/>
                <w:sz w:val="24"/>
              </w:rPr>
            </w:pPr>
          </w:p>
          <w:p>
            <w:pPr>
              <w:pStyle w:val="TableParagraph"/>
              <w:ind w:left="5"/>
              <w:jc w:val="center"/>
              <w:rPr>
                <w:sz w:val="24"/>
              </w:rPr>
            </w:pPr>
            <w:r>
              <w:rPr>
                <w:spacing w:val="-10"/>
                <w:sz w:val="24"/>
              </w:rPr>
              <w:t>A</w:t>
            </w:r>
          </w:p>
        </w:tc>
      </w:tr>
      <w:tr>
        <w:trPr>
          <w:trHeight w:val="638" w:hRule="atLeast"/>
        </w:trPr>
        <w:tc>
          <w:tcPr>
            <w:tcW w:w="725" w:type="dxa"/>
            <w:vMerge/>
            <w:tcBorders>
              <w:top w:val="nil"/>
            </w:tcBorders>
          </w:tcPr>
          <w:p>
            <w:pPr>
              <w:rPr>
                <w:sz w:val="2"/>
                <w:szCs w:val="2"/>
              </w:rPr>
            </w:pPr>
          </w:p>
        </w:tc>
        <w:tc>
          <w:tcPr>
            <w:tcW w:w="3416" w:type="dxa"/>
            <w:tcBorders>
              <w:top w:val="nil"/>
            </w:tcBorders>
          </w:tcPr>
          <w:p>
            <w:pPr>
              <w:pStyle w:val="TableParagraph"/>
              <w:spacing w:before="110"/>
              <w:ind w:left="9"/>
              <w:rPr>
                <w:sz w:val="24"/>
              </w:rPr>
            </w:pPr>
            <w:r>
              <w:rPr>
                <w:sz w:val="24"/>
              </w:rPr>
              <w:t>make</w:t>
            </w:r>
            <w:r>
              <w:rPr>
                <w:spacing w:val="-2"/>
                <w:sz w:val="24"/>
              </w:rPr>
              <w:t> fortune.</w:t>
            </w:r>
          </w:p>
        </w:tc>
        <w:tc>
          <w:tcPr>
            <w:tcW w:w="831" w:type="dxa"/>
            <w:vMerge/>
            <w:tcBorders>
              <w:top w:val="nil"/>
            </w:tcBorders>
          </w:tcPr>
          <w:p>
            <w:pPr>
              <w:rPr>
                <w:sz w:val="2"/>
                <w:szCs w:val="2"/>
              </w:rPr>
            </w:pPr>
          </w:p>
        </w:tc>
        <w:tc>
          <w:tcPr>
            <w:tcW w:w="1090" w:type="dxa"/>
            <w:vMerge/>
            <w:tcBorders>
              <w:top w:val="nil"/>
            </w:tcBorders>
          </w:tcPr>
          <w:p>
            <w:pPr>
              <w:rPr>
                <w:sz w:val="2"/>
                <w:szCs w:val="2"/>
              </w:rPr>
            </w:pPr>
          </w:p>
        </w:tc>
        <w:tc>
          <w:tcPr>
            <w:tcW w:w="917" w:type="dxa"/>
            <w:vMerge/>
            <w:tcBorders>
              <w:top w:val="nil"/>
            </w:tcBorders>
          </w:tcPr>
          <w:p>
            <w:pPr>
              <w:rPr>
                <w:sz w:val="2"/>
                <w:szCs w:val="2"/>
              </w:rPr>
            </w:pPr>
          </w:p>
        </w:tc>
        <w:tc>
          <w:tcPr>
            <w:tcW w:w="2384" w:type="dxa"/>
            <w:vMerge/>
            <w:tcBorders>
              <w:top w:val="nil"/>
            </w:tcBorders>
          </w:tcPr>
          <w:p>
            <w:pPr>
              <w:rPr>
                <w:sz w:val="2"/>
                <w:szCs w:val="2"/>
              </w:rPr>
            </w:pPr>
          </w:p>
        </w:tc>
      </w:tr>
    </w:tbl>
    <w:p>
      <w:pPr>
        <w:pStyle w:val="BodyText"/>
        <w:spacing w:before="134"/>
        <w:ind w:left="0"/>
        <w:rPr>
          <w:b/>
        </w:rPr>
      </w:pPr>
    </w:p>
    <w:p>
      <w:pPr>
        <w:pStyle w:val="BodyText"/>
        <w:spacing w:line="360" w:lineRule="auto"/>
        <w:ind w:right="1256" w:firstLine="720"/>
        <w:jc w:val="right"/>
      </w:pPr>
      <w:r>
        <w:rPr/>
        <w:t>We</w:t>
      </w:r>
      <w:r>
        <w:rPr>
          <w:spacing w:val="40"/>
        </w:rPr>
        <w:t> </w:t>
      </w:r>
      <w:r>
        <w:rPr/>
        <w:t>sought</w:t>
      </w:r>
      <w:r>
        <w:rPr>
          <w:spacing w:val="40"/>
        </w:rPr>
        <w:t> </w:t>
      </w:r>
      <w:r>
        <w:rPr/>
        <w:t>to</w:t>
      </w:r>
      <w:r>
        <w:rPr>
          <w:spacing w:val="40"/>
        </w:rPr>
        <w:t> </w:t>
      </w:r>
      <w:r>
        <w:rPr/>
        <w:t>know</w:t>
      </w:r>
      <w:r>
        <w:rPr>
          <w:spacing w:val="40"/>
        </w:rPr>
        <w:t> </w:t>
      </w:r>
      <w:r>
        <w:rPr/>
        <w:t>from</w:t>
      </w:r>
      <w:r>
        <w:rPr>
          <w:spacing w:val="40"/>
        </w:rPr>
        <w:t> </w:t>
      </w:r>
      <w:r>
        <w:rPr/>
        <w:t>the</w:t>
      </w:r>
      <w:r>
        <w:rPr>
          <w:spacing w:val="40"/>
        </w:rPr>
        <w:t> </w:t>
      </w:r>
      <w:r>
        <w:rPr/>
        <w:t>respondents</w:t>
      </w:r>
      <w:r>
        <w:rPr>
          <w:spacing w:val="40"/>
        </w:rPr>
        <w:t> </w:t>
      </w:r>
      <w:r>
        <w:rPr/>
        <w:t>how</w:t>
      </w:r>
      <w:r>
        <w:rPr>
          <w:spacing w:val="40"/>
        </w:rPr>
        <w:t> </w:t>
      </w:r>
      <w:r>
        <w:rPr/>
        <w:t>active</w:t>
      </w:r>
      <w:r>
        <w:rPr>
          <w:spacing w:val="40"/>
        </w:rPr>
        <w:t> </w:t>
      </w:r>
      <w:r>
        <w:rPr/>
        <w:t>Niger</w:t>
      </w:r>
      <w:r>
        <w:rPr>
          <w:spacing w:val="40"/>
        </w:rPr>
        <w:t> </w:t>
      </w:r>
      <w:r>
        <w:rPr/>
        <w:t>Delta</w:t>
      </w:r>
      <w:r>
        <w:rPr>
          <w:spacing w:val="40"/>
        </w:rPr>
        <w:t> </w:t>
      </w:r>
      <w:r>
        <w:rPr/>
        <w:t>youths perceive</w:t>
      </w:r>
      <w:r>
        <w:rPr>
          <w:spacing w:val="25"/>
        </w:rPr>
        <w:t> </w:t>
      </w:r>
      <w:r>
        <w:rPr/>
        <w:t>the</w:t>
      </w:r>
      <w:r>
        <w:rPr>
          <w:spacing w:val="26"/>
        </w:rPr>
        <w:t> </w:t>
      </w:r>
      <w:r>
        <w:rPr/>
        <w:t>JTF</w:t>
      </w:r>
      <w:r>
        <w:rPr>
          <w:spacing w:val="24"/>
        </w:rPr>
        <w:t> </w:t>
      </w:r>
      <w:r>
        <w:rPr/>
        <w:t>operation.</w:t>
      </w:r>
      <w:r>
        <w:rPr>
          <w:spacing w:val="26"/>
        </w:rPr>
        <w:t> </w:t>
      </w:r>
      <w:r>
        <w:rPr/>
        <w:t>From</w:t>
      </w:r>
      <w:r>
        <w:rPr>
          <w:spacing w:val="26"/>
        </w:rPr>
        <w:t> </w:t>
      </w:r>
      <w:r>
        <w:rPr/>
        <w:t>the</w:t>
      </w:r>
      <w:r>
        <w:rPr>
          <w:spacing w:val="26"/>
        </w:rPr>
        <w:t> </w:t>
      </w:r>
      <w:r>
        <w:rPr/>
        <w:t>data</w:t>
      </w:r>
      <w:r>
        <w:rPr>
          <w:spacing w:val="25"/>
        </w:rPr>
        <w:t> </w:t>
      </w:r>
      <w:r>
        <w:rPr/>
        <w:t>presented</w:t>
      </w:r>
      <w:r>
        <w:rPr>
          <w:spacing w:val="26"/>
        </w:rPr>
        <w:t> </w:t>
      </w:r>
      <w:r>
        <w:rPr/>
        <w:t>in</w:t>
      </w:r>
      <w:r>
        <w:rPr>
          <w:spacing w:val="27"/>
        </w:rPr>
        <w:t> </w:t>
      </w:r>
      <w:r>
        <w:rPr/>
        <w:t>Table</w:t>
      </w:r>
      <w:r>
        <w:rPr>
          <w:spacing w:val="26"/>
        </w:rPr>
        <w:t> </w:t>
      </w:r>
      <w:r>
        <w:rPr/>
        <w:t>13,</w:t>
      </w:r>
      <w:r>
        <w:rPr>
          <w:spacing w:val="26"/>
        </w:rPr>
        <w:t> </w:t>
      </w:r>
      <w:r>
        <w:rPr/>
        <w:t>there</w:t>
      </w:r>
      <w:r>
        <w:rPr>
          <w:spacing w:val="25"/>
        </w:rPr>
        <w:t> </w:t>
      </w:r>
      <w:r>
        <w:rPr/>
        <w:t>is</w:t>
      </w:r>
      <w:r>
        <w:rPr>
          <w:spacing w:val="26"/>
        </w:rPr>
        <w:t> </w:t>
      </w:r>
      <w:r>
        <w:rPr/>
        <w:t>a</w:t>
      </w:r>
      <w:r>
        <w:rPr>
          <w:spacing w:val="25"/>
        </w:rPr>
        <w:t> </w:t>
      </w:r>
      <w:r>
        <w:rPr/>
        <w:t>general agreement</w:t>
      </w:r>
      <w:r>
        <w:rPr>
          <w:spacing w:val="40"/>
        </w:rPr>
        <w:t> </w:t>
      </w:r>
      <w:r>
        <w:rPr/>
        <w:t>on</w:t>
      </w:r>
      <w:r>
        <w:rPr>
          <w:spacing w:val="40"/>
        </w:rPr>
        <w:t> </w:t>
      </w:r>
      <w:r>
        <w:rPr/>
        <w:t>the</w:t>
      </w:r>
      <w:r>
        <w:rPr>
          <w:spacing w:val="40"/>
        </w:rPr>
        <w:t> </w:t>
      </w:r>
      <w:r>
        <w:rPr/>
        <w:t>views</w:t>
      </w:r>
      <w:r>
        <w:rPr>
          <w:spacing w:val="40"/>
        </w:rPr>
        <w:t> </w:t>
      </w:r>
      <w:r>
        <w:rPr/>
        <w:t>of</w:t>
      </w:r>
      <w:r>
        <w:rPr>
          <w:spacing w:val="40"/>
        </w:rPr>
        <w:t> </w:t>
      </w:r>
      <w:r>
        <w:rPr/>
        <w:t>respondents.</w:t>
      </w:r>
      <w:r>
        <w:rPr>
          <w:spacing w:val="40"/>
        </w:rPr>
        <w:t> </w:t>
      </w:r>
      <w:r>
        <w:rPr/>
        <w:t>This</w:t>
      </w:r>
      <w:r>
        <w:rPr>
          <w:spacing w:val="40"/>
        </w:rPr>
        <w:t> </w:t>
      </w:r>
      <w:r>
        <w:rPr/>
        <w:t>perception</w:t>
      </w:r>
      <w:r>
        <w:rPr>
          <w:spacing w:val="40"/>
        </w:rPr>
        <w:t> </w:t>
      </w:r>
      <w:r>
        <w:rPr/>
        <w:t>is</w:t>
      </w:r>
      <w:r>
        <w:rPr>
          <w:spacing w:val="40"/>
        </w:rPr>
        <w:t> </w:t>
      </w:r>
      <w:r>
        <w:rPr/>
        <w:t>corroborated</w:t>
      </w:r>
      <w:r>
        <w:rPr>
          <w:spacing w:val="40"/>
        </w:rPr>
        <w:t> </w:t>
      </w:r>
      <w:r>
        <w:rPr/>
        <w:t>by</w:t>
      </w:r>
      <w:r>
        <w:rPr>
          <w:spacing w:val="37"/>
        </w:rPr>
        <w:t> </w:t>
      </w:r>
      <w:r>
        <w:rPr/>
        <w:t>extant literature. Most of those who have written on the violent conflicts in Niger Delta link the</w:t>
      </w:r>
      <w:r>
        <w:rPr>
          <w:spacing w:val="33"/>
        </w:rPr>
        <w:t> </w:t>
      </w:r>
      <w:r>
        <w:rPr/>
        <w:t>problems</w:t>
      </w:r>
      <w:r>
        <w:rPr>
          <w:spacing w:val="34"/>
        </w:rPr>
        <w:t> </w:t>
      </w:r>
      <w:r>
        <w:rPr/>
        <w:t>with</w:t>
      </w:r>
      <w:r>
        <w:rPr>
          <w:spacing w:val="34"/>
        </w:rPr>
        <w:t> </w:t>
      </w:r>
      <w:r>
        <w:rPr/>
        <w:t>the</w:t>
      </w:r>
      <w:r>
        <w:rPr>
          <w:spacing w:val="39"/>
        </w:rPr>
        <w:t> </w:t>
      </w:r>
      <w:r>
        <w:rPr/>
        <w:t>youths.</w:t>
      </w:r>
      <w:r>
        <w:rPr>
          <w:spacing w:val="33"/>
        </w:rPr>
        <w:t> </w:t>
      </w:r>
      <w:r>
        <w:rPr/>
        <w:t>This</w:t>
      </w:r>
      <w:r>
        <w:rPr>
          <w:spacing w:val="34"/>
        </w:rPr>
        <w:t> </w:t>
      </w:r>
      <w:r>
        <w:rPr/>
        <w:t>is</w:t>
      </w:r>
      <w:r>
        <w:rPr>
          <w:spacing w:val="34"/>
        </w:rPr>
        <w:t> </w:t>
      </w:r>
      <w:r>
        <w:rPr/>
        <w:t>because</w:t>
      </w:r>
      <w:r>
        <w:rPr>
          <w:spacing w:val="35"/>
        </w:rPr>
        <w:t> </w:t>
      </w:r>
      <w:r>
        <w:rPr/>
        <w:t>many</w:t>
      </w:r>
      <w:r>
        <w:rPr>
          <w:spacing w:val="28"/>
        </w:rPr>
        <w:t> </w:t>
      </w:r>
      <w:r>
        <w:rPr/>
        <w:t>of</w:t>
      </w:r>
      <w:r>
        <w:rPr>
          <w:spacing w:val="33"/>
        </w:rPr>
        <w:t> </w:t>
      </w:r>
      <w:r>
        <w:rPr/>
        <w:t>them</w:t>
      </w:r>
      <w:r>
        <w:rPr>
          <w:spacing w:val="35"/>
        </w:rPr>
        <w:t> </w:t>
      </w:r>
      <w:r>
        <w:rPr/>
        <w:t>are</w:t>
      </w:r>
      <w:r>
        <w:rPr>
          <w:spacing w:val="34"/>
        </w:rPr>
        <w:t> </w:t>
      </w:r>
      <w:r>
        <w:rPr/>
        <w:t>jobless,</w:t>
      </w:r>
      <w:r>
        <w:rPr>
          <w:spacing w:val="34"/>
        </w:rPr>
        <w:t> </w:t>
      </w:r>
      <w:r>
        <w:rPr/>
        <w:t>excluded from</w:t>
      </w:r>
      <w:r>
        <w:rPr>
          <w:spacing w:val="80"/>
          <w:w w:val="150"/>
        </w:rPr>
        <w:t> </w:t>
      </w:r>
      <w:r>
        <w:rPr/>
        <w:t>decision-making</w:t>
      </w:r>
      <w:r>
        <w:rPr>
          <w:spacing w:val="80"/>
          <w:w w:val="150"/>
        </w:rPr>
        <w:t> </w:t>
      </w:r>
      <w:r>
        <w:rPr/>
        <w:t>processes</w:t>
      </w:r>
      <w:r>
        <w:rPr>
          <w:spacing w:val="80"/>
          <w:w w:val="150"/>
        </w:rPr>
        <w:t> </w:t>
      </w:r>
      <w:r>
        <w:rPr/>
        <w:t>and</w:t>
      </w:r>
      <w:r>
        <w:rPr>
          <w:spacing w:val="80"/>
          <w:w w:val="150"/>
        </w:rPr>
        <w:t> </w:t>
      </w:r>
      <w:r>
        <w:rPr/>
        <w:t>exploited</w:t>
      </w:r>
      <w:r>
        <w:rPr>
          <w:spacing w:val="80"/>
          <w:w w:val="150"/>
        </w:rPr>
        <w:t> </w:t>
      </w:r>
      <w:r>
        <w:rPr/>
        <w:t>by</w:t>
      </w:r>
      <w:r>
        <w:rPr>
          <w:spacing w:val="80"/>
          <w:w w:val="150"/>
        </w:rPr>
        <w:t> </w:t>
      </w:r>
      <w:r>
        <w:rPr/>
        <w:t>their</w:t>
      </w:r>
      <w:r>
        <w:rPr>
          <w:spacing w:val="80"/>
          <w:w w:val="150"/>
        </w:rPr>
        <w:t> </w:t>
      </w:r>
      <w:r>
        <w:rPr/>
        <w:t>older</w:t>
      </w:r>
      <w:r>
        <w:rPr>
          <w:spacing w:val="80"/>
          <w:w w:val="150"/>
        </w:rPr>
        <w:t> </w:t>
      </w:r>
      <w:r>
        <w:rPr/>
        <w:t>generation</w:t>
      </w:r>
      <w:r>
        <w:rPr>
          <w:spacing w:val="80"/>
          <w:w w:val="150"/>
        </w:rPr>
        <w:t> </w:t>
      </w:r>
      <w:r>
        <w:rPr/>
        <w:t>in government, politics, ethnic and religious affiliations. This view, further attests to the need to focus more</w:t>
      </w:r>
      <w:r>
        <w:rPr>
          <w:spacing w:val="-1"/>
        </w:rPr>
        <w:t> </w:t>
      </w:r>
      <w:r>
        <w:rPr/>
        <w:t>on this group for</w:t>
      </w:r>
      <w:r>
        <w:rPr>
          <w:spacing w:val="-2"/>
        </w:rPr>
        <w:t> </w:t>
      </w:r>
      <w:r>
        <w:rPr/>
        <w:t>an effective</w:t>
      </w:r>
      <w:r>
        <w:rPr>
          <w:spacing w:val="-1"/>
        </w:rPr>
        <w:t> </w:t>
      </w:r>
      <w:r>
        <w:rPr/>
        <w:t>conflict management to be achieved. Across</w:t>
      </w:r>
      <w:r>
        <w:rPr>
          <w:spacing w:val="40"/>
        </w:rPr>
        <w:t> </w:t>
      </w:r>
      <w:r>
        <w:rPr/>
        <w:t>the</w:t>
      </w:r>
      <w:r>
        <w:rPr>
          <w:spacing w:val="40"/>
        </w:rPr>
        <w:t> </w:t>
      </w:r>
      <w:r>
        <w:rPr/>
        <w:t>States,</w:t>
      </w:r>
      <w:r>
        <w:rPr>
          <w:spacing w:val="40"/>
        </w:rPr>
        <w:t> </w:t>
      </w:r>
      <w:r>
        <w:rPr/>
        <w:t>result</w:t>
      </w:r>
      <w:r>
        <w:rPr>
          <w:spacing w:val="80"/>
        </w:rPr>
        <w:t> </w:t>
      </w:r>
      <w:r>
        <w:rPr/>
        <w:t>of</w:t>
      </w:r>
      <w:r>
        <w:rPr>
          <w:spacing w:val="40"/>
        </w:rPr>
        <w:t> </w:t>
      </w:r>
      <w:r>
        <w:rPr/>
        <w:t>ANOVA</w:t>
      </w:r>
      <w:r>
        <w:rPr>
          <w:spacing w:val="40"/>
        </w:rPr>
        <w:t> </w:t>
      </w:r>
      <w:r>
        <w:rPr/>
        <w:t>shows</w:t>
      </w:r>
      <w:r>
        <w:rPr>
          <w:spacing w:val="40"/>
        </w:rPr>
        <w:t> </w:t>
      </w:r>
      <w:r>
        <w:rPr/>
        <w:t>that</w:t>
      </w:r>
      <w:r>
        <w:rPr>
          <w:spacing w:val="40"/>
        </w:rPr>
        <w:t> </w:t>
      </w:r>
      <w:r>
        <w:rPr/>
        <w:t>there</w:t>
      </w:r>
      <w:r>
        <w:rPr>
          <w:spacing w:val="40"/>
        </w:rPr>
        <w:t> </w:t>
      </w:r>
      <w:r>
        <w:rPr/>
        <w:t>are</w:t>
      </w:r>
      <w:r>
        <w:rPr>
          <w:spacing w:val="40"/>
        </w:rPr>
        <w:t> </w:t>
      </w:r>
      <w:r>
        <w:rPr/>
        <w:t>no</w:t>
      </w:r>
      <w:r>
        <w:rPr>
          <w:spacing w:val="40"/>
        </w:rPr>
        <w:t> </w:t>
      </w:r>
      <w:r>
        <w:rPr/>
        <w:t>significant</w:t>
      </w:r>
      <w:r>
        <w:rPr>
          <w:spacing w:val="40"/>
        </w:rPr>
        <w:t> </w:t>
      </w:r>
      <w:r>
        <w:rPr/>
        <w:t>differences amongst States (f = 1.110, P = .331).</w:t>
      </w:r>
      <w:r>
        <w:rPr>
          <w:spacing w:val="-1"/>
        </w:rPr>
        <w:t> </w:t>
      </w:r>
      <w:r>
        <w:rPr/>
        <w:t>There</w:t>
      </w:r>
      <w:r>
        <w:rPr>
          <w:spacing w:val="-1"/>
        </w:rPr>
        <w:t> </w:t>
      </w:r>
      <w:r>
        <w:rPr/>
        <w:t>is obvious disconnect between the</w:t>
      </w:r>
      <w:r>
        <w:rPr>
          <w:spacing w:val="40"/>
        </w:rPr>
        <w:t> </w:t>
      </w:r>
      <w:r>
        <w:rPr/>
        <w:t>youths</w:t>
      </w:r>
      <w:r>
        <w:rPr>
          <w:spacing w:val="39"/>
        </w:rPr>
        <w:t> </w:t>
      </w:r>
      <w:r>
        <w:rPr/>
        <w:t>and</w:t>
      </w:r>
      <w:r>
        <w:rPr>
          <w:spacing w:val="38"/>
        </w:rPr>
        <w:t> </w:t>
      </w:r>
      <w:r>
        <w:rPr/>
        <w:t>JTF</w:t>
      </w:r>
      <w:r>
        <w:rPr>
          <w:spacing w:val="36"/>
        </w:rPr>
        <w:t> </w:t>
      </w:r>
      <w:r>
        <w:rPr/>
        <w:t>operation.</w:t>
      </w:r>
      <w:r>
        <w:rPr>
          <w:spacing w:val="38"/>
        </w:rPr>
        <w:t> </w:t>
      </w:r>
      <w:r>
        <w:rPr/>
        <w:t>The</w:t>
      </w:r>
      <w:r>
        <w:rPr>
          <w:spacing w:val="40"/>
        </w:rPr>
        <w:t> </w:t>
      </w:r>
      <w:r>
        <w:rPr/>
        <w:t>youths</w:t>
      </w:r>
      <w:r>
        <w:rPr>
          <w:spacing w:val="39"/>
        </w:rPr>
        <w:t> </w:t>
      </w:r>
      <w:r>
        <w:rPr/>
        <w:t>do</w:t>
      </w:r>
      <w:r>
        <w:rPr>
          <w:spacing w:val="40"/>
        </w:rPr>
        <w:t> </w:t>
      </w:r>
      <w:r>
        <w:rPr/>
        <w:t>not</w:t>
      </w:r>
      <w:r>
        <w:rPr>
          <w:spacing w:val="39"/>
        </w:rPr>
        <w:t> </w:t>
      </w:r>
      <w:r>
        <w:rPr/>
        <w:t>trust</w:t>
      </w:r>
      <w:r>
        <w:rPr>
          <w:spacing w:val="39"/>
        </w:rPr>
        <w:t> </w:t>
      </w:r>
      <w:r>
        <w:rPr/>
        <w:t>the</w:t>
      </w:r>
      <w:r>
        <w:rPr>
          <w:spacing w:val="38"/>
        </w:rPr>
        <w:t> </w:t>
      </w:r>
      <w:r>
        <w:rPr/>
        <w:t>JTF.</w:t>
      </w:r>
      <w:r>
        <w:rPr>
          <w:spacing w:val="38"/>
        </w:rPr>
        <w:t> </w:t>
      </w:r>
      <w:r>
        <w:rPr/>
        <w:t>As</w:t>
      </w:r>
      <w:r>
        <w:rPr>
          <w:spacing w:val="38"/>
        </w:rPr>
        <w:t> </w:t>
      </w:r>
      <w:r>
        <w:rPr/>
        <w:t>opined</w:t>
      </w:r>
      <w:r>
        <w:rPr>
          <w:spacing w:val="38"/>
        </w:rPr>
        <w:t> </w:t>
      </w:r>
      <w:r>
        <w:rPr/>
        <w:t>by</w:t>
      </w:r>
      <w:r>
        <w:rPr>
          <w:spacing w:val="33"/>
        </w:rPr>
        <w:t> </w:t>
      </w:r>
      <w:r>
        <w:rPr/>
        <w:t>the respondents,</w:t>
      </w:r>
      <w:r>
        <w:rPr>
          <w:spacing w:val="40"/>
        </w:rPr>
        <w:t> </w:t>
      </w:r>
      <w:r>
        <w:rPr/>
        <w:t>the</w:t>
      </w:r>
      <w:r>
        <w:rPr>
          <w:spacing w:val="40"/>
        </w:rPr>
        <w:t> </w:t>
      </w:r>
      <w:r>
        <w:rPr/>
        <w:t>JTF</w:t>
      </w:r>
      <w:r>
        <w:rPr>
          <w:spacing w:val="40"/>
        </w:rPr>
        <w:t> </w:t>
      </w:r>
      <w:r>
        <w:rPr/>
        <w:t>are</w:t>
      </w:r>
      <w:r>
        <w:rPr>
          <w:spacing w:val="40"/>
        </w:rPr>
        <w:t> </w:t>
      </w:r>
      <w:r>
        <w:rPr/>
        <w:t>considered</w:t>
      </w:r>
      <w:r>
        <w:rPr>
          <w:spacing w:val="40"/>
        </w:rPr>
        <w:t> </w:t>
      </w:r>
      <w:r>
        <w:rPr/>
        <w:t>to</w:t>
      </w:r>
      <w:r>
        <w:rPr>
          <w:spacing w:val="40"/>
        </w:rPr>
        <w:t> </w:t>
      </w:r>
      <w:r>
        <w:rPr/>
        <w:t>be</w:t>
      </w:r>
      <w:r>
        <w:rPr>
          <w:spacing w:val="40"/>
        </w:rPr>
        <w:t> </w:t>
      </w:r>
      <w:r>
        <w:rPr/>
        <w:t>government</w:t>
      </w:r>
      <w:r>
        <w:rPr>
          <w:spacing w:val="40"/>
        </w:rPr>
        <w:t> </w:t>
      </w:r>
      <w:r>
        <w:rPr/>
        <w:t>agents</w:t>
      </w:r>
      <w:r>
        <w:rPr>
          <w:spacing w:val="40"/>
        </w:rPr>
        <w:t> </w:t>
      </w:r>
      <w:r>
        <w:rPr/>
        <w:t>that</w:t>
      </w:r>
      <w:r>
        <w:rPr>
          <w:spacing w:val="40"/>
        </w:rPr>
        <w:t> </w:t>
      </w:r>
      <w:r>
        <w:rPr/>
        <w:t>were</w:t>
      </w:r>
      <w:r>
        <w:rPr>
          <w:spacing w:val="40"/>
        </w:rPr>
        <w:t> </w:t>
      </w:r>
      <w:r>
        <w:rPr/>
        <w:t>all</w:t>
      </w:r>
      <w:r>
        <w:rPr>
          <w:spacing w:val="40"/>
        </w:rPr>
        <w:t> </w:t>
      </w:r>
      <w:r>
        <w:rPr/>
        <w:t>out</w:t>
      </w:r>
      <w:r>
        <w:rPr>
          <w:spacing w:val="40"/>
        </w:rPr>
        <w:t> </w:t>
      </w:r>
      <w:r>
        <w:rPr/>
        <w:t>to curtail their heinous ambitions and struggles. In contrast, the JTF has actually done a lot at bringing peace to the people of Niger Delta. This is not actually reflected in this survey.</w:t>
      </w:r>
      <w:r>
        <w:rPr>
          <w:spacing w:val="28"/>
        </w:rPr>
        <w:t> </w:t>
      </w:r>
      <w:r>
        <w:rPr/>
        <w:t>What</w:t>
      </w:r>
      <w:r>
        <w:rPr>
          <w:spacing w:val="29"/>
        </w:rPr>
        <w:t> </w:t>
      </w:r>
      <w:r>
        <w:rPr/>
        <w:t>this</w:t>
      </w:r>
      <w:r>
        <w:rPr>
          <w:spacing w:val="28"/>
        </w:rPr>
        <w:t> </w:t>
      </w:r>
      <w:r>
        <w:rPr/>
        <w:t>suggests</w:t>
      </w:r>
      <w:r>
        <w:rPr>
          <w:spacing w:val="29"/>
        </w:rPr>
        <w:t> </w:t>
      </w:r>
      <w:r>
        <w:rPr/>
        <w:t>is</w:t>
      </w:r>
      <w:r>
        <w:rPr>
          <w:spacing w:val="29"/>
        </w:rPr>
        <w:t> </w:t>
      </w:r>
      <w:r>
        <w:rPr/>
        <w:t>that,</w:t>
      </w:r>
      <w:r>
        <w:rPr>
          <w:spacing w:val="28"/>
        </w:rPr>
        <w:t> </w:t>
      </w:r>
      <w:r>
        <w:rPr/>
        <w:t>most</w:t>
      </w:r>
      <w:r>
        <w:rPr>
          <w:spacing w:val="33"/>
        </w:rPr>
        <w:t> </w:t>
      </w:r>
      <w:r>
        <w:rPr/>
        <w:t>of</w:t>
      </w:r>
      <w:r>
        <w:rPr>
          <w:spacing w:val="27"/>
        </w:rPr>
        <w:t> </w:t>
      </w:r>
      <w:r>
        <w:rPr/>
        <w:t>the</w:t>
      </w:r>
      <w:r>
        <w:rPr>
          <w:spacing w:val="30"/>
        </w:rPr>
        <w:t> </w:t>
      </w:r>
      <w:r>
        <w:rPr/>
        <w:t>achievements</w:t>
      </w:r>
      <w:r>
        <w:rPr>
          <w:spacing w:val="28"/>
        </w:rPr>
        <w:t> </w:t>
      </w:r>
      <w:r>
        <w:rPr/>
        <w:t>recorded</w:t>
      </w:r>
      <w:r>
        <w:rPr>
          <w:spacing w:val="28"/>
        </w:rPr>
        <w:t> </w:t>
      </w:r>
      <w:r>
        <w:rPr/>
        <w:t>by</w:t>
      </w:r>
      <w:r>
        <w:rPr>
          <w:spacing w:val="23"/>
        </w:rPr>
        <w:t> </w:t>
      </w:r>
      <w:r>
        <w:rPr/>
        <w:t>JTF</w:t>
      </w:r>
      <w:r>
        <w:rPr>
          <w:spacing w:val="27"/>
        </w:rPr>
        <w:t> </w:t>
      </w:r>
      <w:r>
        <w:rPr>
          <w:spacing w:val="-4"/>
        </w:rPr>
        <w:t>were</w:t>
      </w:r>
    </w:p>
    <w:p>
      <w:pPr>
        <w:pStyle w:val="BodyText"/>
        <w:jc w:val="both"/>
      </w:pPr>
      <w:r>
        <w:rPr/>
        <w:t>hardly</w:t>
      </w:r>
      <w:r>
        <w:rPr>
          <w:spacing w:val="-8"/>
        </w:rPr>
        <w:t> </w:t>
      </w:r>
      <w:r>
        <w:rPr/>
        <w:t>publicized.</w:t>
      </w:r>
      <w:r>
        <w:rPr>
          <w:spacing w:val="-1"/>
        </w:rPr>
        <w:t> </w:t>
      </w:r>
      <w:r>
        <w:rPr/>
        <w:t>Good media</w:t>
      </w:r>
      <w:r>
        <w:rPr>
          <w:spacing w:val="-1"/>
        </w:rPr>
        <w:t> </w:t>
      </w:r>
      <w:r>
        <w:rPr/>
        <w:t>projections</w:t>
      </w:r>
      <w:r>
        <w:rPr>
          <w:spacing w:val="-1"/>
        </w:rPr>
        <w:t> </w:t>
      </w:r>
      <w:r>
        <w:rPr/>
        <w:t>of the JTF</w:t>
      </w:r>
      <w:r>
        <w:rPr>
          <w:spacing w:val="-3"/>
        </w:rPr>
        <w:t> </w:t>
      </w:r>
      <w:r>
        <w:rPr/>
        <w:t>activities are</w:t>
      </w:r>
      <w:r>
        <w:rPr>
          <w:spacing w:val="-3"/>
        </w:rPr>
        <w:t> </w:t>
      </w:r>
      <w:r>
        <w:rPr/>
        <w:t>also </w:t>
      </w:r>
      <w:r>
        <w:rPr>
          <w:spacing w:val="-2"/>
        </w:rPr>
        <w:t>necessary.</w:t>
      </w:r>
    </w:p>
    <w:p>
      <w:pPr>
        <w:pStyle w:val="BodyText"/>
        <w:spacing w:line="360" w:lineRule="auto" w:before="140"/>
        <w:ind w:right="1257" w:firstLine="720"/>
        <w:jc w:val="both"/>
      </w:pPr>
      <w:r>
        <w:rPr/>
        <w:t>Furthermore, the study reveals that mass youth unemployment especially among educated youths is a common problem facing the Niger Delta region.</w:t>
      </w:r>
      <w:r>
        <w:rPr>
          <w:spacing w:val="40"/>
        </w:rPr>
        <w:t> </w:t>
      </w:r>
      <w:r>
        <w:rPr/>
        <w:t>The region</w:t>
      </w:r>
      <w:r>
        <w:rPr>
          <w:spacing w:val="78"/>
          <w:w w:val="150"/>
        </w:rPr>
        <w:t> </w:t>
      </w:r>
      <w:r>
        <w:rPr/>
        <w:t>has</w:t>
      </w:r>
      <w:r>
        <w:rPr>
          <w:spacing w:val="25"/>
        </w:rPr>
        <w:t>  </w:t>
      </w:r>
      <w:r>
        <w:rPr/>
        <w:t>a</w:t>
      </w:r>
      <w:r>
        <w:rPr>
          <w:spacing w:val="79"/>
          <w:w w:val="150"/>
        </w:rPr>
        <w:t> </w:t>
      </w:r>
      <w:r>
        <w:rPr/>
        <w:t>very</w:t>
      </w:r>
      <w:r>
        <w:rPr>
          <w:spacing w:val="76"/>
          <w:w w:val="150"/>
        </w:rPr>
        <w:t> </w:t>
      </w:r>
      <w:r>
        <w:rPr/>
        <w:t>frightening</w:t>
      </w:r>
      <w:r>
        <w:rPr>
          <w:spacing w:val="79"/>
          <w:w w:val="150"/>
        </w:rPr>
        <w:t> </w:t>
      </w:r>
      <w:r>
        <w:rPr/>
        <w:t>rate</w:t>
      </w:r>
      <w:r>
        <w:rPr>
          <w:spacing w:val="25"/>
        </w:rPr>
        <w:t>  </w:t>
      </w:r>
      <w:r>
        <w:rPr/>
        <w:t>of</w:t>
      </w:r>
      <w:r>
        <w:rPr>
          <w:spacing w:val="26"/>
        </w:rPr>
        <w:t>  </w:t>
      </w:r>
      <w:r>
        <w:rPr/>
        <w:t>youth</w:t>
      </w:r>
      <w:r>
        <w:rPr>
          <w:spacing w:val="25"/>
        </w:rPr>
        <w:t>  </w:t>
      </w:r>
      <w:r>
        <w:rPr/>
        <w:t>unemployment</w:t>
      </w:r>
      <w:r>
        <w:rPr>
          <w:spacing w:val="79"/>
          <w:w w:val="150"/>
        </w:rPr>
        <w:t> </w:t>
      </w:r>
      <w:r>
        <w:rPr/>
        <w:t>and</w:t>
      </w:r>
      <w:r>
        <w:rPr>
          <w:spacing w:val="26"/>
        </w:rPr>
        <w:t>  </w:t>
      </w:r>
      <w:r>
        <w:rPr/>
        <w:t>hence</w:t>
      </w:r>
      <w:r>
        <w:rPr>
          <w:spacing w:val="25"/>
        </w:rPr>
        <w:t>  </w:t>
      </w:r>
      <w:r>
        <w:rPr>
          <w:spacing w:val="-2"/>
        </w:rPr>
        <w:t>their</w:t>
      </w:r>
    </w:p>
    <w:p>
      <w:pPr>
        <w:spacing w:after="0" w:line="360" w:lineRule="auto"/>
        <w:jc w:val="both"/>
        <w:sectPr>
          <w:pgSz w:w="11910" w:h="16840"/>
          <w:pgMar w:header="0" w:footer="1561" w:top="1760" w:bottom="1760" w:left="720" w:right="180"/>
        </w:sectPr>
      </w:pPr>
    </w:p>
    <w:p>
      <w:pPr>
        <w:pStyle w:val="BodyText"/>
        <w:spacing w:line="360" w:lineRule="auto" w:before="60"/>
        <w:ind w:right="1255"/>
        <w:jc w:val="both"/>
      </w:pPr>
      <w:r>
        <w:rPr/>
        <mc:AlternateContent>
          <mc:Choice Requires="wps">
            <w:drawing>
              <wp:anchor distT="0" distB="0" distL="0" distR="0" allowOverlap="1" layoutInCell="1" locked="0" behindDoc="1" simplePos="0" relativeHeight="480672256">
                <wp:simplePos x="0" y="0"/>
                <wp:positionH relativeFrom="page">
                  <wp:posOffset>-1537026</wp:posOffset>
                </wp:positionH>
                <wp:positionV relativeFrom="page">
                  <wp:posOffset>4900424</wp:posOffset>
                </wp:positionV>
                <wp:extent cx="10669905" cy="914400"/>
                <wp:effectExtent l="0" t="0" r="0" b="0"/>
                <wp:wrapNone/>
                <wp:docPr id="304" name="Textbox 304"/>
                <wp:cNvGraphicFramePr>
                  <a:graphicFrameLocks/>
                </wp:cNvGraphicFramePr>
                <a:graphic>
                  <a:graphicData uri="http://schemas.microsoft.com/office/word/2010/wordprocessingShape">
                    <wps:wsp>
                      <wps:cNvPr id="304" name="Textbox 304"/>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44224;rotation:306" type="#_x0000_t136" fillcolor="#ff5400" stroked="f">
                <o:extrusion v:ext="view" autorotationcenter="t"/>
                <v:textpath style="font-family:&quot;Arial MT&quot;;font-size:72pt;v-text-kern:t;mso-text-shadow:auto" string="UNIVERSITY OF IBADAN"/>
                <w10:wrap type="none"/>
              </v:shape>
            </w:pict>
          </mc:Fallback>
        </mc:AlternateContent>
      </w:r>
      <w:r>
        <w:rPr/>
        <w:t>involvement</w:t>
      </w:r>
      <w:r>
        <w:rPr>
          <w:spacing w:val="-2"/>
        </w:rPr>
        <w:t> </w:t>
      </w:r>
      <w:r>
        <w:rPr/>
        <w:t>in</w:t>
      </w:r>
      <w:r>
        <w:rPr>
          <w:spacing w:val="-2"/>
        </w:rPr>
        <w:t> </w:t>
      </w:r>
      <w:r>
        <w:rPr/>
        <w:t>criminal</w:t>
      </w:r>
      <w:r>
        <w:rPr>
          <w:spacing w:val="-1"/>
        </w:rPr>
        <w:t> </w:t>
      </w:r>
      <w:r>
        <w:rPr/>
        <w:t>activities</w:t>
      </w:r>
      <w:r>
        <w:rPr>
          <w:spacing w:val="-2"/>
        </w:rPr>
        <w:t> </w:t>
      </w:r>
      <w:r>
        <w:rPr/>
        <w:t>and</w:t>
      </w:r>
      <w:r>
        <w:rPr>
          <w:spacing w:val="-2"/>
        </w:rPr>
        <w:t> </w:t>
      </w:r>
      <w:r>
        <w:rPr/>
        <w:t>militancy.</w:t>
      </w:r>
      <w:r>
        <w:rPr>
          <w:spacing w:val="40"/>
        </w:rPr>
        <w:t> </w:t>
      </w:r>
      <w:r>
        <w:rPr/>
        <w:t>While</w:t>
      </w:r>
      <w:r>
        <w:rPr>
          <w:spacing w:val="-3"/>
        </w:rPr>
        <w:t> </w:t>
      </w:r>
      <w:r>
        <w:rPr/>
        <w:t>some</w:t>
      </w:r>
      <w:r>
        <w:rPr>
          <w:spacing w:val="-3"/>
        </w:rPr>
        <w:t> </w:t>
      </w:r>
      <w:r>
        <w:rPr/>
        <w:t>have</w:t>
      </w:r>
      <w:r>
        <w:rPr>
          <w:spacing w:val="-3"/>
        </w:rPr>
        <w:t> </w:t>
      </w:r>
      <w:r>
        <w:rPr/>
        <w:t>seen</w:t>
      </w:r>
      <w:r>
        <w:rPr>
          <w:spacing w:val="-2"/>
        </w:rPr>
        <w:t> </w:t>
      </w:r>
      <w:r>
        <w:rPr/>
        <w:t>such</w:t>
      </w:r>
      <w:r>
        <w:rPr>
          <w:spacing w:val="-2"/>
        </w:rPr>
        <w:t> </w:t>
      </w:r>
      <w:r>
        <w:rPr/>
        <w:t>acts</w:t>
      </w:r>
      <w:r>
        <w:rPr>
          <w:spacing w:val="-2"/>
        </w:rPr>
        <w:t> </w:t>
      </w:r>
      <w:r>
        <w:rPr/>
        <w:t>as</w:t>
      </w:r>
      <w:r>
        <w:rPr>
          <w:spacing w:val="-1"/>
        </w:rPr>
        <w:t> </w:t>
      </w:r>
      <w:r>
        <w:rPr/>
        <w:t>a means of livelihood, others engage in such violent acts as a political protest.</w:t>
      </w:r>
      <w:r>
        <w:rPr>
          <w:spacing w:val="40"/>
        </w:rPr>
        <w:t> </w:t>
      </w:r>
      <w:r>
        <w:rPr/>
        <w:t>The major challenge facing the government is how to engage these unemployed youths in the Niger Delta.</w:t>
      </w:r>
      <w:r>
        <w:rPr>
          <w:spacing w:val="40"/>
        </w:rPr>
        <w:t> </w:t>
      </w:r>
      <w:r>
        <w:rPr/>
        <w:t>The youths it is noted, are armed because of real or perceived socio- economic injustice.</w:t>
      </w:r>
    </w:p>
    <w:p>
      <w:pPr>
        <w:pStyle w:val="BodyText"/>
        <w:spacing w:line="360" w:lineRule="auto"/>
        <w:ind w:right="1255" w:firstLine="720"/>
        <w:jc w:val="both"/>
      </w:pPr>
      <w:r>
        <w:rPr/>
        <w:t>Likewise, large no of unemployed youths took to violent crimes that range from assault, kidnapping and hostage takings, hijack of oil facilities to theft and sabotage.</w:t>
      </w:r>
      <w:r>
        <w:rPr>
          <w:spacing w:val="80"/>
        </w:rPr>
        <w:t> </w:t>
      </w:r>
      <w:r>
        <w:rPr/>
        <w:t>Thus, youth unemployment and rising poverty are veritable tools for</w:t>
      </w:r>
      <w:r>
        <w:rPr>
          <w:spacing w:val="40"/>
        </w:rPr>
        <w:t> </w:t>
      </w:r>
      <w:r>
        <w:rPr/>
        <w:t>violent conflicts in the three states of Bayelsa, Delta and Rivers covered in this study. There is a deep-seated feeling of deprivation and frustration among the unemployed youths as brought out by the study.</w:t>
      </w:r>
      <w:r>
        <w:rPr>
          <w:spacing w:val="80"/>
        </w:rPr>
        <w:t> </w:t>
      </w:r>
      <w:r>
        <w:rPr/>
        <w:t>Most of the interviewees perceived majority of the youth organizations‟ activities in the Niger Delta region as criminal.</w:t>
      </w:r>
      <w:r>
        <w:rPr>
          <w:spacing w:val="80"/>
        </w:rPr>
        <w:t> </w:t>
      </w:r>
      <w:r>
        <w:rPr/>
        <w:t>Most of these youth organizations were said to have formed themselves into militant </w:t>
      </w:r>
      <w:r>
        <w:rPr>
          <w:spacing w:val="-2"/>
        </w:rPr>
        <w:t>organizations.</w:t>
      </w:r>
    </w:p>
    <w:p>
      <w:pPr>
        <w:pStyle w:val="BodyText"/>
        <w:spacing w:before="7"/>
        <w:ind w:left="0"/>
      </w:pPr>
    </w:p>
    <w:p>
      <w:pPr>
        <w:pStyle w:val="Heading2"/>
        <w:numPr>
          <w:ilvl w:val="3"/>
          <w:numId w:val="25"/>
        </w:numPr>
        <w:tabs>
          <w:tab w:pos="2460" w:val="left" w:leader="none"/>
          <w:tab w:pos="3600" w:val="left" w:leader="none"/>
        </w:tabs>
        <w:spacing w:line="360" w:lineRule="auto" w:before="0" w:after="0"/>
        <w:ind w:left="1440" w:right="1256" w:firstLine="0"/>
        <w:jc w:val="left"/>
      </w:pPr>
      <w:r>
        <w:rPr/>
        <w:t>RQ 11:</w:t>
        <w:tab/>
        <w:t>Niger</w:t>
      </w:r>
      <w:r>
        <w:rPr>
          <w:spacing w:val="-3"/>
        </w:rPr>
        <w:t> </w:t>
      </w:r>
      <w:r>
        <w:rPr/>
        <w:t>Delta</w:t>
      </w:r>
      <w:r>
        <w:rPr>
          <w:spacing w:val="-3"/>
        </w:rPr>
        <w:t> </w:t>
      </w:r>
      <w:r>
        <w:rPr/>
        <w:t>NGOs</w:t>
      </w:r>
      <w:r>
        <w:rPr>
          <w:spacing w:val="-2"/>
        </w:rPr>
        <w:t> </w:t>
      </w:r>
      <w:r>
        <w:rPr/>
        <w:t>and</w:t>
      </w:r>
      <w:r>
        <w:rPr>
          <w:spacing w:val="-2"/>
        </w:rPr>
        <w:t> </w:t>
      </w:r>
      <w:r>
        <w:rPr/>
        <w:t>JTF</w:t>
      </w:r>
      <w:r>
        <w:rPr>
          <w:spacing w:val="-5"/>
        </w:rPr>
        <w:t> </w:t>
      </w:r>
      <w:r>
        <w:rPr/>
        <w:t>Intervention</w:t>
      </w:r>
      <w:r>
        <w:rPr>
          <w:spacing w:val="-2"/>
        </w:rPr>
        <w:t> </w:t>
      </w:r>
      <w:r>
        <w:rPr/>
        <w:t>Activities.</w:t>
      </w:r>
      <w:r>
        <w:rPr>
          <w:spacing w:val="-2"/>
        </w:rPr>
        <w:t> </w:t>
      </w:r>
      <w:r>
        <w:rPr/>
        <w:t>How Do the Niger Delta NGOs perceive the JTF intervention?</w:t>
      </w:r>
    </w:p>
    <w:p>
      <w:pPr>
        <w:spacing w:before="0"/>
        <w:ind w:left="1440" w:right="0" w:firstLine="0"/>
        <w:jc w:val="both"/>
        <w:rPr>
          <w:b/>
          <w:sz w:val="24"/>
        </w:rPr>
      </w:pPr>
      <w:r>
        <w:rPr>
          <w:b/>
          <w:sz w:val="24"/>
        </w:rPr>
        <w:t>Table</w:t>
      </w:r>
      <w:r>
        <w:rPr>
          <w:b/>
          <w:spacing w:val="-3"/>
          <w:sz w:val="24"/>
        </w:rPr>
        <w:t> </w:t>
      </w:r>
      <w:r>
        <w:rPr>
          <w:b/>
          <w:sz w:val="24"/>
        </w:rPr>
        <w:t>14:</w:t>
      </w:r>
      <w:r>
        <w:rPr>
          <w:b/>
          <w:spacing w:val="66"/>
          <w:w w:val="150"/>
          <w:sz w:val="24"/>
        </w:rPr>
        <w:t>   </w:t>
      </w:r>
      <w:r>
        <w:rPr>
          <w:b/>
          <w:sz w:val="24"/>
        </w:rPr>
        <w:t>Perception</w:t>
      </w:r>
      <w:r>
        <w:rPr>
          <w:b/>
          <w:spacing w:val="1"/>
          <w:sz w:val="24"/>
        </w:rPr>
        <w:t> </w:t>
      </w:r>
      <w:r>
        <w:rPr>
          <w:b/>
          <w:sz w:val="24"/>
        </w:rPr>
        <w:t>of Niger</w:t>
      </w:r>
      <w:r>
        <w:rPr>
          <w:b/>
          <w:spacing w:val="-1"/>
          <w:sz w:val="24"/>
        </w:rPr>
        <w:t> </w:t>
      </w:r>
      <w:r>
        <w:rPr>
          <w:b/>
          <w:sz w:val="24"/>
        </w:rPr>
        <w:t>Delta</w:t>
      </w:r>
      <w:r>
        <w:rPr>
          <w:b/>
          <w:spacing w:val="-1"/>
          <w:sz w:val="24"/>
        </w:rPr>
        <w:t> </w:t>
      </w:r>
      <w:r>
        <w:rPr>
          <w:b/>
          <w:sz w:val="24"/>
        </w:rPr>
        <w:t>NGO's on</w:t>
      </w:r>
      <w:r>
        <w:rPr>
          <w:b/>
          <w:spacing w:val="-1"/>
          <w:sz w:val="24"/>
        </w:rPr>
        <w:t> </w:t>
      </w:r>
      <w:r>
        <w:rPr>
          <w:b/>
          <w:sz w:val="24"/>
        </w:rPr>
        <w:t>JTF</w:t>
      </w:r>
      <w:r>
        <w:rPr>
          <w:b/>
          <w:spacing w:val="-2"/>
          <w:sz w:val="24"/>
        </w:rPr>
        <w:t> Intervention</w:t>
      </w:r>
    </w:p>
    <w:p>
      <w:pPr>
        <w:pStyle w:val="BodyText"/>
        <w:spacing w:before="11"/>
        <w:ind w:left="0"/>
        <w:rPr>
          <w:b/>
          <w:sz w:val="11"/>
        </w:rPr>
      </w:pP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4"/>
        <w:gridCol w:w="653"/>
        <w:gridCol w:w="649"/>
        <w:gridCol w:w="777"/>
        <w:gridCol w:w="1506"/>
        <w:gridCol w:w="815"/>
        <w:gridCol w:w="983"/>
        <w:gridCol w:w="720"/>
        <w:gridCol w:w="2339"/>
      </w:tblGrid>
      <w:tr>
        <w:trPr>
          <w:trHeight w:val="537" w:hRule="atLeast"/>
        </w:trPr>
        <w:tc>
          <w:tcPr>
            <w:tcW w:w="734" w:type="dxa"/>
          </w:tcPr>
          <w:p>
            <w:pPr>
              <w:pStyle w:val="TableParagraph"/>
              <w:rPr>
                <w:sz w:val="24"/>
              </w:rPr>
            </w:pPr>
          </w:p>
        </w:tc>
        <w:tc>
          <w:tcPr>
            <w:tcW w:w="3585" w:type="dxa"/>
            <w:gridSpan w:val="4"/>
          </w:tcPr>
          <w:p>
            <w:pPr>
              <w:pStyle w:val="TableParagraph"/>
              <w:rPr>
                <w:sz w:val="24"/>
              </w:rPr>
            </w:pPr>
          </w:p>
        </w:tc>
        <w:tc>
          <w:tcPr>
            <w:tcW w:w="815" w:type="dxa"/>
          </w:tcPr>
          <w:p>
            <w:pPr>
              <w:pStyle w:val="TableParagraph"/>
              <w:spacing w:before="56"/>
              <w:ind w:left="15"/>
              <w:jc w:val="center"/>
              <w:rPr>
                <w:sz w:val="24"/>
              </w:rPr>
            </w:pPr>
            <w:r>
              <w:rPr>
                <w:spacing w:val="-10"/>
                <w:sz w:val="24"/>
              </w:rPr>
              <w:t>N</w:t>
            </w:r>
          </w:p>
        </w:tc>
        <w:tc>
          <w:tcPr>
            <w:tcW w:w="983" w:type="dxa"/>
          </w:tcPr>
          <w:p>
            <w:pPr>
              <w:pStyle w:val="TableParagraph"/>
              <w:spacing w:before="56"/>
              <w:ind w:left="14"/>
              <w:jc w:val="center"/>
              <w:rPr>
                <w:sz w:val="24"/>
              </w:rPr>
            </w:pPr>
            <w:r>
              <w:rPr>
                <w:spacing w:val="-4"/>
                <w:sz w:val="24"/>
              </w:rPr>
              <w:t>Mean</w:t>
            </w:r>
          </w:p>
        </w:tc>
        <w:tc>
          <w:tcPr>
            <w:tcW w:w="720" w:type="dxa"/>
          </w:tcPr>
          <w:p>
            <w:pPr>
              <w:pStyle w:val="TableParagraph"/>
              <w:spacing w:before="56"/>
              <w:ind w:left="21" w:right="2"/>
              <w:jc w:val="center"/>
              <w:rPr>
                <w:sz w:val="24"/>
              </w:rPr>
            </w:pPr>
            <w:r>
              <w:rPr>
                <w:spacing w:val="-5"/>
                <w:sz w:val="24"/>
              </w:rPr>
              <w:t>SD</w:t>
            </w:r>
          </w:p>
        </w:tc>
        <w:tc>
          <w:tcPr>
            <w:tcW w:w="2339" w:type="dxa"/>
          </w:tcPr>
          <w:p>
            <w:pPr>
              <w:pStyle w:val="TableParagraph"/>
              <w:spacing w:before="56"/>
              <w:ind w:left="138"/>
              <w:rPr>
                <w:sz w:val="24"/>
              </w:rPr>
            </w:pPr>
            <w:r>
              <w:rPr>
                <w:sz w:val="24"/>
              </w:rPr>
              <w:t>Level</w:t>
            </w:r>
            <w:r>
              <w:rPr>
                <w:spacing w:val="-4"/>
                <w:sz w:val="24"/>
              </w:rPr>
              <w:t> </w:t>
            </w:r>
            <w:r>
              <w:rPr>
                <w:sz w:val="24"/>
              </w:rPr>
              <w:t>of</w:t>
            </w:r>
            <w:r>
              <w:rPr>
                <w:spacing w:val="-1"/>
                <w:sz w:val="24"/>
              </w:rPr>
              <w:t> </w:t>
            </w:r>
            <w:r>
              <w:rPr>
                <w:spacing w:val="-2"/>
                <w:sz w:val="24"/>
              </w:rPr>
              <w:t>Agreement</w:t>
            </w:r>
          </w:p>
        </w:tc>
      </w:tr>
      <w:tr>
        <w:trPr>
          <w:trHeight w:val="321" w:hRule="atLeast"/>
        </w:trPr>
        <w:tc>
          <w:tcPr>
            <w:tcW w:w="734" w:type="dxa"/>
            <w:vMerge w:val="restart"/>
          </w:tcPr>
          <w:p>
            <w:pPr>
              <w:pStyle w:val="TableParagraph"/>
              <w:spacing w:line="270" w:lineRule="exact"/>
              <w:ind w:left="165"/>
              <w:rPr>
                <w:sz w:val="24"/>
              </w:rPr>
            </w:pPr>
            <w:r>
              <w:rPr>
                <w:spacing w:val="-5"/>
                <w:sz w:val="24"/>
              </w:rPr>
              <w:t>B40</w:t>
            </w:r>
          </w:p>
        </w:tc>
        <w:tc>
          <w:tcPr>
            <w:tcW w:w="653" w:type="dxa"/>
            <w:tcBorders>
              <w:bottom w:val="nil"/>
              <w:right w:val="nil"/>
            </w:tcBorders>
          </w:tcPr>
          <w:p>
            <w:pPr>
              <w:pStyle w:val="TableParagraph"/>
              <w:spacing w:line="270" w:lineRule="exact"/>
              <w:ind w:left="9"/>
              <w:rPr>
                <w:sz w:val="24"/>
              </w:rPr>
            </w:pPr>
            <w:r>
              <w:rPr>
                <w:spacing w:val="-4"/>
                <w:sz w:val="24"/>
              </w:rPr>
              <w:t>Part</w:t>
            </w:r>
          </w:p>
        </w:tc>
        <w:tc>
          <w:tcPr>
            <w:tcW w:w="649" w:type="dxa"/>
            <w:tcBorders>
              <w:left w:val="nil"/>
              <w:bottom w:val="nil"/>
              <w:right w:val="nil"/>
            </w:tcBorders>
          </w:tcPr>
          <w:p>
            <w:pPr>
              <w:pStyle w:val="TableParagraph"/>
              <w:spacing w:line="270" w:lineRule="exact"/>
              <w:ind w:left="182"/>
              <w:rPr>
                <w:sz w:val="24"/>
              </w:rPr>
            </w:pPr>
            <w:r>
              <w:rPr>
                <w:spacing w:val="-5"/>
                <w:sz w:val="24"/>
              </w:rPr>
              <w:t>of</w:t>
            </w:r>
          </w:p>
        </w:tc>
        <w:tc>
          <w:tcPr>
            <w:tcW w:w="2283" w:type="dxa"/>
            <w:gridSpan w:val="2"/>
            <w:tcBorders>
              <w:left w:val="nil"/>
              <w:bottom w:val="nil"/>
            </w:tcBorders>
          </w:tcPr>
          <w:p>
            <w:pPr>
              <w:pStyle w:val="TableParagraph"/>
              <w:spacing w:line="270" w:lineRule="exact"/>
              <w:ind w:left="278"/>
              <w:rPr>
                <w:sz w:val="24"/>
              </w:rPr>
            </w:pPr>
            <w:r>
              <w:rPr>
                <w:spacing w:val="-2"/>
                <w:sz w:val="24"/>
              </w:rPr>
              <w:t>multidimensional</w:t>
            </w:r>
          </w:p>
        </w:tc>
        <w:tc>
          <w:tcPr>
            <w:tcW w:w="815" w:type="dxa"/>
            <w:vMerge w:val="restart"/>
          </w:tcPr>
          <w:p>
            <w:pPr>
              <w:pStyle w:val="TableParagraph"/>
              <w:spacing w:line="270" w:lineRule="exact"/>
              <w:ind w:left="229"/>
              <w:rPr>
                <w:sz w:val="24"/>
              </w:rPr>
            </w:pPr>
            <w:r>
              <w:rPr>
                <w:spacing w:val="-5"/>
                <w:sz w:val="24"/>
              </w:rPr>
              <w:t>224</w:t>
            </w:r>
          </w:p>
        </w:tc>
        <w:tc>
          <w:tcPr>
            <w:tcW w:w="983" w:type="dxa"/>
            <w:vMerge w:val="restart"/>
          </w:tcPr>
          <w:p>
            <w:pPr>
              <w:pStyle w:val="TableParagraph"/>
              <w:spacing w:line="270" w:lineRule="exact"/>
              <w:ind w:left="283"/>
              <w:rPr>
                <w:sz w:val="24"/>
              </w:rPr>
            </w:pPr>
            <w:r>
              <w:rPr>
                <w:spacing w:val="-4"/>
                <w:sz w:val="24"/>
              </w:rPr>
              <w:t>2.74</w:t>
            </w:r>
          </w:p>
        </w:tc>
        <w:tc>
          <w:tcPr>
            <w:tcW w:w="720" w:type="dxa"/>
            <w:vMerge w:val="restart"/>
          </w:tcPr>
          <w:p>
            <w:pPr>
              <w:pStyle w:val="TableParagraph"/>
              <w:spacing w:line="270" w:lineRule="exact"/>
              <w:ind w:left="152"/>
              <w:rPr>
                <w:sz w:val="24"/>
              </w:rPr>
            </w:pPr>
            <w:r>
              <w:rPr>
                <w:spacing w:val="-4"/>
                <w:sz w:val="24"/>
              </w:rPr>
              <w:t>.901</w:t>
            </w:r>
          </w:p>
        </w:tc>
        <w:tc>
          <w:tcPr>
            <w:tcW w:w="2339" w:type="dxa"/>
            <w:vMerge w:val="restart"/>
          </w:tcPr>
          <w:p>
            <w:pPr>
              <w:pStyle w:val="TableParagraph"/>
              <w:spacing w:line="270" w:lineRule="exact"/>
              <w:ind w:left="17"/>
              <w:jc w:val="center"/>
              <w:rPr>
                <w:sz w:val="24"/>
              </w:rPr>
            </w:pPr>
            <w:r>
              <w:rPr>
                <w:spacing w:val="-10"/>
                <w:sz w:val="24"/>
              </w:rPr>
              <w:t>A</w:t>
            </w:r>
          </w:p>
        </w:tc>
      </w:tr>
      <w:tr>
        <w:trPr>
          <w:trHeight w:val="392" w:hRule="atLeast"/>
        </w:trPr>
        <w:tc>
          <w:tcPr>
            <w:tcW w:w="734" w:type="dxa"/>
            <w:vMerge/>
            <w:tcBorders>
              <w:top w:val="nil"/>
            </w:tcBorders>
          </w:tcPr>
          <w:p>
            <w:pPr>
              <w:rPr>
                <w:sz w:val="2"/>
                <w:szCs w:val="2"/>
              </w:rPr>
            </w:pPr>
          </w:p>
        </w:tc>
        <w:tc>
          <w:tcPr>
            <w:tcW w:w="1302" w:type="dxa"/>
            <w:gridSpan w:val="2"/>
            <w:tcBorders>
              <w:top w:val="nil"/>
              <w:right w:val="nil"/>
            </w:tcBorders>
          </w:tcPr>
          <w:p>
            <w:pPr>
              <w:pStyle w:val="TableParagraph"/>
              <w:spacing w:before="41"/>
              <w:ind w:left="9"/>
              <w:rPr>
                <w:sz w:val="24"/>
              </w:rPr>
            </w:pPr>
            <w:r>
              <w:rPr>
                <w:spacing w:val="-2"/>
                <w:sz w:val="24"/>
              </w:rPr>
              <w:t>Palliatives.</w:t>
            </w:r>
          </w:p>
        </w:tc>
        <w:tc>
          <w:tcPr>
            <w:tcW w:w="2283" w:type="dxa"/>
            <w:gridSpan w:val="2"/>
            <w:tcBorders>
              <w:top w:val="nil"/>
              <w:left w:val="nil"/>
            </w:tcBorders>
          </w:tcPr>
          <w:p>
            <w:pPr>
              <w:pStyle w:val="TableParagraph"/>
              <w:rPr>
                <w:sz w:val="24"/>
              </w:rPr>
            </w:pPr>
          </w:p>
        </w:tc>
        <w:tc>
          <w:tcPr>
            <w:tcW w:w="815" w:type="dxa"/>
            <w:vMerge/>
            <w:tcBorders>
              <w:top w:val="nil"/>
            </w:tcBorders>
          </w:tcPr>
          <w:p>
            <w:pPr>
              <w:rPr>
                <w:sz w:val="2"/>
                <w:szCs w:val="2"/>
              </w:rPr>
            </w:pPr>
          </w:p>
        </w:tc>
        <w:tc>
          <w:tcPr>
            <w:tcW w:w="983" w:type="dxa"/>
            <w:vMerge/>
            <w:tcBorders>
              <w:top w:val="nil"/>
            </w:tcBorders>
          </w:tcPr>
          <w:p>
            <w:pPr>
              <w:rPr>
                <w:sz w:val="2"/>
                <w:szCs w:val="2"/>
              </w:rPr>
            </w:pPr>
          </w:p>
        </w:tc>
        <w:tc>
          <w:tcPr>
            <w:tcW w:w="720" w:type="dxa"/>
            <w:vMerge/>
            <w:tcBorders>
              <w:top w:val="nil"/>
            </w:tcBorders>
          </w:tcPr>
          <w:p>
            <w:pPr>
              <w:rPr>
                <w:sz w:val="2"/>
                <w:szCs w:val="2"/>
              </w:rPr>
            </w:pPr>
          </w:p>
        </w:tc>
        <w:tc>
          <w:tcPr>
            <w:tcW w:w="2339" w:type="dxa"/>
            <w:vMerge/>
            <w:tcBorders>
              <w:top w:val="nil"/>
            </w:tcBorders>
          </w:tcPr>
          <w:p>
            <w:pPr>
              <w:rPr>
                <w:sz w:val="2"/>
                <w:szCs w:val="2"/>
              </w:rPr>
            </w:pPr>
          </w:p>
        </w:tc>
      </w:tr>
      <w:tr>
        <w:trPr>
          <w:trHeight w:val="344" w:hRule="atLeast"/>
        </w:trPr>
        <w:tc>
          <w:tcPr>
            <w:tcW w:w="734" w:type="dxa"/>
            <w:vMerge w:val="restart"/>
          </w:tcPr>
          <w:p>
            <w:pPr>
              <w:pStyle w:val="TableParagraph"/>
              <w:spacing w:line="273" w:lineRule="exact"/>
              <w:ind w:left="165"/>
              <w:rPr>
                <w:sz w:val="24"/>
              </w:rPr>
            </w:pPr>
            <w:r>
              <w:rPr>
                <w:spacing w:val="-5"/>
                <w:sz w:val="24"/>
              </w:rPr>
              <w:t>B41</w:t>
            </w:r>
          </w:p>
        </w:tc>
        <w:tc>
          <w:tcPr>
            <w:tcW w:w="653" w:type="dxa"/>
            <w:tcBorders>
              <w:bottom w:val="nil"/>
              <w:right w:val="nil"/>
            </w:tcBorders>
          </w:tcPr>
          <w:p>
            <w:pPr>
              <w:pStyle w:val="TableParagraph"/>
              <w:spacing w:line="273" w:lineRule="exact"/>
              <w:ind w:left="9"/>
              <w:rPr>
                <w:sz w:val="24"/>
              </w:rPr>
            </w:pPr>
            <w:r>
              <w:rPr>
                <w:spacing w:val="-4"/>
                <w:sz w:val="24"/>
              </w:rPr>
              <w:t>Well</w:t>
            </w:r>
          </w:p>
        </w:tc>
        <w:tc>
          <w:tcPr>
            <w:tcW w:w="1426" w:type="dxa"/>
            <w:gridSpan w:val="2"/>
            <w:tcBorders>
              <w:left w:val="nil"/>
              <w:bottom w:val="nil"/>
              <w:right w:val="nil"/>
            </w:tcBorders>
          </w:tcPr>
          <w:p>
            <w:pPr>
              <w:pStyle w:val="TableParagraph"/>
              <w:spacing w:line="273" w:lineRule="exact"/>
              <w:ind w:left="459"/>
              <w:rPr>
                <w:sz w:val="24"/>
              </w:rPr>
            </w:pPr>
            <w:r>
              <w:rPr>
                <w:spacing w:val="-2"/>
                <w:sz w:val="24"/>
              </w:rPr>
              <w:t>intended</w:t>
            </w:r>
          </w:p>
        </w:tc>
        <w:tc>
          <w:tcPr>
            <w:tcW w:w="1506" w:type="dxa"/>
            <w:tcBorders>
              <w:left w:val="nil"/>
              <w:bottom w:val="nil"/>
            </w:tcBorders>
          </w:tcPr>
          <w:p>
            <w:pPr>
              <w:pStyle w:val="TableParagraph"/>
              <w:spacing w:line="273" w:lineRule="exact"/>
              <w:ind w:left="153"/>
              <w:rPr>
                <w:sz w:val="24"/>
              </w:rPr>
            </w:pPr>
            <w:r>
              <w:rPr>
                <w:spacing w:val="-2"/>
                <w:sz w:val="24"/>
              </w:rPr>
              <w:t>government</w:t>
            </w:r>
          </w:p>
        </w:tc>
        <w:tc>
          <w:tcPr>
            <w:tcW w:w="815" w:type="dxa"/>
            <w:vMerge w:val="restart"/>
          </w:tcPr>
          <w:p>
            <w:pPr>
              <w:pStyle w:val="TableParagraph"/>
              <w:spacing w:line="273" w:lineRule="exact"/>
              <w:ind w:left="229"/>
              <w:rPr>
                <w:sz w:val="24"/>
              </w:rPr>
            </w:pPr>
            <w:r>
              <w:rPr>
                <w:spacing w:val="-5"/>
                <w:sz w:val="24"/>
              </w:rPr>
              <w:t>226</w:t>
            </w:r>
          </w:p>
        </w:tc>
        <w:tc>
          <w:tcPr>
            <w:tcW w:w="983" w:type="dxa"/>
            <w:vMerge w:val="restart"/>
          </w:tcPr>
          <w:p>
            <w:pPr>
              <w:pStyle w:val="TableParagraph"/>
              <w:spacing w:line="273" w:lineRule="exact"/>
              <w:ind w:left="283"/>
              <w:rPr>
                <w:sz w:val="24"/>
              </w:rPr>
            </w:pPr>
            <w:r>
              <w:rPr>
                <w:spacing w:val="-4"/>
                <w:sz w:val="24"/>
              </w:rPr>
              <w:t>2.82</w:t>
            </w:r>
          </w:p>
        </w:tc>
        <w:tc>
          <w:tcPr>
            <w:tcW w:w="720" w:type="dxa"/>
            <w:vMerge w:val="restart"/>
          </w:tcPr>
          <w:p>
            <w:pPr>
              <w:pStyle w:val="TableParagraph"/>
              <w:spacing w:line="273" w:lineRule="exact"/>
              <w:ind w:left="152"/>
              <w:rPr>
                <w:sz w:val="24"/>
              </w:rPr>
            </w:pPr>
            <w:r>
              <w:rPr>
                <w:spacing w:val="-4"/>
                <w:sz w:val="24"/>
              </w:rPr>
              <w:t>.918</w:t>
            </w:r>
          </w:p>
        </w:tc>
        <w:tc>
          <w:tcPr>
            <w:tcW w:w="2339" w:type="dxa"/>
            <w:vMerge w:val="restart"/>
          </w:tcPr>
          <w:p>
            <w:pPr>
              <w:pStyle w:val="TableParagraph"/>
              <w:spacing w:line="273" w:lineRule="exact"/>
              <w:ind w:left="17"/>
              <w:jc w:val="center"/>
              <w:rPr>
                <w:sz w:val="24"/>
              </w:rPr>
            </w:pPr>
            <w:r>
              <w:rPr>
                <w:spacing w:val="-10"/>
                <w:sz w:val="24"/>
              </w:rPr>
              <w:t>A</w:t>
            </w:r>
          </w:p>
        </w:tc>
      </w:tr>
      <w:tr>
        <w:trPr>
          <w:trHeight w:val="381" w:hRule="atLeast"/>
        </w:trPr>
        <w:tc>
          <w:tcPr>
            <w:tcW w:w="734" w:type="dxa"/>
            <w:vMerge/>
            <w:tcBorders>
              <w:top w:val="nil"/>
            </w:tcBorders>
          </w:tcPr>
          <w:p>
            <w:pPr>
              <w:rPr>
                <w:sz w:val="2"/>
                <w:szCs w:val="2"/>
              </w:rPr>
            </w:pPr>
          </w:p>
        </w:tc>
        <w:tc>
          <w:tcPr>
            <w:tcW w:w="3585" w:type="dxa"/>
            <w:gridSpan w:val="4"/>
            <w:tcBorders>
              <w:top w:val="nil"/>
            </w:tcBorders>
          </w:tcPr>
          <w:p>
            <w:pPr>
              <w:pStyle w:val="TableParagraph"/>
              <w:spacing w:before="62"/>
              <w:ind w:left="9"/>
              <w:rPr>
                <w:sz w:val="24"/>
              </w:rPr>
            </w:pPr>
            <w:r>
              <w:rPr>
                <w:sz w:val="24"/>
              </w:rPr>
              <w:t>intervention</w:t>
            </w:r>
            <w:r>
              <w:rPr>
                <w:spacing w:val="-3"/>
                <w:sz w:val="24"/>
              </w:rPr>
              <w:t> </w:t>
            </w:r>
            <w:r>
              <w:rPr>
                <w:spacing w:val="-2"/>
                <w:sz w:val="24"/>
              </w:rPr>
              <w:t>measures.</w:t>
            </w:r>
          </w:p>
        </w:tc>
        <w:tc>
          <w:tcPr>
            <w:tcW w:w="815" w:type="dxa"/>
            <w:vMerge/>
            <w:tcBorders>
              <w:top w:val="nil"/>
            </w:tcBorders>
          </w:tcPr>
          <w:p>
            <w:pPr>
              <w:rPr>
                <w:sz w:val="2"/>
                <w:szCs w:val="2"/>
              </w:rPr>
            </w:pPr>
          </w:p>
        </w:tc>
        <w:tc>
          <w:tcPr>
            <w:tcW w:w="983" w:type="dxa"/>
            <w:vMerge/>
            <w:tcBorders>
              <w:top w:val="nil"/>
            </w:tcBorders>
          </w:tcPr>
          <w:p>
            <w:pPr>
              <w:rPr>
                <w:sz w:val="2"/>
                <w:szCs w:val="2"/>
              </w:rPr>
            </w:pPr>
          </w:p>
        </w:tc>
        <w:tc>
          <w:tcPr>
            <w:tcW w:w="720" w:type="dxa"/>
            <w:vMerge/>
            <w:tcBorders>
              <w:top w:val="nil"/>
            </w:tcBorders>
          </w:tcPr>
          <w:p>
            <w:pPr>
              <w:rPr>
                <w:sz w:val="2"/>
                <w:szCs w:val="2"/>
              </w:rPr>
            </w:pPr>
          </w:p>
        </w:tc>
        <w:tc>
          <w:tcPr>
            <w:tcW w:w="2339" w:type="dxa"/>
            <w:vMerge/>
            <w:tcBorders>
              <w:top w:val="nil"/>
            </w:tcBorders>
          </w:tcPr>
          <w:p>
            <w:pPr>
              <w:rPr>
                <w:sz w:val="2"/>
                <w:szCs w:val="2"/>
              </w:rPr>
            </w:pPr>
          </w:p>
        </w:tc>
      </w:tr>
      <w:tr>
        <w:trPr>
          <w:trHeight w:val="541" w:hRule="atLeast"/>
        </w:trPr>
        <w:tc>
          <w:tcPr>
            <w:tcW w:w="734" w:type="dxa"/>
          </w:tcPr>
          <w:p>
            <w:pPr>
              <w:pStyle w:val="TableParagraph"/>
              <w:spacing w:before="59"/>
              <w:ind w:left="165"/>
              <w:rPr>
                <w:sz w:val="24"/>
              </w:rPr>
            </w:pPr>
            <w:r>
              <w:rPr>
                <w:spacing w:val="-5"/>
                <w:sz w:val="24"/>
              </w:rPr>
              <w:t>B42</w:t>
            </w:r>
          </w:p>
        </w:tc>
        <w:tc>
          <w:tcPr>
            <w:tcW w:w="3585" w:type="dxa"/>
            <w:gridSpan w:val="4"/>
          </w:tcPr>
          <w:p>
            <w:pPr>
              <w:pStyle w:val="TableParagraph"/>
              <w:spacing w:before="59"/>
              <w:ind w:left="9"/>
              <w:rPr>
                <w:sz w:val="24"/>
              </w:rPr>
            </w:pPr>
            <w:r>
              <w:rPr>
                <w:sz w:val="24"/>
              </w:rPr>
              <w:t>Peacekeeping</w:t>
            </w:r>
            <w:r>
              <w:rPr>
                <w:spacing w:val="-5"/>
                <w:sz w:val="24"/>
              </w:rPr>
              <w:t> </w:t>
            </w:r>
            <w:r>
              <w:rPr>
                <w:spacing w:val="-2"/>
                <w:sz w:val="24"/>
              </w:rPr>
              <w:t>Agent.</w:t>
            </w:r>
          </w:p>
        </w:tc>
        <w:tc>
          <w:tcPr>
            <w:tcW w:w="815" w:type="dxa"/>
          </w:tcPr>
          <w:p>
            <w:pPr>
              <w:pStyle w:val="TableParagraph"/>
              <w:spacing w:before="59"/>
              <w:ind w:left="15" w:right="1"/>
              <w:jc w:val="center"/>
              <w:rPr>
                <w:sz w:val="24"/>
              </w:rPr>
            </w:pPr>
            <w:r>
              <w:rPr>
                <w:spacing w:val="-5"/>
                <w:sz w:val="24"/>
              </w:rPr>
              <w:t>226</w:t>
            </w:r>
          </w:p>
        </w:tc>
        <w:tc>
          <w:tcPr>
            <w:tcW w:w="983" w:type="dxa"/>
          </w:tcPr>
          <w:p>
            <w:pPr>
              <w:pStyle w:val="TableParagraph"/>
              <w:spacing w:before="59"/>
              <w:ind w:left="14"/>
              <w:jc w:val="center"/>
              <w:rPr>
                <w:sz w:val="24"/>
              </w:rPr>
            </w:pPr>
            <w:r>
              <w:rPr>
                <w:spacing w:val="-4"/>
                <w:sz w:val="24"/>
              </w:rPr>
              <w:t>2.76</w:t>
            </w:r>
          </w:p>
        </w:tc>
        <w:tc>
          <w:tcPr>
            <w:tcW w:w="720" w:type="dxa"/>
          </w:tcPr>
          <w:p>
            <w:pPr>
              <w:pStyle w:val="TableParagraph"/>
              <w:spacing w:before="59"/>
              <w:ind w:left="21" w:right="6"/>
              <w:jc w:val="center"/>
              <w:rPr>
                <w:sz w:val="24"/>
              </w:rPr>
            </w:pPr>
            <w:r>
              <w:rPr>
                <w:spacing w:val="-4"/>
                <w:sz w:val="24"/>
              </w:rPr>
              <w:t>.903</w:t>
            </w:r>
          </w:p>
        </w:tc>
        <w:tc>
          <w:tcPr>
            <w:tcW w:w="2339" w:type="dxa"/>
          </w:tcPr>
          <w:p>
            <w:pPr>
              <w:pStyle w:val="TableParagraph"/>
              <w:spacing w:before="59"/>
              <w:ind w:left="17"/>
              <w:jc w:val="center"/>
              <w:rPr>
                <w:sz w:val="24"/>
              </w:rPr>
            </w:pPr>
            <w:r>
              <w:rPr>
                <w:spacing w:val="-10"/>
                <w:sz w:val="24"/>
              </w:rPr>
              <w:t>A</w:t>
            </w:r>
          </w:p>
        </w:tc>
      </w:tr>
      <w:tr>
        <w:trPr>
          <w:trHeight w:val="333" w:hRule="atLeast"/>
        </w:trPr>
        <w:tc>
          <w:tcPr>
            <w:tcW w:w="734" w:type="dxa"/>
            <w:vMerge w:val="restart"/>
          </w:tcPr>
          <w:p>
            <w:pPr>
              <w:pStyle w:val="TableParagraph"/>
              <w:spacing w:line="270" w:lineRule="exact"/>
              <w:ind w:left="165"/>
              <w:rPr>
                <w:sz w:val="24"/>
              </w:rPr>
            </w:pPr>
            <w:r>
              <w:rPr>
                <w:spacing w:val="-5"/>
                <w:sz w:val="24"/>
              </w:rPr>
              <w:t>B43</w:t>
            </w:r>
          </w:p>
        </w:tc>
        <w:tc>
          <w:tcPr>
            <w:tcW w:w="3585" w:type="dxa"/>
            <w:gridSpan w:val="4"/>
            <w:tcBorders>
              <w:bottom w:val="nil"/>
            </w:tcBorders>
          </w:tcPr>
          <w:p>
            <w:pPr>
              <w:pStyle w:val="TableParagraph"/>
              <w:spacing w:line="270" w:lineRule="exact"/>
              <w:ind w:left="9"/>
              <w:rPr>
                <w:sz w:val="24"/>
              </w:rPr>
            </w:pPr>
            <w:r>
              <w:rPr>
                <w:sz w:val="24"/>
              </w:rPr>
              <w:t>Military</w:t>
            </w:r>
            <w:r>
              <w:rPr>
                <w:spacing w:val="-6"/>
                <w:sz w:val="24"/>
              </w:rPr>
              <w:t> </w:t>
            </w:r>
            <w:r>
              <w:rPr>
                <w:sz w:val="24"/>
              </w:rPr>
              <w:t>outfit for</w:t>
            </w:r>
            <w:r>
              <w:rPr>
                <w:spacing w:val="-1"/>
                <w:sz w:val="24"/>
              </w:rPr>
              <w:t> </w:t>
            </w:r>
            <w:r>
              <w:rPr>
                <w:spacing w:val="-2"/>
                <w:sz w:val="24"/>
              </w:rPr>
              <w:t>combating</w:t>
            </w:r>
          </w:p>
        </w:tc>
        <w:tc>
          <w:tcPr>
            <w:tcW w:w="815" w:type="dxa"/>
            <w:vMerge w:val="restart"/>
          </w:tcPr>
          <w:p>
            <w:pPr>
              <w:pStyle w:val="TableParagraph"/>
              <w:spacing w:before="121"/>
              <w:rPr>
                <w:b/>
                <w:sz w:val="24"/>
              </w:rPr>
            </w:pPr>
          </w:p>
          <w:p>
            <w:pPr>
              <w:pStyle w:val="TableParagraph"/>
              <w:ind w:left="229"/>
              <w:rPr>
                <w:sz w:val="24"/>
              </w:rPr>
            </w:pPr>
            <w:r>
              <w:rPr>
                <w:spacing w:val="-5"/>
                <w:sz w:val="24"/>
              </w:rPr>
              <w:t>226</w:t>
            </w:r>
          </w:p>
        </w:tc>
        <w:tc>
          <w:tcPr>
            <w:tcW w:w="983" w:type="dxa"/>
            <w:vMerge w:val="restart"/>
          </w:tcPr>
          <w:p>
            <w:pPr>
              <w:pStyle w:val="TableParagraph"/>
              <w:spacing w:before="121"/>
              <w:rPr>
                <w:b/>
                <w:sz w:val="24"/>
              </w:rPr>
            </w:pPr>
          </w:p>
          <w:p>
            <w:pPr>
              <w:pStyle w:val="TableParagraph"/>
              <w:ind w:left="283"/>
              <w:rPr>
                <w:sz w:val="24"/>
              </w:rPr>
            </w:pPr>
            <w:r>
              <w:rPr>
                <w:spacing w:val="-4"/>
                <w:sz w:val="24"/>
              </w:rPr>
              <w:t>2.91</w:t>
            </w:r>
          </w:p>
        </w:tc>
        <w:tc>
          <w:tcPr>
            <w:tcW w:w="720" w:type="dxa"/>
            <w:vMerge w:val="restart"/>
          </w:tcPr>
          <w:p>
            <w:pPr>
              <w:pStyle w:val="TableParagraph"/>
              <w:spacing w:before="121"/>
              <w:rPr>
                <w:b/>
                <w:sz w:val="24"/>
              </w:rPr>
            </w:pPr>
          </w:p>
          <w:p>
            <w:pPr>
              <w:pStyle w:val="TableParagraph"/>
              <w:ind w:left="152"/>
              <w:rPr>
                <w:sz w:val="24"/>
              </w:rPr>
            </w:pPr>
            <w:r>
              <w:rPr>
                <w:spacing w:val="-4"/>
                <w:sz w:val="24"/>
              </w:rPr>
              <w:t>.885</w:t>
            </w:r>
          </w:p>
        </w:tc>
        <w:tc>
          <w:tcPr>
            <w:tcW w:w="2339" w:type="dxa"/>
            <w:vMerge w:val="restart"/>
          </w:tcPr>
          <w:p>
            <w:pPr>
              <w:pStyle w:val="TableParagraph"/>
              <w:spacing w:before="121"/>
              <w:rPr>
                <w:b/>
                <w:sz w:val="24"/>
              </w:rPr>
            </w:pPr>
          </w:p>
          <w:p>
            <w:pPr>
              <w:pStyle w:val="TableParagraph"/>
              <w:ind w:left="17"/>
              <w:jc w:val="center"/>
              <w:rPr>
                <w:sz w:val="24"/>
              </w:rPr>
            </w:pPr>
            <w:r>
              <w:rPr>
                <w:spacing w:val="-10"/>
                <w:sz w:val="24"/>
              </w:rPr>
              <w:t>A</w:t>
            </w:r>
          </w:p>
        </w:tc>
      </w:tr>
      <w:tr>
        <w:trPr>
          <w:trHeight w:val="380" w:hRule="atLeast"/>
        </w:trPr>
        <w:tc>
          <w:tcPr>
            <w:tcW w:w="734" w:type="dxa"/>
            <w:vMerge/>
            <w:tcBorders>
              <w:top w:val="nil"/>
            </w:tcBorders>
          </w:tcPr>
          <w:p>
            <w:pPr>
              <w:rPr>
                <w:sz w:val="2"/>
                <w:szCs w:val="2"/>
              </w:rPr>
            </w:pPr>
          </w:p>
        </w:tc>
        <w:tc>
          <w:tcPr>
            <w:tcW w:w="3585" w:type="dxa"/>
            <w:gridSpan w:val="4"/>
            <w:tcBorders>
              <w:top w:val="nil"/>
            </w:tcBorders>
          </w:tcPr>
          <w:p>
            <w:pPr>
              <w:pStyle w:val="TableParagraph"/>
              <w:spacing w:before="53"/>
              <w:ind w:left="9"/>
              <w:rPr>
                <w:sz w:val="24"/>
              </w:rPr>
            </w:pPr>
            <w:r>
              <w:rPr>
                <w:sz w:val="24"/>
              </w:rPr>
              <w:t>criminality</w:t>
            </w:r>
            <w:r>
              <w:rPr>
                <w:spacing w:val="-6"/>
                <w:sz w:val="24"/>
              </w:rPr>
              <w:t> </w:t>
            </w:r>
            <w:r>
              <w:rPr>
                <w:sz w:val="24"/>
              </w:rPr>
              <w:t>in</w:t>
            </w:r>
            <w:r>
              <w:rPr>
                <w:spacing w:val="-1"/>
                <w:sz w:val="24"/>
              </w:rPr>
              <w:t> </w:t>
            </w:r>
            <w:r>
              <w:rPr>
                <w:sz w:val="24"/>
              </w:rPr>
              <w:t>Niger</w:t>
            </w:r>
            <w:r>
              <w:rPr>
                <w:spacing w:val="1"/>
                <w:sz w:val="24"/>
              </w:rPr>
              <w:t> </w:t>
            </w:r>
            <w:r>
              <w:rPr>
                <w:spacing w:val="-2"/>
                <w:sz w:val="24"/>
              </w:rPr>
              <w:t>Delta.</w:t>
            </w:r>
          </w:p>
        </w:tc>
        <w:tc>
          <w:tcPr>
            <w:tcW w:w="815" w:type="dxa"/>
            <w:vMerge/>
            <w:tcBorders>
              <w:top w:val="nil"/>
            </w:tcBorders>
          </w:tcPr>
          <w:p>
            <w:pPr>
              <w:rPr>
                <w:sz w:val="2"/>
                <w:szCs w:val="2"/>
              </w:rPr>
            </w:pPr>
          </w:p>
        </w:tc>
        <w:tc>
          <w:tcPr>
            <w:tcW w:w="983" w:type="dxa"/>
            <w:vMerge/>
            <w:tcBorders>
              <w:top w:val="nil"/>
            </w:tcBorders>
          </w:tcPr>
          <w:p>
            <w:pPr>
              <w:rPr>
                <w:sz w:val="2"/>
                <w:szCs w:val="2"/>
              </w:rPr>
            </w:pPr>
          </w:p>
        </w:tc>
        <w:tc>
          <w:tcPr>
            <w:tcW w:w="720" w:type="dxa"/>
            <w:vMerge/>
            <w:tcBorders>
              <w:top w:val="nil"/>
            </w:tcBorders>
          </w:tcPr>
          <w:p>
            <w:pPr>
              <w:rPr>
                <w:sz w:val="2"/>
                <w:szCs w:val="2"/>
              </w:rPr>
            </w:pPr>
          </w:p>
        </w:tc>
        <w:tc>
          <w:tcPr>
            <w:tcW w:w="2339" w:type="dxa"/>
            <w:vMerge/>
            <w:tcBorders>
              <w:top w:val="nil"/>
            </w:tcBorders>
          </w:tcPr>
          <w:p>
            <w:pPr>
              <w:rPr>
                <w:sz w:val="2"/>
                <w:szCs w:val="2"/>
              </w:rPr>
            </w:pPr>
          </w:p>
        </w:tc>
      </w:tr>
    </w:tbl>
    <w:p>
      <w:pPr>
        <w:pStyle w:val="BodyText"/>
        <w:spacing w:before="136"/>
        <w:ind w:left="0"/>
        <w:rPr>
          <w:b/>
        </w:rPr>
      </w:pPr>
    </w:p>
    <w:p>
      <w:pPr>
        <w:pStyle w:val="BodyText"/>
        <w:spacing w:line="360" w:lineRule="auto"/>
        <w:ind w:right="1259" w:firstLine="720"/>
        <w:jc w:val="both"/>
      </w:pPr>
      <w:r>
        <w:rPr/>
        <w:t>From the data presented in Table 14, there is a general agreement in the respondents' views. These NGOs could work towards building a comprehensive early warning system for the Niger Delta. The JTF ought to have also partnered with the NGOs towards the management of the Niger Delta crisis.</w:t>
      </w:r>
    </w:p>
    <w:p>
      <w:pPr>
        <w:spacing w:after="0" w:line="360" w:lineRule="auto"/>
        <w:jc w:val="both"/>
        <w:sectPr>
          <w:pgSz w:w="11910" w:h="16840"/>
          <w:pgMar w:header="0" w:footer="1561" w:top="1360" w:bottom="1760" w:left="720" w:right="180"/>
        </w:sectPr>
      </w:pPr>
    </w:p>
    <w:p>
      <w:pPr>
        <w:pStyle w:val="Heading2"/>
        <w:numPr>
          <w:ilvl w:val="3"/>
          <w:numId w:val="25"/>
        </w:numPr>
        <w:tabs>
          <w:tab w:pos="2580" w:val="left" w:leader="none"/>
        </w:tabs>
        <w:spacing w:line="240" w:lineRule="auto" w:before="78" w:after="0"/>
        <w:ind w:left="2580" w:right="0" w:hanging="1140"/>
        <w:jc w:val="both"/>
      </w:pPr>
      <w:r>
        <w:rPr/>
        <mc:AlternateContent>
          <mc:Choice Requires="wps">
            <w:drawing>
              <wp:anchor distT="0" distB="0" distL="0" distR="0" allowOverlap="1" layoutInCell="1" locked="0" behindDoc="1" simplePos="0" relativeHeight="480672768">
                <wp:simplePos x="0" y="0"/>
                <wp:positionH relativeFrom="page">
                  <wp:posOffset>-1537026</wp:posOffset>
                </wp:positionH>
                <wp:positionV relativeFrom="page">
                  <wp:posOffset>4900424</wp:posOffset>
                </wp:positionV>
                <wp:extent cx="10669905" cy="914400"/>
                <wp:effectExtent l="0" t="0" r="0" b="0"/>
                <wp:wrapNone/>
                <wp:docPr id="305" name="Textbox 305"/>
                <wp:cNvGraphicFramePr>
                  <a:graphicFrameLocks/>
                </wp:cNvGraphicFramePr>
                <a:graphic>
                  <a:graphicData uri="http://schemas.microsoft.com/office/word/2010/wordprocessingShape">
                    <wps:wsp>
                      <wps:cNvPr id="305" name="Textbox 305"/>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43712;rotation:306" type="#_x0000_t136" fillcolor="#ff5400" stroked="f">
                <o:extrusion v:ext="view" autorotationcenter="t"/>
                <v:textpath style="font-family:&quot;Arial MT&quot;;font-size:72pt;v-text-kern:t;mso-text-shadow:auto" string="UNIVERSITY OF IBADAN"/>
                <w10:wrap type="none"/>
              </v:shape>
            </w:pict>
          </mc:Fallback>
        </mc:AlternateContent>
      </w:r>
      <w:r>
        <w:rPr/>
        <w:t>RQ12:</w:t>
      </w:r>
      <w:r>
        <w:rPr>
          <w:spacing w:val="-3"/>
        </w:rPr>
        <w:t> </w:t>
      </w:r>
      <w:r>
        <w:rPr/>
        <w:t>The</w:t>
      </w:r>
      <w:r>
        <w:rPr>
          <w:spacing w:val="-2"/>
        </w:rPr>
        <w:t> </w:t>
      </w:r>
      <w:r>
        <w:rPr/>
        <w:t>Public</w:t>
      </w:r>
      <w:r>
        <w:rPr>
          <w:spacing w:val="-2"/>
        </w:rPr>
        <w:t> </w:t>
      </w:r>
      <w:r>
        <w:rPr/>
        <w:t>Perception</w:t>
      </w:r>
      <w:r>
        <w:rPr>
          <w:spacing w:val="-2"/>
        </w:rPr>
        <w:t> </w:t>
      </w:r>
      <w:r>
        <w:rPr/>
        <w:t>of JTF</w:t>
      </w:r>
      <w:r>
        <w:rPr>
          <w:spacing w:val="-4"/>
        </w:rPr>
        <w:t> </w:t>
      </w:r>
      <w:r>
        <w:rPr>
          <w:spacing w:val="-2"/>
        </w:rPr>
        <w:t>Operation</w:t>
      </w:r>
    </w:p>
    <w:p>
      <w:pPr>
        <w:pStyle w:val="BodyText"/>
        <w:spacing w:line="360" w:lineRule="auto" w:before="135"/>
        <w:ind w:right="1263" w:firstLine="720"/>
        <w:jc w:val="both"/>
      </w:pPr>
      <w:r>
        <w:rPr/>
        <w:t>On how the Niger Delta communities perceived the JTF operations, the respondents had a good perception of the JTF troops/operations. During oral interview, it was expressed that JTF presence deters militant activities.</w:t>
      </w:r>
    </w:p>
    <w:p>
      <w:pPr>
        <w:pStyle w:val="Heading2"/>
        <w:spacing w:before="4"/>
        <w:jc w:val="both"/>
      </w:pPr>
      <w:r>
        <w:rPr/>
        <w:t>Table</w:t>
      </w:r>
      <w:r>
        <w:rPr>
          <w:spacing w:val="-2"/>
        </w:rPr>
        <w:t> </w:t>
      </w:r>
      <w:r>
        <w:rPr/>
        <w:t>15:</w:t>
      </w:r>
      <w:r>
        <w:rPr>
          <w:spacing w:val="-2"/>
        </w:rPr>
        <w:t> </w:t>
      </w:r>
      <w:r>
        <w:rPr/>
        <w:t>Public</w:t>
      </w:r>
      <w:r>
        <w:rPr>
          <w:spacing w:val="-2"/>
        </w:rPr>
        <w:t> </w:t>
      </w:r>
      <w:r>
        <w:rPr/>
        <w:t>Perception</w:t>
      </w:r>
      <w:r>
        <w:rPr>
          <w:spacing w:val="-1"/>
        </w:rPr>
        <w:t> </w:t>
      </w:r>
      <w:r>
        <w:rPr/>
        <w:t>of</w:t>
      </w:r>
      <w:r>
        <w:rPr>
          <w:spacing w:val="-1"/>
        </w:rPr>
        <w:t> </w:t>
      </w:r>
      <w:r>
        <w:rPr/>
        <w:t>the</w:t>
      </w:r>
      <w:r>
        <w:rPr>
          <w:spacing w:val="-2"/>
        </w:rPr>
        <w:t> </w:t>
      </w:r>
      <w:r>
        <w:rPr/>
        <w:t>JTF</w:t>
      </w:r>
      <w:r>
        <w:rPr>
          <w:spacing w:val="-2"/>
        </w:rPr>
        <w:t> Operation.</w:t>
      </w:r>
    </w:p>
    <w:p>
      <w:pPr>
        <w:pStyle w:val="BodyText"/>
        <w:spacing w:before="134"/>
        <w:jc w:val="both"/>
      </w:pPr>
      <w:r>
        <w:rPr/>
        <w:t>The</w:t>
      </w:r>
      <w:r>
        <w:rPr>
          <w:spacing w:val="-3"/>
        </w:rPr>
        <w:t> </w:t>
      </w:r>
      <w:r>
        <w:rPr/>
        <w:t>Perception of</w:t>
      </w:r>
      <w:r>
        <w:rPr>
          <w:spacing w:val="-2"/>
        </w:rPr>
        <w:t> </w:t>
      </w:r>
      <w:r>
        <w:rPr/>
        <w:t>the public</w:t>
      </w:r>
      <w:r>
        <w:rPr>
          <w:spacing w:val="-2"/>
        </w:rPr>
        <w:t> </w:t>
      </w:r>
      <w:r>
        <w:rPr/>
        <w:t>on JTF</w:t>
      </w:r>
      <w:r>
        <w:rPr>
          <w:spacing w:val="-2"/>
        </w:rPr>
        <w:t> </w:t>
      </w:r>
      <w:r>
        <w:rPr/>
        <w:t>operations</w:t>
      </w:r>
      <w:r>
        <w:rPr>
          <w:spacing w:val="-1"/>
        </w:rPr>
        <w:t> </w:t>
      </w:r>
      <w:r>
        <w:rPr/>
        <w:t>is presented</w:t>
      </w:r>
      <w:r>
        <w:rPr>
          <w:spacing w:val="-1"/>
        </w:rPr>
        <w:t> </w:t>
      </w:r>
      <w:r>
        <w:rPr/>
        <w:t>in Table</w:t>
      </w:r>
      <w:r>
        <w:rPr>
          <w:spacing w:val="-1"/>
        </w:rPr>
        <w:t> </w:t>
      </w:r>
      <w:r>
        <w:rPr>
          <w:spacing w:val="-5"/>
        </w:rPr>
        <w:t>15</w:t>
      </w:r>
    </w:p>
    <w:p>
      <w:pPr>
        <w:pStyle w:val="BodyText"/>
        <w:spacing w:before="4"/>
        <w:ind w:left="0"/>
        <w:rPr>
          <w:sz w:val="12"/>
        </w:rPr>
      </w:pPr>
    </w:p>
    <w:tbl>
      <w:tblPr>
        <w:tblW w:w="0" w:type="auto"/>
        <w:jc w:val="left"/>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1"/>
        <w:gridCol w:w="3269"/>
        <w:gridCol w:w="720"/>
        <w:gridCol w:w="984"/>
        <w:gridCol w:w="691"/>
        <w:gridCol w:w="2146"/>
      </w:tblGrid>
      <w:tr>
        <w:trPr>
          <w:trHeight w:val="345" w:hRule="atLeast"/>
        </w:trPr>
        <w:tc>
          <w:tcPr>
            <w:tcW w:w="871" w:type="dxa"/>
            <w:vMerge w:val="restart"/>
          </w:tcPr>
          <w:p>
            <w:pPr>
              <w:pStyle w:val="TableParagraph"/>
              <w:rPr>
                <w:sz w:val="24"/>
              </w:rPr>
            </w:pPr>
          </w:p>
        </w:tc>
        <w:tc>
          <w:tcPr>
            <w:tcW w:w="3269" w:type="dxa"/>
            <w:vMerge w:val="restart"/>
          </w:tcPr>
          <w:p>
            <w:pPr>
              <w:pStyle w:val="TableParagraph"/>
              <w:rPr>
                <w:sz w:val="24"/>
              </w:rPr>
            </w:pPr>
          </w:p>
        </w:tc>
        <w:tc>
          <w:tcPr>
            <w:tcW w:w="720" w:type="dxa"/>
            <w:vMerge w:val="restart"/>
          </w:tcPr>
          <w:p>
            <w:pPr>
              <w:pStyle w:val="TableParagraph"/>
              <w:spacing w:line="275" w:lineRule="exact"/>
              <w:ind w:left="21"/>
              <w:jc w:val="center"/>
              <w:rPr>
                <w:sz w:val="24"/>
              </w:rPr>
            </w:pPr>
            <w:r>
              <w:rPr>
                <w:spacing w:val="-10"/>
                <w:sz w:val="24"/>
              </w:rPr>
              <w:t>N</w:t>
            </w:r>
          </w:p>
        </w:tc>
        <w:tc>
          <w:tcPr>
            <w:tcW w:w="984" w:type="dxa"/>
            <w:vMerge w:val="restart"/>
          </w:tcPr>
          <w:p>
            <w:pPr>
              <w:pStyle w:val="TableParagraph"/>
              <w:spacing w:line="275" w:lineRule="exact"/>
              <w:ind w:left="221"/>
              <w:rPr>
                <w:sz w:val="24"/>
              </w:rPr>
            </w:pPr>
            <w:r>
              <w:rPr>
                <w:spacing w:val="-4"/>
                <w:sz w:val="24"/>
              </w:rPr>
              <w:t>Mean</w:t>
            </w:r>
          </w:p>
        </w:tc>
        <w:tc>
          <w:tcPr>
            <w:tcW w:w="691" w:type="dxa"/>
            <w:vMerge w:val="restart"/>
          </w:tcPr>
          <w:p>
            <w:pPr>
              <w:pStyle w:val="TableParagraph"/>
              <w:spacing w:line="275" w:lineRule="exact"/>
              <w:ind w:left="197"/>
              <w:rPr>
                <w:sz w:val="24"/>
              </w:rPr>
            </w:pPr>
            <w:r>
              <w:rPr>
                <w:spacing w:val="-5"/>
                <w:sz w:val="24"/>
              </w:rPr>
              <w:t>SD</w:t>
            </w:r>
          </w:p>
        </w:tc>
        <w:tc>
          <w:tcPr>
            <w:tcW w:w="2146" w:type="dxa"/>
            <w:tcBorders>
              <w:bottom w:val="nil"/>
            </w:tcBorders>
          </w:tcPr>
          <w:p>
            <w:pPr>
              <w:pStyle w:val="TableParagraph"/>
              <w:spacing w:line="275" w:lineRule="exact"/>
              <w:ind w:right="21"/>
              <w:jc w:val="center"/>
              <w:rPr>
                <w:sz w:val="24"/>
              </w:rPr>
            </w:pPr>
            <w:r>
              <w:rPr>
                <w:sz w:val="24"/>
              </w:rPr>
              <w:t>Level</w:t>
            </w:r>
            <w:r>
              <w:rPr>
                <w:spacing w:val="-4"/>
                <w:sz w:val="24"/>
              </w:rPr>
              <w:t> </w:t>
            </w:r>
            <w:r>
              <w:rPr>
                <w:sz w:val="24"/>
              </w:rPr>
              <w:t>of</w:t>
            </w:r>
            <w:r>
              <w:rPr>
                <w:spacing w:val="-1"/>
                <w:sz w:val="24"/>
              </w:rPr>
              <w:t> </w:t>
            </w:r>
            <w:r>
              <w:rPr>
                <w:spacing w:val="-2"/>
                <w:sz w:val="24"/>
              </w:rPr>
              <w:t>Agreement</w:t>
            </w:r>
          </w:p>
        </w:tc>
      </w:tr>
      <w:tr>
        <w:trPr>
          <w:trHeight w:val="478" w:hRule="atLeast"/>
        </w:trPr>
        <w:tc>
          <w:tcPr>
            <w:tcW w:w="871" w:type="dxa"/>
            <w:vMerge/>
            <w:tcBorders>
              <w:top w:val="nil"/>
            </w:tcBorders>
          </w:tcPr>
          <w:p>
            <w:pPr>
              <w:rPr>
                <w:sz w:val="2"/>
                <w:szCs w:val="2"/>
              </w:rPr>
            </w:pPr>
          </w:p>
        </w:tc>
        <w:tc>
          <w:tcPr>
            <w:tcW w:w="3269" w:type="dxa"/>
            <w:vMerge/>
            <w:tcBorders>
              <w:top w:val="nil"/>
            </w:tcBorders>
          </w:tcPr>
          <w:p>
            <w:pPr>
              <w:rPr>
                <w:sz w:val="2"/>
                <w:szCs w:val="2"/>
              </w:rPr>
            </w:pPr>
          </w:p>
        </w:tc>
        <w:tc>
          <w:tcPr>
            <w:tcW w:w="720" w:type="dxa"/>
            <w:vMerge/>
            <w:tcBorders>
              <w:top w:val="nil"/>
            </w:tcBorders>
          </w:tcPr>
          <w:p>
            <w:pPr>
              <w:rPr>
                <w:sz w:val="2"/>
                <w:szCs w:val="2"/>
              </w:rPr>
            </w:pPr>
          </w:p>
        </w:tc>
        <w:tc>
          <w:tcPr>
            <w:tcW w:w="984" w:type="dxa"/>
            <w:vMerge/>
            <w:tcBorders>
              <w:top w:val="nil"/>
            </w:tcBorders>
          </w:tcPr>
          <w:p>
            <w:pPr>
              <w:rPr>
                <w:sz w:val="2"/>
                <w:szCs w:val="2"/>
              </w:rPr>
            </w:pPr>
          </w:p>
        </w:tc>
        <w:tc>
          <w:tcPr>
            <w:tcW w:w="691" w:type="dxa"/>
            <w:vMerge/>
            <w:tcBorders>
              <w:top w:val="nil"/>
            </w:tcBorders>
          </w:tcPr>
          <w:p>
            <w:pPr>
              <w:rPr>
                <w:sz w:val="2"/>
                <w:szCs w:val="2"/>
              </w:rPr>
            </w:pPr>
          </w:p>
        </w:tc>
        <w:tc>
          <w:tcPr>
            <w:tcW w:w="2146" w:type="dxa"/>
            <w:tcBorders>
              <w:top w:val="nil"/>
            </w:tcBorders>
          </w:tcPr>
          <w:p>
            <w:pPr>
              <w:pStyle w:val="TableParagraph"/>
              <w:spacing w:before="60"/>
              <w:ind w:right="21"/>
              <w:jc w:val="center"/>
              <w:rPr>
                <w:sz w:val="24"/>
              </w:rPr>
            </w:pPr>
            <w:r>
              <w:rPr>
                <w:spacing w:val="-2"/>
                <w:sz w:val="24"/>
              </w:rPr>
              <w:t>Agreement</w:t>
            </w:r>
          </w:p>
        </w:tc>
      </w:tr>
      <w:tr>
        <w:trPr>
          <w:trHeight w:val="421" w:hRule="atLeast"/>
        </w:trPr>
        <w:tc>
          <w:tcPr>
            <w:tcW w:w="871" w:type="dxa"/>
            <w:tcBorders>
              <w:bottom w:val="nil"/>
            </w:tcBorders>
          </w:tcPr>
          <w:p>
            <w:pPr>
              <w:pStyle w:val="TableParagraph"/>
              <w:spacing w:before="11"/>
              <w:ind w:left="14"/>
              <w:rPr>
                <w:sz w:val="24"/>
              </w:rPr>
            </w:pPr>
            <w:r>
              <w:rPr>
                <w:spacing w:val="-5"/>
                <w:sz w:val="24"/>
              </w:rPr>
              <w:t>B44</w:t>
            </w:r>
          </w:p>
        </w:tc>
        <w:tc>
          <w:tcPr>
            <w:tcW w:w="3269" w:type="dxa"/>
            <w:tcBorders>
              <w:bottom w:val="nil"/>
            </w:tcBorders>
          </w:tcPr>
          <w:p>
            <w:pPr>
              <w:pStyle w:val="TableParagraph"/>
              <w:spacing w:before="11"/>
              <w:ind w:left="16"/>
              <w:rPr>
                <w:sz w:val="24"/>
              </w:rPr>
            </w:pPr>
            <w:r>
              <w:rPr>
                <w:sz w:val="24"/>
              </w:rPr>
              <w:t>Government</w:t>
            </w:r>
            <w:r>
              <w:rPr>
                <w:spacing w:val="-4"/>
                <w:sz w:val="24"/>
              </w:rPr>
              <w:t> </w:t>
            </w:r>
            <w:r>
              <w:rPr>
                <w:sz w:val="24"/>
              </w:rPr>
              <w:t>agent</w:t>
            </w:r>
            <w:r>
              <w:rPr>
                <w:spacing w:val="-2"/>
                <w:sz w:val="24"/>
              </w:rPr>
              <w:t> </w:t>
            </w:r>
            <w:r>
              <w:rPr>
                <w:spacing w:val="-5"/>
                <w:sz w:val="24"/>
              </w:rPr>
              <w:t>of</w:t>
            </w:r>
          </w:p>
        </w:tc>
        <w:tc>
          <w:tcPr>
            <w:tcW w:w="720" w:type="dxa"/>
            <w:tcBorders>
              <w:bottom w:val="nil"/>
            </w:tcBorders>
          </w:tcPr>
          <w:p>
            <w:pPr>
              <w:pStyle w:val="TableParagraph"/>
              <w:rPr>
                <w:sz w:val="24"/>
              </w:rPr>
            </w:pPr>
          </w:p>
        </w:tc>
        <w:tc>
          <w:tcPr>
            <w:tcW w:w="984" w:type="dxa"/>
            <w:tcBorders>
              <w:bottom w:val="nil"/>
            </w:tcBorders>
          </w:tcPr>
          <w:p>
            <w:pPr>
              <w:pStyle w:val="TableParagraph"/>
              <w:rPr>
                <w:sz w:val="24"/>
              </w:rPr>
            </w:pPr>
          </w:p>
        </w:tc>
        <w:tc>
          <w:tcPr>
            <w:tcW w:w="691" w:type="dxa"/>
            <w:tcBorders>
              <w:bottom w:val="nil"/>
            </w:tcBorders>
          </w:tcPr>
          <w:p>
            <w:pPr>
              <w:pStyle w:val="TableParagraph"/>
              <w:rPr>
                <w:sz w:val="24"/>
              </w:rPr>
            </w:pPr>
          </w:p>
        </w:tc>
        <w:tc>
          <w:tcPr>
            <w:tcW w:w="2146" w:type="dxa"/>
            <w:tcBorders>
              <w:bottom w:val="nil"/>
            </w:tcBorders>
          </w:tcPr>
          <w:p>
            <w:pPr>
              <w:pStyle w:val="TableParagraph"/>
              <w:rPr>
                <w:sz w:val="24"/>
              </w:rPr>
            </w:pPr>
          </w:p>
        </w:tc>
      </w:tr>
      <w:tr>
        <w:trPr>
          <w:trHeight w:val="578" w:hRule="atLeast"/>
        </w:trPr>
        <w:tc>
          <w:tcPr>
            <w:tcW w:w="871" w:type="dxa"/>
            <w:tcBorders>
              <w:top w:val="nil"/>
              <w:bottom w:val="nil"/>
            </w:tcBorders>
          </w:tcPr>
          <w:p>
            <w:pPr>
              <w:pStyle w:val="TableParagraph"/>
              <w:rPr>
                <w:sz w:val="24"/>
              </w:rPr>
            </w:pPr>
          </w:p>
        </w:tc>
        <w:tc>
          <w:tcPr>
            <w:tcW w:w="3269" w:type="dxa"/>
            <w:tcBorders>
              <w:top w:val="nil"/>
              <w:bottom w:val="nil"/>
            </w:tcBorders>
          </w:tcPr>
          <w:p>
            <w:pPr>
              <w:pStyle w:val="TableParagraph"/>
              <w:spacing w:before="125"/>
              <w:ind w:left="16"/>
              <w:rPr>
                <w:sz w:val="24"/>
              </w:rPr>
            </w:pPr>
            <w:r>
              <w:rPr>
                <w:sz w:val="24"/>
              </w:rPr>
              <w:t>oppression</w:t>
            </w:r>
            <w:r>
              <w:rPr>
                <w:spacing w:val="-2"/>
                <w:sz w:val="24"/>
              </w:rPr>
              <w:t> </w:t>
            </w:r>
            <w:r>
              <w:rPr>
                <w:sz w:val="24"/>
              </w:rPr>
              <w:t>&amp;</w:t>
            </w:r>
            <w:r>
              <w:rPr>
                <w:spacing w:val="-2"/>
                <w:sz w:val="24"/>
              </w:rPr>
              <w:t> Tyranny.</w:t>
            </w:r>
          </w:p>
        </w:tc>
        <w:tc>
          <w:tcPr>
            <w:tcW w:w="720" w:type="dxa"/>
            <w:tcBorders>
              <w:top w:val="nil"/>
              <w:bottom w:val="nil"/>
            </w:tcBorders>
          </w:tcPr>
          <w:p>
            <w:pPr>
              <w:pStyle w:val="TableParagraph"/>
              <w:spacing w:before="125"/>
              <w:ind w:left="21"/>
              <w:jc w:val="center"/>
              <w:rPr>
                <w:sz w:val="24"/>
              </w:rPr>
            </w:pPr>
            <w:r>
              <w:rPr>
                <w:spacing w:val="-5"/>
                <w:sz w:val="24"/>
              </w:rPr>
              <w:t>236</w:t>
            </w:r>
          </w:p>
        </w:tc>
        <w:tc>
          <w:tcPr>
            <w:tcW w:w="984" w:type="dxa"/>
            <w:tcBorders>
              <w:top w:val="nil"/>
              <w:bottom w:val="nil"/>
            </w:tcBorders>
          </w:tcPr>
          <w:p>
            <w:pPr>
              <w:pStyle w:val="TableParagraph"/>
              <w:spacing w:before="125"/>
              <w:ind w:left="18"/>
              <w:jc w:val="center"/>
              <w:rPr>
                <w:sz w:val="24"/>
              </w:rPr>
            </w:pPr>
            <w:r>
              <w:rPr>
                <w:spacing w:val="-4"/>
                <w:sz w:val="24"/>
              </w:rPr>
              <w:t>2.65</w:t>
            </w:r>
          </w:p>
        </w:tc>
        <w:tc>
          <w:tcPr>
            <w:tcW w:w="691" w:type="dxa"/>
            <w:tcBorders>
              <w:top w:val="nil"/>
              <w:bottom w:val="nil"/>
            </w:tcBorders>
          </w:tcPr>
          <w:p>
            <w:pPr>
              <w:pStyle w:val="TableParagraph"/>
              <w:spacing w:before="125"/>
              <w:ind w:left="19"/>
              <w:jc w:val="center"/>
              <w:rPr>
                <w:sz w:val="24"/>
              </w:rPr>
            </w:pPr>
            <w:r>
              <w:rPr>
                <w:spacing w:val="-2"/>
                <w:sz w:val="24"/>
              </w:rPr>
              <w:t>1.035</w:t>
            </w:r>
          </w:p>
        </w:tc>
        <w:tc>
          <w:tcPr>
            <w:tcW w:w="2146" w:type="dxa"/>
            <w:tcBorders>
              <w:top w:val="nil"/>
              <w:bottom w:val="nil"/>
            </w:tcBorders>
          </w:tcPr>
          <w:p>
            <w:pPr>
              <w:pStyle w:val="TableParagraph"/>
              <w:spacing w:before="125"/>
              <w:ind w:left="3" w:right="21"/>
              <w:jc w:val="center"/>
              <w:rPr>
                <w:sz w:val="24"/>
              </w:rPr>
            </w:pPr>
            <w:r>
              <w:rPr>
                <w:spacing w:val="-10"/>
                <w:sz w:val="24"/>
              </w:rPr>
              <w:t>A</w:t>
            </w:r>
          </w:p>
        </w:tc>
      </w:tr>
      <w:tr>
        <w:trPr>
          <w:trHeight w:val="571" w:hRule="atLeast"/>
        </w:trPr>
        <w:tc>
          <w:tcPr>
            <w:tcW w:w="871" w:type="dxa"/>
            <w:tcBorders>
              <w:top w:val="nil"/>
              <w:bottom w:val="nil"/>
            </w:tcBorders>
          </w:tcPr>
          <w:p>
            <w:pPr>
              <w:pStyle w:val="TableParagraph"/>
              <w:spacing w:before="167"/>
              <w:ind w:left="14"/>
              <w:rPr>
                <w:sz w:val="24"/>
              </w:rPr>
            </w:pPr>
            <w:r>
              <w:rPr>
                <w:spacing w:val="-5"/>
                <w:sz w:val="24"/>
              </w:rPr>
              <w:t>B45</w:t>
            </w:r>
          </w:p>
        </w:tc>
        <w:tc>
          <w:tcPr>
            <w:tcW w:w="3269" w:type="dxa"/>
            <w:tcBorders>
              <w:top w:val="nil"/>
              <w:bottom w:val="nil"/>
            </w:tcBorders>
          </w:tcPr>
          <w:p>
            <w:pPr>
              <w:pStyle w:val="TableParagraph"/>
              <w:spacing w:before="167"/>
              <w:ind w:left="16"/>
              <w:rPr>
                <w:sz w:val="24"/>
              </w:rPr>
            </w:pPr>
            <w:r>
              <w:rPr>
                <w:sz w:val="24"/>
              </w:rPr>
              <w:t>Enemy</w:t>
            </w:r>
            <w:r>
              <w:rPr>
                <w:spacing w:val="-6"/>
                <w:sz w:val="24"/>
              </w:rPr>
              <w:t> </w:t>
            </w:r>
            <w:r>
              <w:rPr>
                <w:sz w:val="24"/>
              </w:rPr>
              <w:t>of</w:t>
            </w:r>
            <w:r>
              <w:rPr>
                <w:spacing w:val="2"/>
                <w:sz w:val="24"/>
              </w:rPr>
              <w:t> </w:t>
            </w:r>
            <w:r>
              <w:rPr>
                <w:sz w:val="24"/>
              </w:rPr>
              <w:t>youths</w:t>
            </w:r>
            <w:r>
              <w:rPr>
                <w:spacing w:val="-1"/>
                <w:sz w:val="24"/>
              </w:rPr>
              <w:t> </w:t>
            </w:r>
            <w:r>
              <w:rPr>
                <w:sz w:val="24"/>
              </w:rPr>
              <w:t>ambitions</w:t>
            </w:r>
            <w:r>
              <w:rPr>
                <w:spacing w:val="-1"/>
                <w:sz w:val="24"/>
              </w:rPr>
              <w:t> </w:t>
            </w:r>
            <w:r>
              <w:rPr>
                <w:spacing w:val="-10"/>
                <w:sz w:val="24"/>
              </w:rPr>
              <w:t>&amp;</w:t>
            </w:r>
          </w:p>
        </w:tc>
        <w:tc>
          <w:tcPr>
            <w:tcW w:w="720" w:type="dxa"/>
            <w:tcBorders>
              <w:top w:val="nil"/>
              <w:bottom w:val="nil"/>
            </w:tcBorders>
          </w:tcPr>
          <w:p>
            <w:pPr>
              <w:pStyle w:val="TableParagraph"/>
              <w:rPr>
                <w:sz w:val="24"/>
              </w:rPr>
            </w:pPr>
          </w:p>
        </w:tc>
        <w:tc>
          <w:tcPr>
            <w:tcW w:w="984" w:type="dxa"/>
            <w:tcBorders>
              <w:top w:val="nil"/>
              <w:bottom w:val="nil"/>
            </w:tcBorders>
          </w:tcPr>
          <w:p>
            <w:pPr>
              <w:pStyle w:val="TableParagraph"/>
              <w:rPr>
                <w:sz w:val="24"/>
              </w:rPr>
            </w:pPr>
          </w:p>
        </w:tc>
        <w:tc>
          <w:tcPr>
            <w:tcW w:w="691" w:type="dxa"/>
            <w:tcBorders>
              <w:top w:val="nil"/>
              <w:bottom w:val="nil"/>
            </w:tcBorders>
          </w:tcPr>
          <w:p>
            <w:pPr>
              <w:pStyle w:val="TableParagraph"/>
              <w:rPr>
                <w:sz w:val="24"/>
              </w:rPr>
            </w:pPr>
          </w:p>
        </w:tc>
        <w:tc>
          <w:tcPr>
            <w:tcW w:w="2146" w:type="dxa"/>
            <w:tcBorders>
              <w:top w:val="nil"/>
              <w:bottom w:val="nil"/>
            </w:tcBorders>
          </w:tcPr>
          <w:p>
            <w:pPr>
              <w:pStyle w:val="TableParagraph"/>
              <w:rPr>
                <w:sz w:val="24"/>
              </w:rPr>
            </w:pPr>
          </w:p>
        </w:tc>
      </w:tr>
      <w:tr>
        <w:trPr>
          <w:trHeight w:val="470" w:hRule="atLeast"/>
        </w:trPr>
        <w:tc>
          <w:tcPr>
            <w:tcW w:w="871" w:type="dxa"/>
            <w:tcBorders>
              <w:top w:val="nil"/>
              <w:bottom w:val="nil"/>
            </w:tcBorders>
          </w:tcPr>
          <w:p>
            <w:pPr>
              <w:pStyle w:val="TableParagraph"/>
              <w:rPr>
                <w:sz w:val="24"/>
              </w:rPr>
            </w:pPr>
          </w:p>
        </w:tc>
        <w:tc>
          <w:tcPr>
            <w:tcW w:w="3269" w:type="dxa"/>
            <w:tcBorders>
              <w:top w:val="nil"/>
              <w:bottom w:val="nil"/>
            </w:tcBorders>
          </w:tcPr>
          <w:p>
            <w:pPr>
              <w:pStyle w:val="TableParagraph"/>
              <w:spacing w:before="117"/>
              <w:ind w:left="16"/>
              <w:rPr>
                <w:sz w:val="24"/>
              </w:rPr>
            </w:pPr>
            <w:r>
              <w:rPr>
                <w:spacing w:val="-2"/>
                <w:sz w:val="24"/>
              </w:rPr>
              <w:t>struggles.</w:t>
            </w:r>
          </w:p>
        </w:tc>
        <w:tc>
          <w:tcPr>
            <w:tcW w:w="720" w:type="dxa"/>
            <w:tcBorders>
              <w:top w:val="nil"/>
              <w:bottom w:val="nil"/>
            </w:tcBorders>
          </w:tcPr>
          <w:p>
            <w:pPr>
              <w:pStyle w:val="TableParagraph"/>
              <w:spacing w:before="117"/>
              <w:ind w:left="21"/>
              <w:jc w:val="center"/>
              <w:rPr>
                <w:sz w:val="24"/>
              </w:rPr>
            </w:pPr>
            <w:r>
              <w:rPr>
                <w:spacing w:val="-5"/>
                <w:sz w:val="24"/>
              </w:rPr>
              <w:t>237</w:t>
            </w:r>
          </w:p>
        </w:tc>
        <w:tc>
          <w:tcPr>
            <w:tcW w:w="984" w:type="dxa"/>
            <w:tcBorders>
              <w:top w:val="nil"/>
              <w:bottom w:val="nil"/>
            </w:tcBorders>
          </w:tcPr>
          <w:p>
            <w:pPr>
              <w:pStyle w:val="TableParagraph"/>
              <w:spacing w:before="117"/>
              <w:ind w:left="18"/>
              <w:jc w:val="center"/>
              <w:rPr>
                <w:sz w:val="24"/>
              </w:rPr>
            </w:pPr>
            <w:r>
              <w:rPr>
                <w:spacing w:val="-4"/>
                <w:sz w:val="24"/>
              </w:rPr>
              <w:t>2.37</w:t>
            </w:r>
          </w:p>
        </w:tc>
        <w:tc>
          <w:tcPr>
            <w:tcW w:w="691" w:type="dxa"/>
            <w:tcBorders>
              <w:top w:val="nil"/>
              <w:bottom w:val="nil"/>
            </w:tcBorders>
          </w:tcPr>
          <w:p>
            <w:pPr>
              <w:pStyle w:val="TableParagraph"/>
              <w:spacing w:before="117"/>
              <w:ind w:left="19"/>
              <w:jc w:val="center"/>
              <w:rPr>
                <w:sz w:val="24"/>
              </w:rPr>
            </w:pPr>
            <w:r>
              <w:rPr>
                <w:spacing w:val="-2"/>
                <w:sz w:val="24"/>
              </w:rPr>
              <w:t>1.024</w:t>
            </w:r>
          </w:p>
        </w:tc>
        <w:tc>
          <w:tcPr>
            <w:tcW w:w="2146" w:type="dxa"/>
            <w:tcBorders>
              <w:top w:val="nil"/>
              <w:bottom w:val="nil"/>
            </w:tcBorders>
          </w:tcPr>
          <w:p>
            <w:pPr>
              <w:pStyle w:val="TableParagraph"/>
              <w:spacing w:before="117"/>
              <w:ind w:left="3" w:right="21"/>
              <w:jc w:val="center"/>
              <w:rPr>
                <w:sz w:val="24"/>
              </w:rPr>
            </w:pPr>
            <w:r>
              <w:rPr>
                <w:spacing w:val="-10"/>
                <w:sz w:val="24"/>
              </w:rPr>
              <w:t>D</w:t>
            </w:r>
          </w:p>
        </w:tc>
      </w:tr>
      <w:tr>
        <w:trPr>
          <w:trHeight w:val="420" w:hRule="atLeast"/>
        </w:trPr>
        <w:tc>
          <w:tcPr>
            <w:tcW w:w="871" w:type="dxa"/>
            <w:tcBorders>
              <w:top w:val="nil"/>
              <w:bottom w:val="nil"/>
            </w:tcBorders>
          </w:tcPr>
          <w:p>
            <w:pPr>
              <w:pStyle w:val="TableParagraph"/>
              <w:spacing w:before="67"/>
              <w:ind w:left="14"/>
              <w:rPr>
                <w:sz w:val="24"/>
              </w:rPr>
            </w:pPr>
            <w:r>
              <w:rPr>
                <w:spacing w:val="-5"/>
                <w:sz w:val="24"/>
              </w:rPr>
              <w:t>B46</w:t>
            </w:r>
          </w:p>
        </w:tc>
        <w:tc>
          <w:tcPr>
            <w:tcW w:w="3269" w:type="dxa"/>
            <w:tcBorders>
              <w:top w:val="nil"/>
              <w:bottom w:val="nil"/>
            </w:tcBorders>
          </w:tcPr>
          <w:p>
            <w:pPr>
              <w:pStyle w:val="TableParagraph"/>
              <w:spacing w:before="67"/>
              <w:ind w:left="16"/>
              <w:rPr>
                <w:sz w:val="24"/>
              </w:rPr>
            </w:pPr>
            <w:r>
              <w:rPr>
                <w:sz w:val="24"/>
              </w:rPr>
              <w:t>Peacekeeping</w:t>
            </w:r>
            <w:r>
              <w:rPr>
                <w:spacing w:val="-5"/>
                <w:sz w:val="24"/>
              </w:rPr>
              <w:t> </w:t>
            </w:r>
            <w:r>
              <w:rPr>
                <w:sz w:val="24"/>
              </w:rPr>
              <w:t>Agent</w:t>
            </w:r>
            <w:r>
              <w:rPr>
                <w:spacing w:val="-1"/>
                <w:sz w:val="24"/>
              </w:rPr>
              <w:t> </w:t>
            </w:r>
            <w:r>
              <w:rPr>
                <w:sz w:val="24"/>
              </w:rPr>
              <w:t>for </w:t>
            </w:r>
            <w:r>
              <w:rPr>
                <w:spacing w:val="-2"/>
                <w:sz w:val="24"/>
              </w:rPr>
              <w:t>Peace.</w:t>
            </w:r>
          </w:p>
        </w:tc>
        <w:tc>
          <w:tcPr>
            <w:tcW w:w="720" w:type="dxa"/>
            <w:tcBorders>
              <w:top w:val="nil"/>
              <w:bottom w:val="nil"/>
            </w:tcBorders>
          </w:tcPr>
          <w:p>
            <w:pPr>
              <w:pStyle w:val="TableParagraph"/>
              <w:spacing w:before="67"/>
              <w:ind w:left="21"/>
              <w:jc w:val="center"/>
              <w:rPr>
                <w:sz w:val="24"/>
              </w:rPr>
            </w:pPr>
            <w:r>
              <w:rPr>
                <w:spacing w:val="-5"/>
                <w:sz w:val="24"/>
              </w:rPr>
              <w:t>237</w:t>
            </w:r>
          </w:p>
        </w:tc>
        <w:tc>
          <w:tcPr>
            <w:tcW w:w="984" w:type="dxa"/>
            <w:tcBorders>
              <w:top w:val="nil"/>
              <w:bottom w:val="nil"/>
            </w:tcBorders>
          </w:tcPr>
          <w:p>
            <w:pPr>
              <w:pStyle w:val="TableParagraph"/>
              <w:spacing w:before="67"/>
              <w:ind w:left="18"/>
              <w:jc w:val="center"/>
              <w:rPr>
                <w:sz w:val="24"/>
              </w:rPr>
            </w:pPr>
            <w:r>
              <w:rPr>
                <w:spacing w:val="-4"/>
                <w:sz w:val="24"/>
              </w:rPr>
              <w:t>2.78</w:t>
            </w:r>
          </w:p>
        </w:tc>
        <w:tc>
          <w:tcPr>
            <w:tcW w:w="691" w:type="dxa"/>
            <w:tcBorders>
              <w:top w:val="nil"/>
              <w:bottom w:val="nil"/>
            </w:tcBorders>
          </w:tcPr>
          <w:p>
            <w:pPr>
              <w:pStyle w:val="TableParagraph"/>
              <w:spacing w:before="67"/>
              <w:ind w:left="19"/>
              <w:jc w:val="center"/>
              <w:rPr>
                <w:sz w:val="24"/>
              </w:rPr>
            </w:pPr>
            <w:r>
              <w:rPr>
                <w:spacing w:val="-4"/>
                <w:sz w:val="24"/>
              </w:rPr>
              <w:t>.998</w:t>
            </w:r>
          </w:p>
        </w:tc>
        <w:tc>
          <w:tcPr>
            <w:tcW w:w="2146" w:type="dxa"/>
            <w:tcBorders>
              <w:top w:val="nil"/>
              <w:bottom w:val="nil"/>
              <w:right w:val="single" w:sz="8" w:space="0" w:color="000000"/>
            </w:tcBorders>
          </w:tcPr>
          <w:p>
            <w:pPr>
              <w:pStyle w:val="TableParagraph"/>
              <w:spacing w:before="67"/>
              <w:ind w:right="13"/>
              <w:jc w:val="center"/>
              <w:rPr>
                <w:sz w:val="24"/>
              </w:rPr>
            </w:pPr>
            <w:r>
              <w:rPr>
                <w:spacing w:val="-10"/>
                <w:sz w:val="24"/>
              </w:rPr>
              <w:t>A</w:t>
            </w:r>
          </w:p>
        </w:tc>
      </w:tr>
      <w:tr>
        <w:trPr>
          <w:trHeight w:val="512" w:hRule="atLeast"/>
        </w:trPr>
        <w:tc>
          <w:tcPr>
            <w:tcW w:w="871" w:type="dxa"/>
            <w:tcBorders>
              <w:top w:val="nil"/>
              <w:bottom w:val="nil"/>
            </w:tcBorders>
          </w:tcPr>
          <w:p>
            <w:pPr>
              <w:pStyle w:val="TableParagraph"/>
              <w:spacing w:before="67"/>
              <w:ind w:left="14"/>
              <w:rPr>
                <w:sz w:val="24"/>
              </w:rPr>
            </w:pPr>
            <w:r>
              <w:rPr>
                <w:spacing w:val="-5"/>
                <w:sz w:val="24"/>
              </w:rPr>
              <w:t>B47</w:t>
            </w:r>
          </w:p>
        </w:tc>
        <w:tc>
          <w:tcPr>
            <w:tcW w:w="3269" w:type="dxa"/>
            <w:tcBorders>
              <w:top w:val="nil"/>
              <w:bottom w:val="nil"/>
            </w:tcBorders>
          </w:tcPr>
          <w:p>
            <w:pPr>
              <w:pStyle w:val="TableParagraph"/>
              <w:spacing w:before="67"/>
              <w:ind w:left="16"/>
              <w:rPr>
                <w:sz w:val="24"/>
              </w:rPr>
            </w:pPr>
            <w:r>
              <w:rPr>
                <w:sz w:val="24"/>
              </w:rPr>
              <w:t>Opportunities</w:t>
            </w:r>
            <w:r>
              <w:rPr>
                <w:spacing w:val="-2"/>
                <w:sz w:val="24"/>
              </w:rPr>
              <w:t> </w:t>
            </w:r>
            <w:r>
              <w:rPr>
                <w:sz w:val="24"/>
              </w:rPr>
              <w:t>who</w:t>
            </w:r>
            <w:r>
              <w:rPr>
                <w:spacing w:val="-1"/>
                <w:sz w:val="24"/>
              </w:rPr>
              <w:t> </w:t>
            </w:r>
            <w:r>
              <w:rPr>
                <w:sz w:val="24"/>
              </w:rPr>
              <w:t>came </w:t>
            </w:r>
            <w:r>
              <w:rPr>
                <w:spacing w:val="-5"/>
                <w:sz w:val="24"/>
              </w:rPr>
              <w:t>to</w:t>
            </w:r>
          </w:p>
        </w:tc>
        <w:tc>
          <w:tcPr>
            <w:tcW w:w="720" w:type="dxa"/>
            <w:tcBorders>
              <w:top w:val="nil"/>
              <w:bottom w:val="nil"/>
            </w:tcBorders>
          </w:tcPr>
          <w:p>
            <w:pPr>
              <w:pStyle w:val="TableParagraph"/>
              <w:rPr>
                <w:sz w:val="24"/>
              </w:rPr>
            </w:pPr>
          </w:p>
        </w:tc>
        <w:tc>
          <w:tcPr>
            <w:tcW w:w="984" w:type="dxa"/>
            <w:tcBorders>
              <w:top w:val="nil"/>
              <w:bottom w:val="nil"/>
            </w:tcBorders>
          </w:tcPr>
          <w:p>
            <w:pPr>
              <w:pStyle w:val="TableParagraph"/>
              <w:rPr>
                <w:sz w:val="24"/>
              </w:rPr>
            </w:pPr>
          </w:p>
        </w:tc>
        <w:tc>
          <w:tcPr>
            <w:tcW w:w="691" w:type="dxa"/>
            <w:tcBorders>
              <w:top w:val="nil"/>
              <w:bottom w:val="nil"/>
            </w:tcBorders>
          </w:tcPr>
          <w:p>
            <w:pPr>
              <w:pStyle w:val="TableParagraph"/>
              <w:rPr>
                <w:sz w:val="24"/>
              </w:rPr>
            </w:pPr>
          </w:p>
        </w:tc>
        <w:tc>
          <w:tcPr>
            <w:tcW w:w="2146" w:type="dxa"/>
            <w:tcBorders>
              <w:top w:val="nil"/>
              <w:bottom w:val="nil"/>
              <w:right w:val="single" w:sz="8" w:space="0" w:color="000000"/>
            </w:tcBorders>
          </w:tcPr>
          <w:p>
            <w:pPr>
              <w:pStyle w:val="TableParagraph"/>
              <w:rPr>
                <w:sz w:val="24"/>
              </w:rPr>
            </w:pPr>
          </w:p>
        </w:tc>
      </w:tr>
      <w:tr>
        <w:trPr>
          <w:trHeight w:val="779" w:hRule="atLeast"/>
        </w:trPr>
        <w:tc>
          <w:tcPr>
            <w:tcW w:w="871" w:type="dxa"/>
            <w:tcBorders>
              <w:top w:val="nil"/>
            </w:tcBorders>
          </w:tcPr>
          <w:p>
            <w:pPr>
              <w:pStyle w:val="TableParagraph"/>
              <w:rPr>
                <w:sz w:val="24"/>
              </w:rPr>
            </w:pPr>
          </w:p>
        </w:tc>
        <w:tc>
          <w:tcPr>
            <w:tcW w:w="3269" w:type="dxa"/>
            <w:tcBorders>
              <w:top w:val="nil"/>
            </w:tcBorders>
          </w:tcPr>
          <w:p>
            <w:pPr>
              <w:pStyle w:val="TableParagraph"/>
              <w:spacing w:before="159"/>
              <w:ind w:left="16"/>
              <w:rPr>
                <w:sz w:val="24"/>
              </w:rPr>
            </w:pPr>
            <w:r>
              <w:rPr>
                <w:sz w:val="24"/>
              </w:rPr>
              <w:t>plunder</w:t>
            </w:r>
            <w:r>
              <w:rPr>
                <w:spacing w:val="-2"/>
                <w:sz w:val="24"/>
              </w:rPr>
              <w:t> resources.</w:t>
            </w:r>
          </w:p>
        </w:tc>
        <w:tc>
          <w:tcPr>
            <w:tcW w:w="720" w:type="dxa"/>
            <w:tcBorders>
              <w:top w:val="nil"/>
            </w:tcBorders>
          </w:tcPr>
          <w:p>
            <w:pPr>
              <w:pStyle w:val="TableParagraph"/>
              <w:spacing w:before="159"/>
              <w:ind w:left="21"/>
              <w:jc w:val="center"/>
              <w:rPr>
                <w:sz w:val="24"/>
              </w:rPr>
            </w:pPr>
            <w:r>
              <w:rPr>
                <w:spacing w:val="-5"/>
                <w:sz w:val="24"/>
              </w:rPr>
              <w:t>235</w:t>
            </w:r>
          </w:p>
        </w:tc>
        <w:tc>
          <w:tcPr>
            <w:tcW w:w="984" w:type="dxa"/>
            <w:tcBorders>
              <w:top w:val="nil"/>
            </w:tcBorders>
          </w:tcPr>
          <w:p>
            <w:pPr>
              <w:pStyle w:val="TableParagraph"/>
              <w:spacing w:before="159"/>
              <w:ind w:left="18"/>
              <w:jc w:val="center"/>
              <w:rPr>
                <w:sz w:val="24"/>
              </w:rPr>
            </w:pPr>
            <w:r>
              <w:rPr>
                <w:spacing w:val="-4"/>
                <w:sz w:val="24"/>
              </w:rPr>
              <w:t>2.41</w:t>
            </w:r>
          </w:p>
        </w:tc>
        <w:tc>
          <w:tcPr>
            <w:tcW w:w="691" w:type="dxa"/>
            <w:tcBorders>
              <w:top w:val="nil"/>
            </w:tcBorders>
          </w:tcPr>
          <w:p>
            <w:pPr>
              <w:pStyle w:val="TableParagraph"/>
              <w:spacing w:before="159"/>
              <w:ind w:left="19"/>
              <w:jc w:val="center"/>
              <w:rPr>
                <w:sz w:val="24"/>
              </w:rPr>
            </w:pPr>
            <w:r>
              <w:rPr>
                <w:spacing w:val="-4"/>
                <w:sz w:val="24"/>
              </w:rPr>
              <w:t>.954</w:t>
            </w:r>
          </w:p>
        </w:tc>
        <w:tc>
          <w:tcPr>
            <w:tcW w:w="2146" w:type="dxa"/>
            <w:tcBorders>
              <w:top w:val="nil"/>
            </w:tcBorders>
          </w:tcPr>
          <w:p>
            <w:pPr>
              <w:pStyle w:val="TableParagraph"/>
              <w:spacing w:before="159"/>
              <w:ind w:left="3" w:right="21"/>
              <w:jc w:val="center"/>
              <w:rPr>
                <w:sz w:val="24"/>
              </w:rPr>
            </w:pPr>
            <w:r>
              <w:rPr>
                <w:spacing w:val="-10"/>
                <w:sz w:val="24"/>
              </w:rPr>
              <w:t>D</w:t>
            </w:r>
          </w:p>
        </w:tc>
      </w:tr>
    </w:tbl>
    <w:p>
      <w:pPr>
        <w:pStyle w:val="BodyText"/>
        <w:spacing w:before="135"/>
        <w:ind w:left="0"/>
      </w:pPr>
    </w:p>
    <w:p>
      <w:pPr>
        <w:pStyle w:val="BodyText"/>
        <w:spacing w:line="360" w:lineRule="auto"/>
        <w:ind w:right="1259" w:firstLine="715"/>
        <w:jc w:val="both"/>
      </w:pPr>
      <w:r>
        <w:rPr/>
        <w:t>We sought to know from the respondents, the public perception of the JTF operation. From the view expressed by the respondents, there is a general agreement that the JTF is a government agent of oppression and tyranny. On a State by State basis, result of ANOVA shown in Appendix 9 indicates differences amongst the</w:t>
      </w:r>
      <w:r>
        <w:rPr>
          <w:spacing w:val="40"/>
        </w:rPr>
        <w:t> </w:t>
      </w:r>
      <w:r>
        <w:rPr/>
        <w:t>States (f = 3.178, P = .043). However, the agreement with this view is not maintained within each State as shown by the mean values Bayelsa (2.46), Delta (2.67) and</w:t>
      </w:r>
      <w:r>
        <w:rPr>
          <w:spacing w:val="40"/>
        </w:rPr>
        <w:t> </w:t>
      </w:r>
      <w:r>
        <w:rPr/>
        <w:t>Rivers (2.87). The submissions of our oral interviewees are however different. Most</w:t>
      </w:r>
      <w:r>
        <w:rPr>
          <w:spacing w:val="40"/>
        </w:rPr>
        <w:t> </w:t>
      </w:r>
      <w:r>
        <w:rPr/>
        <w:t>of them claimed to have expressed a good perception of the JTF operations and</w:t>
      </w:r>
      <w:r>
        <w:rPr>
          <w:spacing w:val="40"/>
        </w:rPr>
        <w:t> </w:t>
      </w:r>
      <w:r>
        <w:rPr>
          <w:spacing w:val="-2"/>
        </w:rPr>
        <w:t>troops.</w:t>
      </w:r>
    </w:p>
    <w:p>
      <w:pPr>
        <w:pStyle w:val="BodyText"/>
        <w:spacing w:line="360" w:lineRule="auto" w:before="3"/>
        <w:ind w:right="1255" w:firstLine="715"/>
      </w:pPr>
      <w:r>
        <w:rPr/>
        <w:t>Considering the gender of respondents results of t -test, there is the indication that,</w:t>
      </w:r>
      <w:r>
        <w:rPr>
          <w:spacing w:val="-3"/>
        </w:rPr>
        <w:t> </w:t>
      </w:r>
      <w:r>
        <w:rPr/>
        <w:t>gender</w:t>
      </w:r>
      <w:r>
        <w:rPr>
          <w:spacing w:val="1"/>
        </w:rPr>
        <w:t> </w:t>
      </w:r>
      <w:r>
        <w:rPr/>
        <w:t>is not a</w:t>
      </w:r>
      <w:r>
        <w:rPr>
          <w:spacing w:val="1"/>
        </w:rPr>
        <w:t> </w:t>
      </w:r>
      <w:r>
        <w:rPr/>
        <w:t>factor in forming</w:t>
      </w:r>
      <w:r>
        <w:rPr>
          <w:spacing w:val="-3"/>
        </w:rPr>
        <w:t> </w:t>
      </w:r>
      <w:r>
        <w:rPr/>
        <w:t>the</w:t>
      </w:r>
      <w:r>
        <w:rPr>
          <w:spacing w:val="1"/>
        </w:rPr>
        <w:t> </w:t>
      </w:r>
      <w:r>
        <w:rPr/>
        <w:t>respondents'</w:t>
      </w:r>
      <w:r>
        <w:rPr>
          <w:spacing w:val="-2"/>
        </w:rPr>
        <w:t> </w:t>
      </w:r>
      <w:r>
        <w:rPr/>
        <w:t>views</w:t>
      </w:r>
      <w:r>
        <w:rPr>
          <w:spacing w:val="2"/>
        </w:rPr>
        <w:t> </w:t>
      </w:r>
      <w:r>
        <w:rPr/>
        <w:t>on this issues (f =</w:t>
      </w:r>
      <w:r>
        <w:rPr>
          <w:spacing w:val="-2"/>
        </w:rPr>
        <w:t> </w:t>
      </w:r>
      <w:r>
        <w:rPr/>
        <w:t>.793,</w:t>
      </w:r>
      <w:r>
        <w:rPr>
          <w:spacing w:val="2"/>
        </w:rPr>
        <w:t> </w:t>
      </w:r>
      <w:r>
        <w:rPr>
          <w:spacing w:val="-10"/>
        </w:rPr>
        <w:t>P</w:t>
      </w:r>
    </w:p>
    <w:p>
      <w:pPr>
        <w:pStyle w:val="BodyText"/>
        <w:spacing w:line="360" w:lineRule="auto"/>
        <w:ind w:right="1260"/>
      </w:pPr>
      <w:r>
        <w:rPr/>
        <w:t>=</w:t>
      </w:r>
      <w:r>
        <w:rPr>
          <w:spacing w:val="33"/>
        </w:rPr>
        <w:t> </w:t>
      </w:r>
      <w:r>
        <w:rPr/>
        <w:t>.428).</w:t>
      </w:r>
      <w:r>
        <w:rPr>
          <w:spacing w:val="34"/>
        </w:rPr>
        <w:t> </w:t>
      </w:r>
      <w:r>
        <w:rPr/>
        <w:t>Based</w:t>
      </w:r>
      <w:r>
        <w:rPr>
          <w:spacing w:val="34"/>
        </w:rPr>
        <w:t> </w:t>
      </w:r>
      <w:r>
        <w:rPr/>
        <w:t>on</w:t>
      </w:r>
      <w:r>
        <w:rPr>
          <w:spacing w:val="34"/>
        </w:rPr>
        <w:t> </w:t>
      </w:r>
      <w:r>
        <w:rPr/>
        <w:t>age</w:t>
      </w:r>
      <w:r>
        <w:rPr>
          <w:spacing w:val="33"/>
        </w:rPr>
        <w:t> </w:t>
      </w:r>
      <w:r>
        <w:rPr/>
        <w:t>group</w:t>
      </w:r>
      <w:r>
        <w:rPr>
          <w:spacing w:val="33"/>
        </w:rPr>
        <w:t> </w:t>
      </w:r>
      <w:r>
        <w:rPr/>
        <w:t>of</w:t>
      </w:r>
      <w:r>
        <w:rPr>
          <w:spacing w:val="33"/>
        </w:rPr>
        <w:t> </w:t>
      </w:r>
      <w:r>
        <w:rPr/>
        <w:t>respondents</w:t>
      </w:r>
      <w:r>
        <w:rPr>
          <w:spacing w:val="34"/>
        </w:rPr>
        <w:t> </w:t>
      </w:r>
      <w:r>
        <w:rPr/>
        <w:t>there</w:t>
      </w:r>
      <w:r>
        <w:rPr>
          <w:spacing w:val="33"/>
        </w:rPr>
        <w:t> </w:t>
      </w:r>
      <w:r>
        <w:rPr/>
        <w:t>are</w:t>
      </w:r>
      <w:r>
        <w:rPr>
          <w:spacing w:val="33"/>
        </w:rPr>
        <w:t> </w:t>
      </w:r>
      <w:r>
        <w:rPr/>
        <w:t>no</w:t>
      </w:r>
      <w:r>
        <w:rPr>
          <w:spacing w:val="34"/>
        </w:rPr>
        <w:t> </w:t>
      </w:r>
      <w:r>
        <w:rPr/>
        <w:t>significant</w:t>
      </w:r>
      <w:r>
        <w:rPr>
          <w:spacing w:val="34"/>
        </w:rPr>
        <w:t> </w:t>
      </w:r>
      <w:r>
        <w:rPr/>
        <w:t>differences</w:t>
      </w:r>
      <w:r>
        <w:rPr>
          <w:spacing w:val="34"/>
        </w:rPr>
        <w:t> </w:t>
      </w:r>
      <w:r>
        <w:rPr/>
        <w:t>in views</w:t>
      </w:r>
      <w:r>
        <w:rPr>
          <w:spacing w:val="25"/>
        </w:rPr>
        <w:t> </w:t>
      </w:r>
      <w:r>
        <w:rPr/>
        <w:t>(f</w:t>
      </w:r>
      <w:r>
        <w:rPr>
          <w:spacing w:val="29"/>
        </w:rPr>
        <w:t> </w:t>
      </w:r>
      <w:r>
        <w:rPr/>
        <w:t>=</w:t>
      </w:r>
      <w:r>
        <w:rPr>
          <w:spacing w:val="26"/>
        </w:rPr>
        <w:t> </w:t>
      </w:r>
      <w:r>
        <w:rPr/>
        <w:t>.509,</w:t>
      </w:r>
      <w:r>
        <w:rPr>
          <w:spacing w:val="28"/>
        </w:rPr>
        <w:t> </w:t>
      </w:r>
      <w:r>
        <w:rPr/>
        <w:t>P</w:t>
      </w:r>
      <w:r>
        <w:rPr>
          <w:spacing w:val="28"/>
        </w:rPr>
        <w:t> </w:t>
      </w:r>
      <w:r>
        <w:rPr/>
        <w:t>=</w:t>
      </w:r>
      <w:r>
        <w:rPr>
          <w:spacing w:val="27"/>
        </w:rPr>
        <w:t> </w:t>
      </w:r>
      <w:r>
        <w:rPr/>
        <w:t>.729).</w:t>
      </w:r>
      <w:r>
        <w:rPr>
          <w:spacing w:val="29"/>
        </w:rPr>
        <w:t> </w:t>
      </w:r>
      <w:r>
        <w:rPr/>
        <w:t>Likewise,</w:t>
      </w:r>
      <w:r>
        <w:rPr>
          <w:spacing w:val="30"/>
        </w:rPr>
        <w:t> </w:t>
      </w:r>
      <w:r>
        <w:rPr/>
        <w:t>considering</w:t>
      </w:r>
      <w:r>
        <w:rPr>
          <w:spacing w:val="25"/>
        </w:rPr>
        <w:t> </w:t>
      </w:r>
      <w:r>
        <w:rPr/>
        <w:t>the</w:t>
      </w:r>
      <w:r>
        <w:rPr>
          <w:spacing w:val="30"/>
        </w:rPr>
        <w:t> </w:t>
      </w:r>
      <w:r>
        <w:rPr/>
        <w:t>education</w:t>
      </w:r>
      <w:r>
        <w:rPr>
          <w:spacing w:val="27"/>
        </w:rPr>
        <w:t> </w:t>
      </w:r>
      <w:r>
        <w:rPr/>
        <w:t>of</w:t>
      </w:r>
      <w:r>
        <w:rPr>
          <w:spacing w:val="27"/>
        </w:rPr>
        <w:t> </w:t>
      </w:r>
      <w:r>
        <w:rPr/>
        <w:t>respondents,</w:t>
      </w:r>
      <w:r>
        <w:rPr>
          <w:spacing w:val="29"/>
        </w:rPr>
        <w:t> </w:t>
      </w:r>
      <w:r>
        <w:rPr>
          <w:spacing w:val="-5"/>
        </w:rPr>
        <w:t>the</w:t>
      </w:r>
    </w:p>
    <w:p>
      <w:pPr>
        <w:spacing w:after="0" w:line="360" w:lineRule="auto"/>
        <w:sectPr>
          <w:pgSz w:w="11910" w:h="16840"/>
          <w:pgMar w:header="0" w:footer="1561" w:top="1760" w:bottom="1760" w:left="720" w:right="180"/>
        </w:sectPr>
      </w:pPr>
    </w:p>
    <w:p>
      <w:pPr>
        <w:pStyle w:val="BodyText"/>
        <w:spacing w:line="360" w:lineRule="auto" w:before="60"/>
        <w:ind w:right="1262"/>
        <w:jc w:val="both"/>
      </w:pPr>
      <w:r>
        <w:rPr/>
        <mc:AlternateContent>
          <mc:Choice Requires="wps">
            <w:drawing>
              <wp:anchor distT="0" distB="0" distL="0" distR="0" allowOverlap="1" layoutInCell="1" locked="0" behindDoc="1" simplePos="0" relativeHeight="480673280">
                <wp:simplePos x="0" y="0"/>
                <wp:positionH relativeFrom="page">
                  <wp:posOffset>-1537026</wp:posOffset>
                </wp:positionH>
                <wp:positionV relativeFrom="page">
                  <wp:posOffset>4900424</wp:posOffset>
                </wp:positionV>
                <wp:extent cx="10669905" cy="914400"/>
                <wp:effectExtent l="0" t="0" r="0" b="0"/>
                <wp:wrapNone/>
                <wp:docPr id="306" name="Textbox 306"/>
                <wp:cNvGraphicFramePr>
                  <a:graphicFrameLocks/>
                </wp:cNvGraphicFramePr>
                <a:graphic>
                  <a:graphicData uri="http://schemas.microsoft.com/office/word/2010/wordprocessingShape">
                    <wps:wsp>
                      <wps:cNvPr id="306" name="Textbox 306"/>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43200;rotation:306" type="#_x0000_t136" fillcolor="#ff5400" stroked="f">
                <o:extrusion v:ext="view" autorotationcenter="t"/>
                <v:textpath style="font-family:&quot;Arial MT&quot;;font-size:72pt;v-text-kern:t;mso-text-shadow:auto" string="UNIVERSITY OF IBADAN"/>
                <w10:wrap type="none"/>
              </v:shape>
            </w:pict>
          </mc:Fallback>
        </mc:AlternateContent>
      </w:r>
      <w:r>
        <w:rPr/>
        <w:t>analysis shows a non-significant differences in views (f = .237, P = 917). It is generally believed that, some government activities generate and enervate violent conflicts in Niger Delta. This seems to have eroded the confidence of people in the ability of the government (including JTF) to help them deal with their conflict </w:t>
      </w:r>
      <w:r>
        <w:rPr>
          <w:spacing w:val="-2"/>
        </w:rPr>
        <w:t>situations.</w:t>
      </w:r>
    </w:p>
    <w:p>
      <w:pPr>
        <w:pStyle w:val="BodyText"/>
        <w:spacing w:line="360" w:lineRule="auto"/>
        <w:ind w:right="1257" w:firstLine="715"/>
        <w:jc w:val="both"/>
      </w:pPr>
      <w:r>
        <w:rPr/>
        <w:t>Furthermore, Table 15 shows that, there is a general disagreement by the respondents that the JTF operators are enemy of the public ambitions and struggles. Across the States, result of ANOVA indicates differences amongst the States (f = 5.569, P = .004). Nonetheless, the agreement with this view is not maintained within each State as shown by the mean values - Bayelsa (2.15) Delta (2.32) and Rivers</w:t>
      </w:r>
      <w:r>
        <w:rPr>
          <w:spacing w:val="40"/>
        </w:rPr>
        <w:t> </w:t>
      </w:r>
      <w:r>
        <w:rPr>
          <w:spacing w:val="-2"/>
        </w:rPr>
        <w:t>2.65).</w:t>
      </w:r>
    </w:p>
    <w:p>
      <w:pPr>
        <w:pStyle w:val="BodyText"/>
        <w:spacing w:line="360" w:lineRule="auto" w:before="1"/>
        <w:ind w:right="1253" w:firstLine="715"/>
        <w:jc w:val="both"/>
      </w:pPr>
      <w:r>
        <w:rPr/>
        <w:t>According to the Newspapers and Magazines reports/review, government response to curtailing the intractable Niger Delta conflicts is militaristic in approach. For examples, attacks and militancy in the Niger Delta region attracts militarist approaches from the Nigeria Police Force and the JTF. Attempts by the JTF troops to rescue hostages most times result into collateral damages to JTF troops and equipment, as well as oil/gas facilities. The Punch of 18</w:t>
      </w:r>
      <w:r>
        <w:rPr>
          <w:vertAlign w:val="superscript"/>
        </w:rPr>
        <w:t>th</w:t>
      </w:r>
      <w:r>
        <w:rPr>
          <w:vertAlign w:val="baseline"/>
        </w:rPr>
        <w:t> July, 2007 reported that the JTF in the Niger Delta confirmed it was planning to confront the militants in the region. Likewise, the Sunday</w:t>
      </w:r>
      <w:r>
        <w:rPr>
          <w:spacing w:val="-5"/>
          <w:vertAlign w:val="baseline"/>
        </w:rPr>
        <w:t> </w:t>
      </w:r>
      <w:r>
        <w:rPr>
          <w:vertAlign w:val="baseline"/>
        </w:rPr>
        <w:t>Sun of 24</w:t>
      </w:r>
      <w:r>
        <w:rPr>
          <w:vertAlign w:val="superscript"/>
        </w:rPr>
        <w:t>th</w:t>
      </w:r>
      <w:r>
        <w:rPr>
          <w:vertAlign w:val="baseline"/>
        </w:rPr>
        <w:t> May, 2009 on it caption “12 Days of Blood” from 13-20 May, 2009 as the</w:t>
      </w:r>
      <w:r>
        <w:rPr>
          <w:spacing w:val="-1"/>
          <w:vertAlign w:val="baseline"/>
        </w:rPr>
        <w:t> </w:t>
      </w:r>
      <w:r>
        <w:rPr>
          <w:vertAlign w:val="baseline"/>
        </w:rPr>
        <w:t>JTF</w:t>
      </w:r>
      <w:r>
        <w:rPr>
          <w:spacing w:val="-2"/>
          <w:vertAlign w:val="baseline"/>
        </w:rPr>
        <w:t> </w:t>
      </w:r>
      <w:r>
        <w:rPr>
          <w:vertAlign w:val="baseline"/>
        </w:rPr>
        <w:t>clashed with militants Okorenkoko and Ayakoromo attest to this.</w:t>
      </w:r>
    </w:p>
    <w:p>
      <w:pPr>
        <w:pStyle w:val="BodyText"/>
        <w:spacing w:line="360" w:lineRule="auto"/>
        <w:ind w:right="1257" w:firstLine="715"/>
        <w:jc w:val="both"/>
      </w:pPr>
      <w:r>
        <w:rPr/>
        <w:t>However, a visit to Ayakoromo (which is about 45 minutes by flying boat</w:t>
      </w:r>
      <w:r>
        <w:rPr>
          <w:spacing w:val="40"/>
        </w:rPr>
        <w:t> </w:t>
      </w:r>
      <w:r>
        <w:rPr/>
        <w:t>from warri) revealed that the military is currently embarking on rehabilitation and reconstruction of some hitherto damaged buildings at Ayakoromo, Burutu Local government Area of Delta State.</w:t>
      </w:r>
    </w:p>
    <w:p>
      <w:pPr>
        <w:pStyle w:val="BodyText"/>
        <w:spacing w:line="360" w:lineRule="auto" w:before="1"/>
        <w:ind w:right="1257" w:firstLine="715"/>
        <w:jc w:val="both"/>
      </w:pPr>
      <w:r>
        <w:rPr/>
        <w:t>Most of the interviewees opined, that the militarization of the region and subsequent increase use of security outfits in the enforcement of peace have heightened the fragile security in the region. This is however compounded by</w:t>
      </w:r>
      <w:r>
        <w:rPr>
          <w:spacing w:val="-3"/>
        </w:rPr>
        <w:t> </w:t>
      </w:r>
      <w:r>
        <w:rPr/>
        <w:t>the free circulation of SALW in the Niger Delta.</w:t>
      </w:r>
    </w:p>
    <w:p>
      <w:pPr>
        <w:spacing w:after="0" w:line="360" w:lineRule="auto"/>
        <w:jc w:val="both"/>
        <w:sectPr>
          <w:pgSz w:w="11910" w:h="16840"/>
          <w:pgMar w:header="0" w:footer="1561" w:top="1360" w:bottom="1760" w:left="720" w:right="180"/>
        </w:sectPr>
      </w:pPr>
    </w:p>
    <w:p>
      <w:pPr>
        <w:pStyle w:val="Heading2"/>
        <w:numPr>
          <w:ilvl w:val="3"/>
          <w:numId w:val="25"/>
        </w:numPr>
        <w:tabs>
          <w:tab w:pos="2520" w:val="left" w:leader="none"/>
        </w:tabs>
        <w:spacing w:line="360" w:lineRule="auto" w:before="78" w:after="0"/>
        <w:ind w:left="1440" w:right="1646" w:firstLine="0"/>
        <w:jc w:val="both"/>
      </w:pPr>
      <w:r>
        <w:rPr/>
        <mc:AlternateContent>
          <mc:Choice Requires="wps">
            <w:drawing>
              <wp:anchor distT="0" distB="0" distL="0" distR="0" allowOverlap="1" layoutInCell="1" locked="0" behindDoc="1" simplePos="0" relativeHeight="480673792">
                <wp:simplePos x="0" y="0"/>
                <wp:positionH relativeFrom="page">
                  <wp:posOffset>-1537026</wp:posOffset>
                </wp:positionH>
                <wp:positionV relativeFrom="page">
                  <wp:posOffset>4900424</wp:posOffset>
                </wp:positionV>
                <wp:extent cx="10669905" cy="914400"/>
                <wp:effectExtent l="0" t="0" r="0" b="0"/>
                <wp:wrapNone/>
                <wp:docPr id="307" name="Textbox 307"/>
                <wp:cNvGraphicFramePr>
                  <a:graphicFrameLocks/>
                </wp:cNvGraphicFramePr>
                <a:graphic>
                  <a:graphicData uri="http://schemas.microsoft.com/office/word/2010/wordprocessingShape">
                    <wps:wsp>
                      <wps:cNvPr id="307" name="Textbox 307"/>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42688;rotation:306" type="#_x0000_t136" fillcolor="#ff5400" stroked="f">
                <o:extrusion v:ext="view" autorotationcenter="t"/>
                <v:textpath style="font-family:&quot;Arial MT&quot;;font-size:72pt;v-text-kern:t;mso-text-shadow:auto" string="UNIVERSITY OF IBADAN"/>
                <w10:wrap type="none"/>
              </v:shape>
            </w:pict>
          </mc:Fallback>
        </mc:AlternateContent>
      </w:r>
      <w:r>
        <w:rPr/>
        <w:t>RQ13:</w:t>
      </w:r>
      <w:r>
        <w:rPr>
          <w:spacing w:val="-5"/>
        </w:rPr>
        <w:t> </w:t>
      </w:r>
      <w:r>
        <w:rPr/>
        <w:t>Perception</w:t>
      </w:r>
      <w:r>
        <w:rPr>
          <w:spacing w:val="-4"/>
        </w:rPr>
        <w:t> </w:t>
      </w:r>
      <w:r>
        <w:rPr/>
        <w:t>of</w:t>
      </w:r>
      <w:r>
        <w:rPr>
          <w:spacing w:val="-5"/>
        </w:rPr>
        <w:t> </w:t>
      </w:r>
      <w:r>
        <w:rPr/>
        <w:t>State</w:t>
      </w:r>
      <w:r>
        <w:rPr>
          <w:spacing w:val="-5"/>
        </w:rPr>
        <w:t> </w:t>
      </w:r>
      <w:r>
        <w:rPr/>
        <w:t>Government</w:t>
      </w:r>
      <w:r>
        <w:rPr>
          <w:spacing w:val="-4"/>
        </w:rPr>
        <w:t> </w:t>
      </w:r>
      <w:r>
        <w:rPr/>
        <w:t>on</w:t>
      </w:r>
      <w:r>
        <w:rPr>
          <w:spacing w:val="-4"/>
        </w:rPr>
        <w:t> </w:t>
      </w:r>
      <w:r>
        <w:rPr/>
        <w:t>JTF</w:t>
      </w:r>
      <w:r>
        <w:rPr>
          <w:spacing w:val="-7"/>
        </w:rPr>
        <w:t> </w:t>
      </w:r>
      <w:r>
        <w:rPr/>
        <w:t>as</w:t>
      </w:r>
      <w:r>
        <w:rPr>
          <w:spacing w:val="-4"/>
        </w:rPr>
        <w:t> </w:t>
      </w:r>
      <w:r>
        <w:rPr/>
        <w:t>Necessary</w:t>
      </w:r>
      <w:r>
        <w:rPr>
          <w:spacing w:val="-4"/>
        </w:rPr>
        <w:t> </w:t>
      </w:r>
      <w:r>
        <w:rPr/>
        <w:t>Peace </w:t>
      </w:r>
      <w:r>
        <w:rPr>
          <w:spacing w:val="-2"/>
        </w:rPr>
        <w:t>Mechanism.</w:t>
      </w:r>
    </w:p>
    <w:p>
      <w:pPr>
        <w:pStyle w:val="BodyText"/>
        <w:spacing w:line="360" w:lineRule="auto"/>
        <w:ind w:right="1263" w:firstLine="710"/>
        <w:jc w:val="both"/>
      </w:pPr>
      <w:r>
        <w:rPr/>
        <w:t>Respondents were asked whether State governments in the Niger Delta region perceive the JTF as a necessary peace mechanism. The summary of views of respondents is given in Table 16.</w:t>
      </w:r>
    </w:p>
    <w:p>
      <w:pPr>
        <w:pStyle w:val="BodyText"/>
        <w:spacing w:before="2"/>
        <w:ind w:left="0"/>
      </w:pPr>
    </w:p>
    <w:p>
      <w:pPr>
        <w:pStyle w:val="Heading2"/>
        <w:spacing w:line="360" w:lineRule="auto"/>
        <w:ind w:right="1260"/>
      </w:pPr>
      <w:r>
        <w:rPr/>
        <w:t>Table</w:t>
      </w:r>
      <w:r>
        <w:rPr>
          <w:spacing w:val="80"/>
        </w:rPr>
        <w:t> </w:t>
      </w:r>
      <w:r>
        <w:rPr/>
        <w:t>16:</w:t>
      </w:r>
      <w:r>
        <w:rPr>
          <w:spacing w:val="80"/>
        </w:rPr>
        <w:t> </w:t>
      </w:r>
      <w:r>
        <w:rPr/>
        <w:t>Perception</w:t>
      </w:r>
      <w:r>
        <w:rPr>
          <w:spacing w:val="80"/>
        </w:rPr>
        <w:t> </w:t>
      </w:r>
      <w:r>
        <w:rPr/>
        <w:t>of</w:t>
      </w:r>
      <w:r>
        <w:rPr>
          <w:spacing w:val="80"/>
        </w:rPr>
        <w:t> </w:t>
      </w:r>
      <w:r>
        <w:rPr/>
        <w:t>State</w:t>
      </w:r>
      <w:r>
        <w:rPr>
          <w:spacing w:val="80"/>
        </w:rPr>
        <w:t> </w:t>
      </w:r>
      <w:r>
        <w:rPr/>
        <w:t>Governments</w:t>
      </w:r>
      <w:r>
        <w:rPr>
          <w:spacing w:val="80"/>
        </w:rPr>
        <w:t> </w:t>
      </w:r>
      <w:r>
        <w:rPr/>
        <w:t>on</w:t>
      </w:r>
      <w:r>
        <w:rPr>
          <w:spacing w:val="80"/>
        </w:rPr>
        <w:t> </w:t>
      </w:r>
      <w:r>
        <w:rPr/>
        <w:t>JTF</w:t>
      </w:r>
      <w:r>
        <w:rPr>
          <w:spacing w:val="80"/>
        </w:rPr>
        <w:t> </w:t>
      </w:r>
      <w:r>
        <w:rPr/>
        <w:t>as</w:t>
      </w:r>
      <w:r>
        <w:rPr>
          <w:spacing w:val="80"/>
        </w:rPr>
        <w:t> </w:t>
      </w:r>
      <w:r>
        <w:rPr/>
        <w:t>Necessary</w:t>
      </w:r>
      <w:r>
        <w:rPr>
          <w:spacing w:val="80"/>
        </w:rPr>
        <w:t> </w:t>
      </w:r>
      <w:r>
        <w:rPr/>
        <w:t>Peace</w:t>
      </w:r>
      <w:r>
        <w:rPr>
          <w:spacing w:val="80"/>
        </w:rPr>
        <w:t> </w:t>
      </w:r>
      <w:r>
        <w:rPr>
          <w:spacing w:val="-2"/>
        </w:rPr>
        <w:t>Mechanism</w:t>
      </w: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64"/>
        <w:gridCol w:w="3939"/>
        <w:gridCol w:w="710"/>
        <w:gridCol w:w="984"/>
        <w:gridCol w:w="963"/>
        <w:gridCol w:w="1577"/>
      </w:tblGrid>
      <w:tr>
        <w:trPr>
          <w:trHeight w:val="336" w:hRule="atLeast"/>
        </w:trPr>
        <w:tc>
          <w:tcPr>
            <w:tcW w:w="864" w:type="dxa"/>
            <w:vMerge w:val="restart"/>
          </w:tcPr>
          <w:p>
            <w:pPr>
              <w:pStyle w:val="TableParagraph"/>
              <w:rPr>
                <w:sz w:val="24"/>
              </w:rPr>
            </w:pPr>
          </w:p>
        </w:tc>
        <w:tc>
          <w:tcPr>
            <w:tcW w:w="3939" w:type="dxa"/>
            <w:vMerge w:val="restart"/>
          </w:tcPr>
          <w:p>
            <w:pPr>
              <w:pStyle w:val="TableParagraph"/>
              <w:rPr>
                <w:sz w:val="24"/>
              </w:rPr>
            </w:pPr>
          </w:p>
        </w:tc>
        <w:tc>
          <w:tcPr>
            <w:tcW w:w="710" w:type="dxa"/>
            <w:vMerge w:val="restart"/>
          </w:tcPr>
          <w:p>
            <w:pPr>
              <w:pStyle w:val="TableParagraph"/>
              <w:spacing w:line="270" w:lineRule="exact"/>
              <w:ind w:left="11"/>
              <w:jc w:val="center"/>
              <w:rPr>
                <w:sz w:val="24"/>
              </w:rPr>
            </w:pPr>
            <w:r>
              <w:rPr>
                <w:spacing w:val="-10"/>
                <w:sz w:val="24"/>
              </w:rPr>
              <w:t>N</w:t>
            </w:r>
          </w:p>
        </w:tc>
        <w:tc>
          <w:tcPr>
            <w:tcW w:w="984" w:type="dxa"/>
            <w:vMerge w:val="restart"/>
          </w:tcPr>
          <w:p>
            <w:pPr>
              <w:pStyle w:val="TableParagraph"/>
              <w:spacing w:line="270" w:lineRule="exact"/>
              <w:ind w:left="216"/>
              <w:rPr>
                <w:sz w:val="24"/>
              </w:rPr>
            </w:pPr>
            <w:r>
              <w:rPr>
                <w:spacing w:val="-4"/>
                <w:sz w:val="24"/>
              </w:rPr>
              <w:t>Mean</w:t>
            </w:r>
          </w:p>
        </w:tc>
        <w:tc>
          <w:tcPr>
            <w:tcW w:w="963" w:type="dxa"/>
            <w:vMerge w:val="restart"/>
          </w:tcPr>
          <w:p>
            <w:pPr>
              <w:pStyle w:val="TableParagraph"/>
              <w:spacing w:line="270" w:lineRule="exact"/>
              <w:ind w:left="327"/>
              <w:rPr>
                <w:sz w:val="24"/>
              </w:rPr>
            </w:pPr>
            <w:r>
              <w:rPr>
                <w:spacing w:val="-5"/>
                <w:sz w:val="24"/>
              </w:rPr>
              <w:t>SD</w:t>
            </w:r>
          </w:p>
        </w:tc>
        <w:tc>
          <w:tcPr>
            <w:tcW w:w="1577" w:type="dxa"/>
            <w:tcBorders>
              <w:bottom w:val="nil"/>
            </w:tcBorders>
          </w:tcPr>
          <w:p>
            <w:pPr>
              <w:pStyle w:val="TableParagraph"/>
              <w:spacing w:line="270" w:lineRule="exact"/>
              <w:ind w:right="30"/>
              <w:jc w:val="center"/>
              <w:rPr>
                <w:sz w:val="24"/>
              </w:rPr>
            </w:pPr>
            <w:r>
              <w:rPr>
                <w:sz w:val="24"/>
              </w:rPr>
              <w:t>Level</w:t>
            </w:r>
            <w:r>
              <w:rPr>
                <w:spacing w:val="-5"/>
                <w:sz w:val="24"/>
              </w:rPr>
              <w:t> of</w:t>
            </w:r>
          </w:p>
        </w:tc>
      </w:tr>
      <w:tr>
        <w:trPr>
          <w:trHeight w:val="476" w:hRule="atLeast"/>
        </w:trPr>
        <w:tc>
          <w:tcPr>
            <w:tcW w:w="864" w:type="dxa"/>
            <w:vMerge/>
            <w:tcBorders>
              <w:top w:val="nil"/>
            </w:tcBorders>
          </w:tcPr>
          <w:p>
            <w:pPr>
              <w:rPr>
                <w:sz w:val="2"/>
                <w:szCs w:val="2"/>
              </w:rPr>
            </w:pPr>
          </w:p>
        </w:tc>
        <w:tc>
          <w:tcPr>
            <w:tcW w:w="3939" w:type="dxa"/>
            <w:vMerge/>
            <w:tcBorders>
              <w:top w:val="nil"/>
            </w:tcBorders>
          </w:tcPr>
          <w:p>
            <w:pPr>
              <w:rPr>
                <w:sz w:val="2"/>
                <w:szCs w:val="2"/>
              </w:rPr>
            </w:pPr>
          </w:p>
        </w:tc>
        <w:tc>
          <w:tcPr>
            <w:tcW w:w="710" w:type="dxa"/>
            <w:vMerge/>
            <w:tcBorders>
              <w:top w:val="nil"/>
            </w:tcBorders>
          </w:tcPr>
          <w:p>
            <w:pPr>
              <w:rPr>
                <w:sz w:val="2"/>
                <w:szCs w:val="2"/>
              </w:rPr>
            </w:pPr>
          </w:p>
        </w:tc>
        <w:tc>
          <w:tcPr>
            <w:tcW w:w="984" w:type="dxa"/>
            <w:vMerge/>
            <w:tcBorders>
              <w:top w:val="nil"/>
            </w:tcBorders>
          </w:tcPr>
          <w:p>
            <w:pPr>
              <w:rPr>
                <w:sz w:val="2"/>
                <w:szCs w:val="2"/>
              </w:rPr>
            </w:pPr>
          </w:p>
        </w:tc>
        <w:tc>
          <w:tcPr>
            <w:tcW w:w="963" w:type="dxa"/>
            <w:vMerge/>
            <w:tcBorders>
              <w:top w:val="nil"/>
            </w:tcBorders>
          </w:tcPr>
          <w:p>
            <w:pPr>
              <w:rPr>
                <w:sz w:val="2"/>
                <w:szCs w:val="2"/>
              </w:rPr>
            </w:pPr>
          </w:p>
        </w:tc>
        <w:tc>
          <w:tcPr>
            <w:tcW w:w="1577" w:type="dxa"/>
            <w:tcBorders>
              <w:top w:val="nil"/>
            </w:tcBorders>
          </w:tcPr>
          <w:p>
            <w:pPr>
              <w:pStyle w:val="TableParagraph"/>
              <w:spacing w:before="56"/>
              <w:ind w:right="30"/>
              <w:jc w:val="center"/>
              <w:rPr>
                <w:sz w:val="24"/>
              </w:rPr>
            </w:pPr>
            <w:r>
              <w:rPr>
                <w:spacing w:val="-2"/>
                <w:sz w:val="24"/>
              </w:rPr>
              <w:t>Agreement</w:t>
            </w:r>
          </w:p>
        </w:tc>
      </w:tr>
      <w:tr>
        <w:trPr>
          <w:trHeight w:val="367" w:hRule="atLeast"/>
        </w:trPr>
        <w:tc>
          <w:tcPr>
            <w:tcW w:w="864" w:type="dxa"/>
            <w:tcBorders>
              <w:bottom w:val="nil"/>
            </w:tcBorders>
          </w:tcPr>
          <w:p>
            <w:pPr>
              <w:pStyle w:val="TableParagraph"/>
              <w:spacing w:before="8"/>
              <w:ind w:left="9"/>
              <w:rPr>
                <w:sz w:val="24"/>
              </w:rPr>
            </w:pPr>
            <w:r>
              <w:rPr>
                <w:spacing w:val="-5"/>
                <w:sz w:val="24"/>
              </w:rPr>
              <w:t>B48</w:t>
            </w:r>
          </w:p>
        </w:tc>
        <w:tc>
          <w:tcPr>
            <w:tcW w:w="3939" w:type="dxa"/>
            <w:tcBorders>
              <w:bottom w:val="nil"/>
            </w:tcBorders>
          </w:tcPr>
          <w:p>
            <w:pPr>
              <w:pStyle w:val="TableParagraph"/>
              <w:spacing w:before="8"/>
              <w:ind w:left="9"/>
              <w:rPr>
                <w:sz w:val="24"/>
              </w:rPr>
            </w:pPr>
            <w:r>
              <w:rPr>
                <w:sz w:val="24"/>
              </w:rPr>
              <w:t>No,</w:t>
            </w:r>
            <w:r>
              <w:rPr>
                <w:spacing w:val="-2"/>
                <w:sz w:val="24"/>
              </w:rPr>
              <w:t> </w:t>
            </w:r>
            <w:r>
              <w:rPr>
                <w:sz w:val="24"/>
              </w:rPr>
              <w:t>governments</w:t>
            </w:r>
            <w:r>
              <w:rPr>
                <w:spacing w:val="-1"/>
                <w:sz w:val="24"/>
              </w:rPr>
              <w:t> </w:t>
            </w:r>
            <w:r>
              <w:rPr>
                <w:sz w:val="24"/>
              </w:rPr>
              <w:t>do</w:t>
            </w:r>
            <w:r>
              <w:rPr>
                <w:spacing w:val="-1"/>
                <w:sz w:val="24"/>
              </w:rPr>
              <w:t> </w:t>
            </w:r>
            <w:r>
              <w:rPr>
                <w:spacing w:val="-5"/>
                <w:sz w:val="24"/>
              </w:rPr>
              <w:t>not</w:t>
            </w:r>
          </w:p>
        </w:tc>
        <w:tc>
          <w:tcPr>
            <w:tcW w:w="710" w:type="dxa"/>
            <w:tcBorders>
              <w:bottom w:val="nil"/>
            </w:tcBorders>
          </w:tcPr>
          <w:p>
            <w:pPr>
              <w:pStyle w:val="TableParagraph"/>
              <w:spacing w:before="8"/>
              <w:ind w:left="11" w:right="1"/>
              <w:jc w:val="center"/>
              <w:rPr>
                <w:sz w:val="24"/>
              </w:rPr>
            </w:pPr>
            <w:r>
              <w:rPr>
                <w:spacing w:val="-5"/>
                <w:sz w:val="24"/>
              </w:rPr>
              <w:t>234</w:t>
            </w:r>
          </w:p>
        </w:tc>
        <w:tc>
          <w:tcPr>
            <w:tcW w:w="984" w:type="dxa"/>
            <w:tcBorders>
              <w:bottom w:val="nil"/>
            </w:tcBorders>
          </w:tcPr>
          <w:p>
            <w:pPr>
              <w:pStyle w:val="TableParagraph"/>
              <w:spacing w:before="8"/>
              <w:ind w:left="18" w:right="10"/>
              <w:jc w:val="center"/>
              <w:rPr>
                <w:sz w:val="24"/>
              </w:rPr>
            </w:pPr>
            <w:r>
              <w:rPr>
                <w:spacing w:val="-4"/>
                <w:sz w:val="24"/>
              </w:rPr>
              <w:t>2.17</w:t>
            </w:r>
          </w:p>
        </w:tc>
        <w:tc>
          <w:tcPr>
            <w:tcW w:w="963" w:type="dxa"/>
            <w:tcBorders>
              <w:bottom w:val="nil"/>
            </w:tcBorders>
          </w:tcPr>
          <w:p>
            <w:pPr>
              <w:pStyle w:val="TableParagraph"/>
              <w:spacing w:before="8"/>
              <w:ind w:left="10"/>
              <w:jc w:val="center"/>
              <w:rPr>
                <w:sz w:val="24"/>
              </w:rPr>
            </w:pPr>
            <w:r>
              <w:rPr>
                <w:spacing w:val="-2"/>
                <w:sz w:val="24"/>
              </w:rPr>
              <w:t>1.026</w:t>
            </w:r>
          </w:p>
        </w:tc>
        <w:tc>
          <w:tcPr>
            <w:tcW w:w="1577" w:type="dxa"/>
            <w:tcBorders>
              <w:bottom w:val="nil"/>
            </w:tcBorders>
          </w:tcPr>
          <w:p>
            <w:pPr>
              <w:pStyle w:val="TableParagraph"/>
              <w:spacing w:before="8"/>
              <w:ind w:left="3" w:right="30"/>
              <w:jc w:val="center"/>
              <w:rPr>
                <w:sz w:val="24"/>
              </w:rPr>
            </w:pPr>
            <w:r>
              <w:rPr>
                <w:spacing w:val="-10"/>
                <w:sz w:val="24"/>
              </w:rPr>
              <w:t>D</w:t>
            </w:r>
          </w:p>
        </w:tc>
      </w:tr>
      <w:tr>
        <w:trPr>
          <w:trHeight w:val="424" w:hRule="atLeast"/>
        </w:trPr>
        <w:tc>
          <w:tcPr>
            <w:tcW w:w="864" w:type="dxa"/>
            <w:tcBorders>
              <w:top w:val="nil"/>
              <w:bottom w:val="nil"/>
            </w:tcBorders>
          </w:tcPr>
          <w:p>
            <w:pPr>
              <w:pStyle w:val="TableParagraph"/>
              <w:spacing w:before="73"/>
              <w:ind w:left="9"/>
              <w:rPr>
                <w:sz w:val="24"/>
              </w:rPr>
            </w:pPr>
            <w:r>
              <w:rPr>
                <w:spacing w:val="-5"/>
                <w:sz w:val="24"/>
              </w:rPr>
              <w:t>B49</w:t>
            </w:r>
          </w:p>
        </w:tc>
        <w:tc>
          <w:tcPr>
            <w:tcW w:w="3939" w:type="dxa"/>
            <w:tcBorders>
              <w:top w:val="nil"/>
              <w:bottom w:val="nil"/>
            </w:tcBorders>
          </w:tcPr>
          <w:p>
            <w:pPr>
              <w:pStyle w:val="TableParagraph"/>
              <w:spacing w:before="73"/>
              <w:ind w:left="9"/>
              <w:rPr>
                <w:sz w:val="24"/>
              </w:rPr>
            </w:pPr>
            <w:r>
              <w:rPr>
                <w:sz w:val="24"/>
              </w:rPr>
              <w:t>Yes,</w:t>
            </w:r>
            <w:r>
              <w:rPr>
                <w:spacing w:val="-1"/>
                <w:sz w:val="24"/>
              </w:rPr>
              <w:t> </w:t>
            </w:r>
            <w:r>
              <w:rPr>
                <w:sz w:val="24"/>
              </w:rPr>
              <w:t>governments</w:t>
            </w:r>
            <w:r>
              <w:rPr>
                <w:spacing w:val="-1"/>
                <w:sz w:val="24"/>
              </w:rPr>
              <w:t> </w:t>
            </w:r>
            <w:r>
              <w:rPr>
                <w:sz w:val="24"/>
              </w:rPr>
              <w:t>applaud</w:t>
            </w:r>
            <w:r>
              <w:rPr>
                <w:spacing w:val="-2"/>
                <w:sz w:val="24"/>
              </w:rPr>
              <w:t> </w:t>
            </w:r>
            <w:r>
              <w:rPr>
                <w:spacing w:val="-10"/>
                <w:sz w:val="24"/>
              </w:rPr>
              <w:t>&amp;</w:t>
            </w:r>
          </w:p>
        </w:tc>
        <w:tc>
          <w:tcPr>
            <w:tcW w:w="710" w:type="dxa"/>
            <w:tcBorders>
              <w:top w:val="nil"/>
              <w:bottom w:val="nil"/>
            </w:tcBorders>
          </w:tcPr>
          <w:p>
            <w:pPr>
              <w:pStyle w:val="TableParagraph"/>
              <w:rPr>
                <w:sz w:val="24"/>
              </w:rPr>
            </w:pPr>
          </w:p>
        </w:tc>
        <w:tc>
          <w:tcPr>
            <w:tcW w:w="984" w:type="dxa"/>
            <w:tcBorders>
              <w:top w:val="nil"/>
              <w:bottom w:val="nil"/>
            </w:tcBorders>
          </w:tcPr>
          <w:p>
            <w:pPr>
              <w:pStyle w:val="TableParagraph"/>
              <w:rPr>
                <w:sz w:val="24"/>
              </w:rPr>
            </w:pPr>
          </w:p>
        </w:tc>
        <w:tc>
          <w:tcPr>
            <w:tcW w:w="963" w:type="dxa"/>
            <w:tcBorders>
              <w:top w:val="nil"/>
              <w:bottom w:val="nil"/>
            </w:tcBorders>
          </w:tcPr>
          <w:p>
            <w:pPr>
              <w:pStyle w:val="TableParagraph"/>
              <w:rPr>
                <w:sz w:val="24"/>
              </w:rPr>
            </w:pPr>
          </w:p>
        </w:tc>
        <w:tc>
          <w:tcPr>
            <w:tcW w:w="1577" w:type="dxa"/>
            <w:tcBorders>
              <w:top w:val="nil"/>
              <w:bottom w:val="nil"/>
            </w:tcBorders>
          </w:tcPr>
          <w:p>
            <w:pPr>
              <w:pStyle w:val="TableParagraph"/>
              <w:rPr>
                <w:sz w:val="24"/>
              </w:rPr>
            </w:pPr>
          </w:p>
        </w:tc>
      </w:tr>
      <w:tr>
        <w:trPr>
          <w:trHeight w:val="403" w:hRule="atLeast"/>
        </w:trPr>
        <w:tc>
          <w:tcPr>
            <w:tcW w:w="864" w:type="dxa"/>
            <w:tcBorders>
              <w:top w:val="nil"/>
              <w:bottom w:val="nil"/>
            </w:tcBorders>
          </w:tcPr>
          <w:p>
            <w:pPr>
              <w:pStyle w:val="TableParagraph"/>
              <w:rPr>
                <w:sz w:val="24"/>
              </w:rPr>
            </w:pPr>
          </w:p>
        </w:tc>
        <w:tc>
          <w:tcPr>
            <w:tcW w:w="3939" w:type="dxa"/>
            <w:tcBorders>
              <w:top w:val="nil"/>
              <w:bottom w:val="nil"/>
            </w:tcBorders>
          </w:tcPr>
          <w:p>
            <w:pPr>
              <w:pStyle w:val="TableParagraph"/>
              <w:spacing w:before="65"/>
              <w:ind w:left="9"/>
              <w:rPr>
                <w:sz w:val="24"/>
              </w:rPr>
            </w:pPr>
            <w:r>
              <w:rPr>
                <w:sz w:val="24"/>
              </w:rPr>
              <w:t>embrace</w:t>
            </w:r>
            <w:r>
              <w:rPr>
                <w:spacing w:val="-3"/>
                <w:sz w:val="24"/>
              </w:rPr>
              <w:t> </w:t>
            </w:r>
            <w:r>
              <w:rPr>
                <w:spacing w:val="-5"/>
                <w:sz w:val="24"/>
              </w:rPr>
              <w:t>it.</w:t>
            </w:r>
          </w:p>
        </w:tc>
        <w:tc>
          <w:tcPr>
            <w:tcW w:w="710" w:type="dxa"/>
            <w:tcBorders>
              <w:top w:val="nil"/>
              <w:bottom w:val="nil"/>
            </w:tcBorders>
          </w:tcPr>
          <w:p>
            <w:pPr>
              <w:pStyle w:val="TableParagraph"/>
              <w:spacing w:before="65"/>
              <w:ind w:left="11" w:right="1"/>
              <w:jc w:val="center"/>
              <w:rPr>
                <w:sz w:val="24"/>
              </w:rPr>
            </w:pPr>
            <w:r>
              <w:rPr>
                <w:spacing w:val="-5"/>
                <w:sz w:val="24"/>
              </w:rPr>
              <w:t>236</w:t>
            </w:r>
          </w:p>
        </w:tc>
        <w:tc>
          <w:tcPr>
            <w:tcW w:w="984" w:type="dxa"/>
            <w:tcBorders>
              <w:top w:val="nil"/>
              <w:bottom w:val="nil"/>
            </w:tcBorders>
          </w:tcPr>
          <w:p>
            <w:pPr>
              <w:pStyle w:val="TableParagraph"/>
              <w:spacing w:before="65"/>
              <w:ind w:left="18" w:right="10"/>
              <w:jc w:val="center"/>
              <w:rPr>
                <w:sz w:val="24"/>
              </w:rPr>
            </w:pPr>
            <w:r>
              <w:rPr>
                <w:spacing w:val="-4"/>
                <w:sz w:val="24"/>
              </w:rPr>
              <w:t>3.04</w:t>
            </w:r>
          </w:p>
        </w:tc>
        <w:tc>
          <w:tcPr>
            <w:tcW w:w="963" w:type="dxa"/>
            <w:tcBorders>
              <w:top w:val="nil"/>
              <w:bottom w:val="nil"/>
            </w:tcBorders>
          </w:tcPr>
          <w:p>
            <w:pPr>
              <w:pStyle w:val="TableParagraph"/>
              <w:spacing w:before="65"/>
              <w:ind w:left="10"/>
              <w:jc w:val="center"/>
              <w:rPr>
                <w:sz w:val="24"/>
              </w:rPr>
            </w:pPr>
            <w:r>
              <w:rPr>
                <w:spacing w:val="-4"/>
                <w:sz w:val="24"/>
              </w:rPr>
              <w:t>.889</w:t>
            </w:r>
          </w:p>
        </w:tc>
        <w:tc>
          <w:tcPr>
            <w:tcW w:w="1577" w:type="dxa"/>
            <w:tcBorders>
              <w:top w:val="nil"/>
              <w:bottom w:val="nil"/>
            </w:tcBorders>
          </w:tcPr>
          <w:p>
            <w:pPr>
              <w:pStyle w:val="TableParagraph"/>
              <w:spacing w:before="65"/>
              <w:ind w:left="3" w:right="30"/>
              <w:jc w:val="center"/>
              <w:rPr>
                <w:sz w:val="24"/>
              </w:rPr>
            </w:pPr>
            <w:r>
              <w:rPr>
                <w:spacing w:val="-10"/>
                <w:sz w:val="24"/>
              </w:rPr>
              <w:t>A</w:t>
            </w:r>
          </w:p>
        </w:tc>
      </w:tr>
      <w:tr>
        <w:trPr>
          <w:trHeight w:val="409" w:hRule="atLeast"/>
        </w:trPr>
        <w:tc>
          <w:tcPr>
            <w:tcW w:w="864" w:type="dxa"/>
            <w:tcBorders>
              <w:top w:val="nil"/>
              <w:bottom w:val="nil"/>
            </w:tcBorders>
          </w:tcPr>
          <w:p>
            <w:pPr>
              <w:pStyle w:val="TableParagraph"/>
              <w:spacing w:before="51"/>
              <w:ind w:left="9"/>
              <w:rPr>
                <w:sz w:val="24"/>
              </w:rPr>
            </w:pPr>
            <w:r>
              <w:rPr>
                <w:spacing w:val="-5"/>
                <w:sz w:val="24"/>
              </w:rPr>
              <w:t>B50</w:t>
            </w:r>
          </w:p>
        </w:tc>
        <w:tc>
          <w:tcPr>
            <w:tcW w:w="3939" w:type="dxa"/>
            <w:tcBorders>
              <w:top w:val="nil"/>
              <w:bottom w:val="nil"/>
            </w:tcBorders>
          </w:tcPr>
          <w:p>
            <w:pPr>
              <w:pStyle w:val="TableParagraph"/>
              <w:spacing w:before="51"/>
              <w:ind w:left="9"/>
              <w:rPr>
                <w:sz w:val="24"/>
              </w:rPr>
            </w:pPr>
            <w:r>
              <w:rPr>
                <w:sz w:val="24"/>
              </w:rPr>
              <w:t>Governments</w:t>
            </w:r>
            <w:r>
              <w:rPr>
                <w:spacing w:val="-1"/>
                <w:sz w:val="24"/>
              </w:rPr>
              <w:t> </w:t>
            </w:r>
            <w:r>
              <w:rPr>
                <w:sz w:val="24"/>
              </w:rPr>
              <w:t>do</w:t>
            </w:r>
            <w:r>
              <w:rPr>
                <w:spacing w:val="-1"/>
                <w:sz w:val="24"/>
              </w:rPr>
              <w:t> </w:t>
            </w:r>
            <w:r>
              <w:rPr>
                <w:sz w:val="24"/>
              </w:rPr>
              <w:t>not see</w:t>
            </w:r>
            <w:r>
              <w:rPr>
                <w:spacing w:val="-2"/>
                <w:sz w:val="24"/>
              </w:rPr>
              <w:t> </w:t>
            </w:r>
            <w:r>
              <w:rPr>
                <w:sz w:val="24"/>
              </w:rPr>
              <w:t>it </w:t>
            </w:r>
            <w:r>
              <w:rPr>
                <w:spacing w:val="-5"/>
                <w:sz w:val="24"/>
              </w:rPr>
              <w:t>as</w:t>
            </w:r>
          </w:p>
        </w:tc>
        <w:tc>
          <w:tcPr>
            <w:tcW w:w="710" w:type="dxa"/>
            <w:tcBorders>
              <w:top w:val="nil"/>
              <w:bottom w:val="nil"/>
            </w:tcBorders>
          </w:tcPr>
          <w:p>
            <w:pPr>
              <w:pStyle w:val="TableParagraph"/>
              <w:rPr>
                <w:sz w:val="24"/>
              </w:rPr>
            </w:pPr>
          </w:p>
        </w:tc>
        <w:tc>
          <w:tcPr>
            <w:tcW w:w="984" w:type="dxa"/>
            <w:tcBorders>
              <w:top w:val="nil"/>
              <w:bottom w:val="nil"/>
            </w:tcBorders>
          </w:tcPr>
          <w:p>
            <w:pPr>
              <w:pStyle w:val="TableParagraph"/>
              <w:rPr>
                <w:sz w:val="24"/>
              </w:rPr>
            </w:pPr>
          </w:p>
        </w:tc>
        <w:tc>
          <w:tcPr>
            <w:tcW w:w="963" w:type="dxa"/>
            <w:tcBorders>
              <w:top w:val="nil"/>
              <w:bottom w:val="nil"/>
            </w:tcBorders>
          </w:tcPr>
          <w:p>
            <w:pPr>
              <w:pStyle w:val="TableParagraph"/>
              <w:rPr>
                <w:sz w:val="24"/>
              </w:rPr>
            </w:pPr>
          </w:p>
        </w:tc>
        <w:tc>
          <w:tcPr>
            <w:tcW w:w="1577" w:type="dxa"/>
            <w:tcBorders>
              <w:top w:val="nil"/>
              <w:bottom w:val="nil"/>
            </w:tcBorders>
          </w:tcPr>
          <w:p>
            <w:pPr>
              <w:pStyle w:val="TableParagraph"/>
              <w:rPr>
                <w:sz w:val="24"/>
              </w:rPr>
            </w:pPr>
          </w:p>
        </w:tc>
      </w:tr>
      <w:tr>
        <w:trPr>
          <w:trHeight w:val="428" w:hRule="atLeast"/>
        </w:trPr>
        <w:tc>
          <w:tcPr>
            <w:tcW w:w="864" w:type="dxa"/>
            <w:tcBorders>
              <w:top w:val="nil"/>
              <w:bottom w:val="nil"/>
            </w:tcBorders>
          </w:tcPr>
          <w:p>
            <w:pPr>
              <w:pStyle w:val="TableParagraph"/>
              <w:rPr>
                <w:sz w:val="24"/>
              </w:rPr>
            </w:pPr>
          </w:p>
        </w:tc>
        <w:tc>
          <w:tcPr>
            <w:tcW w:w="3939" w:type="dxa"/>
            <w:tcBorders>
              <w:top w:val="nil"/>
              <w:bottom w:val="nil"/>
            </w:tcBorders>
          </w:tcPr>
          <w:p>
            <w:pPr>
              <w:pStyle w:val="TableParagraph"/>
              <w:spacing w:before="71"/>
              <w:ind w:left="9"/>
              <w:rPr>
                <w:sz w:val="24"/>
              </w:rPr>
            </w:pPr>
            <w:r>
              <w:rPr>
                <w:sz w:val="24"/>
              </w:rPr>
              <w:t>a necessary</w:t>
            </w:r>
            <w:r>
              <w:rPr>
                <w:spacing w:val="-4"/>
                <w:sz w:val="24"/>
              </w:rPr>
              <w:t> </w:t>
            </w:r>
            <w:r>
              <w:rPr>
                <w:spacing w:val="-2"/>
                <w:sz w:val="24"/>
              </w:rPr>
              <w:t>mechanism.</w:t>
            </w:r>
          </w:p>
        </w:tc>
        <w:tc>
          <w:tcPr>
            <w:tcW w:w="710" w:type="dxa"/>
            <w:tcBorders>
              <w:top w:val="nil"/>
              <w:bottom w:val="nil"/>
            </w:tcBorders>
          </w:tcPr>
          <w:p>
            <w:pPr>
              <w:pStyle w:val="TableParagraph"/>
              <w:spacing w:before="71"/>
              <w:ind w:left="11" w:right="1"/>
              <w:jc w:val="center"/>
              <w:rPr>
                <w:sz w:val="24"/>
              </w:rPr>
            </w:pPr>
            <w:r>
              <w:rPr>
                <w:spacing w:val="-5"/>
                <w:sz w:val="24"/>
              </w:rPr>
              <w:t>235</w:t>
            </w:r>
          </w:p>
        </w:tc>
        <w:tc>
          <w:tcPr>
            <w:tcW w:w="984" w:type="dxa"/>
            <w:tcBorders>
              <w:top w:val="nil"/>
              <w:bottom w:val="nil"/>
            </w:tcBorders>
          </w:tcPr>
          <w:p>
            <w:pPr>
              <w:pStyle w:val="TableParagraph"/>
              <w:spacing w:before="71"/>
              <w:ind w:left="18" w:right="10"/>
              <w:jc w:val="center"/>
              <w:rPr>
                <w:sz w:val="24"/>
              </w:rPr>
            </w:pPr>
            <w:r>
              <w:rPr>
                <w:spacing w:val="-4"/>
                <w:sz w:val="24"/>
              </w:rPr>
              <w:t>2.09</w:t>
            </w:r>
          </w:p>
        </w:tc>
        <w:tc>
          <w:tcPr>
            <w:tcW w:w="963" w:type="dxa"/>
            <w:tcBorders>
              <w:top w:val="nil"/>
              <w:bottom w:val="nil"/>
            </w:tcBorders>
          </w:tcPr>
          <w:p>
            <w:pPr>
              <w:pStyle w:val="TableParagraph"/>
              <w:spacing w:before="71"/>
              <w:ind w:left="10"/>
              <w:jc w:val="center"/>
              <w:rPr>
                <w:sz w:val="24"/>
              </w:rPr>
            </w:pPr>
            <w:r>
              <w:rPr>
                <w:spacing w:val="-4"/>
                <w:sz w:val="24"/>
              </w:rPr>
              <w:t>.892</w:t>
            </w:r>
          </w:p>
        </w:tc>
        <w:tc>
          <w:tcPr>
            <w:tcW w:w="1577" w:type="dxa"/>
            <w:tcBorders>
              <w:top w:val="nil"/>
              <w:bottom w:val="nil"/>
            </w:tcBorders>
          </w:tcPr>
          <w:p>
            <w:pPr>
              <w:pStyle w:val="TableParagraph"/>
              <w:spacing w:before="71"/>
              <w:ind w:left="3" w:right="30"/>
              <w:jc w:val="center"/>
              <w:rPr>
                <w:sz w:val="24"/>
              </w:rPr>
            </w:pPr>
            <w:r>
              <w:rPr>
                <w:spacing w:val="-10"/>
                <w:sz w:val="24"/>
              </w:rPr>
              <w:t>D</w:t>
            </w:r>
          </w:p>
        </w:tc>
      </w:tr>
      <w:tr>
        <w:trPr>
          <w:trHeight w:val="412" w:hRule="atLeast"/>
        </w:trPr>
        <w:tc>
          <w:tcPr>
            <w:tcW w:w="864" w:type="dxa"/>
            <w:tcBorders>
              <w:top w:val="nil"/>
              <w:bottom w:val="nil"/>
            </w:tcBorders>
          </w:tcPr>
          <w:p>
            <w:pPr>
              <w:pStyle w:val="TableParagraph"/>
              <w:spacing w:before="70"/>
              <w:ind w:left="9"/>
              <w:rPr>
                <w:sz w:val="24"/>
              </w:rPr>
            </w:pPr>
            <w:r>
              <w:rPr>
                <w:spacing w:val="-5"/>
                <w:sz w:val="24"/>
              </w:rPr>
              <w:t>B51</w:t>
            </w:r>
          </w:p>
        </w:tc>
        <w:tc>
          <w:tcPr>
            <w:tcW w:w="3939" w:type="dxa"/>
            <w:tcBorders>
              <w:top w:val="nil"/>
              <w:bottom w:val="nil"/>
            </w:tcBorders>
          </w:tcPr>
          <w:p>
            <w:pPr>
              <w:pStyle w:val="TableParagraph"/>
              <w:spacing w:before="70"/>
              <w:ind w:left="9"/>
              <w:rPr>
                <w:sz w:val="24"/>
              </w:rPr>
            </w:pPr>
            <w:r>
              <w:rPr>
                <w:sz w:val="24"/>
              </w:rPr>
              <w:t>JTF</w:t>
            </w:r>
            <w:r>
              <w:rPr>
                <w:spacing w:val="-5"/>
                <w:sz w:val="24"/>
              </w:rPr>
              <w:t> </w:t>
            </w:r>
            <w:r>
              <w:rPr>
                <w:sz w:val="24"/>
              </w:rPr>
              <w:t>roles</w:t>
            </w:r>
            <w:r>
              <w:rPr>
                <w:spacing w:val="-1"/>
                <w:sz w:val="24"/>
              </w:rPr>
              <w:t> </w:t>
            </w:r>
            <w:r>
              <w:rPr>
                <w:sz w:val="24"/>
              </w:rPr>
              <w:t>and</w:t>
            </w:r>
            <w:r>
              <w:rPr>
                <w:spacing w:val="-1"/>
                <w:sz w:val="24"/>
              </w:rPr>
              <w:t> </w:t>
            </w:r>
            <w:r>
              <w:rPr>
                <w:sz w:val="24"/>
              </w:rPr>
              <w:t>functions</w:t>
            </w:r>
            <w:r>
              <w:rPr>
                <w:spacing w:val="2"/>
                <w:sz w:val="24"/>
              </w:rPr>
              <w:t> </w:t>
            </w:r>
            <w:r>
              <w:rPr>
                <w:spacing w:val="-4"/>
                <w:sz w:val="24"/>
              </w:rPr>
              <w:t>were</w:t>
            </w:r>
          </w:p>
        </w:tc>
        <w:tc>
          <w:tcPr>
            <w:tcW w:w="710" w:type="dxa"/>
            <w:tcBorders>
              <w:top w:val="nil"/>
              <w:bottom w:val="nil"/>
            </w:tcBorders>
          </w:tcPr>
          <w:p>
            <w:pPr>
              <w:pStyle w:val="TableParagraph"/>
              <w:rPr>
                <w:sz w:val="24"/>
              </w:rPr>
            </w:pPr>
          </w:p>
        </w:tc>
        <w:tc>
          <w:tcPr>
            <w:tcW w:w="984" w:type="dxa"/>
            <w:tcBorders>
              <w:top w:val="nil"/>
              <w:bottom w:val="nil"/>
            </w:tcBorders>
          </w:tcPr>
          <w:p>
            <w:pPr>
              <w:pStyle w:val="TableParagraph"/>
              <w:rPr>
                <w:sz w:val="24"/>
              </w:rPr>
            </w:pPr>
          </w:p>
        </w:tc>
        <w:tc>
          <w:tcPr>
            <w:tcW w:w="963" w:type="dxa"/>
            <w:tcBorders>
              <w:top w:val="nil"/>
              <w:bottom w:val="nil"/>
            </w:tcBorders>
          </w:tcPr>
          <w:p>
            <w:pPr>
              <w:pStyle w:val="TableParagraph"/>
              <w:rPr>
                <w:sz w:val="24"/>
              </w:rPr>
            </w:pPr>
          </w:p>
        </w:tc>
        <w:tc>
          <w:tcPr>
            <w:tcW w:w="1577" w:type="dxa"/>
            <w:tcBorders>
              <w:top w:val="nil"/>
              <w:bottom w:val="nil"/>
            </w:tcBorders>
          </w:tcPr>
          <w:p>
            <w:pPr>
              <w:pStyle w:val="TableParagraph"/>
              <w:rPr>
                <w:sz w:val="24"/>
              </w:rPr>
            </w:pPr>
          </w:p>
        </w:tc>
      </w:tr>
      <w:tr>
        <w:trPr>
          <w:trHeight w:val="479" w:hRule="atLeast"/>
        </w:trPr>
        <w:tc>
          <w:tcPr>
            <w:tcW w:w="864" w:type="dxa"/>
            <w:tcBorders>
              <w:top w:val="nil"/>
            </w:tcBorders>
          </w:tcPr>
          <w:p>
            <w:pPr>
              <w:pStyle w:val="TableParagraph"/>
              <w:rPr>
                <w:sz w:val="24"/>
              </w:rPr>
            </w:pPr>
          </w:p>
        </w:tc>
        <w:tc>
          <w:tcPr>
            <w:tcW w:w="3939" w:type="dxa"/>
            <w:tcBorders>
              <w:top w:val="nil"/>
            </w:tcBorders>
          </w:tcPr>
          <w:p>
            <w:pPr>
              <w:pStyle w:val="TableParagraph"/>
              <w:spacing w:before="56"/>
              <w:ind w:left="9"/>
              <w:rPr>
                <w:sz w:val="24"/>
              </w:rPr>
            </w:pPr>
            <w:r>
              <w:rPr>
                <w:sz w:val="24"/>
              </w:rPr>
              <w:t>described</w:t>
            </w:r>
            <w:r>
              <w:rPr>
                <w:spacing w:val="-1"/>
                <w:sz w:val="24"/>
              </w:rPr>
              <w:t> </w:t>
            </w:r>
            <w:r>
              <w:rPr>
                <w:sz w:val="24"/>
              </w:rPr>
              <w:t>as</w:t>
            </w:r>
            <w:r>
              <w:rPr>
                <w:spacing w:val="-2"/>
                <w:sz w:val="24"/>
              </w:rPr>
              <w:t> magnificent.</w:t>
            </w:r>
          </w:p>
        </w:tc>
        <w:tc>
          <w:tcPr>
            <w:tcW w:w="710" w:type="dxa"/>
            <w:tcBorders>
              <w:top w:val="nil"/>
            </w:tcBorders>
          </w:tcPr>
          <w:p>
            <w:pPr>
              <w:pStyle w:val="TableParagraph"/>
              <w:spacing w:before="56"/>
              <w:ind w:left="11" w:right="1"/>
              <w:jc w:val="center"/>
              <w:rPr>
                <w:sz w:val="24"/>
              </w:rPr>
            </w:pPr>
            <w:r>
              <w:rPr>
                <w:spacing w:val="-5"/>
                <w:sz w:val="24"/>
              </w:rPr>
              <w:t>233</w:t>
            </w:r>
          </w:p>
        </w:tc>
        <w:tc>
          <w:tcPr>
            <w:tcW w:w="984" w:type="dxa"/>
            <w:tcBorders>
              <w:top w:val="nil"/>
            </w:tcBorders>
          </w:tcPr>
          <w:p>
            <w:pPr>
              <w:pStyle w:val="TableParagraph"/>
              <w:spacing w:before="56"/>
              <w:ind w:left="18" w:right="10"/>
              <w:jc w:val="center"/>
              <w:rPr>
                <w:sz w:val="24"/>
              </w:rPr>
            </w:pPr>
            <w:r>
              <w:rPr>
                <w:spacing w:val="-4"/>
                <w:sz w:val="24"/>
              </w:rPr>
              <w:t>2.61</w:t>
            </w:r>
          </w:p>
        </w:tc>
        <w:tc>
          <w:tcPr>
            <w:tcW w:w="963" w:type="dxa"/>
            <w:tcBorders>
              <w:top w:val="nil"/>
            </w:tcBorders>
          </w:tcPr>
          <w:p>
            <w:pPr>
              <w:pStyle w:val="TableParagraph"/>
              <w:spacing w:before="56"/>
              <w:ind w:left="10"/>
              <w:jc w:val="center"/>
              <w:rPr>
                <w:sz w:val="24"/>
              </w:rPr>
            </w:pPr>
            <w:r>
              <w:rPr>
                <w:spacing w:val="-4"/>
                <w:sz w:val="24"/>
              </w:rPr>
              <w:t>.869</w:t>
            </w:r>
          </w:p>
        </w:tc>
        <w:tc>
          <w:tcPr>
            <w:tcW w:w="1577" w:type="dxa"/>
            <w:tcBorders>
              <w:top w:val="nil"/>
            </w:tcBorders>
          </w:tcPr>
          <w:p>
            <w:pPr>
              <w:pStyle w:val="TableParagraph"/>
              <w:spacing w:before="56"/>
              <w:ind w:left="3" w:right="30"/>
              <w:jc w:val="center"/>
              <w:rPr>
                <w:sz w:val="24"/>
              </w:rPr>
            </w:pPr>
            <w:r>
              <w:rPr>
                <w:spacing w:val="-10"/>
                <w:sz w:val="24"/>
              </w:rPr>
              <w:t>A</w:t>
            </w:r>
          </w:p>
        </w:tc>
      </w:tr>
    </w:tbl>
    <w:p>
      <w:pPr>
        <w:pStyle w:val="BodyText"/>
        <w:spacing w:before="138"/>
        <w:ind w:left="0"/>
        <w:rPr>
          <w:b/>
        </w:rPr>
      </w:pPr>
    </w:p>
    <w:p>
      <w:pPr>
        <w:pStyle w:val="BodyText"/>
        <w:spacing w:line="360" w:lineRule="auto"/>
        <w:ind w:right="1260" w:firstLine="710"/>
        <w:jc w:val="both"/>
      </w:pPr>
      <w:r>
        <w:rPr/>
        <w:t>The</w:t>
      </w:r>
      <w:r>
        <w:rPr>
          <w:spacing w:val="-3"/>
        </w:rPr>
        <w:t> </w:t>
      </w:r>
      <w:r>
        <w:rPr/>
        <w:t>preponderance</w:t>
      </w:r>
      <w:r>
        <w:rPr>
          <w:spacing w:val="-2"/>
        </w:rPr>
        <w:t> </w:t>
      </w:r>
      <w:r>
        <w:rPr/>
        <w:t>of</w:t>
      </w:r>
      <w:r>
        <w:rPr>
          <w:spacing w:val="-2"/>
        </w:rPr>
        <w:t> </w:t>
      </w:r>
      <w:r>
        <w:rPr/>
        <w:t>opinion</w:t>
      </w:r>
      <w:r>
        <w:rPr>
          <w:spacing w:val="-2"/>
        </w:rPr>
        <w:t> </w:t>
      </w:r>
      <w:r>
        <w:rPr/>
        <w:t>by</w:t>
      </w:r>
      <w:r>
        <w:rPr>
          <w:spacing w:val="-6"/>
        </w:rPr>
        <w:t> </w:t>
      </w:r>
      <w:r>
        <w:rPr/>
        <w:t>respondents</w:t>
      </w:r>
      <w:r>
        <w:rPr>
          <w:spacing w:val="-2"/>
        </w:rPr>
        <w:t> </w:t>
      </w:r>
      <w:r>
        <w:rPr/>
        <w:t>indicates</w:t>
      </w:r>
      <w:r>
        <w:rPr>
          <w:spacing w:val="-2"/>
        </w:rPr>
        <w:t> </w:t>
      </w:r>
      <w:r>
        <w:rPr/>
        <w:t>that</w:t>
      </w:r>
      <w:r>
        <w:rPr>
          <w:spacing w:val="-2"/>
        </w:rPr>
        <w:t> </w:t>
      </w:r>
      <w:r>
        <w:rPr/>
        <w:t>State</w:t>
      </w:r>
      <w:r>
        <w:rPr>
          <w:spacing w:val="-1"/>
        </w:rPr>
        <w:t> </w:t>
      </w:r>
      <w:r>
        <w:rPr/>
        <w:t>governments in the Niger Delta region perceive the JTF as a necessary peace mechanism. According to the newspapers and magazines reports/review, government response to curtailing the intractable Niger Delta conflicts is militaristic in approach. For</w:t>
      </w:r>
      <w:r>
        <w:rPr>
          <w:spacing w:val="40"/>
        </w:rPr>
        <w:t> </w:t>
      </w:r>
      <w:r>
        <w:rPr/>
        <w:t>example, attacks and militancy</w:t>
      </w:r>
      <w:r>
        <w:rPr>
          <w:spacing w:val="-3"/>
        </w:rPr>
        <w:t> </w:t>
      </w:r>
      <w:r>
        <w:rPr/>
        <w:t>in the Niger Delta region attracts militarist approaches to conflict from the Nigeria Police Force and the JTF.</w:t>
      </w:r>
    </w:p>
    <w:p>
      <w:pPr>
        <w:spacing w:after="0" w:line="360" w:lineRule="auto"/>
        <w:jc w:val="both"/>
        <w:sectPr>
          <w:pgSz w:w="11910" w:h="16840"/>
          <w:pgMar w:header="0" w:footer="1561" w:top="1760" w:bottom="1760" w:left="720" w:right="180"/>
        </w:sectPr>
      </w:pPr>
    </w:p>
    <w:p>
      <w:pPr>
        <w:pStyle w:val="ListParagraph"/>
        <w:numPr>
          <w:ilvl w:val="3"/>
          <w:numId w:val="25"/>
        </w:numPr>
        <w:tabs>
          <w:tab w:pos="2649" w:val="left" w:leader="none"/>
        </w:tabs>
        <w:spacing w:line="357" w:lineRule="auto" w:before="78" w:after="0"/>
        <w:ind w:left="1440" w:right="2101" w:firstLine="69"/>
        <w:jc w:val="left"/>
        <w:rPr>
          <w:sz w:val="24"/>
        </w:rPr>
      </w:pPr>
      <w:r>
        <w:rPr/>
        <mc:AlternateContent>
          <mc:Choice Requires="wps">
            <w:drawing>
              <wp:anchor distT="0" distB="0" distL="0" distR="0" allowOverlap="1" layoutInCell="1" locked="0" behindDoc="1" simplePos="0" relativeHeight="480674304">
                <wp:simplePos x="0" y="0"/>
                <wp:positionH relativeFrom="page">
                  <wp:posOffset>-1537026</wp:posOffset>
                </wp:positionH>
                <wp:positionV relativeFrom="page">
                  <wp:posOffset>4900424</wp:posOffset>
                </wp:positionV>
                <wp:extent cx="10669905" cy="914400"/>
                <wp:effectExtent l="0" t="0" r="0" b="0"/>
                <wp:wrapNone/>
                <wp:docPr id="308" name="Textbox 308"/>
                <wp:cNvGraphicFramePr>
                  <a:graphicFrameLocks/>
                </wp:cNvGraphicFramePr>
                <a:graphic>
                  <a:graphicData uri="http://schemas.microsoft.com/office/word/2010/wordprocessingShape">
                    <wps:wsp>
                      <wps:cNvPr id="308" name="Textbox 308"/>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42176;rotation:306" type="#_x0000_t136" fillcolor="#ff5400" stroked="f">
                <o:extrusion v:ext="view" autorotationcenter="t"/>
                <v:textpath style="font-family:&quot;Arial MT&quot;;font-size:72pt;v-text-kern:t;mso-text-shadow:auto" string="UNIVERSITY OF IBADAN"/>
                <w10:wrap type="none"/>
              </v:shape>
            </w:pict>
          </mc:Fallback>
        </mc:AlternateContent>
      </w:r>
      <w:r>
        <w:rPr>
          <w:b/>
          <w:sz w:val="24"/>
        </w:rPr>
        <w:t>RQ</w:t>
      </w:r>
      <w:r>
        <w:rPr>
          <w:b/>
          <w:spacing w:val="-4"/>
          <w:sz w:val="24"/>
        </w:rPr>
        <w:t> </w:t>
      </w:r>
      <w:r>
        <w:rPr>
          <w:b/>
          <w:sz w:val="24"/>
        </w:rPr>
        <w:t>14:</w:t>
      </w:r>
      <w:r>
        <w:rPr>
          <w:b/>
          <w:spacing w:val="-5"/>
          <w:sz w:val="24"/>
        </w:rPr>
        <w:t> </w:t>
      </w:r>
      <w:r>
        <w:rPr>
          <w:b/>
          <w:sz w:val="24"/>
        </w:rPr>
        <w:t>JTF</w:t>
      </w:r>
      <w:r>
        <w:rPr>
          <w:b/>
          <w:spacing w:val="-4"/>
          <w:sz w:val="24"/>
        </w:rPr>
        <w:t> </w:t>
      </w:r>
      <w:r>
        <w:rPr>
          <w:b/>
          <w:sz w:val="24"/>
        </w:rPr>
        <w:t>Approaches</w:t>
      </w:r>
      <w:r>
        <w:rPr>
          <w:b/>
          <w:spacing w:val="-4"/>
          <w:sz w:val="24"/>
        </w:rPr>
        <w:t> </w:t>
      </w:r>
      <w:r>
        <w:rPr>
          <w:b/>
          <w:sz w:val="24"/>
        </w:rPr>
        <w:t>in</w:t>
      </w:r>
      <w:r>
        <w:rPr>
          <w:b/>
          <w:spacing w:val="-4"/>
          <w:sz w:val="24"/>
        </w:rPr>
        <w:t> </w:t>
      </w:r>
      <w:r>
        <w:rPr>
          <w:b/>
          <w:sz w:val="24"/>
        </w:rPr>
        <w:t>Dealing</w:t>
      </w:r>
      <w:r>
        <w:rPr>
          <w:b/>
          <w:spacing w:val="-7"/>
          <w:sz w:val="24"/>
        </w:rPr>
        <w:t> </w:t>
      </w:r>
      <w:r>
        <w:rPr>
          <w:b/>
          <w:sz w:val="24"/>
        </w:rPr>
        <w:t>with</w:t>
      </w:r>
      <w:r>
        <w:rPr>
          <w:b/>
          <w:spacing w:val="-4"/>
          <w:sz w:val="24"/>
        </w:rPr>
        <w:t> </w:t>
      </w:r>
      <w:r>
        <w:rPr>
          <w:b/>
          <w:sz w:val="24"/>
        </w:rPr>
        <w:t>Niger</w:t>
      </w:r>
      <w:r>
        <w:rPr>
          <w:b/>
          <w:spacing w:val="-5"/>
          <w:sz w:val="24"/>
        </w:rPr>
        <w:t> </w:t>
      </w:r>
      <w:r>
        <w:rPr>
          <w:b/>
          <w:sz w:val="24"/>
        </w:rPr>
        <w:t>Delta</w:t>
      </w:r>
      <w:r>
        <w:rPr>
          <w:b/>
          <w:spacing w:val="-4"/>
          <w:sz w:val="24"/>
        </w:rPr>
        <w:t> </w:t>
      </w:r>
      <w:r>
        <w:rPr>
          <w:b/>
          <w:sz w:val="24"/>
        </w:rPr>
        <w:t>Conflict </w:t>
      </w:r>
      <w:r>
        <w:rPr>
          <w:sz w:val="24"/>
        </w:rPr>
        <w:t>The perception on JTF approaches in dealing with the Niger Delta conflict is presented in Table 17.</w:t>
      </w:r>
    </w:p>
    <w:p>
      <w:pPr>
        <w:pStyle w:val="Heading2"/>
        <w:tabs>
          <w:tab w:pos="2880" w:val="left" w:leader="none"/>
        </w:tabs>
        <w:spacing w:before="10"/>
      </w:pPr>
      <w:r>
        <w:rPr/>
        <w:t>Table </w:t>
      </w:r>
      <w:r>
        <w:rPr>
          <w:spacing w:val="-5"/>
        </w:rPr>
        <w:t>17:</w:t>
      </w:r>
      <w:r>
        <w:rPr/>
        <w:tab/>
        <w:t>Approaches</w:t>
      </w:r>
      <w:r>
        <w:rPr>
          <w:spacing w:val="-3"/>
        </w:rPr>
        <w:t> </w:t>
      </w:r>
      <w:r>
        <w:rPr/>
        <w:t>Adopted</w:t>
      </w:r>
      <w:r>
        <w:rPr>
          <w:spacing w:val="-1"/>
        </w:rPr>
        <w:t> </w:t>
      </w:r>
      <w:r>
        <w:rPr/>
        <w:t>by</w:t>
      </w:r>
      <w:r>
        <w:rPr>
          <w:spacing w:val="-1"/>
        </w:rPr>
        <w:t> </w:t>
      </w:r>
      <w:r>
        <w:rPr/>
        <w:t>JTF</w:t>
      </w:r>
      <w:r>
        <w:rPr>
          <w:spacing w:val="-3"/>
        </w:rPr>
        <w:t> </w:t>
      </w:r>
      <w:r>
        <w:rPr/>
        <w:t>in Dealing</w:t>
      </w:r>
      <w:r>
        <w:rPr>
          <w:spacing w:val="-1"/>
        </w:rPr>
        <w:t> </w:t>
      </w:r>
      <w:r>
        <w:rPr/>
        <w:t>With</w:t>
      </w:r>
      <w:r>
        <w:rPr>
          <w:spacing w:val="-1"/>
        </w:rPr>
        <w:t> </w:t>
      </w:r>
      <w:r>
        <w:rPr/>
        <w:t>Niger</w:t>
      </w:r>
      <w:r>
        <w:rPr>
          <w:spacing w:val="-2"/>
        </w:rPr>
        <w:t> </w:t>
      </w:r>
      <w:r>
        <w:rPr/>
        <w:t>Delta </w:t>
      </w:r>
      <w:r>
        <w:rPr>
          <w:spacing w:val="-2"/>
        </w:rPr>
        <w:t>Conflict</w:t>
      </w:r>
    </w:p>
    <w:p>
      <w:pPr>
        <w:pStyle w:val="BodyText"/>
        <w:ind w:left="0"/>
        <w:rPr>
          <w:b/>
          <w:sz w:val="12"/>
        </w:rPr>
      </w:pP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9"/>
        <w:gridCol w:w="2112"/>
        <w:gridCol w:w="799"/>
        <w:gridCol w:w="1337"/>
        <w:gridCol w:w="1020"/>
        <w:gridCol w:w="2549"/>
      </w:tblGrid>
      <w:tr>
        <w:trPr>
          <w:trHeight w:val="422" w:hRule="atLeast"/>
        </w:trPr>
        <w:tc>
          <w:tcPr>
            <w:tcW w:w="859" w:type="dxa"/>
          </w:tcPr>
          <w:p>
            <w:pPr>
              <w:pStyle w:val="TableParagraph"/>
              <w:rPr>
                <w:sz w:val="24"/>
              </w:rPr>
            </w:pPr>
          </w:p>
        </w:tc>
        <w:tc>
          <w:tcPr>
            <w:tcW w:w="2112" w:type="dxa"/>
          </w:tcPr>
          <w:p>
            <w:pPr>
              <w:pStyle w:val="TableParagraph"/>
              <w:rPr>
                <w:sz w:val="24"/>
              </w:rPr>
            </w:pPr>
          </w:p>
        </w:tc>
        <w:tc>
          <w:tcPr>
            <w:tcW w:w="799" w:type="dxa"/>
          </w:tcPr>
          <w:p>
            <w:pPr>
              <w:pStyle w:val="TableParagraph"/>
              <w:spacing w:line="275" w:lineRule="exact"/>
              <w:ind w:left="9"/>
              <w:jc w:val="center"/>
              <w:rPr>
                <w:sz w:val="24"/>
              </w:rPr>
            </w:pPr>
            <w:r>
              <w:rPr>
                <w:spacing w:val="-10"/>
                <w:sz w:val="24"/>
              </w:rPr>
              <w:t>N</w:t>
            </w:r>
          </w:p>
        </w:tc>
        <w:tc>
          <w:tcPr>
            <w:tcW w:w="1337" w:type="dxa"/>
          </w:tcPr>
          <w:p>
            <w:pPr>
              <w:pStyle w:val="TableParagraph"/>
              <w:spacing w:line="275" w:lineRule="exact"/>
              <w:ind w:left="6"/>
              <w:jc w:val="center"/>
              <w:rPr>
                <w:sz w:val="24"/>
              </w:rPr>
            </w:pPr>
            <w:r>
              <w:rPr>
                <w:spacing w:val="-4"/>
                <w:sz w:val="24"/>
              </w:rPr>
              <w:t>Mean</w:t>
            </w:r>
          </w:p>
        </w:tc>
        <w:tc>
          <w:tcPr>
            <w:tcW w:w="1020" w:type="dxa"/>
          </w:tcPr>
          <w:p>
            <w:pPr>
              <w:pStyle w:val="TableParagraph"/>
              <w:spacing w:line="275" w:lineRule="exact"/>
              <w:ind w:left="14"/>
              <w:jc w:val="center"/>
              <w:rPr>
                <w:sz w:val="24"/>
              </w:rPr>
            </w:pPr>
            <w:r>
              <w:rPr>
                <w:spacing w:val="-5"/>
                <w:sz w:val="24"/>
              </w:rPr>
              <w:t>SD</w:t>
            </w:r>
          </w:p>
        </w:tc>
        <w:tc>
          <w:tcPr>
            <w:tcW w:w="2549" w:type="dxa"/>
          </w:tcPr>
          <w:p>
            <w:pPr>
              <w:pStyle w:val="TableParagraph"/>
              <w:spacing w:line="275" w:lineRule="exact"/>
              <w:ind w:left="9" w:right="4"/>
              <w:jc w:val="center"/>
              <w:rPr>
                <w:sz w:val="24"/>
              </w:rPr>
            </w:pPr>
            <w:r>
              <w:rPr>
                <w:sz w:val="24"/>
              </w:rPr>
              <w:t>Level</w:t>
            </w:r>
            <w:r>
              <w:rPr>
                <w:spacing w:val="-4"/>
                <w:sz w:val="24"/>
              </w:rPr>
              <w:t> </w:t>
            </w:r>
            <w:r>
              <w:rPr>
                <w:sz w:val="24"/>
              </w:rPr>
              <w:t>of</w:t>
            </w:r>
            <w:r>
              <w:rPr>
                <w:spacing w:val="-1"/>
                <w:sz w:val="24"/>
              </w:rPr>
              <w:t> </w:t>
            </w:r>
            <w:r>
              <w:rPr>
                <w:spacing w:val="-2"/>
                <w:sz w:val="24"/>
              </w:rPr>
              <w:t>Agreement</w:t>
            </w:r>
          </w:p>
        </w:tc>
      </w:tr>
      <w:tr>
        <w:trPr>
          <w:trHeight w:val="417" w:hRule="atLeast"/>
        </w:trPr>
        <w:tc>
          <w:tcPr>
            <w:tcW w:w="859" w:type="dxa"/>
          </w:tcPr>
          <w:p>
            <w:pPr>
              <w:pStyle w:val="TableParagraph"/>
              <w:spacing w:line="273" w:lineRule="exact"/>
              <w:ind w:left="9"/>
              <w:jc w:val="center"/>
              <w:rPr>
                <w:sz w:val="24"/>
              </w:rPr>
            </w:pPr>
            <w:r>
              <w:rPr>
                <w:spacing w:val="-5"/>
                <w:sz w:val="24"/>
              </w:rPr>
              <w:t>B52</w:t>
            </w:r>
          </w:p>
        </w:tc>
        <w:tc>
          <w:tcPr>
            <w:tcW w:w="2112" w:type="dxa"/>
          </w:tcPr>
          <w:p>
            <w:pPr>
              <w:pStyle w:val="TableParagraph"/>
              <w:spacing w:line="273" w:lineRule="exact"/>
              <w:ind w:left="9"/>
              <w:rPr>
                <w:sz w:val="24"/>
              </w:rPr>
            </w:pPr>
            <w:r>
              <w:rPr>
                <w:sz w:val="24"/>
              </w:rPr>
              <w:t>The</w:t>
            </w:r>
            <w:r>
              <w:rPr>
                <w:spacing w:val="-3"/>
                <w:sz w:val="24"/>
              </w:rPr>
              <w:t> </w:t>
            </w:r>
            <w:r>
              <w:rPr>
                <w:sz w:val="24"/>
              </w:rPr>
              <w:t>use of </w:t>
            </w:r>
            <w:r>
              <w:rPr>
                <w:spacing w:val="-2"/>
                <w:sz w:val="24"/>
              </w:rPr>
              <w:t>force.</w:t>
            </w:r>
          </w:p>
        </w:tc>
        <w:tc>
          <w:tcPr>
            <w:tcW w:w="799" w:type="dxa"/>
          </w:tcPr>
          <w:p>
            <w:pPr>
              <w:pStyle w:val="TableParagraph"/>
              <w:spacing w:line="273" w:lineRule="exact"/>
              <w:ind w:left="9"/>
              <w:jc w:val="center"/>
              <w:rPr>
                <w:sz w:val="24"/>
              </w:rPr>
            </w:pPr>
            <w:r>
              <w:rPr>
                <w:spacing w:val="-5"/>
                <w:sz w:val="24"/>
              </w:rPr>
              <w:t>237</w:t>
            </w:r>
          </w:p>
        </w:tc>
        <w:tc>
          <w:tcPr>
            <w:tcW w:w="1337" w:type="dxa"/>
          </w:tcPr>
          <w:p>
            <w:pPr>
              <w:pStyle w:val="TableParagraph"/>
              <w:spacing w:line="273" w:lineRule="exact"/>
              <w:ind w:left="6"/>
              <w:jc w:val="center"/>
              <w:rPr>
                <w:sz w:val="24"/>
              </w:rPr>
            </w:pPr>
            <w:r>
              <w:rPr>
                <w:spacing w:val="-4"/>
                <w:sz w:val="24"/>
              </w:rPr>
              <w:t>3.28</w:t>
            </w:r>
          </w:p>
        </w:tc>
        <w:tc>
          <w:tcPr>
            <w:tcW w:w="1020" w:type="dxa"/>
          </w:tcPr>
          <w:p>
            <w:pPr>
              <w:pStyle w:val="TableParagraph"/>
              <w:spacing w:line="273" w:lineRule="exact"/>
              <w:ind w:left="14" w:right="2"/>
              <w:jc w:val="center"/>
              <w:rPr>
                <w:sz w:val="24"/>
              </w:rPr>
            </w:pPr>
            <w:r>
              <w:rPr>
                <w:spacing w:val="-4"/>
                <w:sz w:val="24"/>
              </w:rPr>
              <w:t>.863</w:t>
            </w:r>
          </w:p>
        </w:tc>
        <w:tc>
          <w:tcPr>
            <w:tcW w:w="2549" w:type="dxa"/>
          </w:tcPr>
          <w:p>
            <w:pPr>
              <w:pStyle w:val="TableParagraph"/>
              <w:spacing w:line="273" w:lineRule="exact"/>
              <w:ind w:left="9"/>
              <w:jc w:val="center"/>
              <w:rPr>
                <w:sz w:val="24"/>
              </w:rPr>
            </w:pPr>
            <w:r>
              <w:rPr>
                <w:spacing w:val="-5"/>
                <w:sz w:val="24"/>
              </w:rPr>
              <w:t>SA</w:t>
            </w:r>
          </w:p>
        </w:tc>
      </w:tr>
      <w:tr>
        <w:trPr>
          <w:trHeight w:val="342" w:hRule="atLeast"/>
        </w:trPr>
        <w:tc>
          <w:tcPr>
            <w:tcW w:w="859" w:type="dxa"/>
            <w:vMerge w:val="restart"/>
          </w:tcPr>
          <w:p>
            <w:pPr>
              <w:pStyle w:val="TableParagraph"/>
              <w:spacing w:line="273" w:lineRule="exact"/>
              <w:ind w:left="230"/>
              <w:rPr>
                <w:sz w:val="24"/>
              </w:rPr>
            </w:pPr>
            <w:r>
              <w:rPr>
                <w:spacing w:val="-5"/>
                <w:sz w:val="24"/>
              </w:rPr>
              <w:t>B53</w:t>
            </w:r>
          </w:p>
        </w:tc>
        <w:tc>
          <w:tcPr>
            <w:tcW w:w="2112" w:type="dxa"/>
            <w:tcBorders>
              <w:bottom w:val="nil"/>
            </w:tcBorders>
          </w:tcPr>
          <w:p>
            <w:pPr>
              <w:pStyle w:val="TableParagraph"/>
              <w:spacing w:line="273" w:lineRule="exact"/>
              <w:ind w:left="9"/>
              <w:rPr>
                <w:sz w:val="24"/>
              </w:rPr>
            </w:pPr>
            <w:r>
              <w:rPr>
                <w:sz w:val="24"/>
              </w:rPr>
              <w:t>The</w:t>
            </w:r>
            <w:r>
              <w:rPr>
                <w:spacing w:val="-2"/>
                <w:sz w:val="24"/>
              </w:rPr>
              <w:t> </w:t>
            </w:r>
            <w:r>
              <w:rPr>
                <w:sz w:val="24"/>
              </w:rPr>
              <w:t>use </w:t>
            </w:r>
            <w:r>
              <w:rPr>
                <w:spacing w:val="-5"/>
                <w:sz w:val="24"/>
              </w:rPr>
              <w:t>of</w:t>
            </w:r>
          </w:p>
        </w:tc>
        <w:tc>
          <w:tcPr>
            <w:tcW w:w="799" w:type="dxa"/>
            <w:vMerge w:val="restart"/>
          </w:tcPr>
          <w:p>
            <w:pPr>
              <w:pStyle w:val="TableParagraph"/>
              <w:spacing w:line="273" w:lineRule="exact"/>
              <w:ind w:left="218"/>
              <w:rPr>
                <w:sz w:val="24"/>
              </w:rPr>
            </w:pPr>
            <w:r>
              <w:rPr>
                <w:spacing w:val="-5"/>
                <w:sz w:val="24"/>
              </w:rPr>
              <w:t>237</w:t>
            </w:r>
          </w:p>
        </w:tc>
        <w:tc>
          <w:tcPr>
            <w:tcW w:w="1337" w:type="dxa"/>
            <w:vMerge w:val="restart"/>
          </w:tcPr>
          <w:p>
            <w:pPr>
              <w:pStyle w:val="TableParagraph"/>
              <w:spacing w:line="273" w:lineRule="exact"/>
              <w:ind w:left="6"/>
              <w:jc w:val="center"/>
              <w:rPr>
                <w:sz w:val="24"/>
              </w:rPr>
            </w:pPr>
            <w:r>
              <w:rPr>
                <w:spacing w:val="-4"/>
                <w:sz w:val="24"/>
              </w:rPr>
              <w:t>2.42</w:t>
            </w:r>
          </w:p>
        </w:tc>
        <w:tc>
          <w:tcPr>
            <w:tcW w:w="1020" w:type="dxa"/>
            <w:vMerge w:val="restart"/>
          </w:tcPr>
          <w:p>
            <w:pPr>
              <w:pStyle w:val="TableParagraph"/>
              <w:spacing w:line="273" w:lineRule="exact"/>
              <w:ind w:left="301"/>
              <w:rPr>
                <w:sz w:val="24"/>
              </w:rPr>
            </w:pPr>
            <w:r>
              <w:rPr>
                <w:spacing w:val="-4"/>
                <w:sz w:val="24"/>
              </w:rPr>
              <w:t>.973</w:t>
            </w:r>
          </w:p>
        </w:tc>
        <w:tc>
          <w:tcPr>
            <w:tcW w:w="2549" w:type="dxa"/>
            <w:vMerge w:val="restart"/>
          </w:tcPr>
          <w:p>
            <w:pPr>
              <w:pStyle w:val="TableParagraph"/>
              <w:spacing w:line="273" w:lineRule="exact"/>
              <w:ind w:left="8"/>
              <w:jc w:val="center"/>
              <w:rPr>
                <w:sz w:val="24"/>
              </w:rPr>
            </w:pPr>
            <w:r>
              <w:rPr>
                <w:spacing w:val="-10"/>
                <w:sz w:val="24"/>
              </w:rPr>
              <w:t>D</w:t>
            </w:r>
          </w:p>
        </w:tc>
      </w:tr>
      <w:tr>
        <w:trPr>
          <w:trHeight w:val="482" w:hRule="atLeast"/>
        </w:trPr>
        <w:tc>
          <w:tcPr>
            <w:tcW w:w="859" w:type="dxa"/>
            <w:vMerge/>
            <w:tcBorders>
              <w:top w:val="nil"/>
            </w:tcBorders>
          </w:tcPr>
          <w:p>
            <w:pPr>
              <w:rPr>
                <w:sz w:val="2"/>
                <w:szCs w:val="2"/>
              </w:rPr>
            </w:pPr>
          </w:p>
        </w:tc>
        <w:tc>
          <w:tcPr>
            <w:tcW w:w="2112" w:type="dxa"/>
            <w:tcBorders>
              <w:top w:val="nil"/>
            </w:tcBorders>
          </w:tcPr>
          <w:p>
            <w:pPr>
              <w:pStyle w:val="TableParagraph"/>
              <w:spacing w:before="59"/>
              <w:ind w:left="9"/>
              <w:rPr>
                <w:sz w:val="24"/>
              </w:rPr>
            </w:pPr>
            <w:r>
              <w:rPr>
                <w:spacing w:val="-2"/>
                <w:sz w:val="24"/>
              </w:rPr>
              <w:t>dialogue.</w:t>
            </w:r>
          </w:p>
        </w:tc>
        <w:tc>
          <w:tcPr>
            <w:tcW w:w="799" w:type="dxa"/>
            <w:vMerge/>
            <w:tcBorders>
              <w:top w:val="nil"/>
            </w:tcBorders>
          </w:tcPr>
          <w:p>
            <w:pPr>
              <w:rPr>
                <w:sz w:val="2"/>
                <w:szCs w:val="2"/>
              </w:rPr>
            </w:pPr>
          </w:p>
        </w:tc>
        <w:tc>
          <w:tcPr>
            <w:tcW w:w="1337" w:type="dxa"/>
            <w:vMerge/>
            <w:tcBorders>
              <w:top w:val="nil"/>
            </w:tcBorders>
          </w:tcPr>
          <w:p>
            <w:pPr>
              <w:rPr>
                <w:sz w:val="2"/>
                <w:szCs w:val="2"/>
              </w:rPr>
            </w:pPr>
          </w:p>
        </w:tc>
        <w:tc>
          <w:tcPr>
            <w:tcW w:w="1020" w:type="dxa"/>
            <w:vMerge/>
            <w:tcBorders>
              <w:top w:val="nil"/>
            </w:tcBorders>
          </w:tcPr>
          <w:p>
            <w:pPr>
              <w:rPr>
                <w:sz w:val="2"/>
                <w:szCs w:val="2"/>
              </w:rPr>
            </w:pPr>
          </w:p>
        </w:tc>
        <w:tc>
          <w:tcPr>
            <w:tcW w:w="2549" w:type="dxa"/>
            <w:vMerge/>
            <w:tcBorders>
              <w:top w:val="nil"/>
            </w:tcBorders>
          </w:tcPr>
          <w:p>
            <w:pPr>
              <w:rPr>
                <w:sz w:val="2"/>
                <w:szCs w:val="2"/>
              </w:rPr>
            </w:pPr>
          </w:p>
        </w:tc>
      </w:tr>
      <w:tr>
        <w:trPr>
          <w:trHeight w:val="417" w:hRule="atLeast"/>
        </w:trPr>
        <w:tc>
          <w:tcPr>
            <w:tcW w:w="859" w:type="dxa"/>
          </w:tcPr>
          <w:p>
            <w:pPr>
              <w:pStyle w:val="TableParagraph"/>
              <w:spacing w:line="273" w:lineRule="exact"/>
              <w:ind w:left="9"/>
              <w:jc w:val="center"/>
              <w:rPr>
                <w:sz w:val="24"/>
              </w:rPr>
            </w:pPr>
            <w:r>
              <w:rPr>
                <w:spacing w:val="-5"/>
                <w:sz w:val="24"/>
              </w:rPr>
              <w:t>B54</w:t>
            </w:r>
          </w:p>
        </w:tc>
        <w:tc>
          <w:tcPr>
            <w:tcW w:w="2112" w:type="dxa"/>
          </w:tcPr>
          <w:p>
            <w:pPr>
              <w:pStyle w:val="TableParagraph"/>
              <w:spacing w:line="273" w:lineRule="exact"/>
              <w:ind w:left="9"/>
              <w:rPr>
                <w:sz w:val="24"/>
              </w:rPr>
            </w:pPr>
            <w:r>
              <w:rPr>
                <w:sz w:val="24"/>
              </w:rPr>
              <w:t>Use</w:t>
            </w:r>
            <w:r>
              <w:rPr>
                <w:spacing w:val="-2"/>
                <w:sz w:val="24"/>
              </w:rPr>
              <w:t> </w:t>
            </w:r>
            <w:r>
              <w:rPr>
                <w:sz w:val="24"/>
              </w:rPr>
              <w:t>of </w:t>
            </w:r>
            <w:r>
              <w:rPr>
                <w:spacing w:val="-2"/>
                <w:sz w:val="24"/>
              </w:rPr>
              <w:t>negotiation.</w:t>
            </w:r>
          </w:p>
        </w:tc>
        <w:tc>
          <w:tcPr>
            <w:tcW w:w="799" w:type="dxa"/>
          </w:tcPr>
          <w:p>
            <w:pPr>
              <w:pStyle w:val="TableParagraph"/>
              <w:spacing w:line="273" w:lineRule="exact"/>
              <w:ind w:left="9"/>
              <w:jc w:val="center"/>
              <w:rPr>
                <w:sz w:val="24"/>
              </w:rPr>
            </w:pPr>
            <w:r>
              <w:rPr>
                <w:spacing w:val="-5"/>
                <w:sz w:val="24"/>
              </w:rPr>
              <w:t>237</w:t>
            </w:r>
          </w:p>
        </w:tc>
        <w:tc>
          <w:tcPr>
            <w:tcW w:w="1337" w:type="dxa"/>
          </w:tcPr>
          <w:p>
            <w:pPr>
              <w:pStyle w:val="TableParagraph"/>
              <w:spacing w:line="273" w:lineRule="exact"/>
              <w:ind w:left="6"/>
              <w:jc w:val="center"/>
              <w:rPr>
                <w:sz w:val="24"/>
              </w:rPr>
            </w:pPr>
            <w:r>
              <w:rPr>
                <w:spacing w:val="-4"/>
                <w:sz w:val="24"/>
              </w:rPr>
              <w:t>2.28</w:t>
            </w:r>
          </w:p>
        </w:tc>
        <w:tc>
          <w:tcPr>
            <w:tcW w:w="1020" w:type="dxa"/>
          </w:tcPr>
          <w:p>
            <w:pPr>
              <w:pStyle w:val="TableParagraph"/>
              <w:spacing w:line="273" w:lineRule="exact"/>
              <w:ind w:left="14" w:right="2"/>
              <w:jc w:val="center"/>
              <w:rPr>
                <w:sz w:val="24"/>
              </w:rPr>
            </w:pPr>
            <w:r>
              <w:rPr>
                <w:spacing w:val="-4"/>
                <w:sz w:val="24"/>
              </w:rPr>
              <w:t>.938</w:t>
            </w:r>
          </w:p>
        </w:tc>
        <w:tc>
          <w:tcPr>
            <w:tcW w:w="2549" w:type="dxa"/>
          </w:tcPr>
          <w:p>
            <w:pPr>
              <w:pStyle w:val="TableParagraph"/>
              <w:spacing w:line="273" w:lineRule="exact"/>
              <w:ind w:left="9" w:right="1"/>
              <w:jc w:val="center"/>
              <w:rPr>
                <w:sz w:val="24"/>
              </w:rPr>
            </w:pPr>
            <w:r>
              <w:rPr>
                <w:spacing w:val="-10"/>
                <w:sz w:val="24"/>
              </w:rPr>
              <w:t>D</w:t>
            </w:r>
          </w:p>
        </w:tc>
      </w:tr>
      <w:tr>
        <w:trPr>
          <w:trHeight w:val="422" w:hRule="atLeast"/>
        </w:trPr>
        <w:tc>
          <w:tcPr>
            <w:tcW w:w="859" w:type="dxa"/>
          </w:tcPr>
          <w:p>
            <w:pPr>
              <w:pStyle w:val="TableParagraph"/>
              <w:spacing w:line="275" w:lineRule="exact"/>
              <w:ind w:left="9"/>
              <w:jc w:val="center"/>
              <w:rPr>
                <w:sz w:val="24"/>
              </w:rPr>
            </w:pPr>
            <w:r>
              <w:rPr>
                <w:spacing w:val="-5"/>
                <w:sz w:val="24"/>
              </w:rPr>
              <w:t>B55</w:t>
            </w:r>
          </w:p>
        </w:tc>
        <w:tc>
          <w:tcPr>
            <w:tcW w:w="2112" w:type="dxa"/>
          </w:tcPr>
          <w:p>
            <w:pPr>
              <w:pStyle w:val="TableParagraph"/>
              <w:spacing w:line="275" w:lineRule="exact"/>
              <w:ind w:left="9"/>
              <w:rPr>
                <w:sz w:val="24"/>
              </w:rPr>
            </w:pPr>
            <w:r>
              <w:rPr>
                <w:sz w:val="24"/>
              </w:rPr>
              <w:t>All of the</w:t>
            </w:r>
            <w:r>
              <w:rPr>
                <w:spacing w:val="-1"/>
                <w:sz w:val="24"/>
              </w:rPr>
              <w:t> </w:t>
            </w:r>
            <w:r>
              <w:rPr>
                <w:spacing w:val="-2"/>
                <w:sz w:val="24"/>
              </w:rPr>
              <w:t>above.</w:t>
            </w:r>
          </w:p>
        </w:tc>
        <w:tc>
          <w:tcPr>
            <w:tcW w:w="799" w:type="dxa"/>
          </w:tcPr>
          <w:p>
            <w:pPr>
              <w:pStyle w:val="TableParagraph"/>
              <w:spacing w:line="275" w:lineRule="exact"/>
              <w:ind w:left="9"/>
              <w:jc w:val="center"/>
              <w:rPr>
                <w:sz w:val="24"/>
              </w:rPr>
            </w:pPr>
            <w:r>
              <w:rPr>
                <w:spacing w:val="-5"/>
                <w:sz w:val="24"/>
              </w:rPr>
              <w:t>214</w:t>
            </w:r>
          </w:p>
        </w:tc>
        <w:tc>
          <w:tcPr>
            <w:tcW w:w="1337" w:type="dxa"/>
          </w:tcPr>
          <w:p>
            <w:pPr>
              <w:pStyle w:val="TableParagraph"/>
              <w:spacing w:line="275" w:lineRule="exact"/>
              <w:ind w:left="6"/>
              <w:jc w:val="center"/>
              <w:rPr>
                <w:sz w:val="24"/>
              </w:rPr>
            </w:pPr>
            <w:r>
              <w:rPr>
                <w:spacing w:val="-4"/>
                <w:sz w:val="24"/>
              </w:rPr>
              <w:t>2.42</w:t>
            </w:r>
          </w:p>
        </w:tc>
        <w:tc>
          <w:tcPr>
            <w:tcW w:w="1020" w:type="dxa"/>
          </w:tcPr>
          <w:p>
            <w:pPr>
              <w:pStyle w:val="TableParagraph"/>
              <w:spacing w:line="275" w:lineRule="exact"/>
              <w:ind w:left="14" w:right="2"/>
              <w:jc w:val="center"/>
              <w:rPr>
                <w:sz w:val="24"/>
              </w:rPr>
            </w:pPr>
            <w:r>
              <w:rPr>
                <w:spacing w:val="-4"/>
                <w:sz w:val="24"/>
              </w:rPr>
              <w:t>.974</w:t>
            </w:r>
          </w:p>
        </w:tc>
        <w:tc>
          <w:tcPr>
            <w:tcW w:w="2549" w:type="dxa"/>
          </w:tcPr>
          <w:p>
            <w:pPr>
              <w:pStyle w:val="TableParagraph"/>
              <w:spacing w:line="275" w:lineRule="exact"/>
              <w:ind w:left="9" w:right="1"/>
              <w:jc w:val="center"/>
              <w:rPr>
                <w:sz w:val="24"/>
              </w:rPr>
            </w:pPr>
            <w:r>
              <w:rPr>
                <w:spacing w:val="-10"/>
                <w:sz w:val="24"/>
              </w:rPr>
              <w:t>D</w:t>
            </w:r>
          </w:p>
        </w:tc>
      </w:tr>
    </w:tbl>
    <w:p>
      <w:pPr>
        <w:pStyle w:val="BodyText"/>
        <w:spacing w:line="360" w:lineRule="auto" w:before="235"/>
        <w:ind w:right="1254" w:firstLine="720"/>
        <w:jc w:val="both"/>
      </w:pPr>
      <w:r>
        <w:rPr/>
        <w:t>From the data presented on Table 17, there are divergent views on the approaches adopted</w:t>
      </w:r>
      <w:r>
        <w:rPr>
          <w:spacing w:val="-1"/>
        </w:rPr>
        <w:t> </w:t>
      </w:r>
      <w:r>
        <w:rPr/>
        <w:t>by</w:t>
      </w:r>
      <w:r>
        <w:rPr>
          <w:spacing w:val="-5"/>
        </w:rPr>
        <w:t> </w:t>
      </w:r>
      <w:r>
        <w:rPr/>
        <w:t>JTF</w:t>
      </w:r>
      <w:r>
        <w:rPr>
          <w:spacing w:val="-2"/>
        </w:rPr>
        <w:t> </w:t>
      </w:r>
      <w:r>
        <w:rPr/>
        <w:t>in dealing</w:t>
      </w:r>
      <w:r>
        <w:rPr>
          <w:spacing w:val="-3"/>
        </w:rPr>
        <w:t> </w:t>
      </w:r>
      <w:r>
        <w:rPr/>
        <w:t>with the</w:t>
      </w:r>
      <w:r>
        <w:rPr>
          <w:spacing w:val="-1"/>
        </w:rPr>
        <w:t> </w:t>
      </w:r>
      <w:r>
        <w:rPr/>
        <w:t>Niger</w:t>
      </w:r>
      <w:r>
        <w:rPr>
          <w:spacing w:val="-1"/>
        </w:rPr>
        <w:t> </w:t>
      </w:r>
      <w:r>
        <w:rPr/>
        <w:t>Delta</w:t>
      </w:r>
      <w:r>
        <w:rPr>
          <w:spacing w:val="-1"/>
        </w:rPr>
        <w:t> </w:t>
      </w:r>
      <w:r>
        <w:rPr/>
        <w:t>conflict.</w:t>
      </w:r>
      <w:r>
        <w:rPr>
          <w:spacing w:val="-1"/>
        </w:rPr>
        <w:t> </w:t>
      </w:r>
      <w:r>
        <w:rPr/>
        <w:t>Most respondents strongly agree that the JTF adopted the use of force in dealing with the Niger Delta conflict. However, according to the Newspapers and Magazines reports/review, military actions by the JTF caused collateral damages involving loss of lives and properties (civilian and military casualties), material damages to installations, displacement of civilian population amongst others (</w:t>
      </w:r>
      <w:r>
        <w:rPr>
          <w:i/>
        </w:rPr>
        <w:t>Sunday Sun</w:t>
      </w:r>
      <w:r>
        <w:rPr/>
        <w:t>, May 24, 2009: 4; </w:t>
      </w:r>
      <w:r>
        <w:rPr>
          <w:i/>
        </w:rPr>
        <w:t>Sunday Sun</w:t>
      </w:r>
      <w:r>
        <w:rPr/>
        <w:t>, December 9, 2010; The Nation, May 12, 2011; </w:t>
      </w:r>
      <w:r>
        <w:rPr>
          <w:i/>
        </w:rPr>
        <w:t>Newswatch</w:t>
      </w:r>
      <w:r>
        <w:rPr/>
        <w:t>, June 8,</w:t>
      </w:r>
      <w:r>
        <w:rPr>
          <w:spacing w:val="80"/>
        </w:rPr>
        <w:t> </w:t>
      </w:r>
      <w:r>
        <w:rPr/>
        <w:t>2009: 38-43).</w:t>
      </w:r>
      <w:r>
        <w:rPr>
          <w:spacing w:val="40"/>
        </w:rPr>
        <w:t> </w:t>
      </w:r>
      <w:r>
        <w:rPr/>
        <w:t>Likewise, respondents generally disagree on the notion that the JTF uses dialogue and negotiations in dealing with the Niger Delta conflict. This rendition attests to what is reported in literature that violent conflicts in the Niger Delta region have been seen by the Federal government, from a standpoint of containment and suppression and therefore have been the primary objectives rather than long-term conflict resolution. However, this claim by respondents contradicts the findings from the JTF personnel‟s oral interviews conducted during fieldwork.</w:t>
      </w:r>
    </w:p>
    <w:p>
      <w:pPr>
        <w:pStyle w:val="BodyText"/>
        <w:spacing w:line="362" w:lineRule="auto"/>
        <w:ind w:right="1263" w:firstLine="720"/>
        <w:jc w:val="both"/>
      </w:pPr>
      <w:r>
        <w:rPr/>
        <w:t>Most of the JTF commanders and key personnel's responses during the oral interview noted that:</w:t>
      </w:r>
    </w:p>
    <w:p>
      <w:pPr>
        <w:pStyle w:val="BodyText"/>
        <w:spacing w:line="360" w:lineRule="auto"/>
        <w:ind w:right="1257"/>
        <w:jc w:val="both"/>
      </w:pPr>
      <w:r>
        <w:rPr/>
        <w:t>“The JTF conducted its operations primarily through dialogues and diplomacy, use of aggressive patrols, insertion of troops between warring ethnic factions, provision of static guards to oil/gas facilities, surveillance patrols, escort of VIPs and oil/gas services/personnel,</w:t>
      </w:r>
      <w:r>
        <w:rPr>
          <w:spacing w:val="10"/>
        </w:rPr>
        <w:t> </w:t>
      </w:r>
      <w:r>
        <w:rPr/>
        <w:t>mounting</w:t>
      </w:r>
      <w:r>
        <w:rPr>
          <w:spacing w:val="11"/>
        </w:rPr>
        <w:t> </w:t>
      </w:r>
      <w:r>
        <w:rPr/>
        <w:t>of</w:t>
      </w:r>
      <w:r>
        <w:rPr>
          <w:spacing w:val="12"/>
        </w:rPr>
        <w:t> </w:t>
      </w:r>
      <w:r>
        <w:rPr/>
        <w:t>road</w:t>
      </w:r>
      <w:r>
        <w:rPr>
          <w:spacing w:val="12"/>
        </w:rPr>
        <w:t> </w:t>
      </w:r>
      <w:r>
        <w:rPr/>
        <w:t>blocks</w:t>
      </w:r>
      <w:r>
        <w:rPr>
          <w:spacing w:val="12"/>
        </w:rPr>
        <w:t> </w:t>
      </w:r>
      <w:r>
        <w:rPr/>
        <w:t>and</w:t>
      </w:r>
      <w:r>
        <w:rPr>
          <w:spacing w:val="15"/>
        </w:rPr>
        <w:t> </w:t>
      </w:r>
      <w:r>
        <w:rPr/>
        <w:t>occasional</w:t>
      </w:r>
      <w:r>
        <w:rPr>
          <w:spacing w:val="13"/>
        </w:rPr>
        <w:t> </w:t>
      </w:r>
      <w:r>
        <w:rPr/>
        <w:t>use</w:t>
      </w:r>
      <w:r>
        <w:rPr>
          <w:spacing w:val="11"/>
        </w:rPr>
        <w:t> </w:t>
      </w:r>
      <w:r>
        <w:rPr/>
        <w:t>of</w:t>
      </w:r>
      <w:r>
        <w:rPr>
          <w:spacing w:val="12"/>
        </w:rPr>
        <w:t> </w:t>
      </w:r>
      <w:r>
        <w:rPr/>
        <w:t>minimum</w:t>
      </w:r>
      <w:r>
        <w:rPr>
          <w:spacing w:val="13"/>
        </w:rPr>
        <w:t> </w:t>
      </w:r>
      <w:r>
        <w:rPr/>
        <w:t>force</w:t>
      </w:r>
      <w:r>
        <w:rPr>
          <w:spacing w:val="12"/>
        </w:rPr>
        <w:t> </w:t>
      </w:r>
      <w:r>
        <w:rPr>
          <w:spacing w:val="-5"/>
        </w:rPr>
        <w:t>to</w:t>
      </w:r>
    </w:p>
    <w:p>
      <w:pPr>
        <w:spacing w:after="0" w:line="360" w:lineRule="auto"/>
        <w:jc w:val="both"/>
        <w:sectPr>
          <w:pgSz w:w="11910" w:h="16840"/>
          <w:pgMar w:header="0" w:footer="1561" w:top="1760" w:bottom="1760" w:left="720" w:right="180"/>
        </w:sectPr>
      </w:pPr>
    </w:p>
    <w:p>
      <w:pPr>
        <w:pStyle w:val="BodyText"/>
        <w:spacing w:before="60"/>
        <w:jc w:val="both"/>
      </w:pPr>
      <w:r>
        <w:rPr/>
        <mc:AlternateContent>
          <mc:Choice Requires="wps">
            <w:drawing>
              <wp:anchor distT="0" distB="0" distL="0" distR="0" allowOverlap="1" layoutInCell="1" locked="0" behindDoc="1" simplePos="0" relativeHeight="480674816">
                <wp:simplePos x="0" y="0"/>
                <wp:positionH relativeFrom="page">
                  <wp:posOffset>-1537026</wp:posOffset>
                </wp:positionH>
                <wp:positionV relativeFrom="page">
                  <wp:posOffset>4900424</wp:posOffset>
                </wp:positionV>
                <wp:extent cx="10669905" cy="914400"/>
                <wp:effectExtent l="0" t="0" r="0" b="0"/>
                <wp:wrapNone/>
                <wp:docPr id="309" name="Textbox 309"/>
                <wp:cNvGraphicFramePr>
                  <a:graphicFrameLocks/>
                </wp:cNvGraphicFramePr>
                <a:graphic>
                  <a:graphicData uri="http://schemas.microsoft.com/office/word/2010/wordprocessingShape">
                    <wps:wsp>
                      <wps:cNvPr id="309" name="Textbox 309"/>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41664;rotation:306" type="#_x0000_t136" fillcolor="#ff5400" stroked="f">
                <o:extrusion v:ext="view" autorotationcenter="t"/>
                <v:textpath style="font-family:&quot;Arial MT&quot;;font-size:72pt;v-text-kern:t;mso-text-shadow:auto" string="UNIVERSITY OF IBADAN"/>
                <w10:wrap type="none"/>
              </v:shape>
            </w:pict>
          </mc:Fallback>
        </mc:AlternateContent>
      </w:r>
      <w:r>
        <w:rPr/>
        <w:t>dislodge</w:t>
      </w:r>
      <w:r>
        <w:rPr>
          <w:spacing w:val="-3"/>
        </w:rPr>
        <w:t> </w:t>
      </w:r>
      <w:r>
        <w:rPr/>
        <w:t>criminals</w:t>
      </w:r>
      <w:r>
        <w:rPr>
          <w:spacing w:val="-1"/>
        </w:rPr>
        <w:t> </w:t>
      </w:r>
      <w:r>
        <w:rPr/>
        <w:t>from</w:t>
      </w:r>
      <w:r>
        <w:rPr>
          <w:spacing w:val="-1"/>
        </w:rPr>
        <w:t> </w:t>
      </w:r>
      <w:r>
        <w:rPr>
          <w:spacing w:val="-2"/>
        </w:rPr>
        <w:t>hideouts/camps”.</w:t>
      </w:r>
    </w:p>
    <w:p>
      <w:pPr>
        <w:pStyle w:val="BodyText"/>
        <w:spacing w:line="360" w:lineRule="auto" w:before="138"/>
        <w:ind w:right="1255" w:firstLine="720"/>
        <w:jc w:val="both"/>
      </w:pPr>
      <w:r>
        <w:rPr/>
        <w:t>One</w:t>
      </w:r>
      <w:r>
        <w:rPr>
          <w:spacing w:val="-1"/>
        </w:rPr>
        <w:t> </w:t>
      </w:r>
      <w:r>
        <w:rPr/>
        <w:t>thing</w:t>
      </w:r>
      <w:r>
        <w:rPr>
          <w:spacing w:val="-2"/>
        </w:rPr>
        <w:t> </w:t>
      </w:r>
      <w:r>
        <w:rPr/>
        <w:t>that came out clearly</w:t>
      </w:r>
      <w:r>
        <w:rPr>
          <w:spacing w:val="-4"/>
        </w:rPr>
        <w:t> </w:t>
      </w:r>
      <w:r>
        <w:rPr/>
        <w:t>from the foregoing</w:t>
      </w:r>
      <w:r>
        <w:rPr>
          <w:spacing w:val="-2"/>
        </w:rPr>
        <w:t> </w:t>
      </w:r>
      <w:r>
        <w:rPr/>
        <w:t>analysis is that it is not</w:t>
      </w:r>
      <w:r>
        <w:rPr>
          <w:spacing w:val="-1"/>
        </w:rPr>
        <w:t> </w:t>
      </w:r>
      <w:r>
        <w:rPr/>
        <w:t>just enough to manage the latent conflict in the Niger Delta, it is equally important to dwell more on preventive strategies. Likewise, there have been persistent calls for government and other stakeholders to evolve an integrated approach to conflict management for sustainable peace and development in the region.</w:t>
      </w:r>
    </w:p>
    <w:p>
      <w:pPr>
        <w:pStyle w:val="BodyText"/>
        <w:spacing w:line="360" w:lineRule="auto" w:before="1"/>
        <w:ind w:right="1256" w:firstLine="720"/>
        <w:jc w:val="both"/>
      </w:pPr>
      <w:r>
        <w:rPr/>
        <w:t>Taking the issue of use of force by the JTF in dealing with conflict in the</w:t>
      </w:r>
      <w:r>
        <w:rPr>
          <w:spacing w:val="40"/>
        </w:rPr>
        <w:t> </w:t>
      </w:r>
      <w:r>
        <w:rPr/>
        <w:t>Niger Delta on a State by State basis, results of ANOVA indicates differences among the state (f=8.342,p=000). However, the agreement with this view is maintained with each state as shown by the mean values - Bayelsa (3.01), Delta (3.35) and Rivers </w:t>
      </w:r>
      <w:r>
        <w:rPr>
          <w:spacing w:val="-2"/>
        </w:rPr>
        <w:t>(3.54).</w:t>
      </w:r>
    </w:p>
    <w:p>
      <w:pPr>
        <w:pStyle w:val="BodyText"/>
        <w:spacing w:line="360" w:lineRule="auto"/>
        <w:ind w:right="1257" w:firstLine="720"/>
        <w:jc w:val="both"/>
      </w:pPr>
      <w:r>
        <w:rPr/>
        <w:t>Considering the gender of respondents, results of the t-test shown in appendix 10</w:t>
      </w:r>
      <w:r>
        <w:rPr>
          <w:spacing w:val="-1"/>
        </w:rPr>
        <w:t> </w:t>
      </w:r>
      <w:r>
        <w:rPr/>
        <w:t>indicates</w:t>
      </w:r>
      <w:r>
        <w:rPr>
          <w:spacing w:val="-1"/>
        </w:rPr>
        <w:t> </w:t>
      </w:r>
      <w:r>
        <w:rPr/>
        <w:t>that</w:t>
      </w:r>
      <w:r>
        <w:rPr>
          <w:spacing w:val="2"/>
        </w:rPr>
        <w:t> </w:t>
      </w:r>
      <w:r>
        <w:rPr/>
        <w:t>gender is not</w:t>
      </w:r>
      <w:r>
        <w:rPr>
          <w:spacing w:val="-1"/>
        </w:rPr>
        <w:t> </w:t>
      </w:r>
      <w:r>
        <w:rPr/>
        <w:t>a factor</w:t>
      </w:r>
      <w:r>
        <w:rPr>
          <w:spacing w:val="-1"/>
        </w:rPr>
        <w:t> </w:t>
      </w:r>
      <w:r>
        <w:rPr/>
        <w:t>in</w:t>
      </w:r>
      <w:r>
        <w:rPr>
          <w:spacing w:val="1"/>
        </w:rPr>
        <w:t> </w:t>
      </w:r>
      <w:r>
        <w:rPr/>
        <w:t>forming</w:t>
      </w:r>
      <w:r>
        <w:rPr>
          <w:spacing w:val="-1"/>
        </w:rPr>
        <w:t> </w:t>
      </w:r>
      <w:r>
        <w:rPr/>
        <w:t>the</w:t>
      </w:r>
      <w:r>
        <w:rPr>
          <w:spacing w:val="-1"/>
        </w:rPr>
        <w:t> </w:t>
      </w:r>
      <w:r>
        <w:rPr/>
        <w:t>perception; (t-value =</w:t>
      </w:r>
      <w:r>
        <w:rPr>
          <w:spacing w:val="1"/>
        </w:rPr>
        <w:t> </w:t>
      </w:r>
      <w:r>
        <w:rPr/>
        <w:t>.980</w:t>
      </w:r>
      <w:r>
        <w:rPr>
          <w:spacing w:val="-1"/>
        </w:rPr>
        <w:t> </w:t>
      </w:r>
      <w:r>
        <w:rPr/>
        <w:t>and </w:t>
      </w:r>
      <w:r>
        <w:rPr>
          <w:spacing w:val="-10"/>
        </w:rPr>
        <w:t>p</w:t>
      </w:r>
    </w:p>
    <w:p>
      <w:pPr>
        <w:pStyle w:val="BodyText"/>
        <w:spacing w:line="360" w:lineRule="auto"/>
        <w:ind w:right="1260"/>
        <w:jc w:val="both"/>
      </w:pPr>
      <w:r>
        <w:rPr/>
        <w:t>= .328).</w:t>
      </w:r>
      <w:r>
        <w:rPr>
          <w:spacing w:val="40"/>
        </w:rPr>
        <w:t> </w:t>
      </w:r>
      <w:r>
        <w:rPr/>
        <w:t>Likewise, the </w:t>
      </w:r>
      <w:r>
        <w:rPr>
          <w:i/>
        </w:rPr>
        <w:t>ANOVA </w:t>
      </w:r>
      <w:r>
        <w:rPr/>
        <w:t>result for age group of respondents shows that age is not a significant factor in this view (f = 1.383, P = .241).</w:t>
      </w:r>
    </w:p>
    <w:p>
      <w:pPr>
        <w:pStyle w:val="BodyText"/>
        <w:spacing w:line="360" w:lineRule="auto"/>
        <w:ind w:right="1257" w:firstLine="494"/>
        <w:jc w:val="both"/>
      </w:pPr>
      <w:r>
        <w:rPr/>
        <w:t>Respondents were asked to indicate whether the JTF uses dialogue in dealing with the Niger Delta conflict.</w:t>
      </w:r>
      <w:r>
        <w:rPr>
          <w:spacing w:val="40"/>
        </w:rPr>
        <w:t> </w:t>
      </w:r>
      <w:r>
        <w:rPr/>
        <w:t>From the data presented in Table 23, the respondents generally disagree with the view. Across the States, results of </w:t>
      </w:r>
      <w:r>
        <w:rPr>
          <w:i/>
        </w:rPr>
        <w:t>ANOVA</w:t>
      </w:r>
      <w:r>
        <w:rPr>
          <w:i/>
          <w:spacing w:val="40"/>
        </w:rPr>
        <w:t> </w:t>
      </w:r>
      <w:r>
        <w:rPr/>
        <w:t>indicate significant differences amongst the States (f = 36.598, P = .000. However, there is a divergent view by respondents from Bayelsa States that shows agreement with the perception that the JTF equally</w:t>
      </w:r>
      <w:r>
        <w:rPr>
          <w:spacing w:val="-3"/>
        </w:rPr>
        <w:t> </w:t>
      </w:r>
      <w:r>
        <w:rPr/>
        <w:t>uses dialogue in dealing with the Niger Delta conflict. A look at the mean values revealed the results in Table 24.</w:t>
      </w:r>
    </w:p>
    <w:p>
      <w:pPr>
        <w:pStyle w:val="BodyText"/>
        <w:spacing w:before="143"/>
        <w:ind w:left="0"/>
      </w:pPr>
    </w:p>
    <w:p>
      <w:pPr>
        <w:pStyle w:val="Heading2"/>
        <w:jc w:val="both"/>
      </w:pPr>
      <w:r>
        <w:rPr/>
        <w:t>Table</w:t>
      </w:r>
      <w:r>
        <w:rPr>
          <w:spacing w:val="-4"/>
        </w:rPr>
        <w:t> </w:t>
      </w:r>
      <w:r>
        <w:rPr/>
        <w:t>18:</w:t>
      </w:r>
      <w:r>
        <w:rPr>
          <w:spacing w:val="-4"/>
        </w:rPr>
        <w:t> </w:t>
      </w:r>
      <w:r>
        <w:rPr/>
        <w:t>Mean</w:t>
      </w:r>
      <w:r>
        <w:rPr>
          <w:spacing w:val="-1"/>
        </w:rPr>
        <w:t> </w:t>
      </w:r>
      <w:r>
        <w:rPr/>
        <w:t>Showing</w:t>
      </w:r>
      <w:r>
        <w:rPr>
          <w:spacing w:val="-2"/>
        </w:rPr>
        <w:t> </w:t>
      </w:r>
      <w:r>
        <w:rPr/>
        <w:t>Differences</w:t>
      </w:r>
      <w:r>
        <w:rPr>
          <w:spacing w:val="-1"/>
        </w:rPr>
        <w:t> </w:t>
      </w:r>
      <w:r>
        <w:rPr/>
        <w:t>in</w:t>
      </w:r>
      <w:r>
        <w:rPr>
          <w:spacing w:val="-1"/>
        </w:rPr>
        <w:t> </w:t>
      </w:r>
      <w:r>
        <w:rPr/>
        <w:t>Level</w:t>
      </w:r>
      <w:r>
        <w:rPr>
          <w:spacing w:val="-2"/>
        </w:rPr>
        <w:t> </w:t>
      </w:r>
      <w:r>
        <w:rPr/>
        <w:t>of Perception</w:t>
      </w:r>
      <w:r>
        <w:rPr>
          <w:spacing w:val="-2"/>
        </w:rPr>
        <w:t> </w:t>
      </w:r>
      <w:r>
        <w:rPr/>
        <w:t>Across</w:t>
      </w:r>
      <w:r>
        <w:rPr>
          <w:spacing w:val="-1"/>
        </w:rPr>
        <w:t> </w:t>
      </w:r>
      <w:r>
        <w:rPr>
          <w:spacing w:val="-2"/>
        </w:rPr>
        <w:t>States</w:t>
      </w:r>
    </w:p>
    <w:p>
      <w:pPr>
        <w:pStyle w:val="BodyText"/>
        <w:spacing w:before="2"/>
        <w:ind w:left="0"/>
        <w:rPr>
          <w:b/>
          <w:sz w:val="12"/>
        </w:rPr>
      </w:pP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82"/>
        <w:gridCol w:w="921"/>
        <w:gridCol w:w="1656"/>
        <w:gridCol w:w="3166"/>
      </w:tblGrid>
      <w:tr>
        <w:trPr>
          <w:trHeight w:val="410" w:hRule="atLeast"/>
        </w:trPr>
        <w:tc>
          <w:tcPr>
            <w:tcW w:w="3082" w:type="dxa"/>
          </w:tcPr>
          <w:p>
            <w:pPr>
              <w:pStyle w:val="TableParagraph"/>
              <w:spacing w:line="275" w:lineRule="exact"/>
              <w:ind w:left="6"/>
              <w:jc w:val="center"/>
              <w:rPr>
                <w:b/>
                <w:sz w:val="24"/>
              </w:rPr>
            </w:pPr>
            <w:r>
              <w:rPr>
                <w:b/>
                <w:spacing w:val="-2"/>
                <w:sz w:val="24"/>
              </w:rPr>
              <w:t>States</w:t>
            </w:r>
          </w:p>
        </w:tc>
        <w:tc>
          <w:tcPr>
            <w:tcW w:w="921" w:type="dxa"/>
          </w:tcPr>
          <w:p>
            <w:pPr>
              <w:pStyle w:val="TableParagraph"/>
              <w:spacing w:line="270" w:lineRule="exact"/>
              <w:ind w:left="11"/>
              <w:jc w:val="center"/>
              <w:rPr>
                <w:sz w:val="24"/>
              </w:rPr>
            </w:pPr>
            <w:r>
              <w:rPr>
                <w:spacing w:val="-10"/>
                <w:sz w:val="24"/>
              </w:rPr>
              <w:t>N</w:t>
            </w:r>
          </w:p>
        </w:tc>
        <w:tc>
          <w:tcPr>
            <w:tcW w:w="1656" w:type="dxa"/>
          </w:tcPr>
          <w:p>
            <w:pPr>
              <w:pStyle w:val="TableParagraph"/>
              <w:spacing w:line="275" w:lineRule="exact"/>
              <w:ind w:left="11"/>
              <w:jc w:val="center"/>
              <w:rPr>
                <w:b/>
                <w:sz w:val="24"/>
              </w:rPr>
            </w:pPr>
            <w:r>
              <w:rPr>
                <w:b/>
                <w:spacing w:val="-4"/>
                <w:sz w:val="24"/>
              </w:rPr>
              <w:t>Mean</w:t>
            </w:r>
          </w:p>
        </w:tc>
        <w:tc>
          <w:tcPr>
            <w:tcW w:w="3166" w:type="dxa"/>
          </w:tcPr>
          <w:p>
            <w:pPr>
              <w:pStyle w:val="TableParagraph"/>
              <w:spacing w:line="275" w:lineRule="exact"/>
              <w:ind w:left="15" w:right="12"/>
              <w:jc w:val="center"/>
              <w:rPr>
                <w:b/>
                <w:sz w:val="24"/>
              </w:rPr>
            </w:pPr>
            <w:r>
              <w:rPr>
                <w:b/>
                <w:sz w:val="24"/>
              </w:rPr>
              <w:t>Level</w:t>
            </w:r>
            <w:r>
              <w:rPr>
                <w:b/>
                <w:spacing w:val="-3"/>
                <w:sz w:val="24"/>
              </w:rPr>
              <w:t> </w:t>
            </w:r>
            <w:r>
              <w:rPr>
                <w:b/>
                <w:sz w:val="24"/>
              </w:rPr>
              <w:t>of </w:t>
            </w:r>
            <w:r>
              <w:rPr>
                <w:b/>
                <w:spacing w:val="-2"/>
                <w:sz w:val="24"/>
              </w:rPr>
              <w:t>Agreement</w:t>
            </w:r>
          </w:p>
        </w:tc>
      </w:tr>
      <w:tr>
        <w:trPr>
          <w:trHeight w:val="412" w:hRule="atLeast"/>
        </w:trPr>
        <w:tc>
          <w:tcPr>
            <w:tcW w:w="3082" w:type="dxa"/>
          </w:tcPr>
          <w:p>
            <w:pPr>
              <w:pStyle w:val="TableParagraph"/>
              <w:spacing w:line="273" w:lineRule="exact"/>
              <w:ind w:left="9"/>
              <w:rPr>
                <w:sz w:val="24"/>
              </w:rPr>
            </w:pPr>
            <w:r>
              <w:rPr>
                <w:spacing w:val="-2"/>
                <w:sz w:val="24"/>
              </w:rPr>
              <w:t>Bayelsa</w:t>
            </w:r>
          </w:p>
        </w:tc>
        <w:tc>
          <w:tcPr>
            <w:tcW w:w="921" w:type="dxa"/>
          </w:tcPr>
          <w:p>
            <w:pPr>
              <w:pStyle w:val="TableParagraph"/>
              <w:spacing w:line="273" w:lineRule="exact"/>
              <w:ind w:left="11" w:right="1"/>
              <w:jc w:val="center"/>
              <w:rPr>
                <w:sz w:val="24"/>
              </w:rPr>
            </w:pPr>
            <w:r>
              <w:rPr>
                <w:spacing w:val="-5"/>
                <w:sz w:val="24"/>
              </w:rPr>
              <w:t>88</w:t>
            </w:r>
          </w:p>
        </w:tc>
        <w:tc>
          <w:tcPr>
            <w:tcW w:w="1656" w:type="dxa"/>
          </w:tcPr>
          <w:p>
            <w:pPr>
              <w:pStyle w:val="TableParagraph"/>
              <w:spacing w:line="273" w:lineRule="exact"/>
              <w:ind w:left="11" w:right="2"/>
              <w:jc w:val="center"/>
              <w:rPr>
                <w:sz w:val="24"/>
              </w:rPr>
            </w:pPr>
            <w:r>
              <w:rPr>
                <w:spacing w:val="-4"/>
                <w:sz w:val="24"/>
              </w:rPr>
              <w:t>3.00</w:t>
            </w:r>
          </w:p>
        </w:tc>
        <w:tc>
          <w:tcPr>
            <w:tcW w:w="3166" w:type="dxa"/>
          </w:tcPr>
          <w:p>
            <w:pPr>
              <w:pStyle w:val="TableParagraph"/>
              <w:spacing w:line="273" w:lineRule="exact"/>
              <w:ind w:left="15"/>
              <w:jc w:val="center"/>
              <w:rPr>
                <w:sz w:val="24"/>
              </w:rPr>
            </w:pPr>
            <w:r>
              <w:rPr>
                <w:spacing w:val="-10"/>
                <w:sz w:val="24"/>
              </w:rPr>
              <w:t>A</w:t>
            </w:r>
          </w:p>
        </w:tc>
      </w:tr>
      <w:tr>
        <w:trPr>
          <w:trHeight w:val="417" w:hRule="atLeast"/>
        </w:trPr>
        <w:tc>
          <w:tcPr>
            <w:tcW w:w="3082" w:type="dxa"/>
          </w:tcPr>
          <w:p>
            <w:pPr>
              <w:pStyle w:val="TableParagraph"/>
              <w:spacing w:line="273" w:lineRule="exact"/>
              <w:ind w:left="9"/>
              <w:rPr>
                <w:sz w:val="24"/>
              </w:rPr>
            </w:pPr>
            <w:r>
              <w:rPr>
                <w:spacing w:val="-2"/>
                <w:sz w:val="24"/>
              </w:rPr>
              <w:t>Delta</w:t>
            </w:r>
          </w:p>
        </w:tc>
        <w:tc>
          <w:tcPr>
            <w:tcW w:w="921" w:type="dxa"/>
          </w:tcPr>
          <w:p>
            <w:pPr>
              <w:pStyle w:val="TableParagraph"/>
              <w:spacing w:line="273" w:lineRule="exact"/>
              <w:ind w:left="11" w:right="1"/>
              <w:jc w:val="center"/>
              <w:rPr>
                <w:sz w:val="24"/>
              </w:rPr>
            </w:pPr>
            <w:r>
              <w:rPr>
                <w:spacing w:val="-5"/>
                <w:sz w:val="24"/>
              </w:rPr>
              <w:t>75</w:t>
            </w:r>
          </w:p>
        </w:tc>
        <w:tc>
          <w:tcPr>
            <w:tcW w:w="1656" w:type="dxa"/>
          </w:tcPr>
          <w:p>
            <w:pPr>
              <w:pStyle w:val="TableParagraph"/>
              <w:spacing w:line="273" w:lineRule="exact"/>
              <w:ind w:left="11" w:right="2"/>
              <w:jc w:val="center"/>
              <w:rPr>
                <w:sz w:val="24"/>
              </w:rPr>
            </w:pPr>
            <w:r>
              <w:rPr>
                <w:spacing w:val="-4"/>
                <w:sz w:val="24"/>
              </w:rPr>
              <w:t>2.23</w:t>
            </w:r>
          </w:p>
        </w:tc>
        <w:tc>
          <w:tcPr>
            <w:tcW w:w="3166" w:type="dxa"/>
          </w:tcPr>
          <w:p>
            <w:pPr>
              <w:pStyle w:val="TableParagraph"/>
              <w:spacing w:line="273" w:lineRule="exact"/>
              <w:ind w:left="15" w:right="9"/>
              <w:jc w:val="center"/>
              <w:rPr>
                <w:sz w:val="24"/>
              </w:rPr>
            </w:pPr>
            <w:r>
              <w:rPr>
                <w:spacing w:val="-10"/>
                <w:sz w:val="24"/>
              </w:rPr>
              <w:t>D</w:t>
            </w:r>
          </w:p>
        </w:tc>
      </w:tr>
      <w:tr>
        <w:trPr>
          <w:trHeight w:val="422" w:hRule="atLeast"/>
        </w:trPr>
        <w:tc>
          <w:tcPr>
            <w:tcW w:w="3082" w:type="dxa"/>
          </w:tcPr>
          <w:p>
            <w:pPr>
              <w:pStyle w:val="TableParagraph"/>
              <w:spacing w:line="276" w:lineRule="exact"/>
              <w:ind w:left="9"/>
              <w:rPr>
                <w:sz w:val="24"/>
              </w:rPr>
            </w:pPr>
            <w:r>
              <w:rPr>
                <w:spacing w:val="-2"/>
                <w:sz w:val="24"/>
              </w:rPr>
              <w:t>Rivers</w:t>
            </w:r>
          </w:p>
        </w:tc>
        <w:tc>
          <w:tcPr>
            <w:tcW w:w="921" w:type="dxa"/>
          </w:tcPr>
          <w:p>
            <w:pPr>
              <w:pStyle w:val="TableParagraph"/>
              <w:spacing w:line="276" w:lineRule="exact"/>
              <w:ind w:left="11" w:right="1"/>
              <w:jc w:val="center"/>
              <w:rPr>
                <w:sz w:val="24"/>
              </w:rPr>
            </w:pPr>
            <w:r>
              <w:rPr>
                <w:spacing w:val="-5"/>
                <w:sz w:val="24"/>
              </w:rPr>
              <w:t>73</w:t>
            </w:r>
          </w:p>
        </w:tc>
        <w:tc>
          <w:tcPr>
            <w:tcW w:w="1656" w:type="dxa"/>
          </w:tcPr>
          <w:p>
            <w:pPr>
              <w:pStyle w:val="TableParagraph"/>
              <w:spacing w:line="276" w:lineRule="exact"/>
              <w:ind w:left="11" w:right="2"/>
              <w:jc w:val="center"/>
              <w:rPr>
                <w:sz w:val="24"/>
              </w:rPr>
            </w:pPr>
            <w:r>
              <w:rPr>
                <w:spacing w:val="-4"/>
                <w:sz w:val="24"/>
              </w:rPr>
              <w:t>1.89</w:t>
            </w:r>
          </w:p>
        </w:tc>
        <w:tc>
          <w:tcPr>
            <w:tcW w:w="3166" w:type="dxa"/>
          </w:tcPr>
          <w:p>
            <w:pPr>
              <w:pStyle w:val="TableParagraph"/>
              <w:spacing w:line="276" w:lineRule="exact"/>
              <w:ind w:left="15" w:right="9"/>
              <w:jc w:val="center"/>
              <w:rPr>
                <w:sz w:val="24"/>
              </w:rPr>
            </w:pPr>
            <w:r>
              <w:rPr>
                <w:spacing w:val="-10"/>
                <w:sz w:val="24"/>
              </w:rPr>
              <w:t>D</w:t>
            </w:r>
          </w:p>
        </w:tc>
      </w:tr>
    </w:tbl>
    <w:p>
      <w:pPr>
        <w:pStyle w:val="BodyText"/>
        <w:spacing w:before="134"/>
        <w:ind w:left="0"/>
        <w:rPr>
          <w:b/>
        </w:rPr>
      </w:pPr>
    </w:p>
    <w:p>
      <w:pPr>
        <w:pStyle w:val="BodyText"/>
        <w:spacing w:line="360" w:lineRule="auto"/>
        <w:ind w:right="1262" w:firstLine="720"/>
        <w:jc w:val="both"/>
      </w:pPr>
      <w:r>
        <w:rPr/>
        <w:t>Based on education of respondents, there is no significant difference in the views (f = 2.369, P = .053). Likewise, the occupation of respondents is not a factor in the perception of community surveyed (f = 1.251, P = .278).</w:t>
      </w:r>
    </w:p>
    <w:p>
      <w:pPr>
        <w:spacing w:after="0" w:line="360" w:lineRule="auto"/>
        <w:jc w:val="both"/>
        <w:sectPr>
          <w:pgSz w:w="11910" w:h="16840"/>
          <w:pgMar w:header="0" w:footer="1561" w:top="1360" w:bottom="1760" w:left="720" w:right="180"/>
        </w:sectPr>
      </w:pPr>
    </w:p>
    <w:p>
      <w:pPr>
        <w:pStyle w:val="Heading2"/>
        <w:numPr>
          <w:ilvl w:val="3"/>
          <w:numId w:val="25"/>
        </w:numPr>
        <w:tabs>
          <w:tab w:pos="2520" w:val="left" w:leader="none"/>
        </w:tabs>
        <w:spacing w:line="240" w:lineRule="auto" w:before="78" w:after="0"/>
        <w:ind w:left="2520" w:right="0" w:hanging="1080"/>
        <w:jc w:val="both"/>
      </w:pPr>
      <w:r>
        <w:rPr/>
        <mc:AlternateContent>
          <mc:Choice Requires="wps">
            <w:drawing>
              <wp:anchor distT="0" distB="0" distL="0" distR="0" allowOverlap="1" layoutInCell="1" locked="0" behindDoc="1" simplePos="0" relativeHeight="480675328">
                <wp:simplePos x="0" y="0"/>
                <wp:positionH relativeFrom="page">
                  <wp:posOffset>-1537026</wp:posOffset>
                </wp:positionH>
                <wp:positionV relativeFrom="page">
                  <wp:posOffset>4900424</wp:posOffset>
                </wp:positionV>
                <wp:extent cx="10669905" cy="914400"/>
                <wp:effectExtent l="0" t="0" r="0" b="0"/>
                <wp:wrapNone/>
                <wp:docPr id="310" name="Textbox 310"/>
                <wp:cNvGraphicFramePr>
                  <a:graphicFrameLocks/>
                </wp:cNvGraphicFramePr>
                <a:graphic>
                  <a:graphicData uri="http://schemas.microsoft.com/office/word/2010/wordprocessingShape">
                    <wps:wsp>
                      <wps:cNvPr id="310" name="Textbox 310"/>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41152;rotation:306" type="#_x0000_t136" fillcolor="#ff5400" stroked="f">
                <o:extrusion v:ext="view" autorotationcenter="t"/>
                <v:textpath style="font-family:&quot;Arial MT&quot;;font-size:72pt;v-text-kern:t;mso-text-shadow:auto" string="UNIVERSITY OF IBADAN"/>
                <w10:wrap type="none"/>
              </v:shape>
            </w:pict>
          </mc:Fallback>
        </mc:AlternateContent>
      </w:r>
      <w:r>
        <w:rPr/>
        <w:t>Perception</w:t>
      </w:r>
      <w:r>
        <w:rPr>
          <w:spacing w:val="-1"/>
        </w:rPr>
        <w:t> </w:t>
      </w:r>
      <w:r>
        <w:rPr/>
        <w:t>on</w:t>
      </w:r>
      <w:r>
        <w:rPr>
          <w:spacing w:val="-1"/>
        </w:rPr>
        <w:t> </w:t>
      </w:r>
      <w:r>
        <w:rPr/>
        <w:t>the</w:t>
      </w:r>
      <w:r>
        <w:rPr>
          <w:spacing w:val="-2"/>
        </w:rPr>
        <w:t> </w:t>
      </w:r>
      <w:r>
        <w:rPr/>
        <w:t>Use</w:t>
      </w:r>
      <w:r>
        <w:rPr>
          <w:spacing w:val="-3"/>
        </w:rPr>
        <w:t> </w:t>
      </w:r>
      <w:r>
        <w:rPr/>
        <w:t>of Negotiation by</w:t>
      </w:r>
      <w:r>
        <w:rPr>
          <w:spacing w:val="-1"/>
        </w:rPr>
        <w:t> </w:t>
      </w:r>
      <w:r>
        <w:rPr/>
        <w:t>the</w:t>
      </w:r>
      <w:r>
        <w:rPr>
          <w:spacing w:val="-1"/>
        </w:rPr>
        <w:t> </w:t>
      </w:r>
      <w:r>
        <w:rPr>
          <w:spacing w:val="-5"/>
        </w:rPr>
        <w:t>JTF</w:t>
      </w:r>
    </w:p>
    <w:p>
      <w:pPr>
        <w:pStyle w:val="BodyText"/>
        <w:spacing w:line="360" w:lineRule="auto" w:before="135"/>
        <w:ind w:right="1259" w:firstLine="720"/>
        <w:jc w:val="both"/>
      </w:pPr>
      <w:r>
        <w:rPr/>
        <w:t>From the data presented in Table 17, there is general disagreement that the</w:t>
      </w:r>
      <w:r>
        <w:rPr>
          <w:spacing w:val="40"/>
        </w:rPr>
        <w:t> </w:t>
      </w:r>
      <w:r>
        <w:rPr/>
        <w:t>JTF</w:t>
      </w:r>
      <w:r>
        <w:rPr>
          <w:spacing w:val="-2"/>
        </w:rPr>
        <w:t> </w:t>
      </w:r>
      <w:r>
        <w:rPr/>
        <w:t>use</w:t>
      </w:r>
      <w:r>
        <w:rPr>
          <w:spacing w:val="-1"/>
        </w:rPr>
        <w:t> </w:t>
      </w:r>
      <w:r>
        <w:rPr/>
        <w:t>negotiation in dealing</w:t>
      </w:r>
      <w:r>
        <w:rPr>
          <w:spacing w:val="-3"/>
        </w:rPr>
        <w:t> </w:t>
      </w:r>
      <w:r>
        <w:rPr/>
        <w:t>with the</w:t>
      </w:r>
      <w:r>
        <w:rPr>
          <w:spacing w:val="-1"/>
        </w:rPr>
        <w:t> </w:t>
      </w:r>
      <w:r>
        <w:rPr/>
        <w:t>Niger</w:t>
      </w:r>
      <w:r>
        <w:rPr>
          <w:spacing w:val="-1"/>
        </w:rPr>
        <w:t> </w:t>
      </w:r>
      <w:r>
        <w:rPr/>
        <w:t>Delta</w:t>
      </w:r>
      <w:r>
        <w:rPr>
          <w:spacing w:val="-1"/>
        </w:rPr>
        <w:t> </w:t>
      </w:r>
      <w:r>
        <w:rPr/>
        <w:t>conflict. On</w:t>
      </w:r>
      <w:r>
        <w:rPr>
          <w:spacing w:val="-1"/>
        </w:rPr>
        <w:t> </w:t>
      </w:r>
      <w:r>
        <w:rPr/>
        <w:t>a</w:t>
      </w:r>
      <w:r>
        <w:rPr>
          <w:spacing w:val="-1"/>
        </w:rPr>
        <w:t> </w:t>
      </w:r>
      <w:r>
        <w:rPr/>
        <w:t>State</w:t>
      </w:r>
      <w:r>
        <w:rPr>
          <w:spacing w:val="-1"/>
        </w:rPr>
        <w:t> </w:t>
      </w:r>
      <w:r>
        <w:rPr/>
        <w:t>by</w:t>
      </w:r>
      <w:r>
        <w:rPr>
          <w:spacing w:val="-5"/>
        </w:rPr>
        <w:t> </w:t>
      </w:r>
      <w:r>
        <w:rPr/>
        <w:t>State</w:t>
      </w:r>
      <w:r>
        <w:rPr>
          <w:spacing w:val="-1"/>
        </w:rPr>
        <w:t> </w:t>
      </w:r>
      <w:r>
        <w:rPr/>
        <w:t>basis, results of ANOVA show that there are significant differences across the State (f = 17.344, P = .000). However, there are divergent views across the State as shown by the means values - Bayelsa (2.70), Delta (2.16) and Rivers (1.91). Many</w:t>
      </w:r>
      <w:r>
        <w:rPr>
          <w:spacing w:val="-3"/>
        </w:rPr>
        <w:t> </w:t>
      </w:r>
      <w:r>
        <w:rPr/>
        <w:t>of the people we interviewed in Bayelsa corroborated this claim that some form of negotiation by government agencies exists.</w:t>
      </w:r>
    </w:p>
    <w:p>
      <w:pPr>
        <w:pStyle w:val="BodyText"/>
        <w:spacing w:line="360" w:lineRule="auto"/>
        <w:ind w:right="1257" w:firstLine="720"/>
        <w:jc w:val="both"/>
      </w:pPr>
      <w:r>
        <w:rPr/>
        <w:t>Different views were however expressed by some of the JTF commanders when contacted in the field. The study</w:t>
      </w:r>
      <w:r>
        <w:rPr>
          <w:spacing w:val="-4"/>
        </w:rPr>
        <w:t> </w:t>
      </w:r>
      <w:r>
        <w:rPr/>
        <w:t>noted that some measures of negotiations were done by the commanders when securing the release of hostages and during resolution of communal crisis amongst others.</w:t>
      </w:r>
    </w:p>
    <w:p>
      <w:pPr>
        <w:pStyle w:val="BodyText"/>
        <w:spacing w:before="143"/>
        <w:ind w:left="0"/>
      </w:pPr>
    </w:p>
    <w:p>
      <w:pPr>
        <w:pStyle w:val="Heading2"/>
        <w:numPr>
          <w:ilvl w:val="3"/>
          <w:numId w:val="25"/>
        </w:numPr>
        <w:tabs>
          <w:tab w:pos="2520" w:val="left" w:leader="none"/>
        </w:tabs>
        <w:spacing w:line="240" w:lineRule="auto" w:before="1" w:after="0"/>
        <w:ind w:left="2520" w:right="0" w:hanging="1080"/>
        <w:jc w:val="both"/>
      </w:pPr>
      <w:r>
        <w:rPr/>
        <w:t>Q15:</w:t>
      </w:r>
      <w:r>
        <w:rPr>
          <w:spacing w:val="-3"/>
        </w:rPr>
        <w:t> </w:t>
      </w:r>
      <w:r>
        <w:rPr/>
        <w:t>Possibility</w:t>
      </w:r>
      <w:r>
        <w:rPr>
          <w:spacing w:val="-1"/>
        </w:rPr>
        <w:t> </w:t>
      </w:r>
      <w:r>
        <w:rPr/>
        <w:t>of Attaining Peace</w:t>
      </w:r>
      <w:r>
        <w:rPr>
          <w:spacing w:val="-2"/>
        </w:rPr>
        <w:t> </w:t>
      </w:r>
      <w:r>
        <w:rPr/>
        <w:t>with</w:t>
      </w:r>
      <w:r>
        <w:rPr>
          <w:spacing w:val="-1"/>
        </w:rPr>
        <w:t> </w:t>
      </w:r>
      <w:r>
        <w:rPr/>
        <w:t>JTF</w:t>
      </w:r>
      <w:r>
        <w:rPr>
          <w:spacing w:val="-3"/>
        </w:rPr>
        <w:t> </w:t>
      </w:r>
      <w:r>
        <w:rPr>
          <w:spacing w:val="-2"/>
        </w:rPr>
        <w:t>Intervention</w:t>
      </w:r>
    </w:p>
    <w:p>
      <w:pPr>
        <w:pStyle w:val="BodyText"/>
        <w:spacing w:line="360" w:lineRule="auto" w:before="132"/>
        <w:ind w:right="1261" w:firstLine="403"/>
        <w:jc w:val="both"/>
      </w:pPr>
      <w:r>
        <w:rPr/>
        <w:t>We sought to know from the respondents whether peace is attainable in the Niger Delta with JTF intervention. The views of the respondents on the possibility of attaining peace with JTF intervention are presented on Table 19.</w:t>
      </w:r>
    </w:p>
    <w:p>
      <w:pPr>
        <w:pStyle w:val="Heading2"/>
        <w:spacing w:before="6"/>
        <w:jc w:val="both"/>
      </w:pPr>
      <w:r>
        <w:rPr/>
        <w:t>Table</w:t>
      </w:r>
      <w:r>
        <w:rPr>
          <w:spacing w:val="-1"/>
        </w:rPr>
        <w:t> </w:t>
      </w:r>
      <w:r>
        <w:rPr/>
        <w:t>19:</w:t>
      </w:r>
      <w:r>
        <w:rPr>
          <w:spacing w:val="-2"/>
        </w:rPr>
        <w:t> </w:t>
      </w:r>
      <w:r>
        <w:rPr/>
        <w:t>Attainment of peace</w:t>
      </w:r>
      <w:r>
        <w:rPr>
          <w:spacing w:val="-1"/>
        </w:rPr>
        <w:t> </w:t>
      </w:r>
      <w:r>
        <w:rPr/>
        <w:t>with JTF</w:t>
      </w:r>
      <w:r>
        <w:rPr>
          <w:spacing w:val="-3"/>
        </w:rPr>
        <w:t> </w:t>
      </w:r>
      <w:r>
        <w:rPr>
          <w:spacing w:val="-2"/>
        </w:rPr>
        <w:t>Intervention</w:t>
      </w:r>
    </w:p>
    <w:p>
      <w:pPr>
        <w:pStyle w:val="BodyText"/>
        <w:ind w:left="0"/>
        <w:rPr>
          <w:b/>
          <w:sz w:val="12"/>
        </w:rPr>
      </w:pP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58"/>
        <w:gridCol w:w="2818"/>
        <w:gridCol w:w="826"/>
        <w:gridCol w:w="1003"/>
        <w:gridCol w:w="1185"/>
        <w:gridCol w:w="2566"/>
      </w:tblGrid>
      <w:tr>
        <w:trPr>
          <w:trHeight w:val="412" w:hRule="atLeast"/>
        </w:trPr>
        <w:tc>
          <w:tcPr>
            <w:tcW w:w="758" w:type="dxa"/>
          </w:tcPr>
          <w:p>
            <w:pPr>
              <w:pStyle w:val="TableParagraph"/>
              <w:rPr>
                <w:sz w:val="24"/>
              </w:rPr>
            </w:pPr>
          </w:p>
        </w:tc>
        <w:tc>
          <w:tcPr>
            <w:tcW w:w="2818" w:type="dxa"/>
          </w:tcPr>
          <w:p>
            <w:pPr>
              <w:pStyle w:val="TableParagraph"/>
              <w:spacing w:line="270" w:lineRule="exact"/>
              <w:ind w:left="768"/>
              <w:rPr>
                <w:sz w:val="24"/>
              </w:rPr>
            </w:pPr>
            <w:r>
              <w:rPr>
                <w:spacing w:val="-2"/>
                <w:sz w:val="24"/>
              </w:rPr>
              <w:t>States</w:t>
            </w:r>
          </w:p>
        </w:tc>
        <w:tc>
          <w:tcPr>
            <w:tcW w:w="826" w:type="dxa"/>
          </w:tcPr>
          <w:p>
            <w:pPr>
              <w:pStyle w:val="TableParagraph"/>
              <w:spacing w:line="270" w:lineRule="exact"/>
              <w:ind w:left="10"/>
              <w:jc w:val="center"/>
              <w:rPr>
                <w:sz w:val="24"/>
              </w:rPr>
            </w:pPr>
            <w:r>
              <w:rPr>
                <w:spacing w:val="-10"/>
                <w:sz w:val="24"/>
              </w:rPr>
              <w:t>N</w:t>
            </w:r>
          </w:p>
        </w:tc>
        <w:tc>
          <w:tcPr>
            <w:tcW w:w="1003" w:type="dxa"/>
          </w:tcPr>
          <w:p>
            <w:pPr>
              <w:pStyle w:val="TableParagraph"/>
              <w:spacing w:line="270" w:lineRule="exact"/>
              <w:ind w:left="8"/>
              <w:jc w:val="center"/>
              <w:rPr>
                <w:sz w:val="24"/>
              </w:rPr>
            </w:pPr>
            <w:r>
              <w:rPr>
                <w:spacing w:val="-4"/>
                <w:sz w:val="24"/>
              </w:rPr>
              <w:t>Mean</w:t>
            </w:r>
          </w:p>
        </w:tc>
        <w:tc>
          <w:tcPr>
            <w:tcW w:w="1185" w:type="dxa"/>
          </w:tcPr>
          <w:p>
            <w:pPr>
              <w:pStyle w:val="TableParagraph"/>
              <w:spacing w:line="270" w:lineRule="exact"/>
              <w:ind w:left="12"/>
              <w:jc w:val="center"/>
              <w:rPr>
                <w:sz w:val="24"/>
              </w:rPr>
            </w:pPr>
            <w:r>
              <w:rPr>
                <w:spacing w:val="-5"/>
                <w:sz w:val="24"/>
              </w:rPr>
              <w:t>SD</w:t>
            </w:r>
          </w:p>
        </w:tc>
        <w:tc>
          <w:tcPr>
            <w:tcW w:w="2566" w:type="dxa"/>
          </w:tcPr>
          <w:p>
            <w:pPr>
              <w:pStyle w:val="TableParagraph"/>
              <w:spacing w:line="270" w:lineRule="exact"/>
              <w:ind w:left="11" w:right="2"/>
              <w:jc w:val="center"/>
              <w:rPr>
                <w:sz w:val="24"/>
              </w:rPr>
            </w:pPr>
            <w:r>
              <w:rPr>
                <w:sz w:val="24"/>
              </w:rPr>
              <w:t>Level</w:t>
            </w:r>
            <w:r>
              <w:rPr>
                <w:spacing w:val="-4"/>
                <w:sz w:val="24"/>
              </w:rPr>
              <w:t> </w:t>
            </w:r>
            <w:r>
              <w:rPr>
                <w:sz w:val="24"/>
              </w:rPr>
              <w:t>of</w:t>
            </w:r>
            <w:r>
              <w:rPr>
                <w:spacing w:val="-1"/>
                <w:sz w:val="24"/>
              </w:rPr>
              <w:t> </w:t>
            </w:r>
            <w:r>
              <w:rPr>
                <w:spacing w:val="-2"/>
                <w:sz w:val="24"/>
              </w:rPr>
              <w:t>Agreement</w:t>
            </w:r>
          </w:p>
        </w:tc>
      </w:tr>
      <w:tr>
        <w:trPr>
          <w:trHeight w:val="417" w:hRule="atLeast"/>
        </w:trPr>
        <w:tc>
          <w:tcPr>
            <w:tcW w:w="758" w:type="dxa"/>
          </w:tcPr>
          <w:p>
            <w:pPr>
              <w:pStyle w:val="TableParagraph"/>
              <w:spacing w:line="273" w:lineRule="exact"/>
              <w:ind w:left="129"/>
              <w:rPr>
                <w:sz w:val="24"/>
              </w:rPr>
            </w:pPr>
            <w:r>
              <w:rPr>
                <w:spacing w:val="-5"/>
                <w:sz w:val="24"/>
              </w:rPr>
              <w:t>B56</w:t>
            </w:r>
          </w:p>
        </w:tc>
        <w:tc>
          <w:tcPr>
            <w:tcW w:w="2818" w:type="dxa"/>
          </w:tcPr>
          <w:p>
            <w:pPr>
              <w:pStyle w:val="TableParagraph"/>
              <w:spacing w:line="273" w:lineRule="exact"/>
              <w:ind w:left="129"/>
              <w:rPr>
                <w:sz w:val="24"/>
              </w:rPr>
            </w:pPr>
            <w:r>
              <w:rPr>
                <w:sz w:val="24"/>
              </w:rPr>
              <w:t>Yes</w:t>
            </w:r>
            <w:r>
              <w:rPr>
                <w:spacing w:val="-1"/>
                <w:sz w:val="24"/>
              </w:rPr>
              <w:t> </w:t>
            </w:r>
            <w:r>
              <w:rPr>
                <w:sz w:val="24"/>
              </w:rPr>
              <w:t>peace</w:t>
            </w:r>
            <w:r>
              <w:rPr>
                <w:spacing w:val="-2"/>
                <w:sz w:val="24"/>
              </w:rPr>
              <w:t> </w:t>
            </w:r>
            <w:r>
              <w:rPr>
                <w:sz w:val="24"/>
              </w:rPr>
              <w:t>is</w:t>
            </w:r>
            <w:r>
              <w:rPr>
                <w:spacing w:val="-1"/>
                <w:sz w:val="24"/>
              </w:rPr>
              <w:t> </w:t>
            </w:r>
            <w:r>
              <w:rPr>
                <w:spacing w:val="-2"/>
                <w:sz w:val="24"/>
              </w:rPr>
              <w:t>attainable.</w:t>
            </w:r>
          </w:p>
        </w:tc>
        <w:tc>
          <w:tcPr>
            <w:tcW w:w="826" w:type="dxa"/>
          </w:tcPr>
          <w:p>
            <w:pPr>
              <w:pStyle w:val="TableParagraph"/>
              <w:spacing w:line="273" w:lineRule="exact"/>
              <w:ind w:left="10"/>
              <w:jc w:val="center"/>
              <w:rPr>
                <w:sz w:val="24"/>
              </w:rPr>
            </w:pPr>
            <w:r>
              <w:rPr>
                <w:spacing w:val="-5"/>
                <w:sz w:val="24"/>
              </w:rPr>
              <w:t>235</w:t>
            </w:r>
          </w:p>
        </w:tc>
        <w:tc>
          <w:tcPr>
            <w:tcW w:w="1003" w:type="dxa"/>
          </w:tcPr>
          <w:p>
            <w:pPr>
              <w:pStyle w:val="TableParagraph"/>
              <w:spacing w:line="273" w:lineRule="exact"/>
              <w:ind w:left="8"/>
              <w:jc w:val="center"/>
              <w:rPr>
                <w:sz w:val="24"/>
              </w:rPr>
            </w:pPr>
            <w:r>
              <w:rPr>
                <w:spacing w:val="-4"/>
                <w:sz w:val="24"/>
              </w:rPr>
              <w:t>2.78</w:t>
            </w:r>
          </w:p>
        </w:tc>
        <w:tc>
          <w:tcPr>
            <w:tcW w:w="1185" w:type="dxa"/>
          </w:tcPr>
          <w:p>
            <w:pPr>
              <w:pStyle w:val="TableParagraph"/>
              <w:spacing w:line="273" w:lineRule="exact"/>
              <w:ind w:left="12" w:right="3"/>
              <w:jc w:val="center"/>
              <w:rPr>
                <w:sz w:val="24"/>
              </w:rPr>
            </w:pPr>
            <w:r>
              <w:rPr>
                <w:spacing w:val="-2"/>
                <w:sz w:val="24"/>
              </w:rPr>
              <w:t>1.038</w:t>
            </w:r>
          </w:p>
        </w:tc>
        <w:tc>
          <w:tcPr>
            <w:tcW w:w="2566" w:type="dxa"/>
          </w:tcPr>
          <w:p>
            <w:pPr>
              <w:pStyle w:val="TableParagraph"/>
              <w:spacing w:line="273" w:lineRule="exact"/>
              <w:ind w:left="11"/>
              <w:jc w:val="center"/>
              <w:rPr>
                <w:sz w:val="24"/>
              </w:rPr>
            </w:pPr>
            <w:r>
              <w:rPr>
                <w:spacing w:val="-10"/>
                <w:sz w:val="24"/>
              </w:rPr>
              <w:t>A</w:t>
            </w:r>
          </w:p>
        </w:tc>
      </w:tr>
      <w:tr>
        <w:trPr>
          <w:trHeight w:val="360" w:hRule="atLeast"/>
        </w:trPr>
        <w:tc>
          <w:tcPr>
            <w:tcW w:w="758" w:type="dxa"/>
            <w:vMerge w:val="restart"/>
          </w:tcPr>
          <w:p>
            <w:pPr>
              <w:pStyle w:val="TableParagraph"/>
              <w:spacing w:before="8"/>
              <w:ind w:left="177"/>
              <w:rPr>
                <w:sz w:val="24"/>
              </w:rPr>
            </w:pPr>
            <w:r>
              <w:rPr>
                <w:spacing w:val="-5"/>
                <w:sz w:val="24"/>
              </w:rPr>
              <w:t>B57</w:t>
            </w:r>
          </w:p>
        </w:tc>
        <w:tc>
          <w:tcPr>
            <w:tcW w:w="2818" w:type="dxa"/>
            <w:tcBorders>
              <w:bottom w:val="nil"/>
            </w:tcBorders>
          </w:tcPr>
          <w:p>
            <w:pPr>
              <w:pStyle w:val="TableParagraph"/>
              <w:spacing w:before="8"/>
              <w:ind w:left="9"/>
              <w:rPr>
                <w:sz w:val="24"/>
              </w:rPr>
            </w:pPr>
            <w:r>
              <w:rPr>
                <w:sz w:val="24"/>
              </w:rPr>
              <w:t>No,</w:t>
            </w:r>
            <w:r>
              <w:rPr>
                <w:spacing w:val="-1"/>
                <w:sz w:val="24"/>
              </w:rPr>
              <w:t> </w:t>
            </w:r>
            <w:r>
              <w:rPr>
                <w:sz w:val="24"/>
              </w:rPr>
              <w:t>peace</w:t>
            </w:r>
            <w:r>
              <w:rPr>
                <w:spacing w:val="-2"/>
                <w:sz w:val="24"/>
              </w:rPr>
              <w:t> </w:t>
            </w:r>
            <w:r>
              <w:rPr>
                <w:sz w:val="24"/>
              </w:rPr>
              <w:t>is </w:t>
            </w:r>
            <w:r>
              <w:rPr>
                <w:spacing w:val="-5"/>
                <w:sz w:val="24"/>
              </w:rPr>
              <w:t>not</w:t>
            </w:r>
          </w:p>
        </w:tc>
        <w:tc>
          <w:tcPr>
            <w:tcW w:w="826" w:type="dxa"/>
            <w:vMerge w:val="restart"/>
          </w:tcPr>
          <w:p>
            <w:pPr>
              <w:pStyle w:val="TableParagraph"/>
              <w:spacing w:before="8"/>
              <w:ind w:left="233"/>
              <w:rPr>
                <w:sz w:val="24"/>
              </w:rPr>
            </w:pPr>
            <w:r>
              <w:rPr>
                <w:spacing w:val="-5"/>
                <w:sz w:val="24"/>
              </w:rPr>
              <w:t>232</w:t>
            </w:r>
          </w:p>
        </w:tc>
        <w:tc>
          <w:tcPr>
            <w:tcW w:w="1003" w:type="dxa"/>
            <w:vMerge w:val="restart"/>
          </w:tcPr>
          <w:p>
            <w:pPr>
              <w:pStyle w:val="TableParagraph"/>
              <w:spacing w:before="8"/>
              <w:ind w:left="290"/>
              <w:rPr>
                <w:sz w:val="24"/>
              </w:rPr>
            </w:pPr>
            <w:r>
              <w:rPr>
                <w:spacing w:val="-4"/>
                <w:sz w:val="24"/>
              </w:rPr>
              <w:t>2.21</w:t>
            </w:r>
          </w:p>
        </w:tc>
        <w:tc>
          <w:tcPr>
            <w:tcW w:w="1185" w:type="dxa"/>
            <w:vMerge w:val="restart"/>
          </w:tcPr>
          <w:p>
            <w:pPr>
              <w:pStyle w:val="TableParagraph"/>
              <w:spacing w:before="8"/>
              <w:ind w:left="382"/>
              <w:rPr>
                <w:sz w:val="24"/>
              </w:rPr>
            </w:pPr>
            <w:r>
              <w:rPr>
                <w:spacing w:val="-4"/>
                <w:sz w:val="24"/>
              </w:rPr>
              <w:t>.972</w:t>
            </w:r>
          </w:p>
        </w:tc>
        <w:tc>
          <w:tcPr>
            <w:tcW w:w="2566" w:type="dxa"/>
            <w:vMerge w:val="restart"/>
          </w:tcPr>
          <w:p>
            <w:pPr>
              <w:pStyle w:val="TableParagraph"/>
              <w:spacing w:before="8"/>
              <w:ind w:left="11"/>
              <w:jc w:val="center"/>
              <w:rPr>
                <w:sz w:val="24"/>
              </w:rPr>
            </w:pPr>
            <w:r>
              <w:rPr>
                <w:spacing w:val="-10"/>
                <w:sz w:val="24"/>
              </w:rPr>
              <w:t>A</w:t>
            </w:r>
          </w:p>
        </w:tc>
      </w:tr>
      <w:tr>
        <w:trPr>
          <w:trHeight w:val="464" w:hRule="atLeast"/>
        </w:trPr>
        <w:tc>
          <w:tcPr>
            <w:tcW w:w="758" w:type="dxa"/>
            <w:vMerge/>
            <w:tcBorders>
              <w:top w:val="nil"/>
            </w:tcBorders>
          </w:tcPr>
          <w:p>
            <w:pPr>
              <w:rPr>
                <w:sz w:val="2"/>
                <w:szCs w:val="2"/>
              </w:rPr>
            </w:pPr>
          </w:p>
        </w:tc>
        <w:tc>
          <w:tcPr>
            <w:tcW w:w="2818" w:type="dxa"/>
            <w:tcBorders>
              <w:top w:val="nil"/>
            </w:tcBorders>
          </w:tcPr>
          <w:p>
            <w:pPr>
              <w:pStyle w:val="TableParagraph"/>
              <w:spacing w:before="65"/>
              <w:ind w:left="9"/>
              <w:rPr>
                <w:sz w:val="24"/>
              </w:rPr>
            </w:pPr>
            <w:r>
              <w:rPr>
                <w:spacing w:val="-2"/>
                <w:sz w:val="24"/>
              </w:rPr>
              <w:t>attainable.</w:t>
            </w:r>
          </w:p>
        </w:tc>
        <w:tc>
          <w:tcPr>
            <w:tcW w:w="826" w:type="dxa"/>
            <w:vMerge/>
            <w:tcBorders>
              <w:top w:val="nil"/>
            </w:tcBorders>
          </w:tcPr>
          <w:p>
            <w:pPr>
              <w:rPr>
                <w:sz w:val="2"/>
                <w:szCs w:val="2"/>
              </w:rPr>
            </w:pPr>
          </w:p>
        </w:tc>
        <w:tc>
          <w:tcPr>
            <w:tcW w:w="1003" w:type="dxa"/>
            <w:vMerge/>
            <w:tcBorders>
              <w:top w:val="nil"/>
            </w:tcBorders>
          </w:tcPr>
          <w:p>
            <w:pPr>
              <w:rPr>
                <w:sz w:val="2"/>
                <w:szCs w:val="2"/>
              </w:rPr>
            </w:pPr>
          </w:p>
        </w:tc>
        <w:tc>
          <w:tcPr>
            <w:tcW w:w="1185" w:type="dxa"/>
            <w:vMerge/>
            <w:tcBorders>
              <w:top w:val="nil"/>
            </w:tcBorders>
          </w:tcPr>
          <w:p>
            <w:pPr>
              <w:rPr>
                <w:sz w:val="2"/>
                <w:szCs w:val="2"/>
              </w:rPr>
            </w:pPr>
          </w:p>
        </w:tc>
        <w:tc>
          <w:tcPr>
            <w:tcW w:w="2566" w:type="dxa"/>
            <w:vMerge/>
            <w:tcBorders>
              <w:top w:val="nil"/>
            </w:tcBorders>
          </w:tcPr>
          <w:p>
            <w:pPr>
              <w:rPr>
                <w:sz w:val="2"/>
                <w:szCs w:val="2"/>
              </w:rPr>
            </w:pPr>
          </w:p>
        </w:tc>
      </w:tr>
      <w:tr>
        <w:trPr>
          <w:trHeight w:val="380" w:hRule="atLeast"/>
        </w:trPr>
        <w:tc>
          <w:tcPr>
            <w:tcW w:w="758" w:type="dxa"/>
            <w:vMerge w:val="restart"/>
          </w:tcPr>
          <w:p>
            <w:pPr>
              <w:pStyle w:val="TableParagraph"/>
              <w:spacing w:before="20"/>
              <w:ind w:left="177"/>
              <w:rPr>
                <w:sz w:val="24"/>
              </w:rPr>
            </w:pPr>
            <w:r>
              <w:rPr>
                <w:spacing w:val="-5"/>
                <w:sz w:val="24"/>
              </w:rPr>
              <w:t>B58</w:t>
            </w:r>
          </w:p>
        </w:tc>
        <w:tc>
          <w:tcPr>
            <w:tcW w:w="2818" w:type="dxa"/>
            <w:tcBorders>
              <w:bottom w:val="nil"/>
            </w:tcBorders>
          </w:tcPr>
          <w:p>
            <w:pPr>
              <w:pStyle w:val="TableParagraph"/>
              <w:spacing w:before="20"/>
              <w:ind w:left="9"/>
              <w:rPr>
                <w:sz w:val="24"/>
              </w:rPr>
            </w:pPr>
            <w:r>
              <w:rPr>
                <w:sz w:val="24"/>
              </w:rPr>
              <w:t>No,</w:t>
            </w:r>
            <w:r>
              <w:rPr>
                <w:spacing w:val="-1"/>
                <w:sz w:val="24"/>
              </w:rPr>
              <w:t> </w:t>
            </w:r>
            <w:r>
              <w:rPr>
                <w:sz w:val="24"/>
              </w:rPr>
              <w:t>JTF</w:t>
            </w:r>
            <w:r>
              <w:rPr>
                <w:spacing w:val="-2"/>
                <w:sz w:val="24"/>
              </w:rPr>
              <w:t> </w:t>
            </w:r>
            <w:r>
              <w:rPr>
                <w:sz w:val="24"/>
              </w:rPr>
              <w:t>cannot </w:t>
            </w:r>
            <w:r>
              <w:rPr>
                <w:spacing w:val="-4"/>
                <w:sz w:val="24"/>
              </w:rPr>
              <w:t>bring</w:t>
            </w:r>
          </w:p>
        </w:tc>
        <w:tc>
          <w:tcPr>
            <w:tcW w:w="826" w:type="dxa"/>
            <w:vMerge w:val="restart"/>
          </w:tcPr>
          <w:p>
            <w:pPr>
              <w:pStyle w:val="TableParagraph"/>
              <w:spacing w:before="20"/>
              <w:ind w:left="233"/>
              <w:rPr>
                <w:sz w:val="24"/>
              </w:rPr>
            </w:pPr>
            <w:r>
              <w:rPr>
                <w:spacing w:val="-5"/>
                <w:sz w:val="24"/>
              </w:rPr>
              <w:t>234</w:t>
            </w:r>
          </w:p>
        </w:tc>
        <w:tc>
          <w:tcPr>
            <w:tcW w:w="1003" w:type="dxa"/>
            <w:vMerge w:val="restart"/>
          </w:tcPr>
          <w:p>
            <w:pPr>
              <w:pStyle w:val="TableParagraph"/>
              <w:spacing w:before="20"/>
              <w:ind w:left="290"/>
              <w:rPr>
                <w:sz w:val="24"/>
              </w:rPr>
            </w:pPr>
            <w:r>
              <w:rPr>
                <w:spacing w:val="-4"/>
                <w:sz w:val="24"/>
              </w:rPr>
              <w:t>2.34</w:t>
            </w:r>
          </w:p>
        </w:tc>
        <w:tc>
          <w:tcPr>
            <w:tcW w:w="1185" w:type="dxa"/>
            <w:vMerge w:val="restart"/>
          </w:tcPr>
          <w:p>
            <w:pPr>
              <w:pStyle w:val="TableParagraph"/>
              <w:spacing w:before="20"/>
              <w:ind w:left="322"/>
              <w:rPr>
                <w:sz w:val="24"/>
              </w:rPr>
            </w:pPr>
            <w:r>
              <w:rPr>
                <w:spacing w:val="-2"/>
                <w:sz w:val="24"/>
              </w:rPr>
              <w:t>1.093</w:t>
            </w:r>
          </w:p>
        </w:tc>
        <w:tc>
          <w:tcPr>
            <w:tcW w:w="2566" w:type="dxa"/>
            <w:vMerge w:val="restart"/>
          </w:tcPr>
          <w:p>
            <w:pPr>
              <w:pStyle w:val="TableParagraph"/>
              <w:spacing w:before="20"/>
              <w:ind w:left="11"/>
              <w:jc w:val="center"/>
              <w:rPr>
                <w:sz w:val="24"/>
              </w:rPr>
            </w:pPr>
            <w:r>
              <w:rPr>
                <w:spacing w:val="-10"/>
                <w:sz w:val="24"/>
              </w:rPr>
              <w:t>D</w:t>
            </w:r>
          </w:p>
        </w:tc>
      </w:tr>
      <w:tr>
        <w:trPr>
          <w:trHeight w:val="441" w:hRule="atLeast"/>
        </w:trPr>
        <w:tc>
          <w:tcPr>
            <w:tcW w:w="758" w:type="dxa"/>
            <w:vMerge/>
            <w:tcBorders>
              <w:top w:val="nil"/>
            </w:tcBorders>
          </w:tcPr>
          <w:p>
            <w:pPr>
              <w:rPr>
                <w:sz w:val="2"/>
                <w:szCs w:val="2"/>
              </w:rPr>
            </w:pPr>
          </w:p>
        </w:tc>
        <w:tc>
          <w:tcPr>
            <w:tcW w:w="2818" w:type="dxa"/>
            <w:tcBorders>
              <w:top w:val="nil"/>
            </w:tcBorders>
          </w:tcPr>
          <w:p>
            <w:pPr>
              <w:pStyle w:val="TableParagraph"/>
              <w:spacing w:before="74"/>
              <w:ind w:left="9"/>
              <w:rPr>
                <w:sz w:val="24"/>
              </w:rPr>
            </w:pPr>
            <w:r>
              <w:rPr>
                <w:spacing w:val="-2"/>
                <w:sz w:val="24"/>
              </w:rPr>
              <w:t>peace.</w:t>
            </w:r>
          </w:p>
        </w:tc>
        <w:tc>
          <w:tcPr>
            <w:tcW w:w="826" w:type="dxa"/>
            <w:vMerge/>
            <w:tcBorders>
              <w:top w:val="nil"/>
            </w:tcBorders>
          </w:tcPr>
          <w:p>
            <w:pPr>
              <w:rPr>
                <w:sz w:val="2"/>
                <w:szCs w:val="2"/>
              </w:rPr>
            </w:pPr>
          </w:p>
        </w:tc>
        <w:tc>
          <w:tcPr>
            <w:tcW w:w="1003" w:type="dxa"/>
            <w:vMerge/>
            <w:tcBorders>
              <w:top w:val="nil"/>
            </w:tcBorders>
          </w:tcPr>
          <w:p>
            <w:pPr>
              <w:rPr>
                <w:sz w:val="2"/>
                <w:szCs w:val="2"/>
              </w:rPr>
            </w:pPr>
          </w:p>
        </w:tc>
        <w:tc>
          <w:tcPr>
            <w:tcW w:w="1185" w:type="dxa"/>
            <w:vMerge/>
            <w:tcBorders>
              <w:top w:val="nil"/>
            </w:tcBorders>
          </w:tcPr>
          <w:p>
            <w:pPr>
              <w:rPr>
                <w:sz w:val="2"/>
                <w:szCs w:val="2"/>
              </w:rPr>
            </w:pPr>
          </w:p>
        </w:tc>
        <w:tc>
          <w:tcPr>
            <w:tcW w:w="2566" w:type="dxa"/>
            <w:vMerge/>
            <w:tcBorders>
              <w:top w:val="nil"/>
            </w:tcBorders>
          </w:tcPr>
          <w:p>
            <w:pPr>
              <w:rPr>
                <w:sz w:val="2"/>
                <w:szCs w:val="2"/>
              </w:rPr>
            </w:pPr>
          </w:p>
        </w:tc>
      </w:tr>
      <w:tr>
        <w:trPr>
          <w:trHeight w:val="360" w:hRule="atLeast"/>
        </w:trPr>
        <w:tc>
          <w:tcPr>
            <w:tcW w:w="758" w:type="dxa"/>
            <w:vMerge w:val="restart"/>
          </w:tcPr>
          <w:p>
            <w:pPr>
              <w:pStyle w:val="TableParagraph"/>
              <w:spacing w:before="8"/>
              <w:ind w:left="177"/>
              <w:rPr>
                <w:sz w:val="24"/>
              </w:rPr>
            </w:pPr>
            <w:r>
              <w:rPr>
                <w:spacing w:val="-5"/>
                <w:sz w:val="24"/>
              </w:rPr>
              <w:t>B59</w:t>
            </w:r>
          </w:p>
        </w:tc>
        <w:tc>
          <w:tcPr>
            <w:tcW w:w="2818" w:type="dxa"/>
            <w:tcBorders>
              <w:bottom w:val="nil"/>
            </w:tcBorders>
          </w:tcPr>
          <w:p>
            <w:pPr>
              <w:pStyle w:val="TableParagraph"/>
              <w:spacing w:before="8"/>
              <w:ind w:left="9"/>
              <w:rPr>
                <w:sz w:val="24"/>
              </w:rPr>
            </w:pPr>
            <w:r>
              <w:rPr>
                <w:sz w:val="24"/>
              </w:rPr>
              <w:t>Peace</w:t>
            </w:r>
            <w:r>
              <w:rPr>
                <w:spacing w:val="-2"/>
                <w:sz w:val="24"/>
              </w:rPr>
              <w:t> </w:t>
            </w:r>
            <w:r>
              <w:rPr>
                <w:sz w:val="24"/>
              </w:rPr>
              <w:t>is</w:t>
            </w:r>
            <w:r>
              <w:rPr>
                <w:spacing w:val="-1"/>
                <w:sz w:val="24"/>
              </w:rPr>
              <w:t> </w:t>
            </w:r>
            <w:r>
              <w:rPr>
                <w:sz w:val="24"/>
              </w:rPr>
              <w:t>possible</w:t>
            </w:r>
            <w:r>
              <w:rPr>
                <w:spacing w:val="-1"/>
                <w:sz w:val="24"/>
              </w:rPr>
              <w:t> </w:t>
            </w:r>
            <w:r>
              <w:rPr>
                <w:sz w:val="24"/>
              </w:rPr>
              <w:t>if</w:t>
            </w:r>
            <w:r>
              <w:rPr>
                <w:spacing w:val="-1"/>
                <w:sz w:val="24"/>
              </w:rPr>
              <w:t> </w:t>
            </w:r>
            <w:r>
              <w:rPr>
                <w:spacing w:val="-5"/>
                <w:sz w:val="24"/>
              </w:rPr>
              <w:t>JTF</w:t>
            </w:r>
          </w:p>
        </w:tc>
        <w:tc>
          <w:tcPr>
            <w:tcW w:w="826" w:type="dxa"/>
            <w:vMerge w:val="restart"/>
          </w:tcPr>
          <w:p>
            <w:pPr>
              <w:pStyle w:val="TableParagraph"/>
              <w:spacing w:before="8"/>
              <w:ind w:left="233"/>
              <w:rPr>
                <w:sz w:val="24"/>
              </w:rPr>
            </w:pPr>
            <w:r>
              <w:rPr>
                <w:spacing w:val="-5"/>
                <w:sz w:val="24"/>
              </w:rPr>
              <w:t>232</w:t>
            </w:r>
          </w:p>
        </w:tc>
        <w:tc>
          <w:tcPr>
            <w:tcW w:w="1003" w:type="dxa"/>
            <w:vMerge w:val="restart"/>
          </w:tcPr>
          <w:p>
            <w:pPr>
              <w:pStyle w:val="TableParagraph"/>
              <w:spacing w:before="8"/>
              <w:ind w:left="290"/>
              <w:rPr>
                <w:sz w:val="24"/>
              </w:rPr>
            </w:pPr>
            <w:r>
              <w:rPr>
                <w:spacing w:val="-4"/>
                <w:sz w:val="24"/>
              </w:rPr>
              <w:t>2.74</w:t>
            </w:r>
          </w:p>
        </w:tc>
        <w:tc>
          <w:tcPr>
            <w:tcW w:w="1185" w:type="dxa"/>
            <w:vMerge w:val="restart"/>
          </w:tcPr>
          <w:p>
            <w:pPr>
              <w:pStyle w:val="TableParagraph"/>
              <w:spacing w:before="8"/>
              <w:ind w:left="382"/>
              <w:rPr>
                <w:sz w:val="24"/>
              </w:rPr>
            </w:pPr>
            <w:r>
              <w:rPr>
                <w:spacing w:val="-4"/>
                <w:sz w:val="24"/>
              </w:rPr>
              <w:t>.937</w:t>
            </w:r>
          </w:p>
        </w:tc>
        <w:tc>
          <w:tcPr>
            <w:tcW w:w="2566" w:type="dxa"/>
            <w:vMerge w:val="restart"/>
          </w:tcPr>
          <w:p>
            <w:pPr>
              <w:pStyle w:val="TableParagraph"/>
              <w:spacing w:before="8"/>
              <w:ind w:left="11"/>
              <w:jc w:val="center"/>
              <w:rPr>
                <w:sz w:val="24"/>
              </w:rPr>
            </w:pPr>
            <w:r>
              <w:rPr>
                <w:spacing w:val="-10"/>
                <w:sz w:val="24"/>
              </w:rPr>
              <w:t>D</w:t>
            </w:r>
          </w:p>
        </w:tc>
      </w:tr>
      <w:tr>
        <w:trPr>
          <w:trHeight w:val="464" w:hRule="atLeast"/>
        </w:trPr>
        <w:tc>
          <w:tcPr>
            <w:tcW w:w="758" w:type="dxa"/>
            <w:vMerge/>
            <w:tcBorders>
              <w:top w:val="nil"/>
            </w:tcBorders>
          </w:tcPr>
          <w:p>
            <w:pPr>
              <w:rPr>
                <w:sz w:val="2"/>
                <w:szCs w:val="2"/>
              </w:rPr>
            </w:pPr>
          </w:p>
        </w:tc>
        <w:tc>
          <w:tcPr>
            <w:tcW w:w="2818" w:type="dxa"/>
            <w:tcBorders>
              <w:top w:val="nil"/>
            </w:tcBorders>
          </w:tcPr>
          <w:p>
            <w:pPr>
              <w:pStyle w:val="TableParagraph"/>
              <w:spacing w:before="65"/>
              <w:ind w:left="9"/>
              <w:rPr>
                <w:sz w:val="24"/>
              </w:rPr>
            </w:pPr>
            <w:r>
              <w:rPr>
                <w:sz w:val="24"/>
              </w:rPr>
              <w:t>strategies</w:t>
            </w:r>
            <w:r>
              <w:rPr>
                <w:spacing w:val="-3"/>
                <w:sz w:val="24"/>
              </w:rPr>
              <w:t> </w:t>
            </w:r>
            <w:r>
              <w:rPr>
                <w:sz w:val="24"/>
              </w:rPr>
              <w:t>are</w:t>
            </w:r>
            <w:r>
              <w:rPr>
                <w:spacing w:val="-2"/>
                <w:sz w:val="24"/>
              </w:rPr>
              <w:t> changed.</w:t>
            </w:r>
          </w:p>
        </w:tc>
        <w:tc>
          <w:tcPr>
            <w:tcW w:w="826" w:type="dxa"/>
            <w:vMerge/>
            <w:tcBorders>
              <w:top w:val="nil"/>
            </w:tcBorders>
          </w:tcPr>
          <w:p>
            <w:pPr>
              <w:rPr>
                <w:sz w:val="2"/>
                <w:szCs w:val="2"/>
              </w:rPr>
            </w:pPr>
          </w:p>
        </w:tc>
        <w:tc>
          <w:tcPr>
            <w:tcW w:w="1003" w:type="dxa"/>
            <w:vMerge/>
            <w:tcBorders>
              <w:top w:val="nil"/>
            </w:tcBorders>
          </w:tcPr>
          <w:p>
            <w:pPr>
              <w:rPr>
                <w:sz w:val="2"/>
                <w:szCs w:val="2"/>
              </w:rPr>
            </w:pPr>
          </w:p>
        </w:tc>
        <w:tc>
          <w:tcPr>
            <w:tcW w:w="1185" w:type="dxa"/>
            <w:vMerge/>
            <w:tcBorders>
              <w:top w:val="nil"/>
            </w:tcBorders>
          </w:tcPr>
          <w:p>
            <w:pPr>
              <w:rPr>
                <w:sz w:val="2"/>
                <w:szCs w:val="2"/>
              </w:rPr>
            </w:pPr>
          </w:p>
        </w:tc>
        <w:tc>
          <w:tcPr>
            <w:tcW w:w="2566" w:type="dxa"/>
            <w:vMerge/>
            <w:tcBorders>
              <w:top w:val="nil"/>
            </w:tcBorders>
          </w:tcPr>
          <w:p>
            <w:pPr>
              <w:rPr>
                <w:sz w:val="2"/>
                <w:szCs w:val="2"/>
              </w:rPr>
            </w:pPr>
          </w:p>
        </w:tc>
      </w:tr>
    </w:tbl>
    <w:p>
      <w:pPr>
        <w:pStyle w:val="BodyText"/>
        <w:spacing w:before="137"/>
        <w:ind w:left="0"/>
        <w:rPr>
          <w:b/>
        </w:rPr>
      </w:pPr>
    </w:p>
    <w:p>
      <w:pPr>
        <w:pStyle w:val="BodyText"/>
        <w:spacing w:line="360" w:lineRule="auto"/>
        <w:ind w:right="1258" w:firstLine="705"/>
        <w:jc w:val="both"/>
      </w:pPr>
      <w:r>
        <w:rPr/>
        <w:t>From</w:t>
      </w:r>
      <w:r>
        <w:rPr>
          <w:spacing w:val="-4"/>
        </w:rPr>
        <w:t> </w:t>
      </w:r>
      <w:r>
        <w:rPr/>
        <w:t>the</w:t>
      </w:r>
      <w:r>
        <w:rPr>
          <w:spacing w:val="-4"/>
        </w:rPr>
        <w:t> </w:t>
      </w:r>
      <w:r>
        <w:rPr/>
        <w:t>descriptive</w:t>
      </w:r>
      <w:r>
        <w:rPr>
          <w:spacing w:val="-5"/>
        </w:rPr>
        <w:t> </w:t>
      </w:r>
      <w:r>
        <w:rPr/>
        <w:t>statistics</w:t>
      </w:r>
      <w:r>
        <w:rPr>
          <w:spacing w:val="-4"/>
        </w:rPr>
        <w:t> </w:t>
      </w:r>
      <w:r>
        <w:rPr/>
        <w:t>presented</w:t>
      </w:r>
      <w:r>
        <w:rPr>
          <w:spacing w:val="-4"/>
        </w:rPr>
        <w:t> </w:t>
      </w:r>
      <w:r>
        <w:rPr/>
        <w:t>on</w:t>
      </w:r>
      <w:r>
        <w:rPr>
          <w:spacing w:val="-2"/>
        </w:rPr>
        <w:t> </w:t>
      </w:r>
      <w:r>
        <w:rPr/>
        <w:t>Table</w:t>
      </w:r>
      <w:r>
        <w:rPr>
          <w:spacing w:val="-1"/>
        </w:rPr>
        <w:t> </w:t>
      </w:r>
      <w:r>
        <w:rPr/>
        <w:t>19,</w:t>
      </w:r>
      <w:r>
        <w:rPr>
          <w:spacing w:val="-4"/>
        </w:rPr>
        <w:t> </w:t>
      </w:r>
      <w:r>
        <w:rPr/>
        <w:t>there</w:t>
      </w:r>
      <w:r>
        <w:rPr>
          <w:spacing w:val="-3"/>
        </w:rPr>
        <w:t> </w:t>
      </w:r>
      <w:r>
        <w:rPr/>
        <w:t>are</w:t>
      </w:r>
      <w:r>
        <w:rPr>
          <w:spacing w:val="-4"/>
        </w:rPr>
        <w:t> </w:t>
      </w:r>
      <w:r>
        <w:rPr/>
        <w:t>divergent</w:t>
      </w:r>
      <w:r>
        <w:rPr>
          <w:spacing w:val="-4"/>
        </w:rPr>
        <w:t> </w:t>
      </w:r>
      <w:r>
        <w:rPr/>
        <w:t>views from the respondents. However, it was generally agreed that peace in the Niger Delta is in sight with JTF intervention.</w:t>
      </w:r>
    </w:p>
    <w:p>
      <w:pPr>
        <w:pStyle w:val="BodyText"/>
        <w:spacing w:line="275" w:lineRule="exact"/>
        <w:ind w:left="2146"/>
        <w:jc w:val="both"/>
      </w:pPr>
      <w:r>
        <w:rPr/>
        <w:t>Across</w:t>
      </w:r>
      <w:r>
        <w:rPr>
          <w:spacing w:val="41"/>
        </w:rPr>
        <w:t> </w:t>
      </w:r>
      <w:r>
        <w:rPr/>
        <w:t>the</w:t>
      </w:r>
      <w:r>
        <w:rPr>
          <w:spacing w:val="41"/>
        </w:rPr>
        <w:t> </w:t>
      </w:r>
      <w:r>
        <w:rPr/>
        <w:t>State,</w:t>
      </w:r>
      <w:r>
        <w:rPr>
          <w:spacing w:val="42"/>
        </w:rPr>
        <w:t> </w:t>
      </w:r>
      <w:r>
        <w:rPr/>
        <w:t>there</w:t>
      </w:r>
      <w:r>
        <w:rPr>
          <w:spacing w:val="44"/>
        </w:rPr>
        <w:t> </w:t>
      </w:r>
      <w:r>
        <w:rPr/>
        <w:t>are</w:t>
      </w:r>
      <w:r>
        <w:rPr>
          <w:spacing w:val="41"/>
        </w:rPr>
        <w:t> </w:t>
      </w:r>
      <w:r>
        <w:rPr/>
        <w:t>differences</w:t>
      </w:r>
      <w:r>
        <w:rPr>
          <w:spacing w:val="42"/>
        </w:rPr>
        <w:t> </w:t>
      </w:r>
      <w:r>
        <w:rPr/>
        <w:t>in</w:t>
      </w:r>
      <w:r>
        <w:rPr>
          <w:spacing w:val="43"/>
        </w:rPr>
        <w:t> </w:t>
      </w:r>
      <w:r>
        <w:rPr/>
        <w:t>perception</w:t>
      </w:r>
      <w:r>
        <w:rPr>
          <w:spacing w:val="41"/>
        </w:rPr>
        <w:t> </w:t>
      </w:r>
      <w:r>
        <w:rPr/>
        <w:t>whether</w:t>
      </w:r>
      <w:r>
        <w:rPr>
          <w:spacing w:val="41"/>
        </w:rPr>
        <w:t> </w:t>
      </w:r>
      <w:r>
        <w:rPr/>
        <w:t>with</w:t>
      </w:r>
      <w:r>
        <w:rPr>
          <w:spacing w:val="42"/>
        </w:rPr>
        <w:t> </w:t>
      </w:r>
      <w:r>
        <w:rPr/>
        <w:t>the</w:t>
      </w:r>
      <w:r>
        <w:rPr>
          <w:spacing w:val="44"/>
        </w:rPr>
        <w:t> </w:t>
      </w:r>
      <w:r>
        <w:rPr>
          <w:spacing w:val="-4"/>
        </w:rPr>
        <w:t>JTF,</w:t>
      </w:r>
    </w:p>
    <w:p>
      <w:pPr>
        <w:spacing w:after="0" w:line="275" w:lineRule="exact"/>
        <w:jc w:val="both"/>
        <w:sectPr>
          <w:pgSz w:w="11910" w:h="16840"/>
          <w:pgMar w:header="0" w:footer="1561" w:top="1760" w:bottom="1760" w:left="720" w:right="180"/>
        </w:sectPr>
      </w:pPr>
    </w:p>
    <w:p>
      <w:pPr>
        <w:pStyle w:val="BodyText"/>
        <w:spacing w:line="360" w:lineRule="auto" w:before="60"/>
        <w:ind w:right="1257"/>
        <w:jc w:val="both"/>
      </w:pPr>
      <w:r>
        <w:rPr/>
        <mc:AlternateContent>
          <mc:Choice Requires="wps">
            <w:drawing>
              <wp:anchor distT="0" distB="0" distL="0" distR="0" allowOverlap="1" layoutInCell="1" locked="0" behindDoc="1" simplePos="0" relativeHeight="480675840">
                <wp:simplePos x="0" y="0"/>
                <wp:positionH relativeFrom="page">
                  <wp:posOffset>-1537026</wp:posOffset>
                </wp:positionH>
                <wp:positionV relativeFrom="page">
                  <wp:posOffset>4900424</wp:posOffset>
                </wp:positionV>
                <wp:extent cx="10669905" cy="914400"/>
                <wp:effectExtent l="0" t="0" r="0" b="0"/>
                <wp:wrapNone/>
                <wp:docPr id="311" name="Textbox 311"/>
                <wp:cNvGraphicFramePr>
                  <a:graphicFrameLocks/>
                </wp:cNvGraphicFramePr>
                <a:graphic>
                  <a:graphicData uri="http://schemas.microsoft.com/office/word/2010/wordprocessingShape">
                    <wps:wsp>
                      <wps:cNvPr id="311" name="Textbox 311"/>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40640;rotation:306" type="#_x0000_t136" fillcolor="#ff5400" stroked="f">
                <o:extrusion v:ext="view" autorotationcenter="t"/>
                <v:textpath style="font-family:&quot;Arial MT&quot;;font-size:72pt;v-text-kern:t;mso-text-shadow:auto" string="UNIVERSITY OF IBADAN"/>
                <w10:wrap type="none"/>
              </v:shape>
            </w:pict>
          </mc:Fallback>
        </mc:AlternateContent>
      </w:r>
      <w:r>
        <w:rPr/>
        <w:t>peace</w:t>
      </w:r>
      <w:r>
        <w:rPr>
          <w:spacing w:val="-1"/>
        </w:rPr>
        <w:t> </w:t>
      </w:r>
      <w:r>
        <w:rPr/>
        <w:t>is</w:t>
      </w:r>
      <w:r>
        <w:rPr>
          <w:spacing w:val="-1"/>
        </w:rPr>
        <w:t> </w:t>
      </w:r>
      <w:r>
        <w:rPr/>
        <w:t>attainable.</w:t>
      </w:r>
      <w:r>
        <w:rPr>
          <w:spacing w:val="-1"/>
        </w:rPr>
        <w:t> </w:t>
      </w:r>
      <w:r>
        <w:rPr/>
        <w:t>However,</w:t>
      </w:r>
      <w:r>
        <w:rPr>
          <w:spacing w:val="-1"/>
        </w:rPr>
        <w:t> </w:t>
      </w:r>
      <w:r>
        <w:rPr/>
        <w:t>the</w:t>
      </w:r>
      <w:r>
        <w:rPr>
          <w:spacing w:val="-1"/>
        </w:rPr>
        <w:t> </w:t>
      </w:r>
      <w:r>
        <w:rPr/>
        <w:t>analysis in</w:t>
      </w:r>
      <w:r>
        <w:rPr>
          <w:spacing w:val="-1"/>
        </w:rPr>
        <w:t> </w:t>
      </w:r>
      <w:r>
        <w:rPr/>
        <w:t>Table</w:t>
      </w:r>
      <w:r>
        <w:rPr>
          <w:spacing w:val="-1"/>
        </w:rPr>
        <w:t> </w:t>
      </w:r>
      <w:r>
        <w:rPr/>
        <w:t>19</w:t>
      </w:r>
      <w:r>
        <w:rPr>
          <w:spacing w:val="-1"/>
        </w:rPr>
        <w:t> </w:t>
      </w:r>
      <w:r>
        <w:rPr/>
        <w:t>shows agreement and</w:t>
      </w:r>
      <w:r>
        <w:rPr>
          <w:spacing w:val="-1"/>
        </w:rPr>
        <w:t> </w:t>
      </w:r>
      <w:r>
        <w:rPr/>
        <w:t>therefore, sustainable peace is possible through JTF intervention - Bayelsa (3.28), Delta (2.52) and Rivers (2.44).</w:t>
      </w:r>
    </w:p>
    <w:p>
      <w:pPr>
        <w:pStyle w:val="BodyText"/>
        <w:spacing w:line="360" w:lineRule="auto"/>
        <w:ind w:right="1255" w:firstLine="705"/>
        <w:jc w:val="both"/>
      </w:pPr>
      <w:r>
        <w:rPr/>
        <w:t>Considering</w:t>
      </w:r>
      <w:r>
        <w:rPr>
          <w:spacing w:val="-2"/>
        </w:rPr>
        <w:t> </w:t>
      </w:r>
      <w:r>
        <w:rPr/>
        <w:t>the gender of respondents, result of the t-test indicates that gender is not a factor in forming the perception (t-values= 1.54, p = .128). In the same vein, ANOVA results for age group of respondents show no significant differences (f = 1.795, P = .131).</w:t>
      </w:r>
    </w:p>
    <w:p>
      <w:pPr>
        <w:pStyle w:val="BodyText"/>
        <w:spacing w:line="360" w:lineRule="auto"/>
        <w:ind w:right="1257" w:firstLine="720"/>
        <w:jc w:val="both"/>
      </w:pPr>
      <w:r>
        <w:rPr/>
        <w:t>Based on education of the respondents, the ANOVA results show that there</w:t>
      </w:r>
      <w:r>
        <w:rPr>
          <w:spacing w:val="40"/>
        </w:rPr>
        <w:t> </w:t>
      </w:r>
      <w:r>
        <w:rPr/>
        <w:t>are significant difference in view (f = 4.386, P = .131). However, the differences in perception can be ignored since majority of the respondents agree that peace is attainable in the near future with JTF intervention. From the foregoing, it can be deduced that peace is attainable in the near future with the JTF intervention.</w:t>
      </w:r>
    </w:p>
    <w:p>
      <w:pPr>
        <w:pStyle w:val="BodyText"/>
        <w:spacing w:line="360" w:lineRule="auto" w:before="2"/>
        <w:ind w:right="1263" w:firstLine="720"/>
        <w:jc w:val="both"/>
      </w:pPr>
      <w:r>
        <w:rPr/>
        <w:t>On the perception that peace will continue to elude the Niger Delta region</w:t>
      </w:r>
      <w:r>
        <w:rPr>
          <w:spacing w:val="40"/>
        </w:rPr>
        <w:t> </w:t>
      </w:r>
      <w:r>
        <w:rPr/>
        <w:t>with the JTF</w:t>
      </w:r>
      <w:r>
        <w:rPr>
          <w:spacing w:val="-1"/>
        </w:rPr>
        <w:t> </w:t>
      </w:r>
      <w:r>
        <w:rPr/>
        <w:t>intervention, the respondents generally</w:t>
      </w:r>
      <w:r>
        <w:rPr>
          <w:spacing w:val="-4"/>
        </w:rPr>
        <w:t> </w:t>
      </w:r>
      <w:r>
        <w:rPr/>
        <w:t>disagree with this assertion. On a State by State basis, results of ANOVA indicate differences amongst the State (f = 11.920, P = .000).</w:t>
      </w:r>
    </w:p>
    <w:p>
      <w:pPr>
        <w:pStyle w:val="BodyText"/>
        <w:spacing w:line="360" w:lineRule="auto"/>
        <w:ind w:right="1256" w:firstLine="720"/>
        <w:jc w:val="both"/>
      </w:pPr>
      <w:r>
        <w:rPr/>
        <w:t>However, the disagreement with this view is maintained within each State as shown by the mean values - Bayelsa (1.83), Delta (2.39) and Rivers (2.49). By implication peace in the Niger Delta is in sight with the JTF intervention.</w:t>
      </w:r>
    </w:p>
    <w:p>
      <w:pPr>
        <w:pStyle w:val="BodyText"/>
        <w:spacing w:before="4"/>
        <w:ind w:left="0"/>
      </w:pPr>
    </w:p>
    <w:p>
      <w:pPr>
        <w:pStyle w:val="Heading2"/>
        <w:numPr>
          <w:ilvl w:val="3"/>
          <w:numId w:val="26"/>
        </w:numPr>
        <w:tabs>
          <w:tab w:pos="2478" w:val="left" w:leader="none"/>
        </w:tabs>
        <w:spacing w:line="360" w:lineRule="auto" w:before="0" w:after="0"/>
        <w:ind w:left="1440" w:right="1263" w:firstLine="0"/>
        <w:jc w:val="both"/>
      </w:pPr>
      <w:r>
        <w:rPr/>
        <w:t>Perception on Whether JTF Will Never Achieve Its Objective of Sustainable Peace.</w:t>
      </w:r>
    </w:p>
    <w:p>
      <w:pPr>
        <w:pStyle w:val="BodyText"/>
        <w:spacing w:line="360" w:lineRule="auto"/>
        <w:ind w:right="1260" w:firstLine="720"/>
        <w:jc w:val="both"/>
      </w:pPr>
      <w:r>
        <w:rPr/>
        <w:t>From the data presented on Table 19, the respondents disagree with the statement that “the JTF will never achieve its objective of sustainable peace in Niger Delta”. Across the States, the results of ANOVA indicate differences amongst the States (f = 13.280, p = .000). However, the three States are not in the same agreement scale – Bayelsa (1.89), Delta (2.67) and Rivers (2.53).</w:t>
      </w:r>
    </w:p>
    <w:p>
      <w:pPr>
        <w:pStyle w:val="BodyText"/>
        <w:spacing w:before="2"/>
        <w:ind w:left="0"/>
      </w:pPr>
    </w:p>
    <w:p>
      <w:pPr>
        <w:pStyle w:val="Heading2"/>
        <w:numPr>
          <w:ilvl w:val="3"/>
          <w:numId w:val="26"/>
        </w:numPr>
        <w:tabs>
          <w:tab w:pos="2488" w:val="left" w:leader="none"/>
        </w:tabs>
        <w:spacing w:line="360" w:lineRule="auto" w:before="0" w:after="0"/>
        <w:ind w:left="1440" w:right="1260" w:firstLine="0"/>
        <w:jc w:val="both"/>
      </w:pPr>
      <w:r>
        <w:rPr/>
        <w:t>Perception on Whether There Will Be Peace If JTF Operations Strategies is Changed</w:t>
      </w:r>
    </w:p>
    <w:p>
      <w:pPr>
        <w:pStyle w:val="BodyText"/>
        <w:spacing w:line="360" w:lineRule="auto"/>
        <w:ind w:right="1263" w:firstLine="216"/>
        <w:jc w:val="both"/>
      </w:pPr>
      <w:r>
        <w:rPr/>
        <w:t>Respondents were asked on the possibility of having peace if the JTF operations strategy is changed. From the analysis of the descriptive statistics of the fieldwork, there</w:t>
      </w:r>
      <w:r>
        <w:rPr>
          <w:spacing w:val="12"/>
        </w:rPr>
        <w:t> </w:t>
      </w:r>
      <w:r>
        <w:rPr/>
        <w:t>is</w:t>
      </w:r>
      <w:r>
        <w:rPr>
          <w:spacing w:val="18"/>
        </w:rPr>
        <w:t> </w:t>
      </w:r>
      <w:r>
        <w:rPr/>
        <w:t>a</w:t>
      </w:r>
      <w:r>
        <w:rPr>
          <w:spacing w:val="18"/>
        </w:rPr>
        <w:t> </w:t>
      </w:r>
      <w:r>
        <w:rPr/>
        <w:t>general</w:t>
      </w:r>
      <w:r>
        <w:rPr>
          <w:spacing w:val="16"/>
        </w:rPr>
        <w:t> </w:t>
      </w:r>
      <w:r>
        <w:rPr/>
        <w:t>agreement</w:t>
      </w:r>
      <w:r>
        <w:rPr>
          <w:spacing w:val="16"/>
        </w:rPr>
        <w:t> </w:t>
      </w:r>
      <w:r>
        <w:rPr/>
        <w:t>on</w:t>
      </w:r>
      <w:r>
        <w:rPr>
          <w:spacing w:val="15"/>
        </w:rPr>
        <w:t> </w:t>
      </w:r>
      <w:r>
        <w:rPr/>
        <w:t>these</w:t>
      </w:r>
      <w:r>
        <w:rPr>
          <w:spacing w:val="17"/>
        </w:rPr>
        <w:t> </w:t>
      </w:r>
      <w:r>
        <w:rPr/>
        <w:t>views.</w:t>
      </w:r>
      <w:r>
        <w:rPr>
          <w:spacing w:val="17"/>
        </w:rPr>
        <w:t> </w:t>
      </w:r>
      <w:r>
        <w:rPr/>
        <w:t>During</w:t>
      </w:r>
      <w:r>
        <w:rPr>
          <w:spacing w:val="16"/>
        </w:rPr>
        <w:t> </w:t>
      </w:r>
      <w:r>
        <w:rPr/>
        <w:t>oral</w:t>
      </w:r>
      <w:r>
        <w:rPr>
          <w:spacing w:val="16"/>
        </w:rPr>
        <w:t> </w:t>
      </w:r>
      <w:r>
        <w:rPr/>
        <w:t>interview,</w:t>
      </w:r>
      <w:r>
        <w:rPr>
          <w:spacing w:val="18"/>
        </w:rPr>
        <w:t> </w:t>
      </w:r>
      <w:r>
        <w:rPr/>
        <w:t>it</w:t>
      </w:r>
      <w:r>
        <w:rPr>
          <w:spacing w:val="16"/>
        </w:rPr>
        <w:t> </w:t>
      </w:r>
      <w:r>
        <w:rPr/>
        <w:t>is</w:t>
      </w:r>
      <w:r>
        <w:rPr>
          <w:spacing w:val="19"/>
        </w:rPr>
        <w:t> </w:t>
      </w:r>
      <w:r>
        <w:rPr>
          <w:spacing w:val="-2"/>
        </w:rPr>
        <w:t>paradoxical,</w:t>
      </w:r>
    </w:p>
    <w:p>
      <w:pPr>
        <w:spacing w:after="0" w:line="360" w:lineRule="auto"/>
        <w:jc w:val="both"/>
        <w:sectPr>
          <w:pgSz w:w="11910" w:h="16840"/>
          <w:pgMar w:header="0" w:footer="1561" w:top="1360" w:bottom="1760" w:left="720" w:right="180"/>
        </w:sectPr>
      </w:pPr>
    </w:p>
    <w:p>
      <w:pPr>
        <w:pStyle w:val="BodyText"/>
        <w:spacing w:line="360" w:lineRule="auto" w:before="60"/>
        <w:ind w:right="1253"/>
        <w:jc w:val="both"/>
      </w:pPr>
      <w:r>
        <w:rPr/>
        <mc:AlternateContent>
          <mc:Choice Requires="wps">
            <w:drawing>
              <wp:anchor distT="0" distB="0" distL="0" distR="0" allowOverlap="1" layoutInCell="1" locked="0" behindDoc="1" simplePos="0" relativeHeight="480676352">
                <wp:simplePos x="0" y="0"/>
                <wp:positionH relativeFrom="page">
                  <wp:posOffset>-1537026</wp:posOffset>
                </wp:positionH>
                <wp:positionV relativeFrom="page">
                  <wp:posOffset>4900424</wp:posOffset>
                </wp:positionV>
                <wp:extent cx="10669905" cy="914400"/>
                <wp:effectExtent l="0" t="0" r="0" b="0"/>
                <wp:wrapNone/>
                <wp:docPr id="312" name="Textbox 312"/>
                <wp:cNvGraphicFramePr>
                  <a:graphicFrameLocks/>
                </wp:cNvGraphicFramePr>
                <a:graphic>
                  <a:graphicData uri="http://schemas.microsoft.com/office/word/2010/wordprocessingShape">
                    <wps:wsp>
                      <wps:cNvPr id="312" name="Textbox 312"/>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40128;rotation:306" type="#_x0000_t136" fillcolor="#ff5400" stroked="f">
                <o:extrusion v:ext="view" autorotationcenter="t"/>
                <v:textpath style="font-family:&quot;Arial MT&quot;;font-size:72pt;v-text-kern:t;mso-text-shadow:auto" string="UNIVERSITY OF IBADAN"/>
                <w10:wrap type="none"/>
              </v:shape>
            </w:pict>
          </mc:Fallback>
        </mc:AlternateContent>
      </w:r>
      <w:r>
        <w:rPr/>
        <w:t>however,</w:t>
      </w:r>
      <w:r>
        <w:rPr>
          <w:spacing w:val="-2"/>
        </w:rPr>
        <w:t> </w:t>
      </w:r>
      <w:r>
        <w:rPr/>
        <w:t>that</w:t>
      </w:r>
      <w:r>
        <w:rPr>
          <w:spacing w:val="-1"/>
        </w:rPr>
        <w:t> </w:t>
      </w:r>
      <w:r>
        <w:rPr/>
        <w:t>the</w:t>
      </w:r>
      <w:r>
        <w:rPr>
          <w:spacing w:val="-2"/>
        </w:rPr>
        <w:t> </w:t>
      </w:r>
      <w:r>
        <w:rPr/>
        <w:t>majority</w:t>
      </w:r>
      <w:r>
        <w:rPr>
          <w:spacing w:val="-4"/>
        </w:rPr>
        <w:t> </w:t>
      </w:r>
      <w:r>
        <w:rPr/>
        <w:t>of</w:t>
      </w:r>
      <w:r>
        <w:rPr>
          <w:spacing w:val="-2"/>
        </w:rPr>
        <w:t> </w:t>
      </w:r>
      <w:r>
        <w:rPr/>
        <w:t>the</w:t>
      </w:r>
      <w:r>
        <w:rPr>
          <w:spacing w:val="-2"/>
        </w:rPr>
        <w:t> </w:t>
      </w:r>
      <w:r>
        <w:rPr/>
        <w:t>respondents</w:t>
      </w:r>
      <w:r>
        <w:rPr>
          <w:spacing w:val="-1"/>
        </w:rPr>
        <w:t> </w:t>
      </w:r>
      <w:r>
        <w:rPr/>
        <w:t>(80%)</w:t>
      </w:r>
      <w:r>
        <w:rPr>
          <w:spacing w:val="-2"/>
        </w:rPr>
        <w:t> </w:t>
      </w:r>
      <w:r>
        <w:rPr/>
        <w:t>still</w:t>
      </w:r>
      <w:r>
        <w:rPr>
          <w:spacing w:val="-1"/>
        </w:rPr>
        <w:t> </w:t>
      </w:r>
      <w:r>
        <w:rPr/>
        <w:t>consider</w:t>
      </w:r>
      <w:r>
        <w:rPr>
          <w:spacing w:val="-2"/>
        </w:rPr>
        <w:t> </w:t>
      </w:r>
      <w:r>
        <w:rPr/>
        <w:t>the</w:t>
      </w:r>
      <w:r>
        <w:rPr>
          <w:spacing w:val="-2"/>
        </w:rPr>
        <w:t> </w:t>
      </w:r>
      <w:r>
        <w:rPr/>
        <w:t>conflicts</w:t>
      </w:r>
      <w:r>
        <w:rPr>
          <w:spacing w:val="-1"/>
        </w:rPr>
        <w:t> </w:t>
      </w:r>
      <w:r>
        <w:rPr/>
        <w:t>in</w:t>
      </w:r>
      <w:r>
        <w:rPr>
          <w:spacing w:val="-3"/>
        </w:rPr>
        <w:t> </w:t>
      </w:r>
      <w:r>
        <w:rPr/>
        <w:t>their communities to be active. They are of the opinion that the past conflict management strategies have only helped to change the attitude and behavior of the people but that, the root causes of the violent conflicts are yet to be tackled. We asked the respondent to identify the most potent triggers of these future problems. These, the respondents gave to include youth joblessness, poverty, poor education, elite manipulations, poor traditional conflict management resolution mechanism and lack of government commitment to development.</w:t>
      </w:r>
    </w:p>
    <w:p>
      <w:pPr>
        <w:pStyle w:val="BodyText"/>
        <w:spacing w:line="360" w:lineRule="auto" w:before="1"/>
        <w:ind w:right="1256" w:firstLine="715"/>
        <w:jc w:val="both"/>
      </w:pPr>
      <w:r>
        <w:rPr/>
        <w:t>Considering the education of the respondents, the </w:t>
      </w:r>
      <w:r>
        <w:rPr>
          <w:i/>
        </w:rPr>
        <w:t>ANOVA </w:t>
      </w:r>
      <w:r>
        <w:rPr/>
        <w:t>results indicate that there are no significant differences (f = .529, P = .714). Majority of respondents</w:t>
      </w:r>
      <w:r>
        <w:rPr>
          <w:spacing w:val="40"/>
        </w:rPr>
        <w:t> </w:t>
      </w:r>
      <w:r>
        <w:rPr/>
        <w:t>(95%) agree to this view. Likewise, based on the length of stay of respondents, there are no significant differences (f = 2.284, P = .080). The respondents generally agree that there will be peace if JTF operations‟ strategies are changed.</w:t>
      </w:r>
    </w:p>
    <w:p>
      <w:pPr>
        <w:pStyle w:val="BodyText"/>
        <w:spacing w:before="4"/>
        <w:ind w:left="0"/>
      </w:pPr>
    </w:p>
    <w:p>
      <w:pPr>
        <w:pStyle w:val="Heading2"/>
        <w:numPr>
          <w:ilvl w:val="3"/>
          <w:numId w:val="26"/>
        </w:numPr>
        <w:tabs>
          <w:tab w:pos="2580" w:val="left" w:leader="none"/>
        </w:tabs>
        <w:spacing w:line="240" w:lineRule="auto" w:before="1" w:after="0"/>
        <w:ind w:left="2580" w:right="0" w:hanging="1140"/>
        <w:jc w:val="left"/>
      </w:pPr>
      <w:r>
        <w:rPr/>
        <w:t>RQI6:</w:t>
      </w:r>
      <w:r>
        <w:rPr>
          <w:spacing w:val="-3"/>
        </w:rPr>
        <w:t> </w:t>
      </w:r>
      <w:r>
        <w:rPr/>
        <w:t>Effect</w:t>
      </w:r>
      <w:r>
        <w:rPr>
          <w:spacing w:val="-2"/>
        </w:rPr>
        <w:t> </w:t>
      </w:r>
      <w:r>
        <w:rPr/>
        <w:t>of</w:t>
      </w:r>
      <w:r>
        <w:rPr>
          <w:spacing w:val="-1"/>
        </w:rPr>
        <w:t> </w:t>
      </w:r>
      <w:r>
        <w:rPr/>
        <w:t>JTF</w:t>
      </w:r>
      <w:r>
        <w:rPr>
          <w:spacing w:val="-2"/>
        </w:rPr>
        <w:t> </w:t>
      </w:r>
      <w:r>
        <w:rPr/>
        <w:t>Intervention</w:t>
      </w:r>
      <w:r>
        <w:rPr>
          <w:spacing w:val="-1"/>
        </w:rPr>
        <w:t> </w:t>
      </w:r>
      <w:r>
        <w:rPr/>
        <w:t>on</w:t>
      </w:r>
      <w:r>
        <w:rPr>
          <w:spacing w:val="-1"/>
        </w:rPr>
        <w:t> </w:t>
      </w:r>
      <w:r>
        <w:rPr/>
        <w:t>the</w:t>
      </w:r>
      <w:r>
        <w:rPr>
          <w:spacing w:val="-2"/>
        </w:rPr>
        <w:t> </w:t>
      </w:r>
      <w:r>
        <w:rPr/>
        <w:t>Niger</w:t>
      </w:r>
      <w:r>
        <w:rPr>
          <w:spacing w:val="-2"/>
        </w:rPr>
        <w:t> </w:t>
      </w:r>
      <w:r>
        <w:rPr/>
        <w:t>Delta </w:t>
      </w:r>
      <w:r>
        <w:rPr>
          <w:spacing w:val="-2"/>
        </w:rPr>
        <w:t>Conflict</w:t>
      </w:r>
    </w:p>
    <w:p>
      <w:pPr>
        <w:pStyle w:val="BodyText"/>
        <w:spacing w:line="360" w:lineRule="auto" w:before="134"/>
        <w:ind w:right="1260"/>
      </w:pPr>
      <w:r>
        <w:rPr/>
        <w:t>The</w:t>
      </w:r>
      <w:r>
        <w:rPr>
          <w:spacing w:val="-5"/>
        </w:rPr>
        <w:t> </w:t>
      </w:r>
      <w:r>
        <w:rPr/>
        <w:t>perception</w:t>
      </w:r>
      <w:r>
        <w:rPr>
          <w:spacing w:val="-3"/>
        </w:rPr>
        <w:t> </w:t>
      </w:r>
      <w:r>
        <w:rPr/>
        <w:t>on</w:t>
      </w:r>
      <w:r>
        <w:rPr>
          <w:spacing w:val="-3"/>
        </w:rPr>
        <w:t> </w:t>
      </w:r>
      <w:r>
        <w:rPr/>
        <w:t>the</w:t>
      </w:r>
      <w:r>
        <w:rPr>
          <w:spacing w:val="-3"/>
        </w:rPr>
        <w:t> </w:t>
      </w:r>
      <w:r>
        <w:rPr/>
        <w:t>effect</w:t>
      </w:r>
      <w:r>
        <w:rPr>
          <w:spacing w:val="-3"/>
        </w:rPr>
        <w:t> </w:t>
      </w:r>
      <w:r>
        <w:rPr/>
        <w:t>of</w:t>
      </w:r>
      <w:r>
        <w:rPr>
          <w:spacing w:val="-3"/>
        </w:rPr>
        <w:t> </w:t>
      </w:r>
      <w:r>
        <w:rPr/>
        <w:t>JTF</w:t>
      </w:r>
      <w:r>
        <w:rPr>
          <w:spacing w:val="-5"/>
        </w:rPr>
        <w:t> </w:t>
      </w:r>
      <w:r>
        <w:rPr/>
        <w:t>intervention</w:t>
      </w:r>
      <w:r>
        <w:rPr>
          <w:spacing w:val="-3"/>
        </w:rPr>
        <w:t> </w:t>
      </w:r>
      <w:r>
        <w:rPr/>
        <w:t>on</w:t>
      </w:r>
      <w:r>
        <w:rPr>
          <w:spacing w:val="-3"/>
        </w:rPr>
        <w:t> </w:t>
      </w:r>
      <w:r>
        <w:rPr/>
        <w:t>the</w:t>
      </w:r>
      <w:r>
        <w:rPr>
          <w:spacing w:val="-3"/>
        </w:rPr>
        <w:t> </w:t>
      </w:r>
      <w:r>
        <w:rPr/>
        <w:t>Niger</w:t>
      </w:r>
      <w:r>
        <w:rPr>
          <w:spacing w:val="-5"/>
        </w:rPr>
        <w:t> </w:t>
      </w:r>
      <w:r>
        <w:rPr/>
        <w:t>Delta</w:t>
      </w:r>
      <w:r>
        <w:rPr>
          <w:spacing w:val="-4"/>
        </w:rPr>
        <w:t> </w:t>
      </w:r>
      <w:r>
        <w:rPr/>
        <w:t>conflict</w:t>
      </w:r>
      <w:r>
        <w:rPr>
          <w:spacing w:val="-1"/>
        </w:rPr>
        <w:t> </w:t>
      </w:r>
      <w:r>
        <w:rPr/>
        <w:t>for</w:t>
      </w:r>
      <w:r>
        <w:rPr>
          <w:spacing w:val="-4"/>
        </w:rPr>
        <w:t> </w:t>
      </w:r>
      <w:r>
        <w:rPr/>
        <w:t>the overall sample is presented in Table 20.</w:t>
      </w:r>
    </w:p>
    <w:p>
      <w:pPr>
        <w:pStyle w:val="Heading2"/>
        <w:spacing w:before="5"/>
      </w:pPr>
      <w:r>
        <w:rPr/>
        <w:t>Table</w:t>
      </w:r>
      <w:r>
        <w:rPr>
          <w:spacing w:val="-2"/>
        </w:rPr>
        <w:t> </w:t>
      </w:r>
      <w:r>
        <w:rPr/>
        <w:t>20:</w:t>
      </w:r>
      <w:r>
        <w:rPr>
          <w:spacing w:val="-2"/>
        </w:rPr>
        <w:t> </w:t>
      </w:r>
      <w:r>
        <w:rPr/>
        <w:t>Effectiveness</w:t>
      </w:r>
      <w:r>
        <w:rPr>
          <w:spacing w:val="-1"/>
        </w:rPr>
        <w:t> </w:t>
      </w:r>
      <w:r>
        <w:rPr/>
        <w:t>of</w:t>
      </w:r>
      <w:r>
        <w:rPr>
          <w:spacing w:val="-1"/>
        </w:rPr>
        <w:t> </w:t>
      </w:r>
      <w:r>
        <w:rPr/>
        <w:t>JTF</w:t>
      </w:r>
      <w:r>
        <w:rPr>
          <w:spacing w:val="-2"/>
        </w:rPr>
        <w:t> Intervention</w:t>
      </w:r>
    </w:p>
    <w:p>
      <w:pPr>
        <w:pStyle w:val="BodyText"/>
        <w:spacing w:before="11"/>
        <w:ind w:left="0"/>
        <w:rPr>
          <w:b/>
          <w:sz w:val="11"/>
        </w:rPr>
      </w:pP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4"/>
        <w:gridCol w:w="2857"/>
        <w:gridCol w:w="831"/>
        <w:gridCol w:w="1003"/>
        <w:gridCol w:w="1190"/>
        <w:gridCol w:w="2376"/>
      </w:tblGrid>
      <w:tr>
        <w:trPr>
          <w:trHeight w:val="441" w:hRule="atLeast"/>
        </w:trPr>
        <w:tc>
          <w:tcPr>
            <w:tcW w:w="744" w:type="dxa"/>
          </w:tcPr>
          <w:p>
            <w:pPr>
              <w:pStyle w:val="TableParagraph"/>
              <w:rPr>
                <w:sz w:val="24"/>
              </w:rPr>
            </w:pPr>
          </w:p>
        </w:tc>
        <w:tc>
          <w:tcPr>
            <w:tcW w:w="2857" w:type="dxa"/>
          </w:tcPr>
          <w:p>
            <w:pPr>
              <w:pStyle w:val="TableParagraph"/>
              <w:spacing w:before="13"/>
              <w:ind w:left="7"/>
              <w:jc w:val="center"/>
              <w:rPr>
                <w:b/>
                <w:sz w:val="24"/>
              </w:rPr>
            </w:pPr>
            <w:r>
              <w:rPr>
                <w:b/>
                <w:spacing w:val="-2"/>
                <w:sz w:val="24"/>
              </w:rPr>
              <w:t>States</w:t>
            </w:r>
          </w:p>
        </w:tc>
        <w:tc>
          <w:tcPr>
            <w:tcW w:w="831" w:type="dxa"/>
          </w:tcPr>
          <w:p>
            <w:pPr>
              <w:pStyle w:val="TableParagraph"/>
              <w:spacing w:before="8"/>
              <w:ind w:left="10" w:right="2"/>
              <w:jc w:val="center"/>
              <w:rPr>
                <w:sz w:val="24"/>
              </w:rPr>
            </w:pPr>
            <w:r>
              <w:rPr>
                <w:spacing w:val="-10"/>
                <w:sz w:val="24"/>
              </w:rPr>
              <w:t>N</w:t>
            </w:r>
          </w:p>
        </w:tc>
        <w:tc>
          <w:tcPr>
            <w:tcW w:w="1003" w:type="dxa"/>
          </w:tcPr>
          <w:p>
            <w:pPr>
              <w:pStyle w:val="TableParagraph"/>
              <w:spacing w:before="13"/>
              <w:ind w:left="207"/>
              <w:rPr>
                <w:b/>
                <w:sz w:val="24"/>
              </w:rPr>
            </w:pPr>
            <w:r>
              <w:rPr>
                <w:b/>
                <w:spacing w:val="-4"/>
                <w:sz w:val="24"/>
              </w:rPr>
              <w:t>Mean</w:t>
            </w:r>
          </w:p>
        </w:tc>
        <w:tc>
          <w:tcPr>
            <w:tcW w:w="1190" w:type="dxa"/>
          </w:tcPr>
          <w:p>
            <w:pPr>
              <w:pStyle w:val="TableParagraph"/>
              <w:spacing w:before="13"/>
              <w:ind w:left="10"/>
              <w:jc w:val="center"/>
              <w:rPr>
                <w:b/>
                <w:sz w:val="24"/>
              </w:rPr>
            </w:pPr>
            <w:r>
              <w:rPr>
                <w:b/>
                <w:spacing w:val="-5"/>
                <w:sz w:val="24"/>
              </w:rPr>
              <w:t>SD</w:t>
            </w:r>
          </w:p>
        </w:tc>
        <w:tc>
          <w:tcPr>
            <w:tcW w:w="2376" w:type="dxa"/>
          </w:tcPr>
          <w:p>
            <w:pPr>
              <w:pStyle w:val="TableParagraph"/>
              <w:spacing w:before="13"/>
              <w:ind w:left="179"/>
              <w:rPr>
                <w:b/>
                <w:sz w:val="24"/>
              </w:rPr>
            </w:pPr>
            <w:r>
              <w:rPr>
                <w:b/>
                <w:sz w:val="24"/>
              </w:rPr>
              <w:t>Level</w:t>
            </w:r>
            <w:r>
              <w:rPr>
                <w:b/>
                <w:spacing w:val="-3"/>
                <w:sz w:val="24"/>
              </w:rPr>
              <w:t> </w:t>
            </w:r>
            <w:r>
              <w:rPr>
                <w:b/>
                <w:sz w:val="24"/>
              </w:rPr>
              <w:t>of</w:t>
            </w:r>
            <w:r>
              <w:rPr>
                <w:b/>
                <w:spacing w:val="2"/>
                <w:sz w:val="24"/>
              </w:rPr>
              <w:t> </w:t>
            </w:r>
            <w:r>
              <w:rPr>
                <w:b/>
                <w:spacing w:val="-2"/>
                <w:sz w:val="24"/>
              </w:rPr>
              <w:t>Agreement</w:t>
            </w:r>
          </w:p>
        </w:tc>
      </w:tr>
      <w:tr>
        <w:trPr>
          <w:trHeight w:val="374" w:hRule="atLeast"/>
        </w:trPr>
        <w:tc>
          <w:tcPr>
            <w:tcW w:w="744" w:type="dxa"/>
            <w:vMerge w:val="restart"/>
          </w:tcPr>
          <w:p>
            <w:pPr>
              <w:pStyle w:val="TableParagraph"/>
              <w:spacing w:line="270" w:lineRule="exact"/>
              <w:ind w:left="172"/>
              <w:rPr>
                <w:sz w:val="24"/>
              </w:rPr>
            </w:pPr>
            <w:r>
              <w:rPr>
                <w:spacing w:val="-5"/>
                <w:sz w:val="24"/>
              </w:rPr>
              <w:t>B60</w:t>
            </w:r>
          </w:p>
        </w:tc>
        <w:tc>
          <w:tcPr>
            <w:tcW w:w="2857" w:type="dxa"/>
            <w:tcBorders>
              <w:bottom w:val="nil"/>
            </w:tcBorders>
          </w:tcPr>
          <w:p>
            <w:pPr>
              <w:pStyle w:val="TableParagraph"/>
              <w:spacing w:before="18"/>
              <w:ind w:left="9"/>
              <w:rPr>
                <w:sz w:val="24"/>
              </w:rPr>
            </w:pPr>
            <w:r>
              <w:rPr>
                <w:sz w:val="24"/>
              </w:rPr>
              <w:t>JTF</w:t>
            </w:r>
            <w:r>
              <w:rPr>
                <w:spacing w:val="-3"/>
                <w:sz w:val="24"/>
              </w:rPr>
              <w:t> </w:t>
            </w:r>
            <w:r>
              <w:rPr>
                <w:sz w:val="24"/>
              </w:rPr>
              <w:t>proliferated </w:t>
            </w:r>
            <w:r>
              <w:rPr>
                <w:spacing w:val="-10"/>
                <w:sz w:val="24"/>
              </w:rPr>
              <w:t>&amp;</w:t>
            </w:r>
          </w:p>
        </w:tc>
        <w:tc>
          <w:tcPr>
            <w:tcW w:w="831" w:type="dxa"/>
            <w:vMerge w:val="restart"/>
          </w:tcPr>
          <w:p>
            <w:pPr>
              <w:pStyle w:val="TableParagraph"/>
              <w:spacing w:line="270" w:lineRule="exact"/>
              <w:ind w:left="234"/>
              <w:rPr>
                <w:sz w:val="24"/>
              </w:rPr>
            </w:pPr>
            <w:r>
              <w:rPr>
                <w:spacing w:val="-5"/>
                <w:sz w:val="24"/>
              </w:rPr>
              <w:t>233</w:t>
            </w:r>
          </w:p>
        </w:tc>
        <w:tc>
          <w:tcPr>
            <w:tcW w:w="1003" w:type="dxa"/>
            <w:vMerge w:val="restart"/>
          </w:tcPr>
          <w:p>
            <w:pPr>
              <w:pStyle w:val="TableParagraph"/>
              <w:spacing w:line="270" w:lineRule="exact"/>
              <w:ind w:left="289"/>
              <w:rPr>
                <w:sz w:val="24"/>
              </w:rPr>
            </w:pPr>
            <w:r>
              <w:rPr>
                <w:spacing w:val="-4"/>
                <w:sz w:val="24"/>
              </w:rPr>
              <w:t>2.27</w:t>
            </w:r>
          </w:p>
        </w:tc>
        <w:tc>
          <w:tcPr>
            <w:tcW w:w="1190" w:type="dxa"/>
            <w:vMerge w:val="restart"/>
          </w:tcPr>
          <w:p>
            <w:pPr>
              <w:pStyle w:val="TableParagraph"/>
              <w:spacing w:line="270" w:lineRule="exact"/>
              <w:ind w:left="323"/>
              <w:rPr>
                <w:sz w:val="24"/>
              </w:rPr>
            </w:pPr>
            <w:r>
              <w:rPr>
                <w:spacing w:val="-2"/>
                <w:sz w:val="24"/>
              </w:rPr>
              <w:t>1.071</w:t>
            </w:r>
          </w:p>
        </w:tc>
        <w:tc>
          <w:tcPr>
            <w:tcW w:w="2376" w:type="dxa"/>
            <w:vMerge w:val="restart"/>
          </w:tcPr>
          <w:p>
            <w:pPr>
              <w:pStyle w:val="TableParagraph"/>
              <w:spacing w:line="270" w:lineRule="exact"/>
              <w:ind w:left="11"/>
              <w:jc w:val="center"/>
              <w:rPr>
                <w:sz w:val="24"/>
              </w:rPr>
            </w:pPr>
            <w:r>
              <w:rPr>
                <w:spacing w:val="-10"/>
                <w:sz w:val="24"/>
              </w:rPr>
              <w:t>D</w:t>
            </w:r>
          </w:p>
        </w:tc>
      </w:tr>
      <w:tr>
        <w:trPr>
          <w:trHeight w:val="454" w:hRule="atLeast"/>
        </w:trPr>
        <w:tc>
          <w:tcPr>
            <w:tcW w:w="744" w:type="dxa"/>
            <w:vMerge/>
            <w:tcBorders>
              <w:top w:val="nil"/>
            </w:tcBorders>
          </w:tcPr>
          <w:p>
            <w:pPr>
              <w:rPr>
                <w:sz w:val="2"/>
                <w:szCs w:val="2"/>
              </w:rPr>
            </w:pPr>
          </w:p>
        </w:tc>
        <w:tc>
          <w:tcPr>
            <w:tcW w:w="2857" w:type="dxa"/>
            <w:tcBorders>
              <w:top w:val="nil"/>
            </w:tcBorders>
          </w:tcPr>
          <w:p>
            <w:pPr>
              <w:pStyle w:val="TableParagraph"/>
              <w:spacing w:before="70"/>
              <w:ind w:left="9"/>
              <w:rPr>
                <w:sz w:val="24"/>
              </w:rPr>
            </w:pPr>
            <w:r>
              <w:rPr>
                <w:sz w:val="24"/>
              </w:rPr>
              <w:t>Perpetuated</w:t>
            </w:r>
            <w:r>
              <w:rPr>
                <w:spacing w:val="-1"/>
                <w:sz w:val="24"/>
              </w:rPr>
              <w:t> </w:t>
            </w:r>
            <w:r>
              <w:rPr>
                <w:sz w:val="24"/>
              </w:rPr>
              <w:t>the</w:t>
            </w:r>
            <w:r>
              <w:rPr>
                <w:spacing w:val="-1"/>
                <w:sz w:val="24"/>
              </w:rPr>
              <w:t> </w:t>
            </w:r>
            <w:r>
              <w:rPr>
                <w:spacing w:val="-2"/>
                <w:sz w:val="24"/>
              </w:rPr>
              <w:t>conflict.</w:t>
            </w:r>
          </w:p>
        </w:tc>
        <w:tc>
          <w:tcPr>
            <w:tcW w:w="831" w:type="dxa"/>
            <w:vMerge/>
            <w:tcBorders>
              <w:top w:val="nil"/>
            </w:tcBorders>
          </w:tcPr>
          <w:p>
            <w:pPr>
              <w:rPr>
                <w:sz w:val="2"/>
                <w:szCs w:val="2"/>
              </w:rPr>
            </w:pPr>
          </w:p>
        </w:tc>
        <w:tc>
          <w:tcPr>
            <w:tcW w:w="1003" w:type="dxa"/>
            <w:vMerge/>
            <w:tcBorders>
              <w:top w:val="nil"/>
            </w:tcBorders>
          </w:tcPr>
          <w:p>
            <w:pPr>
              <w:rPr>
                <w:sz w:val="2"/>
                <w:szCs w:val="2"/>
              </w:rPr>
            </w:pPr>
          </w:p>
        </w:tc>
        <w:tc>
          <w:tcPr>
            <w:tcW w:w="1190" w:type="dxa"/>
            <w:vMerge/>
            <w:tcBorders>
              <w:top w:val="nil"/>
            </w:tcBorders>
          </w:tcPr>
          <w:p>
            <w:pPr>
              <w:rPr>
                <w:sz w:val="2"/>
                <w:szCs w:val="2"/>
              </w:rPr>
            </w:pPr>
          </w:p>
        </w:tc>
        <w:tc>
          <w:tcPr>
            <w:tcW w:w="2376" w:type="dxa"/>
            <w:vMerge/>
            <w:tcBorders>
              <w:top w:val="nil"/>
            </w:tcBorders>
          </w:tcPr>
          <w:p>
            <w:pPr>
              <w:rPr>
                <w:sz w:val="2"/>
                <w:szCs w:val="2"/>
              </w:rPr>
            </w:pPr>
          </w:p>
        </w:tc>
      </w:tr>
      <w:tr>
        <w:trPr>
          <w:trHeight w:val="343" w:hRule="atLeast"/>
        </w:trPr>
        <w:tc>
          <w:tcPr>
            <w:tcW w:w="744" w:type="dxa"/>
            <w:vMerge w:val="restart"/>
          </w:tcPr>
          <w:p>
            <w:pPr>
              <w:pStyle w:val="TableParagraph"/>
              <w:spacing w:line="273" w:lineRule="exact"/>
              <w:ind w:left="172"/>
              <w:rPr>
                <w:sz w:val="24"/>
              </w:rPr>
            </w:pPr>
            <w:r>
              <w:rPr>
                <w:spacing w:val="-5"/>
                <w:sz w:val="24"/>
              </w:rPr>
              <w:t>B61</w:t>
            </w:r>
          </w:p>
        </w:tc>
        <w:tc>
          <w:tcPr>
            <w:tcW w:w="2857" w:type="dxa"/>
            <w:tcBorders>
              <w:bottom w:val="nil"/>
            </w:tcBorders>
          </w:tcPr>
          <w:p>
            <w:pPr>
              <w:pStyle w:val="TableParagraph"/>
              <w:spacing w:line="273" w:lineRule="exact"/>
              <w:ind w:left="9"/>
              <w:rPr>
                <w:sz w:val="24"/>
              </w:rPr>
            </w:pPr>
            <w:r>
              <w:rPr>
                <w:sz w:val="24"/>
              </w:rPr>
              <w:t>Reduced</w:t>
            </w:r>
            <w:r>
              <w:rPr>
                <w:spacing w:val="-1"/>
                <w:sz w:val="24"/>
              </w:rPr>
              <w:t> </w:t>
            </w:r>
            <w:r>
              <w:rPr>
                <w:sz w:val="24"/>
              </w:rPr>
              <w:t>conflict</w:t>
            </w:r>
            <w:r>
              <w:rPr>
                <w:spacing w:val="-1"/>
                <w:sz w:val="24"/>
              </w:rPr>
              <w:t> </w:t>
            </w:r>
            <w:r>
              <w:rPr>
                <w:spacing w:val="-2"/>
                <w:sz w:val="24"/>
              </w:rPr>
              <w:t>effect</w:t>
            </w:r>
          </w:p>
        </w:tc>
        <w:tc>
          <w:tcPr>
            <w:tcW w:w="831" w:type="dxa"/>
            <w:vMerge w:val="restart"/>
          </w:tcPr>
          <w:p>
            <w:pPr>
              <w:pStyle w:val="TableParagraph"/>
              <w:spacing w:line="273" w:lineRule="exact"/>
              <w:ind w:left="234"/>
              <w:rPr>
                <w:sz w:val="24"/>
              </w:rPr>
            </w:pPr>
            <w:r>
              <w:rPr>
                <w:spacing w:val="-5"/>
                <w:sz w:val="24"/>
              </w:rPr>
              <w:t>235</w:t>
            </w:r>
          </w:p>
        </w:tc>
        <w:tc>
          <w:tcPr>
            <w:tcW w:w="1003" w:type="dxa"/>
            <w:vMerge w:val="restart"/>
          </w:tcPr>
          <w:p>
            <w:pPr>
              <w:pStyle w:val="TableParagraph"/>
              <w:spacing w:line="273" w:lineRule="exact"/>
              <w:ind w:left="289"/>
              <w:rPr>
                <w:sz w:val="24"/>
              </w:rPr>
            </w:pPr>
            <w:r>
              <w:rPr>
                <w:spacing w:val="-4"/>
                <w:sz w:val="24"/>
              </w:rPr>
              <w:t>2.74</w:t>
            </w:r>
          </w:p>
        </w:tc>
        <w:tc>
          <w:tcPr>
            <w:tcW w:w="1190" w:type="dxa"/>
            <w:vMerge w:val="restart"/>
          </w:tcPr>
          <w:p>
            <w:pPr>
              <w:pStyle w:val="TableParagraph"/>
              <w:spacing w:line="273" w:lineRule="exact"/>
              <w:ind w:left="323"/>
              <w:rPr>
                <w:sz w:val="24"/>
              </w:rPr>
            </w:pPr>
            <w:r>
              <w:rPr>
                <w:spacing w:val="-2"/>
                <w:sz w:val="24"/>
              </w:rPr>
              <w:t>1.011</w:t>
            </w:r>
          </w:p>
        </w:tc>
        <w:tc>
          <w:tcPr>
            <w:tcW w:w="2376" w:type="dxa"/>
            <w:vMerge w:val="restart"/>
          </w:tcPr>
          <w:p>
            <w:pPr>
              <w:pStyle w:val="TableParagraph"/>
              <w:spacing w:line="273" w:lineRule="exact"/>
              <w:ind w:left="11"/>
              <w:jc w:val="center"/>
              <w:rPr>
                <w:sz w:val="24"/>
              </w:rPr>
            </w:pPr>
            <w:r>
              <w:rPr>
                <w:spacing w:val="-10"/>
                <w:sz w:val="24"/>
              </w:rPr>
              <w:t>A</w:t>
            </w:r>
          </w:p>
        </w:tc>
      </w:tr>
      <w:tr>
        <w:trPr>
          <w:trHeight w:val="486" w:hRule="atLeast"/>
        </w:trPr>
        <w:tc>
          <w:tcPr>
            <w:tcW w:w="744" w:type="dxa"/>
            <w:vMerge/>
            <w:tcBorders>
              <w:top w:val="nil"/>
            </w:tcBorders>
          </w:tcPr>
          <w:p>
            <w:pPr>
              <w:rPr>
                <w:sz w:val="2"/>
                <w:szCs w:val="2"/>
              </w:rPr>
            </w:pPr>
          </w:p>
        </w:tc>
        <w:tc>
          <w:tcPr>
            <w:tcW w:w="2857" w:type="dxa"/>
            <w:tcBorders>
              <w:top w:val="nil"/>
            </w:tcBorders>
          </w:tcPr>
          <w:p>
            <w:pPr>
              <w:pStyle w:val="TableParagraph"/>
              <w:spacing w:before="60"/>
              <w:ind w:left="9"/>
              <w:rPr>
                <w:sz w:val="24"/>
              </w:rPr>
            </w:pPr>
            <w:r>
              <w:rPr>
                <w:sz w:val="24"/>
              </w:rPr>
              <w:t>to</w:t>
            </w:r>
            <w:r>
              <w:rPr>
                <w:spacing w:val="-2"/>
                <w:sz w:val="24"/>
              </w:rPr>
              <w:t> </w:t>
            </w:r>
            <w:r>
              <w:rPr>
                <w:sz w:val="24"/>
              </w:rPr>
              <w:t>barest</w:t>
            </w:r>
            <w:r>
              <w:rPr>
                <w:spacing w:val="-1"/>
                <w:sz w:val="24"/>
              </w:rPr>
              <w:t> </w:t>
            </w:r>
            <w:r>
              <w:rPr>
                <w:spacing w:val="-2"/>
                <w:sz w:val="24"/>
              </w:rPr>
              <w:t>minimum.</w:t>
            </w:r>
          </w:p>
        </w:tc>
        <w:tc>
          <w:tcPr>
            <w:tcW w:w="831" w:type="dxa"/>
            <w:vMerge/>
            <w:tcBorders>
              <w:top w:val="nil"/>
            </w:tcBorders>
          </w:tcPr>
          <w:p>
            <w:pPr>
              <w:rPr>
                <w:sz w:val="2"/>
                <w:szCs w:val="2"/>
              </w:rPr>
            </w:pPr>
          </w:p>
        </w:tc>
        <w:tc>
          <w:tcPr>
            <w:tcW w:w="1003" w:type="dxa"/>
            <w:vMerge/>
            <w:tcBorders>
              <w:top w:val="nil"/>
            </w:tcBorders>
          </w:tcPr>
          <w:p>
            <w:pPr>
              <w:rPr>
                <w:sz w:val="2"/>
                <w:szCs w:val="2"/>
              </w:rPr>
            </w:pPr>
          </w:p>
        </w:tc>
        <w:tc>
          <w:tcPr>
            <w:tcW w:w="1190" w:type="dxa"/>
            <w:vMerge/>
            <w:tcBorders>
              <w:top w:val="nil"/>
            </w:tcBorders>
          </w:tcPr>
          <w:p>
            <w:pPr>
              <w:rPr>
                <w:sz w:val="2"/>
                <w:szCs w:val="2"/>
              </w:rPr>
            </w:pPr>
          </w:p>
        </w:tc>
        <w:tc>
          <w:tcPr>
            <w:tcW w:w="2376" w:type="dxa"/>
            <w:vMerge/>
            <w:tcBorders>
              <w:top w:val="nil"/>
            </w:tcBorders>
          </w:tcPr>
          <w:p>
            <w:pPr>
              <w:rPr>
                <w:sz w:val="2"/>
                <w:szCs w:val="2"/>
              </w:rPr>
            </w:pPr>
          </w:p>
        </w:tc>
      </w:tr>
      <w:tr>
        <w:trPr>
          <w:trHeight w:val="355" w:hRule="atLeast"/>
        </w:trPr>
        <w:tc>
          <w:tcPr>
            <w:tcW w:w="744" w:type="dxa"/>
            <w:vMerge w:val="restart"/>
          </w:tcPr>
          <w:p>
            <w:pPr>
              <w:pStyle w:val="TableParagraph"/>
              <w:spacing w:before="3"/>
              <w:ind w:left="172"/>
              <w:rPr>
                <w:sz w:val="24"/>
              </w:rPr>
            </w:pPr>
            <w:r>
              <w:rPr>
                <w:spacing w:val="-5"/>
                <w:sz w:val="24"/>
              </w:rPr>
              <w:t>B62</w:t>
            </w:r>
          </w:p>
        </w:tc>
        <w:tc>
          <w:tcPr>
            <w:tcW w:w="2857" w:type="dxa"/>
            <w:tcBorders>
              <w:bottom w:val="nil"/>
            </w:tcBorders>
          </w:tcPr>
          <w:p>
            <w:pPr>
              <w:pStyle w:val="TableParagraph"/>
              <w:spacing w:before="3"/>
              <w:ind w:left="9"/>
              <w:rPr>
                <w:sz w:val="24"/>
              </w:rPr>
            </w:pPr>
            <w:r>
              <w:rPr>
                <w:sz w:val="24"/>
              </w:rPr>
              <w:t>Lives</w:t>
            </w:r>
            <w:r>
              <w:rPr>
                <w:spacing w:val="-3"/>
                <w:sz w:val="24"/>
              </w:rPr>
              <w:t> </w:t>
            </w:r>
            <w:r>
              <w:rPr>
                <w:sz w:val="24"/>
              </w:rPr>
              <w:t>&amp;</w:t>
            </w:r>
            <w:r>
              <w:rPr>
                <w:spacing w:val="-2"/>
                <w:sz w:val="24"/>
              </w:rPr>
              <w:t> </w:t>
            </w:r>
            <w:r>
              <w:rPr>
                <w:sz w:val="24"/>
              </w:rPr>
              <w:t>properties</w:t>
            </w:r>
            <w:r>
              <w:rPr>
                <w:spacing w:val="-1"/>
                <w:sz w:val="24"/>
              </w:rPr>
              <w:t> </w:t>
            </w:r>
            <w:r>
              <w:rPr>
                <w:spacing w:val="-4"/>
                <w:sz w:val="24"/>
              </w:rPr>
              <w:t>were</w:t>
            </w:r>
          </w:p>
        </w:tc>
        <w:tc>
          <w:tcPr>
            <w:tcW w:w="831" w:type="dxa"/>
            <w:vMerge w:val="restart"/>
          </w:tcPr>
          <w:p>
            <w:pPr>
              <w:pStyle w:val="TableParagraph"/>
              <w:spacing w:before="3"/>
              <w:ind w:left="234"/>
              <w:rPr>
                <w:sz w:val="24"/>
              </w:rPr>
            </w:pPr>
            <w:r>
              <w:rPr>
                <w:spacing w:val="-5"/>
                <w:sz w:val="24"/>
              </w:rPr>
              <w:t>233</w:t>
            </w:r>
          </w:p>
        </w:tc>
        <w:tc>
          <w:tcPr>
            <w:tcW w:w="1003" w:type="dxa"/>
            <w:vMerge w:val="restart"/>
          </w:tcPr>
          <w:p>
            <w:pPr>
              <w:pStyle w:val="TableParagraph"/>
              <w:spacing w:before="3"/>
              <w:ind w:left="289"/>
              <w:rPr>
                <w:sz w:val="24"/>
              </w:rPr>
            </w:pPr>
            <w:r>
              <w:rPr>
                <w:spacing w:val="-4"/>
                <w:sz w:val="24"/>
              </w:rPr>
              <w:t>2.33</w:t>
            </w:r>
          </w:p>
        </w:tc>
        <w:tc>
          <w:tcPr>
            <w:tcW w:w="1190" w:type="dxa"/>
            <w:vMerge w:val="restart"/>
          </w:tcPr>
          <w:p>
            <w:pPr>
              <w:pStyle w:val="TableParagraph"/>
              <w:spacing w:before="3"/>
              <w:ind w:left="323"/>
              <w:rPr>
                <w:sz w:val="24"/>
              </w:rPr>
            </w:pPr>
            <w:r>
              <w:rPr>
                <w:spacing w:val="-2"/>
                <w:sz w:val="24"/>
              </w:rPr>
              <w:t>1.074</w:t>
            </w:r>
          </w:p>
        </w:tc>
        <w:tc>
          <w:tcPr>
            <w:tcW w:w="2376" w:type="dxa"/>
            <w:vMerge w:val="restart"/>
          </w:tcPr>
          <w:p>
            <w:pPr>
              <w:pStyle w:val="TableParagraph"/>
              <w:spacing w:before="3"/>
              <w:ind w:left="11"/>
              <w:jc w:val="center"/>
              <w:rPr>
                <w:sz w:val="24"/>
              </w:rPr>
            </w:pPr>
            <w:r>
              <w:rPr>
                <w:spacing w:val="-10"/>
                <w:sz w:val="24"/>
              </w:rPr>
              <w:t>D</w:t>
            </w:r>
          </w:p>
        </w:tc>
      </w:tr>
      <w:tr>
        <w:trPr>
          <w:trHeight w:val="411" w:hRule="atLeast"/>
        </w:trPr>
        <w:tc>
          <w:tcPr>
            <w:tcW w:w="744" w:type="dxa"/>
            <w:vMerge/>
            <w:tcBorders>
              <w:top w:val="nil"/>
            </w:tcBorders>
          </w:tcPr>
          <w:p>
            <w:pPr>
              <w:rPr>
                <w:sz w:val="2"/>
                <w:szCs w:val="2"/>
              </w:rPr>
            </w:pPr>
          </w:p>
        </w:tc>
        <w:tc>
          <w:tcPr>
            <w:tcW w:w="2857" w:type="dxa"/>
            <w:tcBorders>
              <w:top w:val="nil"/>
              <w:bottom w:val="nil"/>
            </w:tcBorders>
          </w:tcPr>
          <w:p>
            <w:pPr>
              <w:pStyle w:val="TableParagraph"/>
              <w:spacing w:before="65"/>
              <w:ind w:left="9"/>
              <w:rPr>
                <w:sz w:val="24"/>
              </w:rPr>
            </w:pPr>
            <w:r>
              <w:rPr>
                <w:sz w:val="24"/>
              </w:rPr>
              <w:t>deliberately</w:t>
            </w:r>
            <w:r>
              <w:rPr>
                <w:spacing w:val="-5"/>
                <w:sz w:val="24"/>
              </w:rPr>
              <w:t> </w:t>
            </w:r>
            <w:r>
              <w:rPr>
                <w:spacing w:val="-2"/>
                <w:sz w:val="24"/>
              </w:rPr>
              <w:t>destroyed</w:t>
            </w:r>
          </w:p>
        </w:tc>
        <w:tc>
          <w:tcPr>
            <w:tcW w:w="831" w:type="dxa"/>
            <w:vMerge/>
            <w:tcBorders>
              <w:top w:val="nil"/>
            </w:tcBorders>
          </w:tcPr>
          <w:p>
            <w:pPr>
              <w:rPr>
                <w:sz w:val="2"/>
                <w:szCs w:val="2"/>
              </w:rPr>
            </w:pPr>
          </w:p>
        </w:tc>
        <w:tc>
          <w:tcPr>
            <w:tcW w:w="1003" w:type="dxa"/>
            <w:vMerge/>
            <w:tcBorders>
              <w:top w:val="nil"/>
            </w:tcBorders>
          </w:tcPr>
          <w:p>
            <w:pPr>
              <w:rPr>
                <w:sz w:val="2"/>
                <w:szCs w:val="2"/>
              </w:rPr>
            </w:pPr>
          </w:p>
        </w:tc>
        <w:tc>
          <w:tcPr>
            <w:tcW w:w="1190" w:type="dxa"/>
            <w:vMerge/>
            <w:tcBorders>
              <w:top w:val="nil"/>
            </w:tcBorders>
          </w:tcPr>
          <w:p>
            <w:pPr>
              <w:rPr>
                <w:sz w:val="2"/>
                <w:szCs w:val="2"/>
              </w:rPr>
            </w:pPr>
          </w:p>
        </w:tc>
        <w:tc>
          <w:tcPr>
            <w:tcW w:w="2376" w:type="dxa"/>
            <w:vMerge/>
            <w:tcBorders>
              <w:top w:val="nil"/>
            </w:tcBorders>
          </w:tcPr>
          <w:p>
            <w:pPr>
              <w:rPr>
                <w:sz w:val="2"/>
                <w:szCs w:val="2"/>
              </w:rPr>
            </w:pPr>
          </w:p>
        </w:tc>
      </w:tr>
      <w:tr>
        <w:trPr>
          <w:trHeight w:val="453" w:hRule="atLeast"/>
        </w:trPr>
        <w:tc>
          <w:tcPr>
            <w:tcW w:w="744" w:type="dxa"/>
            <w:vMerge/>
            <w:tcBorders>
              <w:top w:val="nil"/>
            </w:tcBorders>
          </w:tcPr>
          <w:p>
            <w:pPr>
              <w:rPr>
                <w:sz w:val="2"/>
                <w:szCs w:val="2"/>
              </w:rPr>
            </w:pPr>
          </w:p>
        </w:tc>
        <w:tc>
          <w:tcPr>
            <w:tcW w:w="2857" w:type="dxa"/>
            <w:tcBorders>
              <w:top w:val="nil"/>
            </w:tcBorders>
          </w:tcPr>
          <w:p>
            <w:pPr>
              <w:pStyle w:val="TableParagraph"/>
              <w:spacing w:before="59"/>
              <w:ind w:left="9"/>
              <w:rPr>
                <w:sz w:val="24"/>
              </w:rPr>
            </w:pPr>
            <w:r>
              <w:rPr>
                <w:sz w:val="24"/>
              </w:rPr>
              <w:t>By</w:t>
            </w:r>
            <w:r>
              <w:rPr>
                <w:spacing w:val="-3"/>
                <w:sz w:val="24"/>
              </w:rPr>
              <w:t> </w:t>
            </w:r>
            <w:r>
              <w:rPr>
                <w:spacing w:val="-4"/>
                <w:sz w:val="24"/>
              </w:rPr>
              <w:t>JTF.</w:t>
            </w:r>
          </w:p>
        </w:tc>
        <w:tc>
          <w:tcPr>
            <w:tcW w:w="831" w:type="dxa"/>
            <w:vMerge/>
            <w:tcBorders>
              <w:top w:val="nil"/>
            </w:tcBorders>
          </w:tcPr>
          <w:p>
            <w:pPr>
              <w:rPr>
                <w:sz w:val="2"/>
                <w:szCs w:val="2"/>
              </w:rPr>
            </w:pPr>
          </w:p>
        </w:tc>
        <w:tc>
          <w:tcPr>
            <w:tcW w:w="1003" w:type="dxa"/>
            <w:vMerge/>
            <w:tcBorders>
              <w:top w:val="nil"/>
            </w:tcBorders>
          </w:tcPr>
          <w:p>
            <w:pPr>
              <w:rPr>
                <w:sz w:val="2"/>
                <w:szCs w:val="2"/>
              </w:rPr>
            </w:pPr>
          </w:p>
        </w:tc>
        <w:tc>
          <w:tcPr>
            <w:tcW w:w="1190" w:type="dxa"/>
            <w:vMerge/>
            <w:tcBorders>
              <w:top w:val="nil"/>
            </w:tcBorders>
          </w:tcPr>
          <w:p>
            <w:pPr>
              <w:rPr>
                <w:sz w:val="2"/>
                <w:szCs w:val="2"/>
              </w:rPr>
            </w:pPr>
          </w:p>
        </w:tc>
        <w:tc>
          <w:tcPr>
            <w:tcW w:w="2376" w:type="dxa"/>
            <w:vMerge/>
            <w:tcBorders>
              <w:top w:val="nil"/>
            </w:tcBorders>
          </w:tcPr>
          <w:p>
            <w:pPr>
              <w:rPr>
                <w:sz w:val="2"/>
                <w:szCs w:val="2"/>
              </w:rPr>
            </w:pPr>
          </w:p>
        </w:tc>
      </w:tr>
      <w:tr>
        <w:trPr>
          <w:trHeight w:val="348" w:hRule="atLeast"/>
        </w:trPr>
        <w:tc>
          <w:tcPr>
            <w:tcW w:w="744" w:type="dxa"/>
            <w:vMerge w:val="restart"/>
          </w:tcPr>
          <w:p>
            <w:pPr>
              <w:pStyle w:val="TableParagraph"/>
              <w:spacing w:line="275" w:lineRule="exact"/>
              <w:ind w:left="172"/>
              <w:rPr>
                <w:sz w:val="24"/>
              </w:rPr>
            </w:pPr>
            <w:r>
              <w:rPr>
                <w:spacing w:val="-5"/>
                <w:sz w:val="24"/>
              </w:rPr>
              <w:t>B63</w:t>
            </w:r>
          </w:p>
        </w:tc>
        <w:tc>
          <w:tcPr>
            <w:tcW w:w="2857" w:type="dxa"/>
            <w:tcBorders>
              <w:bottom w:val="nil"/>
            </w:tcBorders>
          </w:tcPr>
          <w:p>
            <w:pPr>
              <w:pStyle w:val="TableParagraph"/>
              <w:spacing w:line="275" w:lineRule="exact"/>
              <w:ind w:left="9"/>
              <w:rPr>
                <w:sz w:val="24"/>
              </w:rPr>
            </w:pPr>
            <w:r>
              <w:rPr>
                <w:sz w:val="24"/>
              </w:rPr>
              <w:t>Has</w:t>
            </w:r>
            <w:r>
              <w:rPr>
                <w:spacing w:val="-2"/>
                <w:sz w:val="24"/>
              </w:rPr>
              <w:t> </w:t>
            </w:r>
            <w:r>
              <w:rPr>
                <w:sz w:val="24"/>
              </w:rPr>
              <w:t>achieved</w:t>
            </w:r>
            <w:r>
              <w:rPr>
                <w:spacing w:val="-2"/>
                <w:sz w:val="24"/>
              </w:rPr>
              <w:t> needed</w:t>
            </w:r>
          </w:p>
        </w:tc>
        <w:tc>
          <w:tcPr>
            <w:tcW w:w="831" w:type="dxa"/>
            <w:vMerge w:val="restart"/>
          </w:tcPr>
          <w:p>
            <w:pPr>
              <w:pStyle w:val="TableParagraph"/>
              <w:spacing w:line="275" w:lineRule="exact"/>
              <w:ind w:left="234"/>
              <w:rPr>
                <w:sz w:val="24"/>
              </w:rPr>
            </w:pPr>
            <w:r>
              <w:rPr>
                <w:spacing w:val="-5"/>
                <w:sz w:val="24"/>
              </w:rPr>
              <w:t>233</w:t>
            </w:r>
          </w:p>
        </w:tc>
        <w:tc>
          <w:tcPr>
            <w:tcW w:w="1003" w:type="dxa"/>
            <w:vMerge w:val="restart"/>
          </w:tcPr>
          <w:p>
            <w:pPr>
              <w:pStyle w:val="TableParagraph"/>
              <w:spacing w:line="275" w:lineRule="exact"/>
              <w:ind w:left="289"/>
              <w:rPr>
                <w:sz w:val="24"/>
              </w:rPr>
            </w:pPr>
            <w:r>
              <w:rPr>
                <w:spacing w:val="-4"/>
                <w:sz w:val="24"/>
              </w:rPr>
              <w:t>2.30</w:t>
            </w:r>
          </w:p>
        </w:tc>
        <w:tc>
          <w:tcPr>
            <w:tcW w:w="1190" w:type="dxa"/>
            <w:vMerge w:val="restart"/>
          </w:tcPr>
          <w:p>
            <w:pPr>
              <w:pStyle w:val="TableParagraph"/>
              <w:spacing w:line="275" w:lineRule="exact"/>
              <w:ind w:left="383"/>
              <w:rPr>
                <w:sz w:val="24"/>
              </w:rPr>
            </w:pPr>
            <w:r>
              <w:rPr>
                <w:spacing w:val="-4"/>
                <w:sz w:val="24"/>
              </w:rPr>
              <w:t>.916</w:t>
            </w:r>
          </w:p>
        </w:tc>
        <w:tc>
          <w:tcPr>
            <w:tcW w:w="2376" w:type="dxa"/>
            <w:vMerge w:val="restart"/>
          </w:tcPr>
          <w:p>
            <w:pPr>
              <w:pStyle w:val="TableParagraph"/>
              <w:spacing w:line="275" w:lineRule="exact"/>
              <w:ind w:left="11"/>
              <w:jc w:val="center"/>
              <w:rPr>
                <w:sz w:val="24"/>
              </w:rPr>
            </w:pPr>
            <w:r>
              <w:rPr>
                <w:spacing w:val="-10"/>
                <w:sz w:val="24"/>
              </w:rPr>
              <w:t>D</w:t>
            </w:r>
          </w:p>
        </w:tc>
      </w:tr>
      <w:tr>
        <w:trPr>
          <w:trHeight w:val="486" w:hRule="atLeast"/>
        </w:trPr>
        <w:tc>
          <w:tcPr>
            <w:tcW w:w="744" w:type="dxa"/>
            <w:vMerge/>
            <w:tcBorders>
              <w:top w:val="nil"/>
            </w:tcBorders>
          </w:tcPr>
          <w:p>
            <w:pPr>
              <w:rPr>
                <w:sz w:val="2"/>
                <w:szCs w:val="2"/>
              </w:rPr>
            </w:pPr>
          </w:p>
        </w:tc>
        <w:tc>
          <w:tcPr>
            <w:tcW w:w="2857" w:type="dxa"/>
            <w:tcBorders>
              <w:top w:val="nil"/>
            </w:tcBorders>
          </w:tcPr>
          <w:p>
            <w:pPr>
              <w:pStyle w:val="TableParagraph"/>
              <w:spacing w:before="63"/>
              <w:ind w:left="9"/>
              <w:rPr>
                <w:sz w:val="24"/>
              </w:rPr>
            </w:pPr>
            <w:r>
              <w:rPr>
                <w:sz w:val="24"/>
              </w:rPr>
              <w:t>positive</w:t>
            </w:r>
            <w:r>
              <w:rPr>
                <w:spacing w:val="59"/>
                <w:sz w:val="24"/>
              </w:rPr>
              <w:t> </w:t>
            </w:r>
            <w:r>
              <w:rPr>
                <w:spacing w:val="-2"/>
                <w:sz w:val="24"/>
              </w:rPr>
              <w:t>peace.</w:t>
            </w:r>
          </w:p>
        </w:tc>
        <w:tc>
          <w:tcPr>
            <w:tcW w:w="831" w:type="dxa"/>
            <w:vMerge/>
            <w:tcBorders>
              <w:top w:val="nil"/>
            </w:tcBorders>
          </w:tcPr>
          <w:p>
            <w:pPr>
              <w:rPr>
                <w:sz w:val="2"/>
                <w:szCs w:val="2"/>
              </w:rPr>
            </w:pPr>
          </w:p>
        </w:tc>
        <w:tc>
          <w:tcPr>
            <w:tcW w:w="1003" w:type="dxa"/>
            <w:vMerge/>
            <w:tcBorders>
              <w:top w:val="nil"/>
            </w:tcBorders>
          </w:tcPr>
          <w:p>
            <w:pPr>
              <w:rPr>
                <w:sz w:val="2"/>
                <w:szCs w:val="2"/>
              </w:rPr>
            </w:pPr>
          </w:p>
        </w:tc>
        <w:tc>
          <w:tcPr>
            <w:tcW w:w="1190" w:type="dxa"/>
            <w:vMerge/>
            <w:tcBorders>
              <w:top w:val="nil"/>
            </w:tcBorders>
          </w:tcPr>
          <w:p>
            <w:pPr>
              <w:rPr>
                <w:sz w:val="2"/>
                <w:szCs w:val="2"/>
              </w:rPr>
            </w:pPr>
          </w:p>
        </w:tc>
        <w:tc>
          <w:tcPr>
            <w:tcW w:w="2376" w:type="dxa"/>
            <w:vMerge/>
            <w:tcBorders>
              <w:top w:val="nil"/>
            </w:tcBorders>
          </w:tcPr>
          <w:p>
            <w:pPr>
              <w:rPr>
                <w:sz w:val="2"/>
                <w:szCs w:val="2"/>
              </w:rPr>
            </w:pPr>
          </w:p>
        </w:tc>
      </w:tr>
    </w:tbl>
    <w:p>
      <w:pPr>
        <w:pStyle w:val="BodyText"/>
        <w:spacing w:before="135"/>
        <w:ind w:left="0"/>
        <w:rPr>
          <w:b/>
        </w:rPr>
      </w:pPr>
    </w:p>
    <w:p>
      <w:pPr>
        <w:pStyle w:val="BodyText"/>
        <w:spacing w:line="360" w:lineRule="auto" w:before="1"/>
        <w:ind w:right="1261" w:firstLine="715"/>
        <w:jc w:val="both"/>
      </w:pPr>
      <w:r>
        <w:rPr/>
        <w:t>The survey instrument further elicited the views of respondents on the effectiveness of JTF intervention. Respondents were asked if the JTF has proliferated and perpetuated conflict in Niger Delta.</w:t>
      </w:r>
    </w:p>
    <w:p>
      <w:pPr>
        <w:pStyle w:val="BodyText"/>
        <w:spacing w:before="1"/>
        <w:ind w:left="2155"/>
        <w:jc w:val="both"/>
      </w:pPr>
      <w:r>
        <w:rPr/>
        <w:t>On</w:t>
      </w:r>
      <w:r>
        <w:rPr>
          <w:spacing w:val="47"/>
        </w:rPr>
        <w:t> </w:t>
      </w:r>
      <w:r>
        <w:rPr/>
        <w:t>a</w:t>
      </w:r>
      <w:r>
        <w:rPr>
          <w:spacing w:val="49"/>
        </w:rPr>
        <w:t> </w:t>
      </w:r>
      <w:r>
        <w:rPr/>
        <w:t>State</w:t>
      </w:r>
      <w:r>
        <w:rPr>
          <w:spacing w:val="49"/>
        </w:rPr>
        <w:t> </w:t>
      </w:r>
      <w:r>
        <w:rPr/>
        <w:t>by</w:t>
      </w:r>
      <w:r>
        <w:rPr>
          <w:spacing w:val="45"/>
        </w:rPr>
        <w:t> </w:t>
      </w:r>
      <w:r>
        <w:rPr/>
        <w:t>State</w:t>
      </w:r>
      <w:r>
        <w:rPr>
          <w:spacing w:val="49"/>
        </w:rPr>
        <w:t> </w:t>
      </w:r>
      <w:r>
        <w:rPr/>
        <w:t>basis,</w:t>
      </w:r>
      <w:r>
        <w:rPr>
          <w:spacing w:val="50"/>
        </w:rPr>
        <w:t> </w:t>
      </w:r>
      <w:r>
        <w:rPr/>
        <w:t>results</w:t>
      </w:r>
      <w:r>
        <w:rPr>
          <w:spacing w:val="50"/>
        </w:rPr>
        <w:t> </w:t>
      </w:r>
      <w:r>
        <w:rPr/>
        <w:t>of</w:t>
      </w:r>
      <w:r>
        <w:rPr>
          <w:spacing w:val="54"/>
        </w:rPr>
        <w:t> </w:t>
      </w:r>
      <w:r>
        <w:rPr>
          <w:i/>
        </w:rPr>
        <w:t>ANOVA</w:t>
      </w:r>
      <w:r>
        <w:rPr>
          <w:i/>
          <w:spacing w:val="50"/>
        </w:rPr>
        <w:t> </w:t>
      </w:r>
      <w:r>
        <w:rPr/>
        <w:t>indicate</w:t>
      </w:r>
      <w:r>
        <w:rPr>
          <w:spacing w:val="49"/>
        </w:rPr>
        <w:t> </w:t>
      </w:r>
      <w:r>
        <w:rPr/>
        <w:t>differences</w:t>
      </w:r>
      <w:r>
        <w:rPr>
          <w:spacing w:val="50"/>
        </w:rPr>
        <w:t> </w:t>
      </w:r>
      <w:r>
        <w:rPr>
          <w:spacing w:val="-2"/>
        </w:rPr>
        <w:t>amongst</w:t>
      </w:r>
    </w:p>
    <w:p>
      <w:pPr>
        <w:spacing w:after="0"/>
        <w:jc w:val="both"/>
        <w:sectPr>
          <w:pgSz w:w="11910" w:h="16840"/>
          <w:pgMar w:header="0" w:footer="1561" w:top="1360" w:bottom="1760" w:left="720" w:right="180"/>
        </w:sectPr>
      </w:pPr>
    </w:p>
    <w:p>
      <w:pPr>
        <w:pStyle w:val="BodyText"/>
        <w:spacing w:line="360" w:lineRule="auto" w:before="60"/>
        <w:ind w:right="1258"/>
        <w:jc w:val="both"/>
      </w:pPr>
      <w:r>
        <w:rPr/>
        <mc:AlternateContent>
          <mc:Choice Requires="wps">
            <w:drawing>
              <wp:anchor distT="0" distB="0" distL="0" distR="0" allowOverlap="1" layoutInCell="1" locked="0" behindDoc="1" simplePos="0" relativeHeight="480676864">
                <wp:simplePos x="0" y="0"/>
                <wp:positionH relativeFrom="page">
                  <wp:posOffset>-1537026</wp:posOffset>
                </wp:positionH>
                <wp:positionV relativeFrom="page">
                  <wp:posOffset>4900424</wp:posOffset>
                </wp:positionV>
                <wp:extent cx="10669905" cy="914400"/>
                <wp:effectExtent l="0" t="0" r="0" b="0"/>
                <wp:wrapNone/>
                <wp:docPr id="313" name="Textbox 313"/>
                <wp:cNvGraphicFramePr>
                  <a:graphicFrameLocks/>
                </wp:cNvGraphicFramePr>
                <a:graphic>
                  <a:graphicData uri="http://schemas.microsoft.com/office/word/2010/wordprocessingShape">
                    <wps:wsp>
                      <wps:cNvPr id="313" name="Textbox 313"/>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39616;rotation:306" type="#_x0000_t136" fillcolor="#ff5400" stroked="f">
                <o:extrusion v:ext="view" autorotationcenter="t"/>
                <v:textpath style="font-family:&quot;Arial MT&quot;;font-size:72pt;v-text-kern:t;mso-text-shadow:auto" string="UNIVERSITY OF IBADAN"/>
                <w10:wrap type="none"/>
              </v:shape>
            </w:pict>
          </mc:Fallback>
        </mc:AlternateContent>
      </w:r>
      <w:r>
        <w:rPr/>
        <w:t>States (f = 10.460, P = .000). However, respondents within the three sampled States are sharply divided between agree and disagree of the respondent's view - Bayelsa (.87), Delta (2.47) and Rivers (2.55).</w:t>
      </w:r>
    </w:p>
    <w:p>
      <w:pPr>
        <w:pStyle w:val="BodyText"/>
        <w:spacing w:line="275" w:lineRule="exact"/>
        <w:ind w:left="2155"/>
        <w:jc w:val="both"/>
      </w:pPr>
      <w:r>
        <w:rPr/>
        <w:t>Based</w:t>
      </w:r>
      <w:r>
        <w:rPr>
          <w:spacing w:val="15"/>
        </w:rPr>
        <w:t> </w:t>
      </w:r>
      <w:r>
        <w:rPr/>
        <w:t>on</w:t>
      </w:r>
      <w:r>
        <w:rPr>
          <w:spacing w:val="13"/>
        </w:rPr>
        <w:t> </w:t>
      </w:r>
      <w:r>
        <w:rPr/>
        <w:t>education</w:t>
      </w:r>
      <w:r>
        <w:rPr>
          <w:spacing w:val="13"/>
        </w:rPr>
        <w:t> </w:t>
      </w:r>
      <w:r>
        <w:rPr/>
        <w:t>of</w:t>
      </w:r>
      <w:r>
        <w:rPr>
          <w:spacing w:val="14"/>
        </w:rPr>
        <w:t> </w:t>
      </w:r>
      <w:r>
        <w:rPr/>
        <w:t>respondent</w:t>
      </w:r>
      <w:r>
        <w:rPr>
          <w:spacing w:val="13"/>
        </w:rPr>
        <w:t> </w:t>
      </w:r>
      <w:r>
        <w:rPr/>
        <w:t>there</w:t>
      </w:r>
      <w:r>
        <w:rPr>
          <w:spacing w:val="14"/>
        </w:rPr>
        <w:t> </w:t>
      </w:r>
      <w:r>
        <w:rPr/>
        <w:t>are</w:t>
      </w:r>
      <w:r>
        <w:rPr>
          <w:spacing w:val="13"/>
        </w:rPr>
        <w:t> </w:t>
      </w:r>
      <w:r>
        <w:rPr/>
        <w:t>significant</w:t>
      </w:r>
      <w:r>
        <w:rPr>
          <w:spacing w:val="13"/>
        </w:rPr>
        <w:t> </w:t>
      </w:r>
      <w:r>
        <w:rPr/>
        <w:t>differences</w:t>
      </w:r>
      <w:r>
        <w:rPr>
          <w:spacing w:val="13"/>
        </w:rPr>
        <w:t> </w:t>
      </w:r>
      <w:r>
        <w:rPr/>
        <w:t>in</w:t>
      </w:r>
      <w:r>
        <w:rPr>
          <w:spacing w:val="13"/>
        </w:rPr>
        <w:t> </w:t>
      </w:r>
      <w:r>
        <w:rPr/>
        <w:t>views</w:t>
      </w:r>
      <w:r>
        <w:rPr>
          <w:spacing w:val="14"/>
        </w:rPr>
        <w:t> </w:t>
      </w:r>
      <w:r>
        <w:rPr>
          <w:spacing w:val="-5"/>
        </w:rPr>
        <w:t>(f</w:t>
      </w:r>
    </w:p>
    <w:p>
      <w:pPr>
        <w:pStyle w:val="BodyText"/>
        <w:spacing w:line="360" w:lineRule="auto" w:before="140"/>
        <w:ind w:right="1260"/>
        <w:jc w:val="both"/>
      </w:pPr>
      <w:r>
        <w:rPr/>
        <w:t>= .624, P = .646). A cursory glance at the mean values shows that respondents with non-formal and primary education agree that the JTF has proliferated and perpetuated the conflict. By</w:t>
      </w:r>
      <w:r>
        <w:rPr>
          <w:spacing w:val="-1"/>
        </w:rPr>
        <w:t> </w:t>
      </w:r>
      <w:r>
        <w:rPr/>
        <w:t>contrast, the respondents with higher level of education disagree. The ANOVA results shown in Table 21 attest to this revelation.</w:t>
      </w:r>
    </w:p>
    <w:p>
      <w:pPr>
        <w:pStyle w:val="BodyText"/>
        <w:spacing w:before="4"/>
        <w:ind w:left="0"/>
      </w:pPr>
    </w:p>
    <w:p>
      <w:pPr>
        <w:pStyle w:val="Heading2"/>
        <w:spacing w:before="1"/>
        <w:jc w:val="both"/>
      </w:pPr>
      <w:r>
        <w:rPr/>
        <w:t>Table</w:t>
      </w:r>
      <w:r>
        <w:rPr>
          <w:spacing w:val="-1"/>
        </w:rPr>
        <w:t> </w:t>
      </w:r>
      <w:r>
        <w:rPr/>
        <w:t>21:</w:t>
      </w:r>
      <w:r>
        <w:rPr>
          <w:spacing w:val="-3"/>
        </w:rPr>
        <w:t> </w:t>
      </w:r>
      <w:r>
        <w:rPr/>
        <w:t>Education Output</w:t>
      </w:r>
      <w:r>
        <w:rPr>
          <w:spacing w:val="-1"/>
        </w:rPr>
        <w:t> </w:t>
      </w:r>
      <w:r>
        <w:rPr/>
        <w:t>of </w:t>
      </w:r>
      <w:r>
        <w:rPr>
          <w:spacing w:val="-2"/>
        </w:rPr>
        <w:t>Respondents</w:t>
      </w:r>
    </w:p>
    <w:p>
      <w:pPr>
        <w:pStyle w:val="BodyText"/>
        <w:spacing w:before="11"/>
        <w:ind w:left="0"/>
        <w:rPr>
          <w:b/>
          <w:sz w:val="11"/>
        </w:rPr>
      </w:pP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42"/>
        <w:gridCol w:w="1109"/>
        <w:gridCol w:w="1310"/>
        <w:gridCol w:w="2599"/>
      </w:tblGrid>
      <w:tr>
        <w:trPr>
          <w:trHeight w:val="485" w:hRule="atLeast"/>
        </w:trPr>
        <w:tc>
          <w:tcPr>
            <w:tcW w:w="3442" w:type="dxa"/>
          </w:tcPr>
          <w:p>
            <w:pPr>
              <w:pStyle w:val="TableParagraph"/>
              <w:rPr>
                <w:sz w:val="24"/>
              </w:rPr>
            </w:pPr>
          </w:p>
        </w:tc>
        <w:tc>
          <w:tcPr>
            <w:tcW w:w="1109" w:type="dxa"/>
          </w:tcPr>
          <w:p>
            <w:pPr>
              <w:pStyle w:val="TableParagraph"/>
              <w:spacing w:before="35"/>
              <w:ind w:left="10"/>
              <w:jc w:val="center"/>
              <w:rPr>
                <w:b/>
                <w:sz w:val="24"/>
              </w:rPr>
            </w:pPr>
            <w:r>
              <w:rPr>
                <w:b/>
                <w:spacing w:val="-10"/>
                <w:sz w:val="24"/>
              </w:rPr>
              <w:t>N</w:t>
            </w:r>
          </w:p>
        </w:tc>
        <w:tc>
          <w:tcPr>
            <w:tcW w:w="1310" w:type="dxa"/>
          </w:tcPr>
          <w:p>
            <w:pPr>
              <w:pStyle w:val="TableParagraph"/>
              <w:spacing w:before="35"/>
              <w:ind w:left="9"/>
              <w:jc w:val="center"/>
              <w:rPr>
                <w:b/>
                <w:sz w:val="24"/>
              </w:rPr>
            </w:pPr>
            <w:r>
              <w:rPr>
                <w:b/>
                <w:spacing w:val="-4"/>
                <w:sz w:val="24"/>
              </w:rPr>
              <w:t>Mean</w:t>
            </w:r>
          </w:p>
        </w:tc>
        <w:tc>
          <w:tcPr>
            <w:tcW w:w="2599" w:type="dxa"/>
          </w:tcPr>
          <w:p>
            <w:pPr>
              <w:pStyle w:val="TableParagraph"/>
              <w:spacing w:before="35"/>
              <w:ind w:left="10" w:right="2"/>
              <w:jc w:val="center"/>
              <w:rPr>
                <w:b/>
                <w:sz w:val="24"/>
              </w:rPr>
            </w:pPr>
            <w:r>
              <w:rPr>
                <w:b/>
                <w:sz w:val="24"/>
              </w:rPr>
              <w:t>Level</w:t>
            </w:r>
            <w:r>
              <w:rPr>
                <w:b/>
                <w:spacing w:val="-3"/>
                <w:sz w:val="24"/>
              </w:rPr>
              <w:t> </w:t>
            </w:r>
            <w:r>
              <w:rPr>
                <w:b/>
                <w:sz w:val="24"/>
              </w:rPr>
              <w:t>of </w:t>
            </w:r>
            <w:r>
              <w:rPr>
                <w:b/>
                <w:spacing w:val="-2"/>
                <w:sz w:val="24"/>
              </w:rPr>
              <w:t>Agreement</w:t>
            </w:r>
          </w:p>
        </w:tc>
      </w:tr>
      <w:tr>
        <w:trPr>
          <w:trHeight w:val="352" w:hRule="atLeast"/>
        </w:trPr>
        <w:tc>
          <w:tcPr>
            <w:tcW w:w="3442" w:type="dxa"/>
            <w:tcBorders>
              <w:bottom w:val="nil"/>
            </w:tcBorders>
          </w:tcPr>
          <w:p>
            <w:pPr>
              <w:pStyle w:val="TableParagraph"/>
              <w:spacing w:line="270" w:lineRule="exact"/>
              <w:ind w:left="9"/>
              <w:rPr>
                <w:sz w:val="24"/>
              </w:rPr>
            </w:pPr>
            <w:r>
              <w:rPr>
                <w:sz w:val="24"/>
              </w:rPr>
              <w:t>Non</w:t>
            </w:r>
            <w:r>
              <w:rPr>
                <w:spacing w:val="-3"/>
                <w:sz w:val="24"/>
              </w:rPr>
              <w:t> </w:t>
            </w:r>
            <w:r>
              <w:rPr>
                <w:sz w:val="24"/>
              </w:rPr>
              <w:t>-</w:t>
            </w:r>
            <w:r>
              <w:rPr>
                <w:spacing w:val="-1"/>
                <w:sz w:val="24"/>
              </w:rPr>
              <w:t> </w:t>
            </w:r>
            <w:r>
              <w:rPr>
                <w:spacing w:val="-2"/>
                <w:sz w:val="24"/>
              </w:rPr>
              <w:t>Formal</w:t>
            </w:r>
          </w:p>
        </w:tc>
        <w:tc>
          <w:tcPr>
            <w:tcW w:w="1109" w:type="dxa"/>
            <w:tcBorders>
              <w:bottom w:val="nil"/>
            </w:tcBorders>
          </w:tcPr>
          <w:p>
            <w:pPr>
              <w:pStyle w:val="TableParagraph"/>
              <w:spacing w:line="270" w:lineRule="exact"/>
              <w:ind w:left="10" w:right="1"/>
              <w:jc w:val="center"/>
              <w:rPr>
                <w:sz w:val="24"/>
              </w:rPr>
            </w:pPr>
            <w:r>
              <w:rPr>
                <w:spacing w:val="-5"/>
                <w:sz w:val="24"/>
              </w:rPr>
              <w:t>10</w:t>
            </w:r>
          </w:p>
        </w:tc>
        <w:tc>
          <w:tcPr>
            <w:tcW w:w="1310" w:type="dxa"/>
            <w:tcBorders>
              <w:bottom w:val="nil"/>
            </w:tcBorders>
          </w:tcPr>
          <w:p>
            <w:pPr>
              <w:pStyle w:val="TableParagraph"/>
              <w:spacing w:line="270" w:lineRule="exact"/>
              <w:ind w:left="9" w:right="1"/>
              <w:jc w:val="center"/>
              <w:rPr>
                <w:sz w:val="24"/>
              </w:rPr>
            </w:pPr>
            <w:r>
              <w:rPr>
                <w:spacing w:val="-4"/>
                <w:sz w:val="24"/>
              </w:rPr>
              <w:t>2.50</w:t>
            </w:r>
          </w:p>
        </w:tc>
        <w:tc>
          <w:tcPr>
            <w:tcW w:w="2599" w:type="dxa"/>
            <w:tcBorders>
              <w:bottom w:val="nil"/>
            </w:tcBorders>
          </w:tcPr>
          <w:p>
            <w:pPr>
              <w:pStyle w:val="TableParagraph"/>
              <w:spacing w:line="270" w:lineRule="exact"/>
              <w:ind w:left="10"/>
              <w:jc w:val="center"/>
              <w:rPr>
                <w:sz w:val="24"/>
              </w:rPr>
            </w:pPr>
            <w:r>
              <w:rPr>
                <w:spacing w:val="-10"/>
                <w:sz w:val="24"/>
              </w:rPr>
              <w:t>A</w:t>
            </w:r>
          </w:p>
        </w:tc>
      </w:tr>
      <w:tr>
        <w:trPr>
          <w:trHeight w:val="429" w:hRule="atLeast"/>
        </w:trPr>
        <w:tc>
          <w:tcPr>
            <w:tcW w:w="3442" w:type="dxa"/>
            <w:tcBorders>
              <w:top w:val="nil"/>
              <w:bottom w:val="nil"/>
            </w:tcBorders>
          </w:tcPr>
          <w:p>
            <w:pPr>
              <w:pStyle w:val="TableParagraph"/>
              <w:spacing w:before="71"/>
              <w:ind w:left="9"/>
              <w:rPr>
                <w:sz w:val="24"/>
              </w:rPr>
            </w:pPr>
            <w:r>
              <w:rPr>
                <w:sz w:val="24"/>
              </w:rPr>
              <w:t>Primary</w:t>
            </w:r>
            <w:r>
              <w:rPr>
                <w:spacing w:val="-5"/>
                <w:sz w:val="24"/>
              </w:rPr>
              <w:t> </w:t>
            </w:r>
            <w:r>
              <w:rPr>
                <w:spacing w:val="-2"/>
                <w:sz w:val="24"/>
              </w:rPr>
              <w:t>School</w:t>
            </w:r>
          </w:p>
        </w:tc>
        <w:tc>
          <w:tcPr>
            <w:tcW w:w="1109" w:type="dxa"/>
            <w:tcBorders>
              <w:top w:val="nil"/>
              <w:bottom w:val="nil"/>
            </w:tcBorders>
          </w:tcPr>
          <w:p>
            <w:pPr>
              <w:pStyle w:val="TableParagraph"/>
              <w:spacing w:before="71"/>
              <w:ind w:left="10" w:right="1"/>
              <w:jc w:val="center"/>
              <w:rPr>
                <w:sz w:val="24"/>
              </w:rPr>
            </w:pPr>
            <w:r>
              <w:rPr>
                <w:spacing w:val="-10"/>
                <w:sz w:val="24"/>
              </w:rPr>
              <w:t>8</w:t>
            </w:r>
          </w:p>
        </w:tc>
        <w:tc>
          <w:tcPr>
            <w:tcW w:w="1310" w:type="dxa"/>
            <w:tcBorders>
              <w:top w:val="nil"/>
              <w:bottom w:val="nil"/>
            </w:tcBorders>
          </w:tcPr>
          <w:p>
            <w:pPr>
              <w:pStyle w:val="TableParagraph"/>
              <w:spacing w:before="71"/>
              <w:ind w:left="9" w:right="1"/>
              <w:jc w:val="center"/>
              <w:rPr>
                <w:sz w:val="24"/>
              </w:rPr>
            </w:pPr>
            <w:r>
              <w:rPr>
                <w:spacing w:val="-4"/>
                <w:sz w:val="24"/>
              </w:rPr>
              <w:t>2.63</w:t>
            </w:r>
          </w:p>
        </w:tc>
        <w:tc>
          <w:tcPr>
            <w:tcW w:w="2599" w:type="dxa"/>
            <w:tcBorders>
              <w:top w:val="nil"/>
              <w:bottom w:val="nil"/>
            </w:tcBorders>
          </w:tcPr>
          <w:p>
            <w:pPr>
              <w:pStyle w:val="TableParagraph"/>
              <w:spacing w:before="71"/>
              <w:ind w:left="10"/>
              <w:jc w:val="center"/>
              <w:rPr>
                <w:sz w:val="24"/>
              </w:rPr>
            </w:pPr>
            <w:r>
              <w:rPr>
                <w:spacing w:val="-10"/>
                <w:sz w:val="24"/>
              </w:rPr>
              <w:t>A</w:t>
            </w:r>
          </w:p>
        </w:tc>
      </w:tr>
      <w:tr>
        <w:trPr>
          <w:trHeight w:val="421" w:hRule="atLeast"/>
        </w:trPr>
        <w:tc>
          <w:tcPr>
            <w:tcW w:w="3442" w:type="dxa"/>
            <w:tcBorders>
              <w:top w:val="nil"/>
              <w:bottom w:val="nil"/>
            </w:tcBorders>
          </w:tcPr>
          <w:p>
            <w:pPr>
              <w:pStyle w:val="TableParagraph"/>
              <w:spacing w:before="71"/>
              <w:ind w:left="9"/>
              <w:rPr>
                <w:sz w:val="24"/>
              </w:rPr>
            </w:pPr>
            <w:r>
              <w:rPr>
                <w:sz w:val="24"/>
              </w:rPr>
              <w:t>Secondary/Technical</w:t>
            </w:r>
            <w:r>
              <w:rPr>
                <w:spacing w:val="-5"/>
                <w:sz w:val="24"/>
              </w:rPr>
              <w:t> </w:t>
            </w:r>
            <w:r>
              <w:rPr>
                <w:spacing w:val="-10"/>
                <w:sz w:val="24"/>
              </w:rPr>
              <w:t>/</w:t>
            </w:r>
          </w:p>
        </w:tc>
        <w:tc>
          <w:tcPr>
            <w:tcW w:w="1109" w:type="dxa"/>
            <w:tcBorders>
              <w:top w:val="nil"/>
              <w:bottom w:val="nil"/>
            </w:tcBorders>
          </w:tcPr>
          <w:p>
            <w:pPr>
              <w:pStyle w:val="TableParagraph"/>
              <w:rPr>
                <w:sz w:val="24"/>
              </w:rPr>
            </w:pPr>
          </w:p>
        </w:tc>
        <w:tc>
          <w:tcPr>
            <w:tcW w:w="1310" w:type="dxa"/>
            <w:tcBorders>
              <w:top w:val="nil"/>
              <w:bottom w:val="nil"/>
            </w:tcBorders>
          </w:tcPr>
          <w:p>
            <w:pPr>
              <w:pStyle w:val="TableParagraph"/>
              <w:rPr>
                <w:sz w:val="24"/>
              </w:rPr>
            </w:pPr>
          </w:p>
        </w:tc>
        <w:tc>
          <w:tcPr>
            <w:tcW w:w="2599" w:type="dxa"/>
            <w:tcBorders>
              <w:top w:val="nil"/>
              <w:bottom w:val="nil"/>
            </w:tcBorders>
          </w:tcPr>
          <w:p>
            <w:pPr>
              <w:pStyle w:val="TableParagraph"/>
              <w:rPr>
                <w:sz w:val="24"/>
              </w:rPr>
            </w:pPr>
          </w:p>
        </w:tc>
      </w:tr>
      <w:tr>
        <w:trPr>
          <w:trHeight w:val="416" w:hRule="atLeast"/>
        </w:trPr>
        <w:tc>
          <w:tcPr>
            <w:tcW w:w="3442" w:type="dxa"/>
            <w:tcBorders>
              <w:top w:val="nil"/>
              <w:bottom w:val="nil"/>
            </w:tcBorders>
          </w:tcPr>
          <w:p>
            <w:pPr>
              <w:pStyle w:val="TableParagraph"/>
              <w:spacing w:before="63"/>
              <w:ind w:left="9"/>
              <w:rPr>
                <w:sz w:val="24"/>
              </w:rPr>
            </w:pPr>
            <w:r>
              <w:rPr>
                <w:spacing w:val="-4"/>
                <w:sz w:val="24"/>
              </w:rPr>
              <w:t>Teachers‟</w:t>
            </w:r>
            <w:r>
              <w:rPr>
                <w:spacing w:val="4"/>
                <w:sz w:val="24"/>
              </w:rPr>
              <w:t> </w:t>
            </w:r>
            <w:r>
              <w:rPr>
                <w:spacing w:val="-2"/>
                <w:sz w:val="24"/>
              </w:rPr>
              <w:t>College</w:t>
            </w:r>
          </w:p>
        </w:tc>
        <w:tc>
          <w:tcPr>
            <w:tcW w:w="1109" w:type="dxa"/>
            <w:tcBorders>
              <w:top w:val="nil"/>
              <w:bottom w:val="nil"/>
            </w:tcBorders>
          </w:tcPr>
          <w:p>
            <w:pPr>
              <w:pStyle w:val="TableParagraph"/>
              <w:spacing w:before="63"/>
              <w:ind w:left="10" w:right="1"/>
              <w:jc w:val="center"/>
              <w:rPr>
                <w:sz w:val="24"/>
              </w:rPr>
            </w:pPr>
            <w:r>
              <w:rPr>
                <w:spacing w:val="-5"/>
                <w:sz w:val="24"/>
              </w:rPr>
              <w:t>67</w:t>
            </w:r>
          </w:p>
        </w:tc>
        <w:tc>
          <w:tcPr>
            <w:tcW w:w="1310" w:type="dxa"/>
            <w:tcBorders>
              <w:top w:val="nil"/>
              <w:bottom w:val="nil"/>
            </w:tcBorders>
          </w:tcPr>
          <w:p>
            <w:pPr>
              <w:pStyle w:val="TableParagraph"/>
              <w:spacing w:before="63"/>
              <w:ind w:left="9" w:right="1"/>
              <w:jc w:val="center"/>
              <w:rPr>
                <w:sz w:val="24"/>
              </w:rPr>
            </w:pPr>
            <w:r>
              <w:rPr>
                <w:spacing w:val="-4"/>
                <w:sz w:val="24"/>
              </w:rPr>
              <w:t>2.31</w:t>
            </w:r>
          </w:p>
        </w:tc>
        <w:tc>
          <w:tcPr>
            <w:tcW w:w="2599" w:type="dxa"/>
            <w:tcBorders>
              <w:top w:val="nil"/>
              <w:bottom w:val="nil"/>
            </w:tcBorders>
          </w:tcPr>
          <w:p>
            <w:pPr>
              <w:pStyle w:val="TableParagraph"/>
              <w:spacing w:before="63"/>
              <w:ind w:left="10"/>
              <w:jc w:val="center"/>
              <w:rPr>
                <w:sz w:val="24"/>
              </w:rPr>
            </w:pPr>
            <w:r>
              <w:rPr>
                <w:spacing w:val="-10"/>
                <w:sz w:val="24"/>
              </w:rPr>
              <w:t>D</w:t>
            </w:r>
          </w:p>
        </w:tc>
      </w:tr>
      <w:tr>
        <w:trPr>
          <w:trHeight w:val="418" w:hRule="atLeast"/>
        </w:trPr>
        <w:tc>
          <w:tcPr>
            <w:tcW w:w="3442" w:type="dxa"/>
            <w:tcBorders>
              <w:top w:val="nil"/>
              <w:bottom w:val="nil"/>
            </w:tcBorders>
          </w:tcPr>
          <w:p>
            <w:pPr>
              <w:pStyle w:val="TableParagraph"/>
              <w:spacing w:before="67"/>
              <w:ind w:left="9"/>
              <w:rPr>
                <w:sz w:val="24"/>
              </w:rPr>
            </w:pPr>
            <w:r>
              <w:rPr>
                <w:spacing w:val="-2"/>
                <w:sz w:val="24"/>
              </w:rPr>
              <w:t>Post-Secondary</w:t>
            </w:r>
          </w:p>
        </w:tc>
        <w:tc>
          <w:tcPr>
            <w:tcW w:w="1109" w:type="dxa"/>
            <w:tcBorders>
              <w:top w:val="nil"/>
              <w:bottom w:val="nil"/>
            </w:tcBorders>
          </w:tcPr>
          <w:p>
            <w:pPr>
              <w:pStyle w:val="TableParagraph"/>
              <w:spacing w:before="67"/>
              <w:ind w:left="10" w:right="1"/>
              <w:jc w:val="center"/>
              <w:rPr>
                <w:sz w:val="24"/>
              </w:rPr>
            </w:pPr>
            <w:r>
              <w:rPr>
                <w:spacing w:val="-5"/>
                <w:sz w:val="24"/>
              </w:rPr>
              <w:t>41</w:t>
            </w:r>
          </w:p>
        </w:tc>
        <w:tc>
          <w:tcPr>
            <w:tcW w:w="1310" w:type="dxa"/>
            <w:tcBorders>
              <w:top w:val="nil"/>
              <w:bottom w:val="nil"/>
            </w:tcBorders>
          </w:tcPr>
          <w:p>
            <w:pPr>
              <w:pStyle w:val="TableParagraph"/>
              <w:spacing w:before="67"/>
              <w:ind w:left="9" w:right="1"/>
              <w:jc w:val="center"/>
              <w:rPr>
                <w:sz w:val="24"/>
              </w:rPr>
            </w:pPr>
            <w:r>
              <w:rPr>
                <w:spacing w:val="-4"/>
                <w:sz w:val="24"/>
              </w:rPr>
              <w:t>2.10</w:t>
            </w:r>
          </w:p>
        </w:tc>
        <w:tc>
          <w:tcPr>
            <w:tcW w:w="2599" w:type="dxa"/>
            <w:tcBorders>
              <w:top w:val="nil"/>
              <w:bottom w:val="nil"/>
            </w:tcBorders>
          </w:tcPr>
          <w:p>
            <w:pPr>
              <w:pStyle w:val="TableParagraph"/>
              <w:spacing w:before="67"/>
              <w:ind w:left="10"/>
              <w:jc w:val="center"/>
              <w:rPr>
                <w:sz w:val="24"/>
              </w:rPr>
            </w:pPr>
            <w:r>
              <w:rPr>
                <w:spacing w:val="-10"/>
                <w:sz w:val="24"/>
              </w:rPr>
              <w:t>D</w:t>
            </w:r>
          </w:p>
        </w:tc>
      </w:tr>
      <w:tr>
        <w:trPr>
          <w:trHeight w:val="464" w:hRule="atLeast"/>
        </w:trPr>
        <w:tc>
          <w:tcPr>
            <w:tcW w:w="3442" w:type="dxa"/>
            <w:tcBorders>
              <w:top w:val="nil"/>
            </w:tcBorders>
          </w:tcPr>
          <w:p>
            <w:pPr>
              <w:pStyle w:val="TableParagraph"/>
              <w:spacing w:before="65"/>
              <w:ind w:left="9"/>
              <w:rPr>
                <w:sz w:val="24"/>
              </w:rPr>
            </w:pPr>
            <w:r>
              <w:rPr>
                <w:spacing w:val="-2"/>
                <w:sz w:val="24"/>
              </w:rPr>
              <w:t>University</w:t>
            </w:r>
          </w:p>
        </w:tc>
        <w:tc>
          <w:tcPr>
            <w:tcW w:w="1109" w:type="dxa"/>
            <w:tcBorders>
              <w:top w:val="nil"/>
            </w:tcBorders>
          </w:tcPr>
          <w:p>
            <w:pPr>
              <w:pStyle w:val="TableParagraph"/>
              <w:spacing w:before="65"/>
              <w:ind w:left="10" w:right="1"/>
              <w:jc w:val="center"/>
              <w:rPr>
                <w:sz w:val="24"/>
              </w:rPr>
            </w:pPr>
            <w:r>
              <w:rPr>
                <w:spacing w:val="-5"/>
                <w:sz w:val="24"/>
              </w:rPr>
              <w:t>105</w:t>
            </w:r>
          </w:p>
        </w:tc>
        <w:tc>
          <w:tcPr>
            <w:tcW w:w="1310" w:type="dxa"/>
            <w:tcBorders>
              <w:top w:val="nil"/>
            </w:tcBorders>
          </w:tcPr>
          <w:p>
            <w:pPr>
              <w:pStyle w:val="TableParagraph"/>
              <w:spacing w:before="65"/>
              <w:ind w:left="9" w:right="1"/>
              <w:jc w:val="center"/>
              <w:rPr>
                <w:sz w:val="24"/>
              </w:rPr>
            </w:pPr>
            <w:r>
              <w:rPr>
                <w:spacing w:val="-4"/>
                <w:sz w:val="24"/>
              </w:rPr>
              <w:t>2.27</w:t>
            </w:r>
          </w:p>
        </w:tc>
        <w:tc>
          <w:tcPr>
            <w:tcW w:w="2599" w:type="dxa"/>
            <w:tcBorders>
              <w:top w:val="nil"/>
            </w:tcBorders>
          </w:tcPr>
          <w:p>
            <w:pPr>
              <w:pStyle w:val="TableParagraph"/>
              <w:spacing w:before="65"/>
              <w:ind w:left="10"/>
              <w:jc w:val="center"/>
              <w:rPr>
                <w:sz w:val="24"/>
              </w:rPr>
            </w:pPr>
            <w:r>
              <w:rPr>
                <w:spacing w:val="-10"/>
                <w:sz w:val="24"/>
              </w:rPr>
              <w:t>D</w:t>
            </w:r>
          </w:p>
        </w:tc>
      </w:tr>
    </w:tbl>
    <w:p>
      <w:pPr>
        <w:pStyle w:val="BodyText"/>
        <w:spacing w:before="135"/>
        <w:ind w:left="0"/>
        <w:rPr>
          <w:b/>
        </w:rPr>
      </w:pPr>
    </w:p>
    <w:p>
      <w:pPr>
        <w:pStyle w:val="BodyText"/>
        <w:spacing w:line="360" w:lineRule="auto" w:before="1"/>
        <w:ind w:right="1255" w:firstLine="556"/>
        <w:jc w:val="both"/>
      </w:pPr>
      <w:r>
        <w:rPr/>
        <w:t>Based on occupation of respondents there are no significant differences in the views (f = 1.227, P = .294). However, the ANOVA results show that most of the respondents that fall into the categories of unemployed (15.7%) and self employed (13.6%) agree to the assertion. From the foregoing, the claimed level of education in the sampled states contradicts the state of employment in the three states that fieldwork was carried out.</w:t>
      </w:r>
    </w:p>
    <w:p>
      <w:pPr>
        <w:pStyle w:val="BodyText"/>
        <w:spacing w:line="360" w:lineRule="auto"/>
        <w:ind w:right="1258" w:firstLine="556"/>
        <w:jc w:val="both"/>
      </w:pPr>
      <w:r>
        <w:rPr/>
        <w:t>This is symptomatic of the general situation in the communities where the fieldwork was conducted. Thus, the people who engage in criminality such as illegal oil bunkering, armed robbery, piracy</w:t>
      </w:r>
      <w:r>
        <w:rPr>
          <w:spacing w:val="-3"/>
        </w:rPr>
        <w:t> </w:t>
      </w:r>
      <w:r>
        <w:rPr/>
        <w:t>and kidnapping</w:t>
      </w:r>
      <w:r>
        <w:rPr>
          <w:spacing w:val="-1"/>
        </w:rPr>
        <w:t> </w:t>
      </w:r>
      <w:r>
        <w:rPr/>
        <w:t>of oil workers aside engagement in communal conflicts in the sampled states, probably belong to this category of </w:t>
      </w:r>
      <w:r>
        <w:rPr>
          <w:spacing w:val="-2"/>
        </w:rPr>
        <w:t>people.</w:t>
      </w:r>
    </w:p>
    <w:p>
      <w:pPr>
        <w:pStyle w:val="BodyText"/>
        <w:spacing w:line="360" w:lineRule="auto"/>
        <w:ind w:right="1254" w:firstLine="556"/>
        <w:jc w:val="both"/>
      </w:pPr>
      <w:r>
        <w:rPr/>
        <w:t>However,</w:t>
      </w:r>
      <w:r>
        <w:rPr>
          <w:spacing w:val="-2"/>
        </w:rPr>
        <w:t> </w:t>
      </w:r>
      <w:r>
        <w:rPr/>
        <w:t>the</w:t>
      </w:r>
      <w:r>
        <w:rPr>
          <w:spacing w:val="-2"/>
        </w:rPr>
        <w:t> </w:t>
      </w:r>
      <w:r>
        <w:rPr/>
        <w:t>preponderance</w:t>
      </w:r>
      <w:r>
        <w:rPr>
          <w:spacing w:val="-2"/>
        </w:rPr>
        <w:t> </w:t>
      </w:r>
      <w:r>
        <w:rPr/>
        <w:t>of</w:t>
      </w:r>
      <w:r>
        <w:rPr>
          <w:spacing w:val="-2"/>
        </w:rPr>
        <w:t> </w:t>
      </w:r>
      <w:r>
        <w:rPr/>
        <w:t>opinion</w:t>
      </w:r>
      <w:r>
        <w:rPr>
          <w:spacing w:val="-1"/>
        </w:rPr>
        <w:t> </w:t>
      </w:r>
      <w:r>
        <w:rPr/>
        <w:t>here</w:t>
      </w:r>
      <w:r>
        <w:rPr>
          <w:spacing w:val="-3"/>
        </w:rPr>
        <w:t> </w:t>
      </w:r>
      <w:r>
        <w:rPr/>
        <w:t>suggests</w:t>
      </w:r>
      <w:r>
        <w:rPr>
          <w:spacing w:val="-1"/>
        </w:rPr>
        <w:t> </w:t>
      </w:r>
      <w:r>
        <w:rPr/>
        <w:t>that</w:t>
      </w:r>
      <w:r>
        <w:rPr>
          <w:spacing w:val="-1"/>
        </w:rPr>
        <w:t> </w:t>
      </w:r>
      <w:r>
        <w:rPr/>
        <w:t>there</w:t>
      </w:r>
      <w:r>
        <w:rPr>
          <w:spacing w:val="-2"/>
        </w:rPr>
        <w:t> </w:t>
      </w:r>
      <w:r>
        <w:rPr/>
        <w:t>is</w:t>
      </w:r>
      <w:r>
        <w:rPr>
          <w:spacing w:val="-1"/>
        </w:rPr>
        <w:t> </w:t>
      </w:r>
      <w:r>
        <w:rPr/>
        <w:t>relative</w:t>
      </w:r>
      <w:r>
        <w:rPr>
          <w:spacing w:val="-2"/>
        </w:rPr>
        <w:t> </w:t>
      </w:r>
      <w:r>
        <w:rPr/>
        <w:t>peace in</w:t>
      </w:r>
      <w:r>
        <w:rPr>
          <w:spacing w:val="-2"/>
        </w:rPr>
        <w:t> </w:t>
      </w:r>
      <w:r>
        <w:rPr/>
        <w:t>sight</w:t>
      </w:r>
      <w:r>
        <w:rPr>
          <w:spacing w:val="-2"/>
        </w:rPr>
        <w:t> </w:t>
      </w:r>
      <w:r>
        <w:rPr/>
        <w:t>with</w:t>
      </w:r>
      <w:r>
        <w:rPr>
          <w:spacing w:val="-2"/>
        </w:rPr>
        <w:t> </w:t>
      </w:r>
      <w:r>
        <w:rPr/>
        <w:t>the</w:t>
      </w:r>
      <w:r>
        <w:rPr>
          <w:spacing w:val="-1"/>
        </w:rPr>
        <w:t> </w:t>
      </w:r>
      <w:r>
        <w:rPr/>
        <w:t>JTF</w:t>
      </w:r>
      <w:r>
        <w:rPr>
          <w:spacing w:val="-4"/>
        </w:rPr>
        <w:t> </w:t>
      </w:r>
      <w:r>
        <w:rPr/>
        <w:t>intervention.</w:t>
      </w:r>
      <w:r>
        <w:rPr>
          <w:spacing w:val="-2"/>
        </w:rPr>
        <w:t> </w:t>
      </w:r>
      <w:r>
        <w:rPr/>
        <w:t>Hence,</w:t>
      </w:r>
      <w:r>
        <w:rPr>
          <w:spacing w:val="-2"/>
        </w:rPr>
        <w:t> </w:t>
      </w:r>
      <w:r>
        <w:rPr/>
        <w:t>many</w:t>
      </w:r>
      <w:r>
        <w:rPr>
          <w:spacing w:val="-7"/>
        </w:rPr>
        <w:t> </w:t>
      </w:r>
      <w:r>
        <w:rPr/>
        <w:t>of</w:t>
      </w:r>
      <w:r>
        <w:rPr>
          <w:spacing w:val="-1"/>
        </w:rPr>
        <w:t> </w:t>
      </w:r>
      <w:r>
        <w:rPr/>
        <w:t>the</w:t>
      </w:r>
      <w:r>
        <w:rPr>
          <w:spacing w:val="-2"/>
        </w:rPr>
        <w:t> </w:t>
      </w:r>
      <w:r>
        <w:rPr/>
        <w:t>respondents</w:t>
      </w:r>
      <w:r>
        <w:rPr>
          <w:spacing w:val="-2"/>
        </w:rPr>
        <w:t> </w:t>
      </w:r>
      <w:r>
        <w:rPr/>
        <w:t>considered</w:t>
      </w:r>
      <w:r>
        <w:rPr>
          <w:spacing w:val="-2"/>
        </w:rPr>
        <w:t> </w:t>
      </w:r>
      <w:r>
        <w:rPr/>
        <w:t>the</w:t>
      </w:r>
      <w:r>
        <w:rPr>
          <w:spacing w:val="-3"/>
        </w:rPr>
        <w:t> </w:t>
      </w:r>
      <w:r>
        <w:rPr/>
        <w:t>JTF intervention to have been successful.</w:t>
      </w:r>
    </w:p>
    <w:p>
      <w:pPr>
        <w:pStyle w:val="BodyText"/>
        <w:spacing w:line="275" w:lineRule="exact"/>
        <w:ind w:left="1997"/>
        <w:jc w:val="both"/>
      </w:pPr>
      <w:r>
        <w:rPr/>
        <w:t>Respondents</w:t>
      </w:r>
      <w:r>
        <w:rPr>
          <w:spacing w:val="33"/>
        </w:rPr>
        <w:t> </w:t>
      </w:r>
      <w:r>
        <w:rPr/>
        <w:t>were</w:t>
      </w:r>
      <w:r>
        <w:rPr>
          <w:spacing w:val="33"/>
        </w:rPr>
        <w:t> </w:t>
      </w:r>
      <w:r>
        <w:rPr/>
        <w:t>further</w:t>
      </w:r>
      <w:r>
        <w:rPr>
          <w:spacing w:val="34"/>
        </w:rPr>
        <w:t> </w:t>
      </w:r>
      <w:r>
        <w:rPr/>
        <w:t>asked</w:t>
      </w:r>
      <w:r>
        <w:rPr>
          <w:spacing w:val="34"/>
        </w:rPr>
        <w:t> </w:t>
      </w:r>
      <w:r>
        <w:rPr/>
        <w:t>whether</w:t>
      </w:r>
      <w:r>
        <w:rPr>
          <w:spacing w:val="34"/>
        </w:rPr>
        <w:t> </w:t>
      </w:r>
      <w:r>
        <w:rPr/>
        <w:t>the</w:t>
      </w:r>
      <w:r>
        <w:rPr>
          <w:spacing w:val="34"/>
        </w:rPr>
        <w:t> </w:t>
      </w:r>
      <w:r>
        <w:rPr/>
        <w:t>JTF</w:t>
      </w:r>
      <w:r>
        <w:rPr>
          <w:spacing w:val="33"/>
        </w:rPr>
        <w:t> </w:t>
      </w:r>
      <w:r>
        <w:rPr/>
        <w:t>mechanism</w:t>
      </w:r>
      <w:r>
        <w:rPr>
          <w:spacing w:val="35"/>
        </w:rPr>
        <w:t> </w:t>
      </w:r>
      <w:r>
        <w:rPr/>
        <w:t>has</w:t>
      </w:r>
      <w:r>
        <w:rPr>
          <w:spacing w:val="35"/>
        </w:rPr>
        <w:t> </w:t>
      </w:r>
      <w:r>
        <w:rPr/>
        <w:t>reduced</w:t>
      </w:r>
      <w:r>
        <w:rPr>
          <w:spacing w:val="35"/>
        </w:rPr>
        <w:t> </w:t>
      </w:r>
      <w:r>
        <w:rPr>
          <w:spacing w:val="-5"/>
        </w:rPr>
        <w:t>the</w:t>
      </w:r>
    </w:p>
    <w:p>
      <w:pPr>
        <w:spacing w:after="0" w:line="275" w:lineRule="exact"/>
        <w:jc w:val="both"/>
        <w:sectPr>
          <w:pgSz w:w="11910" w:h="16840"/>
          <w:pgMar w:header="0" w:footer="1561" w:top="1360" w:bottom="1760" w:left="720" w:right="180"/>
        </w:sectPr>
      </w:pPr>
    </w:p>
    <w:p>
      <w:pPr>
        <w:pStyle w:val="BodyText"/>
        <w:spacing w:line="360" w:lineRule="auto" w:before="60"/>
        <w:ind w:right="1258"/>
        <w:jc w:val="both"/>
      </w:pPr>
      <w:r>
        <w:rPr/>
        <mc:AlternateContent>
          <mc:Choice Requires="wps">
            <w:drawing>
              <wp:anchor distT="0" distB="0" distL="0" distR="0" allowOverlap="1" layoutInCell="1" locked="0" behindDoc="1" simplePos="0" relativeHeight="480677376">
                <wp:simplePos x="0" y="0"/>
                <wp:positionH relativeFrom="page">
                  <wp:posOffset>-1537026</wp:posOffset>
                </wp:positionH>
                <wp:positionV relativeFrom="page">
                  <wp:posOffset>4900424</wp:posOffset>
                </wp:positionV>
                <wp:extent cx="10669905" cy="914400"/>
                <wp:effectExtent l="0" t="0" r="0" b="0"/>
                <wp:wrapNone/>
                <wp:docPr id="314" name="Textbox 314"/>
                <wp:cNvGraphicFramePr>
                  <a:graphicFrameLocks/>
                </wp:cNvGraphicFramePr>
                <a:graphic>
                  <a:graphicData uri="http://schemas.microsoft.com/office/word/2010/wordprocessingShape">
                    <wps:wsp>
                      <wps:cNvPr id="314" name="Textbox 314"/>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39104;rotation:306" type="#_x0000_t136" fillcolor="#ff5400" stroked="f">
                <o:extrusion v:ext="view" autorotationcenter="t"/>
                <v:textpath style="font-family:&quot;Arial MT&quot;;font-size:72pt;v-text-kern:t;mso-text-shadow:auto" string="UNIVERSITY OF IBADAN"/>
                <w10:wrap type="none"/>
              </v:shape>
            </w:pict>
          </mc:Fallback>
        </mc:AlternateContent>
      </w:r>
      <w:r>
        <w:rPr/>
        <w:t>conflicts effects to the barest minimum. From the data presented on Table 20, there is a general agreement with the view.</w:t>
      </w:r>
    </w:p>
    <w:p>
      <w:pPr>
        <w:pStyle w:val="BodyText"/>
        <w:spacing w:line="360" w:lineRule="auto" w:before="1"/>
        <w:ind w:right="1255" w:firstLine="710"/>
        <w:jc w:val="both"/>
      </w:pPr>
      <w:r>
        <w:rPr/>
        <w:t>On a State by State basis, results of ANOVA indicate some difference</w:t>
      </w:r>
      <w:r>
        <w:rPr>
          <w:spacing w:val="80"/>
        </w:rPr>
        <w:t> </w:t>
      </w:r>
      <w:r>
        <w:rPr/>
        <w:t>amongst States (f = 24.922, P = .000). However, divergent views were expressed by the respondents within the three States - Bayelsa (3.28), Delta (2.35) and Rivers </w:t>
      </w:r>
      <w:r>
        <w:rPr>
          <w:spacing w:val="-2"/>
        </w:rPr>
        <w:t>(2.47).</w:t>
      </w:r>
    </w:p>
    <w:p>
      <w:pPr>
        <w:pStyle w:val="BodyText"/>
        <w:spacing w:line="360" w:lineRule="auto"/>
        <w:ind w:right="1258" w:firstLine="720"/>
        <w:jc w:val="both"/>
      </w:pPr>
      <w:r>
        <w:rPr/>
        <w:t>It is paradoxical, however, that the majority of the respondents (70%) still consider the conflicts in their communities to be very active. Hence, the disagreement with the statement in most part of the communities across the States.</w:t>
      </w:r>
    </w:p>
    <w:p>
      <w:pPr>
        <w:pStyle w:val="BodyText"/>
        <w:spacing w:line="360" w:lineRule="auto"/>
        <w:ind w:right="1254" w:firstLine="720"/>
        <w:jc w:val="both"/>
      </w:pPr>
      <w:r>
        <w:rPr/>
        <w:t>Respondents</w:t>
      </w:r>
      <w:r>
        <w:rPr>
          <w:spacing w:val="-2"/>
        </w:rPr>
        <w:t> </w:t>
      </w:r>
      <w:r>
        <w:rPr/>
        <w:t>were</w:t>
      </w:r>
      <w:r>
        <w:rPr>
          <w:spacing w:val="-3"/>
        </w:rPr>
        <w:t> </w:t>
      </w:r>
      <w:r>
        <w:rPr/>
        <w:t>further</w:t>
      </w:r>
      <w:r>
        <w:rPr>
          <w:spacing w:val="-3"/>
        </w:rPr>
        <w:t> </w:t>
      </w:r>
      <w:r>
        <w:rPr/>
        <w:t>asked</w:t>
      </w:r>
      <w:r>
        <w:rPr>
          <w:spacing w:val="-1"/>
        </w:rPr>
        <w:t> </w:t>
      </w:r>
      <w:r>
        <w:rPr/>
        <w:t>whether</w:t>
      </w:r>
      <w:r>
        <w:rPr>
          <w:spacing w:val="-1"/>
        </w:rPr>
        <w:t> </w:t>
      </w:r>
      <w:r>
        <w:rPr/>
        <w:t>lives</w:t>
      </w:r>
      <w:r>
        <w:rPr>
          <w:spacing w:val="-2"/>
        </w:rPr>
        <w:t> </w:t>
      </w:r>
      <w:r>
        <w:rPr/>
        <w:t>and properties</w:t>
      </w:r>
      <w:r>
        <w:rPr>
          <w:spacing w:val="-3"/>
        </w:rPr>
        <w:t> </w:t>
      </w:r>
      <w:r>
        <w:rPr/>
        <w:t>were</w:t>
      </w:r>
      <w:r>
        <w:rPr>
          <w:spacing w:val="-3"/>
        </w:rPr>
        <w:t> </w:t>
      </w:r>
      <w:r>
        <w:rPr/>
        <w:t>deliberately destroyed by the JTF during operations. From the data presented on Table 20, the respondents generally disagree with the statement.</w:t>
      </w:r>
      <w:r>
        <w:rPr>
          <w:spacing w:val="40"/>
        </w:rPr>
        <w:t> </w:t>
      </w:r>
      <w:r>
        <w:rPr/>
        <w:t>Across the States, the results of ANOVA show that there is' no significant differences in views, (f = 5.489, P = .005).</w:t>
      </w:r>
    </w:p>
    <w:p>
      <w:pPr>
        <w:pStyle w:val="BodyText"/>
        <w:spacing w:line="360" w:lineRule="auto"/>
        <w:ind w:right="1254" w:firstLine="720"/>
        <w:jc w:val="both"/>
      </w:pPr>
      <w:r>
        <w:rPr/>
        <w:t>Apart from the issues mentioned above, respondents were asked if the JTF intervention has achieved the needed positive peace in the Niger Delta. From the data presented on Table 20, there is a general disagreement with the view that it has achieved the needed positive peace. Across the States, divergent views were held - Delta State (2.00) and Rivers State (2.06) agree on the statement, while Bayelsa State (2.75) disagrees by extension the security situation in the Niger Delta.</w:t>
      </w:r>
    </w:p>
    <w:p>
      <w:pPr>
        <w:pStyle w:val="BodyText"/>
        <w:spacing w:line="360" w:lineRule="auto"/>
        <w:ind w:right="1254" w:firstLine="660"/>
        <w:jc w:val="both"/>
      </w:pPr>
      <w:r>
        <w:rPr/>
        <w:t>As revealed from the study, the JTF is also confronted with the issue of intelligence failure. Poor intelligence gathering and lack of operational maps restricts the JTF to respond promptly and decisively to militia attacks than being proactive. This partly accounts for some casualties and collateral damages recorded by the JTF troops while conducting their operations.</w:t>
      </w:r>
    </w:p>
    <w:p>
      <w:pPr>
        <w:pStyle w:val="BodyText"/>
        <w:spacing w:line="360" w:lineRule="auto" w:before="2"/>
        <w:ind w:right="1256" w:firstLine="720"/>
        <w:jc w:val="both"/>
      </w:pPr>
      <w:r>
        <w:rPr/>
        <w:t>The study also notes that, tainted public perception of the Niger Delta crisis as well as the inability of the JTF to factor in stakeholders‟ needs, fears, prejudices and nuances in their operations accounted for the little success of the force. Some of the interviewees pointed out that the militants know and understand the nuances of the waters and the creeks more than the JTF troops.</w:t>
      </w:r>
      <w:r>
        <w:rPr>
          <w:spacing w:val="40"/>
        </w:rPr>
        <w:t> </w:t>
      </w:r>
      <w:r>
        <w:rPr/>
        <w:t>This is against the backdrop of the JTF troops‟ poor knowledge of the Niger Delta terrain and absence of riverine </w:t>
      </w:r>
      <w:r>
        <w:rPr>
          <w:spacing w:val="-2"/>
        </w:rPr>
        <w:t>training.</w:t>
      </w:r>
    </w:p>
    <w:p>
      <w:pPr>
        <w:spacing w:after="0" w:line="360" w:lineRule="auto"/>
        <w:jc w:val="both"/>
        <w:sectPr>
          <w:pgSz w:w="11910" w:h="16840"/>
          <w:pgMar w:header="0" w:footer="1561" w:top="1360" w:bottom="1760" w:left="720" w:right="180"/>
        </w:sectPr>
      </w:pPr>
    </w:p>
    <w:p>
      <w:pPr>
        <w:pStyle w:val="Heading2"/>
        <w:numPr>
          <w:ilvl w:val="3"/>
          <w:numId w:val="26"/>
        </w:numPr>
        <w:tabs>
          <w:tab w:pos="2469" w:val="left" w:leader="none"/>
          <w:tab w:pos="7851" w:val="left" w:leader="none"/>
        </w:tabs>
        <w:spacing w:line="360" w:lineRule="auto" w:before="78" w:after="0"/>
        <w:ind w:left="1440" w:right="1256" w:firstLine="0"/>
        <w:jc w:val="left"/>
      </w:pPr>
      <w:r>
        <w:rPr/>
        <mc:AlternateContent>
          <mc:Choice Requires="wps">
            <w:drawing>
              <wp:anchor distT="0" distB="0" distL="0" distR="0" allowOverlap="1" layoutInCell="1" locked="0" behindDoc="1" simplePos="0" relativeHeight="480677888">
                <wp:simplePos x="0" y="0"/>
                <wp:positionH relativeFrom="page">
                  <wp:posOffset>-1537026</wp:posOffset>
                </wp:positionH>
                <wp:positionV relativeFrom="page">
                  <wp:posOffset>4900424</wp:posOffset>
                </wp:positionV>
                <wp:extent cx="10669905" cy="914400"/>
                <wp:effectExtent l="0" t="0" r="0" b="0"/>
                <wp:wrapNone/>
                <wp:docPr id="315" name="Textbox 315"/>
                <wp:cNvGraphicFramePr>
                  <a:graphicFrameLocks/>
                </wp:cNvGraphicFramePr>
                <a:graphic>
                  <a:graphicData uri="http://schemas.microsoft.com/office/word/2010/wordprocessingShape">
                    <wps:wsp>
                      <wps:cNvPr id="315" name="Textbox 315"/>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38592;rotation:306" type="#_x0000_t136" fillcolor="#ff5400" stroked="f">
                <o:extrusion v:ext="view" autorotationcenter="t"/>
                <v:textpath style="font-family:&quot;Arial MT&quot;;font-size:72pt;v-text-kern:t;mso-text-shadow:auto" string="UNIVERSITY OF IBADAN"/>
                <w10:wrap type="none"/>
              </v:shape>
            </w:pict>
          </mc:Fallback>
        </mc:AlternateContent>
      </w:r>
      <w:r>
        <w:rPr/>
        <w:t>RQ17: Perception on the Security Situation in the</w:t>
        <w:tab/>
        <w:t>Niger</w:t>
      </w:r>
      <w:r>
        <w:rPr>
          <w:spacing w:val="-15"/>
        </w:rPr>
        <w:t> </w:t>
      </w:r>
      <w:r>
        <w:rPr/>
        <w:t>Delta</w:t>
      </w:r>
      <w:r>
        <w:rPr>
          <w:spacing w:val="-15"/>
        </w:rPr>
        <w:t> </w:t>
      </w:r>
      <w:r>
        <w:rPr/>
        <w:t>Under JTF Operations.</w:t>
      </w:r>
    </w:p>
    <w:p>
      <w:pPr>
        <w:pStyle w:val="BodyText"/>
        <w:spacing w:line="360" w:lineRule="auto"/>
        <w:ind w:right="1336"/>
      </w:pPr>
      <w:r>
        <w:rPr/>
        <w:t>The</w:t>
      </w:r>
      <w:r>
        <w:rPr>
          <w:spacing w:val="-5"/>
        </w:rPr>
        <w:t> </w:t>
      </w:r>
      <w:r>
        <w:rPr/>
        <w:t>perception</w:t>
      </w:r>
      <w:r>
        <w:rPr>
          <w:spacing w:val="-3"/>
        </w:rPr>
        <w:t> </w:t>
      </w:r>
      <w:r>
        <w:rPr/>
        <w:t>on</w:t>
      </w:r>
      <w:r>
        <w:rPr>
          <w:spacing w:val="-3"/>
        </w:rPr>
        <w:t> </w:t>
      </w:r>
      <w:r>
        <w:rPr/>
        <w:t>the</w:t>
      </w:r>
      <w:r>
        <w:rPr>
          <w:spacing w:val="-3"/>
        </w:rPr>
        <w:t> </w:t>
      </w:r>
      <w:r>
        <w:rPr/>
        <w:t>security</w:t>
      </w:r>
      <w:r>
        <w:rPr>
          <w:spacing w:val="-8"/>
        </w:rPr>
        <w:t> </w:t>
      </w:r>
      <w:r>
        <w:rPr/>
        <w:t>situations</w:t>
      </w:r>
      <w:r>
        <w:rPr>
          <w:spacing w:val="-3"/>
        </w:rPr>
        <w:t> </w:t>
      </w:r>
      <w:r>
        <w:rPr/>
        <w:t>in</w:t>
      </w:r>
      <w:r>
        <w:rPr>
          <w:spacing w:val="-3"/>
        </w:rPr>
        <w:t> </w:t>
      </w:r>
      <w:r>
        <w:rPr/>
        <w:t>the</w:t>
      </w:r>
      <w:r>
        <w:rPr>
          <w:spacing w:val="-3"/>
        </w:rPr>
        <w:t> </w:t>
      </w:r>
      <w:r>
        <w:rPr/>
        <w:t>Niger</w:t>
      </w:r>
      <w:r>
        <w:rPr>
          <w:spacing w:val="-3"/>
        </w:rPr>
        <w:t> </w:t>
      </w:r>
      <w:r>
        <w:rPr/>
        <w:t>Delta</w:t>
      </w:r>
      <w:r>
        <w:rPr>
          <w:spacing w:val="-4"/>
        </w:rPr>
        <w:t> </w:t>
      </w:r>
      <w:r>
        <w:rPr/>
        <w:t>under</w:t>
      </w:r>
      <w:r>
        <w:rPr>
          <w:spacing w:val="-3"/>
        </w:rPr>
        <w:t> </w:t>
      </w:r>
      <w:r>
        <w:rPr/>
        <w:t>the JTF</w:t>
      </w:r>
      <w:r>
        <w:rPr>
          <w:spacing w:val="-3"/>
        </w:rPr>
        <w:t> </w:t>
      </w:r>
      <w:r>
        <w:rPr/>
        <w:t>operations is presented on Table 22.</w:t>
      </w:r>
    </w:p>
    <w:p>
      <w:pPr>
        <w:pStyle w:val="Heading2"/>
        <w:spacing w:before="1"/>
      </w:pPr>
      <w:r>
        <w:rPr/>
        <w:t>Table</w:t>
      </w:r>
      <w:r>
        <w:rPr>
          <w:spacing w:val="-4"/>
        </w:rPr>
        <w:t> </w:t>
      </w:r>
      <w:r>
        <w:rPr/>
        <w:t>22:</w:t>
      </w:r>
      <w:r>
        <w:rPr>
          <w:spacing w:val="-3"/>
        </w:rPr>
        <w:t> </w:t>
      </w:r>
      <w:r>
        <w:rPr/>
        <w:t>Perception</w:t>
      </w:r>
      <w:r>
        <w:rPr>
          <w:spacing w:val="-2"/>
        </w:rPr>
        <w:t> </w:t>
      </w:r>
      <w:r>
        <w:rPr/>
        <w:t>on</w:t>
      </w:r>
      <w:r>
        <w:rPr>
          <w:spacing w:val="-1"/>
        </w:rPr>
        <w:t> </w:t>
      </w:r>
      <w:r>
        <w:rPr/>
        <w:t>Security</w:t>
      </w:r>
      <w:r>
        <w:rPr>
          <w:spacing w:val="-1"/>
        </w:rPr>
        <w:t> </w:t>
      </w:r>
      <w:r>
        <w:rPr/>
        <w:t>Situations</w:t>
      </w:r>
      <w:r>
        <w:rPr>
          <w:spacing w:val="-2"/>
        </w:rPr>
        <w:t> </w:t>
      </w:r>
      <w:r>
        <w:rPr/>
        <w:t>in the</w:t>
      </w:r>
      <w:r>
        <w:rPr>
          <w:spacing w:val="-2"/>
        </w:rPr>
        <w:t> </w:t>
      </w:r>
      <w:r>
        <w:rPr/>
        <w:t>Niger</w:t>
      </w:r>
      <w:r>
        <w:rPr>
          <w:spacing w:val="-3"/>
        </w:rPr>
        <w:t> </w:t>
      </w:r>
      <w:r>
        <w:rPr/>
        <w:t>Delta</w:t>
      </w:r>
      <w:r>
        <w:rPr>
          <w:spacing w:val="-1"/>
        </w:rPr>
        <w:t> </w:t>
      </w:r>
      <w:r>
        <w:rPr/>
        <w:t>under</w:t>
      </w:r>
      <w:r>
        <w:rPr>
          <w:spacing w:val="-2"/>
        </w:rPr>
        <w:t> </w:t>
      </w:r>
      <w:r>
        <w:rPr>
          <w:spacing w:val="-5"/>
        </w:rPr>
        <w:t>JTF</w:t>
      </w:r>
    </w:p>
    <w:p>
      <w:pPr>
        <w:pStyle w:val="BodyText"/>
        <w:spacing w:before="1" w:after="1"/>
        <w:ind w:left="0"/>
        <w:rPr>
          <w:b/>
          <w:sz w:val="12"/>
        </w:rPr>
      </w:pP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2878"/>
        <w:gridCol w:w="835"/>
        <w:gridCol w:w="1001"/>
        <w:gridCol w:w="1188"/>
        <w:gridCol w:w="2595"/>
      </w:tblGrid>
      <w:tr>
        <w:trPr>
          <w:trHeight w:val="450" w:hRule="atLeast"/>
        </w:trPr>
        <w:tc>
          <w:tcPr>
            <w:tcW w:w="540" w:type="dxa"/>
          </w:tcPr>
          <w:p>
            <w:pPr>
              <w:pStyle w:val="TableParagraph"/>
              <w:rPr>
                <w:sz w:val="24"/>
              </w:rPr>
            </w:pPr>
          </w:p>
        </w:tc>
        <w:tc>
          <w:tcPr>
            <w:tcW w:w="2878" w:type="dxa"/>
          </w:tcPr>
          <w:p>
            <w:pPr>
              <w:pStyle w:val="TableParagraph"/>
              <w:rPr>
                <w:sz w:val="24"/>
              </w:rPr>
            </w:pPr>
          </w:p>
        </w:tc>
        <w:tc>
          <w:tcPr>
            <w:tcW w:w="835" w:type="dxa"/>
          </w:tcPr>
          <w:p>
            <w:pPr>
              <w:pStyle w:val="TableParagraph"/>
              <w:spacing w:before="13"/>
              <w:ind w:left="11" w:right="1"/>
              <w:jc w:val="center"/>
              <w:rPr>
                <w:sz w:val="24"/>
              </w:rPr>
            </w:pPr>
            <w:r>
              <w:rPr>
                <w:spacing w:val="-10"/>
                <w:sz w:val="24"/>
              </w:rPr>
              <w:t>N</w:t>
            </w:r>
          </w:p>
        </w:tc>
        <w:tc>
          <w:tcPr>
            <w:tcW w:w="1001" w:type="dxa"/>
          </w:tcPr>
          <w:p>
            <w:pPr>
              <w:pStyle w:val="TableParagraph"/>
              <w:spacing w:before="18"/>
              <w:ind w:left="206"/>
              <w:rPr>
                <w:b/>
                <w:sz w:val="24"/>
              </w:rPr>
            </w:pPr>
            <w:r>
              <w:rPr>
                <w:b/>
                <w:spacing w:val="-4"/>
                <w:sz w:val="24"/>
              </w:rPr>
              <w:t>Mean</w:t>
            </w:r>
          </w:p>
        </w:tc>
        <w:tc>
          <w:tcPr>
            <w:tcW w:w="1188" w:type="dxa"/>
          </w:tcPr>
          <w:p>
            <w:pPr>
              <w:pStyle w:val="TableParagraph"/>
              <w:spacing w:before="18"/>
              <w:ind w:left="9" w:right="1"/>
              <w:jc w:val="center"/>
              <w:rPr>
                <w:b/>
                <w:sz w:val="24"/>
              </w:rPr>
            </w:pPr>
            <w:r>
              <w:rPr>
                <w:b/>
                <w:spacing w:val="-5"/>
                <w:sz w:val="24"/>
              </w:rPr>
              <w:t>SD</w:t>
            </w:r>
          </w:p>
        </w:tc>
        <w:tc>
          <w:tcPr>
            <w:tcW w:w="2595" w:type="dxa"/>
          </w:tcPr>
          <w:p>
            <w:pPr>
              <w:pStyle w:val="TableParagraph"/>
              <w:spacing w:before="18"/>
              <w:ind w:left="269"/>
              <w:rPr>
                <w:b/>
                <w:sz w:val="24"/>
              </w:rPr>
            </w:pPr>
            <w:r>
              <w:rPr>
                <w:b/>
                <w:sz w:val="24"/>
              </w:rPr>
              <w:t>Level</w:t>
            </w:r>
            <w:r>
              <w:rPr>
                <w:b/>
                <w:spacing w:val="-3"/>
                <w:sz w:val="24"/>
              </w:rPr>
              <w:t> </w:t>
            </w:r>
            <w:r>
              <w:rPr>
                <w:b/>
                <w:sz w:val="24"/>
              </w:rPr>
              <w:t>of </w:t>
            </w:r>
            <w:r>
              <w:rPr>
                <w:b/>
                <w:spacing w:val="-2"/>
                <w:sz w:val="24"/>
              </w:rPr>
              <w:t>Agreement</w:t>
            </w:r>
          </w:p>
        </w:tc>
      </w:tr>
      <w:tr>
        <w:trPr>
          <w:trHeight w:val="362" w:hRule="atLeast"/>
        </w:trPr>
        <w:tc>
          <w:tcPr>
            <w:tcW w:w="540" w:type="dxa"/>
            <w:vMerge w:val="restart"/>
          </w:tcPr>
          <w:p>
            <w:pPr>
              <w:pStyle w:val="TableParagraph"/>
              <w:spacing w:before="8"/>
              <w:ind w:left="69"/>
              <w:rPr>
                <w:sz w:val="24"/>
              </w:rPr>
            </w:pPr>
            <w:r>
              <w:rPr>
                <w:spacing w:val="-5"/>
                <w:sz w:val="24"/>
              </w:rPr>
              <w:t>B64</w:t>
            </w:r>
          </w:p>
        </w:tc>
        <w:tc>
          <w:tcPr>
            <w:tcW w:w="2878" w:type="dxa"/>
            <w:tcBorders>
              <w:bottom w:val="nil"/>
            </w:tcBorders>
          </w:tcPr>
          <w:p>
            <w:pPr>
              <w:pStyle w:val="TableParagraph"/>
              <w:spacing w:before="8"/>
              <w:ind w:left="11"/>
              <w:rPr>
                <w:sz w:val="24"/>
              </w:rPr>
            </w:pPr>
            <w:r>
              <w:rPr>
                <w:sz w:val="24"/>
              </w:rPr>
              <w:t>Lives</w:t>
            </w:r>
            <w:r>
              <w:rPr>
                <w:spacing w:val="-1"/>
                <w:sz w:val="24"/>
              </w:rPr>
              <w:t> </w:t>
            </w:r>
            <w:r>
              <w:rPr>
                <w:sz w:val="24"/>
              </w:rPr>
              <w:t>&amp;</w:t>
            </w:r>
            <w:r>
              <w:rPr>
                <w:spacing w:val="-2"/>
                <w:sz w:val="24"/>
              </w:rPr>
              <w:t> </w:t>
            </w:r>
            <w:r>
              <w:rPr>
                <w:sz w:val="24"/>
              </w:rPr>
              <w:t>properties</w:t>
            </w:r>
            <w:r>
              <w:rPr>
                <w:spacing w:val="-1"/>
                <w:sz w:val="24"/>
              </w:rPr>
              <w:t> </w:t>
            </w:r>
            <w:r>
              <w:rPr>
                <w:spacing w:val="-5"/>
                <w:sz w:val="24"/>
              </w:rPr>
              <w:t>of</w:t>
            </w:r>
          </w:p>
        </w:tc>
        <w:tc>
          <w:tcPr>
            <w:tcW w:w="835" w:type="dxa"/>
            <w:vMerge w:val="restart"/>
          </w:tcPr>
          <w:p>
            <w:pPr>
              <w:pStyle w:val="TableParagraph"/>
              <w:spacing w:before="8"/>
              <w:ind w:left="237"/>
              <w:rPr>
                <w:sz w:val="24"/>
              </w:rPr>
            </w:pPr>
            <w:r>
              <w:rPr>
                <w:spacing w:val="-5"/>
                <w:sz w:val="24"/>
              </w:rPr>
              <w:t>236</w:t>
            </w:r>
          </w:p>
        </w:tc>
        <w:tc>
          <w:tcPr>
            <w:tcW w:w="1001" w:type="dxa"/>
            <w:vMerge w:val="restart"/>
          </w:tcPr>
          <w:p>
            <w:pPr>
              <w:pStyle w:val="TableParagraph"/>
              <w:spacing w:before="8"/>
              <w:ind w:left="291"/>
              <w:rPr>
                <w:sz w:val="24"/>
              </w:rPr>
            </w:pPr>
            <w:r>
              <w:rPr>
                <w:spacing w:val="-4"/>
                <w:sz w:val="24"/>
              </w:rPr>
              <w:t>2.69</w:t>
            </w:r>
          </w:p>
        </w:tc>
        <w:tc>
          <w:tcPr>
            <w:tcW w:w="1188" w:type="dxa"/>
            <w:vMerge w:val="restart"/>
          </w:tcPr>
          <w:p>
            <w:pPr>
              <w:pStyle w:val="TableParagraph"/>
              <w:spacing w:before="8"/>
              <w:ind w:left="384"/>
              <w:rPr>
                <w:sz w:val="24"/>
              </w:rPr>
            </w:pPr>
            <w:r>
              <w:rPr>
                <w:spacing w:val="-4"/>
                <w:sz w:val="24"/>
              </w:rPr>
              <w:t>.968</w:t>
            </w:r>
          </w:p>
        </w:tc>
        <w:tc>
          <w:tcPr>
            <w:tcW w:w="2595" w:type="dxa"/>
            <w:vMerge w:val="restart"/>
          </w:tcPr>
          <w:p>
            <w:pPr>
              <w:pStyle w:val="TableParagraph"/>
              <w:spacing w:before="8"/>
              <w:ind w:right="31"/>
              <w:jc w:val="center"/>
              <w:rPr>
                <w:sz w:val="24"/>
              </w:rPr>
            </w:pPr>
            <w:r>
              <w:rPr>
                <w:spacing w:val="-10"/>
                <w:sz w:val="24"/>
              </w:rPr>
              <w:t>A</w:t>
            </w:r>
          </w:p>
        </w:tc>
      </w:tr>
      <w:tr>
        <w:trPr>
          <w:trHeight w:val="413" w:hRule="atLeast"/>
        </w:trPr>
        <w:tc>
          <w:tcPr>
            <w:tcW w:w="540" w:type="dxa"/>
            <w:vMerge/>
            <w:tcBorders>
              <w:top w:val="nil"/>
            </w:tcBorders>
          </w:tcPr>
          <w:p>
            <w:pPr>
              <w:rPr>
                <w:sz w:val="2"/>
                <w:szCs w:val="2"/>
              </w:rPr>
            </w:pPr>
          </w:p>
        </w:tc>
        <w:tc>
          <w:tcPr>
            <w:tcW w:w="2878" w:type="dxa"/>
            <w:tcBorders>
              <w:top w:val="nil"/>
              <w:bottom w:val="nil"/>
            </w:tcBorders>
          </w:tcPr>
          <w:p>
            <w:pPr>
              <w:pStyle w:val="TableParagraph"/>
              <w:spacing w:before="68"/>
              <w:ind w:left="11"/>
              <w:rPr>
                <w:sz w:val="24"/>
              </w:rPr>
            </w:pPr>
            <w:r>
              <w:rPr>
                <w:sz w:val="24"/>
              </w:rPr>
              <w:t>the</w:t>
            </w:r>
            <w:r>
              <w:rPr>
                <w:spacing w:val="-3"/>
                <w:sz w:val="24"/>
              </w:rPr>
              <w:t> </w:t>
            </w:r>
            <w:r>
              <w:rPr>
                <w:sz w:val="24"/>
              </w:rPr>
              <w:t>populace </w:t>
            </w:r>
            <w:r>
              <w:rPr>
                <w:spacing w:val="-5"/>
                <w:sz w:val="24"/>
              </w:rPr>
              <w:t>are</w:t>
            </w:r>
          </w:p>
        </w:tc>
        <w:tc>
          <w:tcPr>
            <w:tcW w:w="835" w:type="dxa"/>
            <w:vMerge/>
            <w:tcBorders>
              <w:top w:val="nil"/>
            </w:tcBorders>
          </w:tcPr>
          <w:p>
            <w:pPr>
              <w:rPr>
                <w:sz w:val="2"/>
                <w:szCs w:val="2"/>
              </w:rPr>
            </w:pPr>
          </w:p>
        </w:tc>
        <w:tc>
          <w:tcPr>
            <w:tcW w:w="1001" w:type="dxa"/>
            <w:vMerge/>
            <w:tcBorders>
              <w:top w:val="nil"/>
            </w:tcBorders>
          </w:tcPr>
          <w:p>
            <w:pPr>
              <w:rPr>
                <w:sz w:val="2"/>
                <w:szCs w:val="2"/>
              </w:rPr>
            </w:pPr>
          </w:p>
        </w:tc>
        <w:tc>
          <w:tcPr>
            <w:tcW w:w="1188" w:type="dxa"/>
            <w:vMerge/>
            <w:tcBorders>
              <w:top w:val="nil"/>
            </w:tcBorders>
          </w:tcPr>
          <w:p>
            <w:pPr>
              <w:rPr>
                <w:sz w:val="2"/>
                <w:szCs w:val="2"/>
              </w:rPr>
            </w:pPr>
          </w:p>
        </w:tc>
        <w:tc>
          <w:tcPr>
            <w:tcW w:w="2595" w:type="dxa"/>
            <w:vMerge/>
            <w:tcBorders>
              <w:top w:val="nil"/>
            </w:tcBorders>
          </w:tcPr>
          <w:p>
            <w:pPr>
              <w:rPr>
                <w:sz w:val="2"/>
                <w:szCs w:val="2"/>
              </w:rPr>
            </w:pPr>
          </w:p>
        </w:tc>
      </w:tr>
      <w:tr>
        <w:trPr>
          <w:trHeight w:val="458" w:hRule="atLeast"/>
        </w:trPr>
        <w:tc>
          <w:tcPr>
            <w:tcW w:w="540" w:type="dxa"/>
            <w:vMerge/>
            <w:tcBorders>
              <w:top w:val="nil"/>
            </w:tcBorders>
          </w:tcPr>
          <w:p>
            <w:pPr>
              <w:rPr>
                <w:sz w:val="2"/>
                <w:szCs w:val="2"/>
              </w:rPr>
            </w:pPr>
          </w:p>
        </w:tc>
        <w:tc>
          <w:tcPr>
            <w:tcW w:w="2878" w:type="dxa"/>
            <w:tcBorders>
              <w:top w:val="nil"/>
            </w:tcBorders>
          </w:tcPr>
          <w:p>
            <w:pPr>
              <w:pStyle w:val="TableParagraph"/>
              <w:spacing w:before="60"/>
              <w:ind w:left="11"/>
              <w:rPr>
                <w:sz w:val="24"/>
              </w:rPr>
            </w:pPr>
            <w:r>
              <w:rPr>
                <w:spacing w:val="-2"/>
                <w:sz w:val="24"/>
              </w:rPr>
              <w:t>secured.</w:t>
            </w:r>
          </w:p>
        </w:tc>
        <w:tc>
          <w:tcPr>
            <w:tcW w:w="835" w:type="dxa"/>
            <w:vMerge/>
            <w:tcBorders>
              <w:top w:val="nil"/>
            </w:tcBorders>
          </w:tcPr>
          <w:p>
            <w:pPr>
              <w:rPr>
                <w:sz w:val="2"/>
                <w:szCs w:val="2"/>
              </w:rPr>
            </w:pPr>
          </w:p>
        </w:tc>
        <w:tc>
          <w:tcPr>
            <w:tcW w:w="1001" w:type="dxa"/>
            <w:vMerge/>
            <w:tcBorders>
              <w:top w:val="nil"/>
            </w:tcBorders>
          </w:tcPr>
          <w:p>
            <w:pPr>
              <w:rPr>
                <w:sz w:val="2"/>
                <w:szCs w:val="2"/>
              </w:rPr>
            </w:pPr>
          </w:p>
        </w:tc>
        <w:tc>
          <w:tcPr>
            <w:tcW w:w="1188" w:type="dxa"/>
            <w:vMerge/>
            <w:tcBorders>
              <w:top w:val="nil"/>
            </w:tcBorders>
          </w:tcPr>
          <w:p>
            <w:pPr>
              <w:rPr>
                <w:sz w:val="2"/>
                <w:szCs w:val="2"/>
              </w:rPr>
            </w:pPr>
          </w:p>
        </w:tc>
        <w:tc>
          <w:tcPr>
            <w:tcW w:w="2595" w:type="dxa"/>
            <w:vMerge/>
            <w:tcBorders>
              <w:top w:val="nil"/>
            </w:tcBorders>
          </w:tcPr>
          <w:p>
            <w:pPr>
              <w:rPr>
                <w:sz w:val="2"/>
                <w:szCs w:val="2"/>
              </w:rPr>
            </w:pPr>
          </w:p>
        </w:tc>
      </w:tr>
      <w:tr>
        <w:trPr>
          <w:trHeight w:val="339" w:hRule="atLeast"/>
        </w:trPr>
        <w:tc>
          <w:tcPr>
            <w:tcW w:w="540" w:type="dxa"/>
            <w:vMerge w:val="restart"/>
          </w:tcPr>
          <w:p>
            <w:pPr>
              <w:pStyle w:val="TableParagraph"/>
              <w:spacing w:line="270" w:lineRule="exact"/>
              <w:ind w:left="69"/>
              <w:rPr>
                <w:sz w:val="24"/>
              </w:rPr>
            </w:pPr>
            <w:r>
              <w:rPr>
                <w:spacing w:val="-5"/>
                <w:sz w:val="24"/>
              </w:rPr>
              <w:t>B65</w:t>
            </w:r>
          </w:p>
        </w:tc>
        <w:tc>
          <w:tcPr>
            <w:tcW w:w="2878" w:type="dxa"/>
            <w:tcBorders>
              <w:bottom w:val="nil"/>
            </w:tcBorders>
          </w:tcPr>
          <w:p>
            <w:pPr>
              <w:pStyle w:val="TableParagraph"/>
              <w:spacing w:line="270" w:lineRule="exact"/>
              <w:ind w:left="11"/>
              <w:rPr>
                <w:sz w:val="24"/>
              </w:rPr>
            </w:pPr>
            <w:r>
              <w:rPr>
                <w:sz w:val="24"/>
              </w:rPr>
              <w:t>There</w:t>
            </w:r>
            <w:r>
              <w:rPr>
                <w:spacing w:val="-5"/>
                <w:sz w:val="24"/>
              </w:rPr>
              <w:t> </w:t>
            </w:r>
            <w:r>
              <w:rPr>
                <w:sz w:val="24"/>
              </w:rPr>
              <w:t>is</w:t>
            </w:r>
            <w:r>
              <w:rPr>
                <w:spacing w:val="-1"/>
                <w:sz w:val="24"/>
              </w:rPr>
              <w:t> </w:t>
            </w:r>
            <w:r>
              <w:rPr>
                <w:sz w:val="24"/>
              </w:rPr>
              <w:t>a </w:t>
            </w:r>
            <w:r>
              <w:rPr>
                <w:spacing w:val="-4"/>
                <w:sz w:val="24"/>
              </w:rPr>
              <w:t>zero</w:t>
            </w:r>
          </w:p>
        </w:tc>
        <w:tc>
          <w:tcPr>
            <w:tcW w:w="835" w:type="dxa"/>
            <w:vMerge w:val="restart"/>
          </w:tcPr>
          <w:p>
            <w:pPr>
              <w:pStyle w:val="TableParagraph"/>
              <w:spacing w:line="270" w:lineRule="exact"/>
              <w:ind w:left="237"/>
              <w:rPr>
                <w:sz w:val="24"/>
              </w:rPr>
            </w:pPr>
            <w:r>
              <w:rPr>
                <w:spacing w:val="-5"/>
                <w:sz w:val="24"/>
              </w:rPr>
              <w:t>233</w:t>
            </w:r>
          </w:p>
        </w:tc>
        <w:tc>
          <w:tcPr>
            <w:tcW w:w="1001" w:type="dxa"/>
            <w:vMerge w:val="restart"/>
          </w:tcPr>
          <w:p>
            <w:pPr>
              <w:pStyle w:val="TableParagraph"/>
              <w:spacing w:line="270" w:lineRule="exact"/>
              <w:ind w:left="291"/>
              <w:rPr>
                <w:sz w:val="24"/>
              </w:rPr>
            </w:pPr>
            <w:r>
              <w:rPr>
                <w:spacing w:val="-4"/>
                <w:sz w:val="24"/>
              </w:rPr>
              <w:t>2.33</w:t>
            </w:r>
          </w:p>
        </w:tc>
        <w:tc>
          <w:tcPr>
            <w:tcW w:w="1188" w:type="dxa"/>
            <w:vMerge w:val="restart"/>
          </w:tcPr>
          <w:p>
            <w:pPr>
              <w:pStyle w:val="TableParagraph"/>
              <w:spacing w:line="270" w:lineRule="exact"/>
              <w:ind w:left="384"/>
              <w:rPr>
                <w:sz w:val="24"/>
              </w:rPr>
            </w:pPr>
            <w:r>
              <w:rPr>
                <w:spacing w:val="-4"/>
                <w:sz w:val="24"/>
              </w:rPr>
              <w:t>.880</w:t>
            </w:r>
          </w:p>
        </w:tc>
        <w:tc>
          <w:tcPr>
            <w:tcW w:w="2595" w:type="dxa"/>
            <w:vMerge w:val="restart"/>
          </w:tcPr>
          <w:p>
            <w:pPr>
              <w:pStyle w:val="TableParagraph"/>
              <w:spacing w:line="270" w:lineRule="exact"/>
              <w:ind w:right="31"/>
              <w:jc w:val="center"/>
              <w:rPr>
                <w:sz w:val="24"/>
              </w:rPr>
            </w:pPr>
            <w:r>
              <w:rPr>
                <w:spacing w:val="-10"/>
                <w:sz w:val="24"/>
              </w:rPr>
              <w:t>D</w:t>
            </w:r>
          </w:p>
        </w:tc>
      </w:tr>
      <w:tr>
        <w:trPr>
          <w:trHeight w:val="484" w:hRule="atLeast"/>
        </w:trPr>
        <w:tc>
          <w:tcPr>
            <w:tcW w:w="540" w:type="dxa"/>
            <w:vMerge/>
            <w:tcBorders>
              <w:top w:val="nil"/>
            </w:tcBorders>
          </w:tcPr>
          <w:p>
            <w:pPr>
              <w:rPr>
                <w:sz w:val="2"/>
                <w:szCs w:val="2"/>
              </w:rPr>
            </w:pPr>
          </w:p>
        </w:tc>
        <w:tc>
          <w:tcPr>
            <w:tcW w:w="2878" w:type="dxa"/>
            <w:tcBorders>
              <w:top w:val="nil"/>
            </w:tcBorders>
          </w:tcPr>
          <w:p>
            <w:pPr>
              <w:pStyle w:val="TableParagraph"/>
              <w:spacing w:before="59"/>
              <w:ind w:left="11"/>
              <w:rPr>
                <w:sz w:val="24"/>
              </w:rPr>
            </w:pPr>
            <w:r>
              <w:rPr>
                <w:sz w:val="24"/>
              </w:rPr>
              <w:t>tolerance</w:t>
            </w:r>
            <w:r>
              <w:rPr>
                <w:spacing w:val="-2"/>
                <w:sz w:val="24"/>
              </w:rPr>
              <w:t> </w:t>
            </w:r>
            <w:r>
              <w:rPr>
                <w:sz w:val="24"/>
              </w:rPr>
              <w:t>for</w:t>
            </w:r>
            <w:r>
              <w:rPr>
                <w:spacing w:val="-3"/>
                <w:sz w:val="24"/>
              </w:rPr>
              <w:t> </w:t>
            </w:r>
            <w:r>
              <w:rPr>
                <w:spacing w:val="-2"/>
                <w:sz w:val="24"/>
              </w:rPr>
              <w:t>threat.</w:t>
            </w:r>
          </w:p>
        </w:tc>
        <w:tc>
          <w:tcPr>
            <w:tcW w:w="835" w:type="dxa"/>
            <w:vMerge/>
            <w:tcBorders>
              <w:top w:val="nil"/>
            </w:tcBorders>
          </w:tcPr>
          <w:p>
            <w:pPr>
              <w:rPr>
                <w:sz w:val="2"/>
                <w:szCs w:val="2"/>
              </w:rPr>
            </w:pPr>
          </w:p>
        </w:tc>
        <w:tc>
          <w:tcPr>
            <w:tcW w:w="1001" w:type="dxa"/>
            <w:vMerge/>
            <w:tcBorders>
              <w:top w:val="nil"/>
            </w:tcBorders>
          </w:tcPr>
          <w:p>
            <w:pPr>
              <w:rPr>
                <w:sz w:val="2"/>
                <w:szCs w:val="2"/>
              </w:rPr>
            </w:pPr>
          </w:p>
        </w:tc>
        <w:tc>
          <w:tcPr>
            <w:tcW w:w="1188" w:type="dxa"/>
            <w:vMerge/>
            <w:tcBorders>
              <w:top w:val="nil"/>
            </w:tcBorders>
          </w:tcPr>
          <w:p>
            <w:pPr>
              <w:rPr>
                <w:sz w:val="2"/>
                <w:szCs w:val="2"/>
              </w:rPr>
            </w:pPr>
          </w:p>
        </w:tc>
        <w:tc>
          <w:tcPr>
            <w:tcW w:w="2595" w:type="dxa"/>
            <w:vMerge/>
            <w:tcBorders>
              <w:top w:val="nil"/>
            </w:tcBorders>
          </w:tcPr>
          <w:p>
            <w:pPr>
              <w:rPr>
                <w:sz w:val="2"/>
                <w:szCs w:val="2"/>
              </w:rPr>
            </w:pPr>
          </w:p>
        </w:tc>
      </w:tr>
      <w:tr>
        <w:trPr>
          <w:trHeight w:val="360" w:hRule="atLeast"/>
        </w:trPr>
        <w:tc>
          <w:tcPr>
            <w:tcW w:w="540" w:type="dxa"/>
            <w:vMerge w:val="restart"/>
          </w:tcPr>
          <w:p>
            <w:pPr>
              <w:pStyle w:val="TableParagraph"/>
              <w:spacing w:before="8"/>
              <w:ind w:left="69"/>
              <w:rPr>
                <w:sz w:val="24"/>
              </w:rPr>
            </w:pPr>
            <w:r>
              <w:rPr>
                <w:spacing w:val="-5"/>
                <w:sz w:val="24"/>
              </w:rPr>
              <w:t>B66</w:t>
            </w:r>
          </w:p>
        </w:tc>
        <w:tc>
          <w:tcPr>
            <w:tcW w:w="2878" w:type="dxa"/>
            <w:tcBorders>
              <w:bottom w:val="nil"/>
            </w:tcBorders>
          </w:tcPr>
          <w:p>
            <w:pPr>
              <w:pStyle w:val="TableParagraph"/>
              <w:spacing w:before="8"/>
              <w:ind w:left="11"/>
              <w:rPr>
                <w:sz w:val="24"/>
              </w:rPr>
            </w:pPr>
            <w:r>
              <w:rPr>
                <w:sz w:val="24"/>
              </w:rPr>
              <w:t>Sustainable</w:t>
            </w:r>
            <w:r>
              <w:rPr>
                <w:spacing w:val="-2"/>
                <w:sz w:val="24"/>
              </w:rPr>
              <w:t> </w:t>
            </w:r>
            <w:r>
              <w:rPr>
                <w:sz w:val="24"/>
              </w:rPr>
              <w:t>peace</w:t>
            </w:r>
            <w:r>
              <w:rPr>
                <w:spacing w:val="-2"/>
                <w:sz w:val="24"/>
              </w:rPr>
              <w:t> </w:t>
            </w:r>
            <w:r>
              <w:rPr>
                <w:spacing w:val="-5"/>
                <w:sz w:val="24"/>
              </w:rPr>
              <w:t>has</w:t>
            </w:r>
          </w:p>
        </w:tc>
        <w:tc>
          <w:tcPr>
            <w:tcW w:w="835" w:type="dxa"/>
            <w:vMerge w:val="restart"/>
          </w:tcPr>
          <w:p>
            <w:pPr>
              <w:pStyle w:val="TableParagraph"/>
              <w:spacing w:before="8"/>
              <w:ind w:left="237"/>
              <w:rPr>
                <w:sz w:val="24"/>
              </w:rPr>
            </w:pPr>
            <w:r>
              <w:rPr>
                <w:spacing w:val="-5"/>
                <w:sz w:val="24"/>
              </w:rPr>
              <w:t>234</w:t>
            </w:r>
          </w:p>
        </w:tc>
        <w:tc>
          <w:tcPr>
            <w:tcW w:w="1001" w:type="dxa"/>
            <w:vMerge w:val="restart"/>
          </w:tcPr>
          <w:p>
            <w:pPr>
              <w:pStyle w:val="TableParagraph"/>
              <w:spacing w:before="8"/>
              <w:ind w:left="291"/>
              <w:rPr>
                <w:sz w:val="24"/>
              </w:rPr>
            </w:pPr>
            <w:r>
              <w:rPr>
                <w:spacing w:val="-4"/>
                <w:sz w:val="24"/>
              </w:rPr>
              <w:t>2.35</w:t>
            </w:r>
          </w:p>
        </w:tc>
        <w:tc>
          <w:tcPr>
            <w:tcW w:w="1188" w:type="dxa"/>
            <w:vMerge w:val="restart"/>
          </w:tcPr>
          <w:p>
            <w:pPr>
              <w:pStyle w:val="TableParagraph"/>
              <w:spacing w:before="8"/>
              <w:ind w:left="384"/>
              <w:rPr>
                <w:sz w:val="24"/>
              </w:rPr>
            </w:pPr>
            <w:r>
              <w:rPr>
                <w:spacing w:val="-4"/>
                <w:sz w:val="24"/>
              </w:rPr>
              <w:t>.881</w:t>
            </w:r>
          </w:p>
        </w:tc>
        <w:tc>
          <w:tcPr>
            <w:tcW w:w="2595" w:type="dxa"/>
            <w:vMerge w:val="restart"/>
          </w:tcPr>
          <w:p>
            <w:pPr>
              <w:pStyle w:val="TableParagraph"/>
              <w:spacing w:before="8"/>
              <w:ind w:right="31"/>
              <w:jc w:val="center"/>
              <w:rPr>
                <w:sz w:val="24"/>
              </w:rPr>
            </w:pPr>
            <w:r>
              <w:rPr>
                <w:spacing w:val="-10"/>
                <w:sz w:val="24"/>
              </w:rPr>
              <w:t>D</w:t>
            </w:r>
          </w:p>
        </w:tc>
      </w:tr>
      <w:tr>
        <w:trPr>
          <w:trHeight w:val="462" w:hRule="atLeast"/>
        </w:trPr>
        <w:tc>
          <w:tcPr>
            <w:tcW w:w="540" w:type="dxa"/>
            <w:vMerge/>
            <w:tcBorders>
              <w:top w:val="nil"/>
            </w:tcBorders>
          </w:tcPr>
          <w:p>
            <w:pPr>
              <w:rPr>
                <w:sz w:val="2"/>
                <w:szCs w:val="2"/>
              </w:rPr>
            </w:pPr>
          </w:p>
        </w:tc>
        <w:tc>
          <w:tcPr>
            <w:tcW w:w="2878" w:type="dxa"/>
            <w:tcBorders>
              <w:top w:val="nil"/>
            </w:tcBorders>
          </w:tcPr>
          <w:p>
            <w:pPr>
              <w:pStyle w:val="TableParagraph"/>
              <w:spacing w:before="65"/>
              <w:ind w:left="11"/>
              <w:rPr>
                <w:sz w:val="24"/>
              </w:rPr>
            </w:pPr>
            <w:r>
              <w:rPr>
                <w:sz w:val="24"/>
              </w:rPr>
              <w:t>been</w:t>
            </w:r>
            <w:r>
              <w:rPr>
                <w:spacing w:val="-2"/>
                <w:sz w:val="24"/>
              </w:rPr>
              <w:t> achieved.</w:t>
            </w:r>
          </w:p>
        </w:tc>
        <w:tc>
          <w:tcPr>
            <w:tcW w:w="835" w:type="dxa"/>
            <w:vMerge/>
            <w:tcBorders>
              <w:top w:val="nil"/>
            </w:tcBorders>
          </w:tcPr>
          <w:p>
            <w:pPr>
              <w:rPr>
                <w:sz w:val="2"/>
                <w:szCs w:val="2"/>
              </w:rPr>
            </w:pPr>
          </w:p>
        </w:tc>
        <w:tc>
          <w:tcPr>
            <w:tcW w:w="1001" w:type="dxa"/>
            <w:vMerge/>
            <w:tcBorders>
              <w:top w:val="nil"/>
            </w:tcBorders>
          </w:tcPr>
          <w:p>
            <w:pPr>
              <w:rPr>
                <w:sz w:val="2"/>
                <w:szCs w:val="2"/>
              </w:rPr>
            </w:pPr>
          </w:p>
        </w:tc>
        <w:tc>
          <w:tcPr>
            <w:tcW w:w="1188" w:type="dxa"/>
            <w:vMerge/>
            <w:tcBorders>
              <w:top w:val="nil"/>
            </w:tcBorders>
          </w:tcPr>
          <w:p>
            <w:pPr>
              <w:rPr>
                <w:sz w:val="2"/>
                <w:szCs w:val="2"/>
              </w:rPr>
            </w:pPr>
          </w:p>
        </w:tc>
        <w:tc>
          <w:tcPr>
            <w:tcW w:w="2595" w:type="dxa"/>
            <w:vMerge/>
            <w:tcBorders>
              <w:top w:val="nil"/>
            </w:tcBorders>
          </w:tcPr>
          <w:p>
            <w:pPr>
              <w:rPr>
                <w:sz w:val="2"/>
                <w:szCs w:val="2"/>
              </w:rPr>
            </w:pPr>
          </w:p>
        </w:tc>
      </w:tr>
      <w:tr>
        <w:trPr>
          <w:trHeight w:val="360" w:hRule="atLeast"/>
        </w:trPr>
        <w:tc>
          <w:tcPr>
            <w:tcW w:w="540" w:type="dxa"/>
            <w:vMerge w:val="restart"/>
          </w:tcPr>
          <w:p>
            <w:pPr>
              <w:pStyle w:val="TableParagraph"/>
              <w:spacing w:before="8"/>
              <w:ind w:left="69"/>
              <w:rPr>
                <w:sz w:val="24"/>
              </w:rPr>
            </w:pPr>
            <w:r>
              <w:rPr>
                <w:spacing w:val="-5"/>
                <w:sz w:val="24"/>
              </w:rPr>
              <w:t>B67</w:t>
            </w:r>
          </w:p>
        </w:tc>
        <w:tc>
          <w:tcPr>
            <w:tcW w:w="2878" w:type="dxa"/>
            <w:tcBorders>
              <w:bottom w:val="nil"/>
            </w:tcBorders>
          </w:tcPr>
          <w:p>
            <w:pPr>
              <w:pStyle w:val="TableParagraph"/>
              <w:spacing w:before="8"/>
              <w:ind w:left="11"/>
              <w:rPr>
                <w:sz w:val="24"/>
              </w:rPr>
            </w:pPr>
            <w:r>
              <w:rPr>
                <w:sz w:val="24"/>
              </w:rPr>
              <w:t>No security</w:t>
            </w:r>
            <w:r>
              <w:rPr>
                <w:spacing w:val="-5"/>
                <w:sz w:val="24"/>
              </w:rPr>
              <w:t> </w:t>
            </w:r>
            <w:r>
              <w:rPr>
                <w:sz w:val="24"/>
              </w:rPr>
              <w:t>for</w:t>
            </w:r>
            <w:r>
              <w:rPr>
                <w:spacing w:val="-1"/>
                <w:sz w:val="24"/>
              </w:rPr>
              <w:t> </w:t>
            </w:r>
            <w:r>
              <w:rPr>
                <w:spacing w:val="-4"/>
                <w:sz w:val="24"/>
              </w:rPr>
              <w:t>lives</w:t>
            </w:r>
          </w:p>
        </w:tc>
        <w:tc>
          <w:tcPr>
            <w:tcW w:w="835" w:type="dxa"/>
            <w:vMerge w:val="restart"/>
          </w:tcPr>
          <w:p>
            <w:pPr>
              <w:pStyle w:val="TableParagraph"/>
              <w:spacing w:before="8"/>
              <w:ind w:left="237"/>
              <w:rPr>
                <w:sz w:val="24"/>
              </w:rPr>
            </w:pPr>
            <w:r>
              <w:rPr>
                <w:spacing w:val="-5"/>
                <w:sz w:val="24"/>
              </w:rPr>
              <w:t>235</w:t>
            </w:r>
          </w:p>
        </w:tc>
        <w:tc>
          <w:tcPr>
            <w:tcW w:w="1001" w:type="dxa"/>
            <w:vMerge w:val="restart"/>
          </w:tcPr>
          <w:p>
            <w:pPr>
              <w:pStyle w:val="TableParagraph"/>
              <w:spacing w:before="8"/>
              <w:ind w:left="291"/>
              <w:rPr>
                <w:sz w:val="24"/>
              </w:rPr>
            </w:pPr>
            <w:r>
              <w:rPr>
                <w:spacing w:val="-4"/>
                <w:sz w:val="24"/>
              </w:rPr>
              <w:t>2.12</w:t>
            </w:r>
          </w:p>
        </w:tc>
        <w:tc>
          <w:tcPr>
            <w:tcW w:w="1188" w:type="dxa"/>
            <w:vMerge w:val="restart"/>
          </w:tcPr>
          <w:p>
            <w:pPr>
              <w:pStyle w:val="TableParagraph"/>
              <w:spacing w:before="8"/>
              <w:ind w:left="324"/>
              <w:rPr>
                <w:sz w:val="24"/>
              </w:rPr>
            </w:pPr>
            <w:r>
              <w:rPr>
                <w:spacing w:val="-2"/>
                <w:sz w:val="24"/>
              </w:rPr>
              <w:t>1.024</w:t>
            </w:r>
          </w:p>
        </w:tc>
        <w:tc>
          <w:tcPr>
            <w:tcW w:w="2595" w:type="dxa"/>
            <w:vMerge w:val="restart"/>
          </w:tcPr>
          <w:p>
            <w:pPr>
              <w:pStyle w:val="TableParagraph"/>
              <w:spacing w:before="8"/>
              <w:ind w:right="31"/>
              <w:jc w:val="center"/>
              <w:rPr>
                <w:sz w:val="24"/>
              </w:rPr>
            </w:pPr>
            <w:r>
              <w:rPr>
                <w:spacing w:val="-10"/>
                <w:sz w:val="24"/>
              </w:rPr>
              <w:t>D</w:t>
            </w:r>
          </w:p>
        </w:tc>
      </w:tr>
      <w:tr>
        <w:trPr>
          <w:trHeight w:val="459" w:hRule="atLeast"/>
        </w:trPr>
        <w:tc>
          <w:tcPr>
            <w:tcW w:w="540" w:type="dxa"/>
            <w:vMerge/>
            <w:tcBorders>
              <w:top w:val="nil"/>
            </w:tcBorders>
          </w:tcPr>
          <w:p>
            <w:pPr>
              <w:rPr>
                <w:sz w:val="2"/>
                <w:szCs w:val="2"/>
              </w:rPr>
            </w:pPr>
          </w:p>
        </w:tc>
        <w:tc>
          <w:tcPr>
            <w:tcW w:w="2878" w:type="dxa"/>
            <w:tcBorders>
              <w:top w:val="nil"/>
            </w:tcBorders>
          </w:tcPr>
          <w:p>
            <w:pPr>
              <w:pStyle w:val="TableParagraph"/>
              <w:spacing w:before="65"/>
              <w:ind w:left="11"/>
              <w:rPr>
                <w:sz w:val="24"/>
              </w:rPr>
            </w:pPr>
            <w:r>
              <w:rPr>
                <w:sz w:val="24"/>
              </w:rPr>
              <w:t>and</w:t>
            </w:r>
            <w:r>
              <w:rPr>
                <w:spacing w:val="-4"/>
                <w:sz w:val="24"/>
              </w:rPr>
              <w:t> </w:t>
            </w:r>
            <w:r>
              <w:rPr>
                <w:sz w:val="24"/>
              </w:rPr>
              <w:t>properties at</w:t>
            </w:r>
            <w:r>
              <w:rPr>
                <w:spacing w:val="-1"/>
                <w:sz w:val="24"/>
              </w:rPr>
              <w:t> </w:t>
            </w:r>
            <w:r>
              <w:rPr>
                <w:spacing w:val="-4"/>
                <w:sz w:val="24"/>
              </w:rPr>
              <w:t>all.</w:t>
            </w:r>
          </w:p>
        </w:tc>
        <w:tc>
          <w:tcPr>
            <w:tcW w:w="835" w:type="dxa"/>
            <w:vMerge/>
            <w:tcBorders>
              <w:top w:val="nil"/>
            </w:tcBorders>
          </w:tcPr>
          <w:p>
            <w:pPr>
              <w:rPr>
                <w:sz w:val="2"/>
                <w:szCs w:val="2"/>
              </w:rPr>
            </w:pPr>
          </w:p>
        </w:tc>
        <w:tc>
          <w:tcPr>
            <w:tcW w:w="1001" w:type="dxa"/>
            <w:vMerge/>
            <w:tcBorders>
              <w:top w:val="nil"/>
            </w:tcBorders>
          </w:tcPr>
          <w:p>
            <w:pPr>
              <w:rPr>
                <w:sz w:val="2"/>
                <w:szCs w:val="2"/>
              </w:rPr>
            </w:pPr>
          </w:p>
        </w:tc>
        <w:tc>
          <w:tcPr>
            <w:tcW w:w="1188" w:type="dxa"/>
            <w:vMerge/>
            <w:tcBorders>
              <w:top w:val="nil"/>
            </w:tcBorders>
          </w:tcPr>
          <w:p>
            <w:pPr>
              <w:rPr>
                <w:sz w:val="2"/>
                <w:szCs w:val="2"/>
              </w:rPr>
            </w:pPr>
          </w:p>
        </w:tc>
        <w:tc>
          <w:tcPr>
            <w:tcW w:w="2595" w:type="dxa"/>
            <w:vMerge/>
            <w:tcBorders>
              <w:top w:val="nil"/>
            </w:tcBorders>
          </w:tcPr>
          <w:p>
            <w:pPr>
              <w:rPr>
                <w:sz w:val="2"/>
                <w:szCs w:val="2"/>
              </w:rPr>
            </w:pPr>
          </w:p>
        </w:tc>
      </w:tr>
    </w:tbl>
    <w:p>
      <w:pPr>
        <w:pStyle w:val="BodyText"/>
        <w:spacing w:before="139"/>
        <w:ind w:left="0"/>
        <w:rPr>
          <w:b/>
        </w:rPr>
      </w:pPr>
    </w:p>
    <w:p>
      <w:pPr>
        <w:pStyle w:val="BodyText"/>
        <w:spacing w:line="360" w:lineRule="auto"/>
        <w:ind w:right="1259" w:firstLine="720"/>
        <w:jc w:val="both"/>
      </w:pPr>
      <w:r>
        <w:rPr/>
        <w:t>From the data presented on Table 22, there are divergent views on the perception of</w:t>
      </w:r>
      <w:r>
        <w:rPr>
          <w:spacing w:val="-1"/>
        </w:rPr>
        <w:t> </w:t>
      </w:r>
      <w:r>
        <w:rPr/>
        <w:t>the</w:t>
      </w:r>
      <w:r>
        <w:rPr>
          <w:spacing w:val="-1"/>
        </w:rPr>
        <w:t> </w:t>
      </w:r>
      <w:r>
        <w:rPr/>
        <w:t>security</w:t>
      </w:r>
      <w:r>
        <w:rPr>
          <w:spacing w:val="-3"/>
        </w:rPr>
        <w:t> </w:t>
      </w:r>
      <w:r>
        <w:rPr/>
        <w:t>situations in the</w:t>
      </w:r>
      <w:r>
        <w:rPr>
          <w:spacing w:val="-1"/>
        </w:rPr>
        <w:t> </w:t>
      </w:r>
      <w:r>
        <w:rPr/>
        <w:t>Niger</w:t>
      </w:r>
      <w:r>
        <w:rPr>
          <w:spacing w:val="-1"/>
        </w:rPr>
        <w:t> </w:t>
      </w:r>
      <w:r>
        <w:rPr/>
        <w:t>Delta</w:t>
      </w:r>
      <w:r>
        <w:rPr>
          <w:spacing w:val="-1"/>
        </w:rPr>
        <w:t> </w:t>
      </w:r>
      <w:r>
        <w:rPr/>
        <w:t>under</w:t>
      </w:r>
      <w:r>
        <w:rPr>
          <w:spacing w:val="-1"/>
        </w:rPr>
        <w:t> </w:t>
      </w:r>
      <w:r>
        <w:rPr/>
        <w:t>the</w:t>
      </w:r>
      <w:r>
        <w:rPr>
          <w:spacing w:val="-1"/>
        </w:rPr>
        <w:t> </w:t>
      </w:r>
      <w:r>
        <w:rPr/>
        <w:t>JTF</w:t>
      </w:r>
      <w:r>
        <w:rPr>
          <w:spacing w:val="-2"/>
        </w:rPr>
        <w:t> </w:t>
      </w:r>
      <w:r>
        <w:rPr/>
        <w:t>operations. Most respondents agree that lives and property of the populace are secure under the JTF.</w:t>
      </w:r>
      <w:r>
        <w:rPr>
          <w:spacing w:val="80"/>
        </w:rPr>
        <w:t> </w:t>
      </w:r>
      <w:r>
        <w:rPr/>
        <w:t>On a State by State basis, results of ANOVA</w:t>
      </w:r>
      <w:r>
        <w:rPr>
          <w:spacing w:val="80"/>
        </w:rPr>
        <w:t> </w:t>
      </w:r>
      <w:r>
        <w:rPr/>
        <w:t>indicate a significant difference amongst the States (f = 18.623, P = .001). However, the agreement with this view is maintained within each State as depicted by</w:t>
      </w:r>
      <w:r>
        <w:rPr>
          <w:spacing w:val="-4"/>
        </w:rPr>
        <w:t> </w:t>
      </w:r>
      <w:r>
        <w:rPr/>
        <w:t>the mean values - Bayelsa 3.15(A), Delta 2.52(A) and Rivers 2.32(A). ANOVA results for respondents Age Groups show that there is no significant difference (f = 1.394, P = .237).</w:t>
      </w:r>
    </w:p>
    <w:p>
      <w:pPr>
        <w:pStyle w:val="BodyText"/>
        <w:spacing w:line="360" w:lineRule="auto" w:before="1"/>
        <w:ind w:right="1255" w:firstLine="720"/>
        <w:jc w:val="both"/>
      </w:pPr>
      <w:r>
        <w:rPr/>
        <w:t>Generally, the Niger Delta communities disagree with the notions that there is a zero tolerance for threats, sustainable peace has been achieved and that there is no security for lives and properties at all.</w:t>
      </w:r>
    </w:p>
    <w:p>
      <w:pPr>
        <w:pStyle w:val="BodyText"/>
        <w:spacing w:line="360" w:lineRule="auto"/>
        <w:ind w:right="1258" w:firstLine="720"/>
        <w:jc w:val="both"/>
      </w:pPr>
      <w:r>
        <w:rPr/>
        <w:t>The insecurity</w:t>
      </w:r>
      <w:r>
        <w:rPr>
          <w:spacing w:val="-3"/>
        </w:rPr>
        <w:t> </w:t>
      </w:r>
      <w:r>
        <w:rPr/>
        <w:t>in the Niger Delta started as agitation for resource control. This however, degenerated into an all time high occurrences of vandalization of oil installations, seizure and occupation of flow stations and oil installations, illegal oil bunkering,</w:t>
      </w:r>
      <w:r>
        <w:rPr>
          <w:spacing w:val="78"/>
        </w:rPr>
        <w:t> </w:t>
      </w:r>
      <w:r>
        <w:rPr/>
        <w:t>attacks</w:t>
      </w:r>
      <w:r>
        <w:rPr>
          <w:spacing w:val="79"/>
        </w:rPr>
        <w:t> </w:t>
      </w:r>
      <w:r>
        <w:rPr/>
        <w:t>on</w:t>
      </w:r>
      <w:r>
        <w:rPr>
          <w:spacing w:val="79"/>
        </w:rPr>
        <w:t> </w:t>
      </w:r>
      <w:r>
        <w:rPr/>
        <w:t>security</w:t>
      </w:r>
      <w:r>
        <w:rPr>
          <w:spacing w:val="74"/>
        </w:rPr>
        <w:t> </w:t>
      </w:r>
      <w:r>
        <w:rPr/>
        <w:t>agencies,</w:t>
      </w:r>
      <w:r>
        <w:rPr>
          <w:spacing w:val="79"/>
        </w:rPr>
        <w:t> </w:t>
      </w:r>
      <w:r>
        <w:rPr/>
        <w:t>hostage</w:t>
      </w:r>
      <w:r>
        <w:rPr>
          <w:spacing w:val="78"/>
        </w:rPr>
        <w:t> </w:t>
      </w:r>
      <w:r>
        <w:rPr/>
        <w:t>taking/hijacking,</w:t>
      </w:r>
      <w:r>
        <w:rPr>
          <w:spacing w:val="79"/>
        </w:rPr>
        <w:t> </w:t>
      </w:r>
      <w:r>
        <w:rPr/>
        <w:t>terrorism,</w:t>
      </w:r>
      <w:r>
        <w:rPr>
          <w:spacing w:val="79"/>
        </w:rPr>
        <w:t> </w:t>
      </w:r>
      <w:r>
        <w:rPr>
          <w:spacing w:val="-5"/>
        </w:rPr>
        <w:t>sea</w:t>
      </w:r>
    </w:p>
    <w:p>
      <w:pPr>
        <w:spacing w:after="0" w:line="360" w:lineRule="auto"/>
        <w:jc w:val="both"/>
        <w:sectPr>
          <w:pgSz w:w="11910" w:h="16840"/>
          <w:pgMar w:header="0" w:footer="1561" w:top="1760" w:bottom="1760" w:left="720" w:right="180"/>
        </w:sectPr>
      </w:pPr>
    </w:p>
    <w:p>
      <w:pPr>
        <w:pStyle w:val="BodyText"/>
        <w:spacing w:line="360" w:lineRule="auto" w:before="60"/>
        <w:ind w:right="1257"/>
        <w:jc w:val="both"/>
      </w:pPr>
      <w:r>
        <w:rPr/>
        <mc:AlternateContent>
          <mc:Choice Requires="wps">
            <w:drawing>
              <wp:anchor distT="0" distB="0" distL="0" distR="0" allowOverlap="1" layoutInCell="1" locked="0" behindDoc="1" simplePos="0" relativeHeight="480678400">
                <wp:simplePos x="0" y="0"/>
                <wp:positionH relativeFrom="page">
                  <wp:posOffset>-1537026</wp:posOffset>
                </wp:positionH>
                <wp:positionV relativeFrom="page">
                  <wp:posOffset>4900424</wp:posOffset>
                </wp:positionV>
                <wp:extent cx="10669905" cy="914400"/>
                <wp:effectExtent l="0" t="0" r="0" b="0"/>
                <wp:wrapNone/>
                <wp:docPr id="316" name="Textbox 316"/>
                <wp:cNvGraphicFramePr>
                  <a:graphicFrameLocks/>
                </wp:cNvGraphicFramePr>
                <a:graphic>
                  <a:graphicData uri="http://schemas.microsoft.com/office/word/2010/wordprocessingShape">
                    <wps:wsp>
                      <wps:cNvPr id="316" name="Textbox 316"/>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38080;rotation:306" type="#_x0000_t136" fillcolor="#ff5400" stroked="f">
                <o:extrusion v:ext="view" autorotationcenter="t"/>
                <v:textpath style="font-family:&quot;Arial MT&quot;;font-size:72pt;v-text-kern:t;mso-text-shadow:auto" string="UNIVERSITY OF IBADAN"/>
                <w10:wrap type="none"/>
              </v:shape>
            </w:pict>
          </mc:Fallback>
        </mc:AlternateContent>
      </w:r>
      <w:r>
        <w:rPr/>
        <w:t>piracy and proliferation of SALW. The resultant near collapse of socio-economic activities in the region necessitated the Government to deploy the JTF to restore normalcy. However, the result of the study reveals that the level of preparadness of troops for optimum performance as required by the mandate was low. This becomes apparent when considered against the backdrop of manpower, training, equipment, logistics and welfare.</w:t>
      </w:r>
      <w:r>
        <w:rPr>
          <w:spacing w:val="40"/>
        </w:rPr>
        <w:t> </w:t>
      </w:r>
      <w:r>
        <w:rPr/>
        <w:t>A combination of these factors has hampered operational efficiency of the JTF and by extension the security situation in the Niger Delta.</w:t>
      </w:r>
    </w:p>
    <w:p>
      <w:pPr>
        <w:pStyle w:val="BodyText"/>
        <w:spacing w:before="5"/>
        <w:ind w:left="0"/>
      </w:pPr>
    </w:p>
    <w:p>
      <w:pPr>
        <w:pStyle w:val="Heading2"/>
        <w:numPr>
          <w:ilvl w:val="3"/>
          <w:numId w:val="26"/>
        </w:numPr>
        <w:tabs>
          <w:tab w:pos="2598" w:val="left" w:leader="none"/>
        </w:tabs>
        <w:spacing w:line="360" w:lineRule="auto" w:before="0" w:after="0"/>
        <w:ind w:left="1440" w:right="1265" w:firstLine="0"/>
        <w:jc w:val="both"/>
      </w:pPr>
      <w:r>
        <w:rPr/>
        <w:t>RQ 18: Perception on Whether the Establishment of the JTF in the Niger Delta is justifiable</w:t>
      </w:r>
    </w:p>
    <w:p>
      <w:pPr>
        <w:pStyle w:val="BodyText"/>
        <w:spacing w:line="360" w:lineRule="auto"/>
        <w:ind w:right="1257" w:firstLine="720"/>
        <w:jc w:val="both"/>
      </w:pPr>
      <w:r>
        <w:rPr/>
        <w:t>We</w:t>
      </w:r>
      <w:r>
        <w:rPr>
          <w:spacing w:val="-2"/>
        </w:rPr>
        <w:t> </w:t>
      </w:r>
      <w:r>
        <w:rPr/>
        <w:t>sought</w:t>
      </w:r>
      <w:r>
        <w:rPr>
          <w:spacing w:val="-1"/>
        </w:rPr>
        <w:t> </w:t>
      </w:r>
      <w:r>
        <w:rPr/>
        <w:t>to</w:t>
      </w:r>
      <w:r>
        <w:rPr>
          <w:spacing w:val="-1"/>
        </w:rPr>
        <w:t> </w:t>
      </w:r>
      <w:r>
        <w:rPr/>
        <w:t>know</w:t>
      </w:r>
      <w:r>
        <w:rPr>
          <w:spacing w:val="-2"/>
        </w:rPr>
        <w:t> </w:t>
      </w:r>
      <w:r>
        <w:rPr/>
        <w:t>from</w:t>
      </w:r>
      <w:r>
        <w:rPr>
          <w:spacing w:val="-3"/>
        </w:rPr>
        <w:t> </w:t>
      </w:r>
      <w:r>
        <w:rPr/>
        <w:t>the</w:t>
      </w:r>
      <w:r>
        <w:rPr>
          <w:spacing w:val="-2"/>
        </w:rPr>
        <w:t> </w:t>
      </w:r>
      <w:r>
        <w:rPr/>
        <w:t>respondents</w:t>
      </w:r>
      <w:r>
        <w:rPr>
          <w:spacing w:val="-1"/>
        </w:rPr>
        <w:t> </w:t>
      </w:r>
      <w:r>
        <w:rPr/>
        <w:t>whether the</w:t>
      </w:r>
      <w:r>
        <w:rPr>
          <w:spacing w:val="-2"/>
        </w:rPr>
        <w:t> </w:t>
      </w:r>
      <w:r>
        <w:rPr/>
        <w:t>establishment</w:t>
      </w:r>
      <w:r>
        <w:rPr>
          <w:spacing w:val="-1"/>
        </w:rPr>
        <w:t> </w:t>
      </w:r>
      <w:r>
        <w:rPr/>
        <w:t>of</w:t>
      </w:r>
      <w:r>
        <w:rPr>
          <w:spacing w:val="-2"/>
        </w:rPr>
        <w:t> </w:t>
      </w:r>
      <w:r>
        <w:rPr/>
        <w:t>the</w:t>
      </w:r>
      <w:r>
        <w:rPr>
          <w:spacing w:val="-3"/>
        </w:rPr>
        <w:t> </w:t>
      </w:r>
      <w:r>
        <w:rPr/>
        <w:t>JTF in the Niger Delta is justifiable judging from its success or failure. The views of the respondents are presented on Table 23.</w:t>
      </w:r>
    </w:p>
    <w:p>
      <w:pPr>
        <w:pStyle w:val="Heading2"/>
        <w:spacing w:before="2"/>
        <w:ind w:left="2160"/>
        <w:jc w:val="both"/>
      </w:pPr>
      <w:r>
        <w:rPr/>
        <w:t>Table</w:t>
      </w:r>
      <w:r>
        <w:rPr>
          <w:spacing w:val="-3"/>
        </w:rPr>
        <w:t> </w:t>
      </w:r>
      <w:r>
        <w:rPr/>
        <w:t>23:</w:t>
      </w:r>
      <w:r>
        <w:rPr>
          <w:spacing w:val="-3"/>
        </w:rPr>
        <w:t> </w:t>
      </w:r>
      <w:r>
        <w:rPr/>
        <w:t>Justification</w:t>
      </w:r>
      <w:r>
        <w:rPr>
          <w:spacing w:val="-3"/>
        </w:rPr>
        <w:t> </w:t>
      </w:r>
      <w:r>
        <w:rPr/>
        <w:t>for</w:t>
      </w:r>
      <w:r>
        <w:rPr>
          <w:spacing w:val="-2"/>
        </w:rPr>
        <w:t> </w:t>
      </w:r>
      <w:r>
        <w:rPr/>
        <w:t>the</w:t>
      </w:r>
      <w:r>
        <w:rPr>
          <w:spacing w:val="-2"/>
        </w:rPr>
        <w:t> </w:t>
      </w:r>
      <w:r>
        <w:rPr/>
        <w:t>Establishment</w:t>
      </w:r>
      <w:r>
        <w:rPr>
          <w:spacing w:val="-1"/>
        </w:rPr>
        <w:t> </w:t>
      </w:r>
      <w:r>
        <w:rPr/>
        <w:t>of</w:t>
      </w:r>
      <w:r>
        <w:rPr>
          <w:spacing w:val="-1"/>
        </w:rPr>
        <w:t> </w:t>
      </w:r>
      <w:r>
        <w:rPr/>
        <w:t>JTF</w:t>
      </w:r>
      <w:r>
        <w:rPr>
          <w:spacing w:val="-2"/>
        </w:rPr>
        <w:t> </w:t>
      </w:r>
      <w:r>
        <w:rPr/>
        <w:t>in the</w:t>
      </w:r>
      <w:r>
        <w:rPr>
          <w:spacing w:val="-2"/>
        </w:rPr>
        <w:t> </w:t>
      </w:r>
      <w:r>
        <w:rPr/>
        <w:t>Niger</w:t>
      </w:r>
      <w:r>
        <w:rPr>
          <w:spacing w:val="1"/>
        </w:rPr>
        <w:t> </w:t>
      </w:r>
      <w:r>
        <w:rPr>
          <w:spacing w:val="-2"/>
        </w:rPr>
        <w:t>Delta</w:t>
      </w:r>
    </w:p>
    <w:p>
      <w:pPr>
        <w:pStyle w:val="BodyText"/>
        <w:spacing w:before="11"/>
        <w:ind w:left="0"/>
        <w:rPr>
          <w:b/>
          <w:sz w:val="11"/>
        </w:rPr>
      </w:pP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54"/>
        <w:gridCol w:w="2759"/>
        <w:gridCol w:w="834"/>
        <w:gridCol w:w="1006"/>
        <w:gridCol w:w="1191"/>
        <w:gridCol w:w="2159"/>
      </w:tblGrid>
      <w:tr>
        <w:trPr>
          <w:trHeight w:val="446" w:hRule="atLeast"/>
        </w:trPr>
        <w:tc>
          <w:tcPr>
            <w:tcW w:w="754" w:type="dxa"/>
          </w:tcPr>
          <w:p>
            <w:pPr>
              <w:pStyle w:val="TableParagraph"/>
              <w:rPr>
                <w:sz w:val="24"/>
              </w:rPr>
            </w:pPr>
          </w:p>
        </w:tc>
        <w:tc>
          <w:tcPr>
            <w:tcW w:w="2759" w:type="dxa"/>
          </w:tcPr>
          <w:p>
            <w:pPr>
              <w:pStyle w:val="TableParagraph"/>
              <w:rPr>
                <w:sz w:val="24"/>
              </w:rPr>
            </w:pPr>
          </w:p>
        </w:tc>
        <w:tc>
          <w:tcPr>
            <w:tcW w:w="834" w:type="dxa"/>
          </w:tcPr>
          <w:p>
            <w:pPr>
              <w:pStyle w:val="TableParagraph"/>
              <w:spacing w:before="15"/>
              <w:ind w:left="8"/>
              <w:jc w:val="center"/>
              <w:rPr>
                <w:b/>
                <w:sz w:val="24"/>
              </w:rPr>
            </w:pPr>
            <w:r>
              <w:rPr>
                <w:b/>
                <w:spacing w:val="-10"/>
                <w:sz w:val="24"/>
              </w:rPr>
              <w:t>N</w:t>
            </w:r>
          </w:p>
        </w:tc>
        <w:tc>
          <w:tcPr>
            <w:tcW w:w="1006" w:type="dxa"/>
          </w:tcPr>
          <w:p>
            <w:pPr>
              <w:pStyle w:val="TableParagraph"/>
              <w:spacing w:before="15"/>
              <w:ind w:left="6"/>
              <w:jc w:val="center"/>
              <w:rPr>
                <w:b/>
                <w:sz w:val="24"/>
              </w:rPr>
            </w:pPr>
            <w:r>
              <w:rPr>
                <w:b/>
                <w:spacing w:val="-4"/>
                <w:sz w:val="24"/>
              </w:rPr>
              <w:t>Mean</w:t>
            </w:r>
          </w:p>
        </w:tc>
        <w:tc>
          <w:tcPr>
            <w:tcW w:w="1191" w:type="dxa"/>
          </w:tcPr>
          <w:p>
            <w:pPr>
              <w:pStyle w:val="TableParagraph"/>
              <w:spacing w:before="15"/>
              <w:ind w:left="4"/>
              <w:jc w:val="center"/>
              <w:rPr>
                <w:b/>
                <w:sz w:val="24"/>
              </w:rPr>
            </w:pPr>
            <w:r>
              <w:rPr>
                <w:b/>
                <w:spacing w:val="-5"/>
                <w:sz w:val="24"/>
              </w:rPr>
              <w:t>SD</w:t>
            </w:r>
          </w:p>
        </w:tc>
        <w:tc>
          <w:tcPr>
            <w:tcW w:w="2159" w:type="dxa"/>
          </w:tcPr>
          <w:p>
            <w:pPr>
              <w:pStyle w:val="TableParagraph"/>
              <w:spacing w:before="15"/>
              <w:ind w:left="1" w:right="1"/>
              <w:jc w:val="center"/>
              <w:rPr>
                <w:b/>
                <w:sz w:val="24"/>
              </w:rPr>
            </w:pPr>
            <w:r>
              <w:rPr>
                <w:b/>
                <w:sz w:val="24"/>
              </w:rPr>
              <w:t>Level</w:t>
            </w:r>
            <w:r>
              <w:rPr>
                <w:b/>
                <w:spacing w:val="-3"/>
                <w:sz w:val="24"/>
              </w:rPr>
              <w:t> </w:t>
            </w:r>
            <w:r>
              <w:rPr>
                <w:b/>
                <w:sz w:val="24"/>
              </w:rPr>
              <w:t>of </w:t>
            </w:r>
            <w:r>
              <w:rPr>
                <w:b/>
                <w:spacing w:val="-2"/>
                <w:sz w:val="24"/>
              </w:rPr>
              <w:t>Agreement</w:t>
            </w:r>
          </w:p>
        </w:tc>
      </w:tr>
      <w:tr>
        <w:trPr>
          <w:trHeight w:val="421" w:hRule="atLeast"/>
        </w:trPr>
        <w:tc>
          <w:tcPr>
            <w:tcW w:w="754" w:type="dxa"/>
          </w:tcPr>
          <w:p>
            <w:pPr>
              <w:pStyle w:val="TableParagraph"/>
              <w:spacing w:line="275" w:lineRule="exact"/>
              <w:ind w:left="175"/>
              <w:rPr>
                <w:sz w:val="24"/>
              </w:rPr>
            </w:pPr>
            <w:r>
              <w:rPr>
                <w:spacing w:val="-5"/>
                <w:sz w:val="24"/>
              </w:rPr>
              <w:t>B68</w:t>
            </w:r>
          </w:p>
        </w:tc>
        <w:tc>
          <w:tcPr>
            <w:tcW w:w="2759" w:type="dxa"/>
          </w:tcPr>
          <w:p>
            <w:pPr>
              <w:pStyle w:val="TableParagraph"/>
              <w:spacing w:line="275" w:lineRule="exact"/>
              <w:ind w:left="8"/>
              <w:rPr>
                <w:sz w:val="24"/>
              </w:rPr>
            </w:pPr>
            <w:r>
              <w:rPr>
                <w:sz w:val="24"/>
              </w:rPr>
              <w:t>It</w:t>
            </w:r>
            <w:r>
              <w:rPr>
                <w:spacing w:val="-2"/>
                <w:sz w:val="24"/>
              </w:rPr>
              <w:t> </w:t>
            </w:r>
            <w:r>
              <w:rPr>
                <w:sz w:val="24"/>
              </w:rPr>
              <w:t>is</w:t>
            </w:r>
            <w:r>
              <w:rPr>
                <w:spacing w:val="-1"/>
                <w:sz w:val="24"/>
              </w:rPr>
              <w:t> </w:t>
            </w:r>
            <w:r>
              <w:rPr>
                <w:sz w:val="24"/>
              </w:rPr>
              <w:t>highly</w:t>
            </w:r>
            <w:r>
              <w:rPr>
                <w:spacing w:val="-5"/>
                <w:sz w:val="24"/>
              </w:rPr>
              <w:t> </w:t>
            </w:r>
            <w:r>
              <w:rPr>
                <w:spacing w:val="-2"/>
                <w:sz w:val="24"/>
              </w:rPr>
              <w:t>justifiable.</w:t>
            </w:r>
          </w:p>
        </w:tc>
        <w:tc>
          <w:tcPr>
            <w:tcW w:w="834" w:type="dxa"/>
          </w:tcPr>
          <w:p>
            <w:pPr>
              <w:pStyle w:val="TableParagraph"/>
              <w:spacing w:line="275" w:lineRule="exact"/>
              <w:ind w:left="8"/>
              <w:jc w:val="center"/>
              <w:rPr>
                <w:sz w:val="24"/>
              </w:rPr>
            </w:pPr>
            <w:r>
              <w:rPr>
                <w:spacing w:val="-5"/>
                <w:sz w:val="24"/>
              </w:rPr>
              <w:t>236</w:t>
            </w:r>
          </w:p>
        </w:tc>
        <w:tc>
          <w:tcPr>
            <w:tcW w:w="1006" w:type="dxa"/>
          </w:tcPr>
          <w:p>
            <w:pPr>
              <w:pStyle w:val="TableParagraph"/>
              <w:spacing w:line="275" w:lineRule="exact"/>
              <w:ind w:left="6" w:right="1"/>
              <w:jc w:val="center"/>
              <w:rPr>
                <w:sz w:val="24"/>
              </w:rPr>
            </w:pPr>
            <w:r>
              <w:rPr>
                <w:spacing w:val="-4"/>
                <w:sz w:val="24"/>
              </w:rPr>
              <w:t>2.80</w:t>
            </w:r>
          </w:p>
        </w:tc>
        <w:tc>
          <w:tcPr>
            <w:tcW w:w="1191" w:type="dxa"/>
          </w:tcPr>
          <w:p>
            <w:pPr>
              <w:pStyle w:val="TableParagraph"/>
              <w:spacing w:line="275" w:lineRule="exact"/>
              <w:ind w:left="4" w:right="3"/>
              <w:jc w:val="center"/>
              <w:rPr>
                <w:sz w:val="24"/>
              </w:rPr>
            </w:pPr>
            <w:r>
              <w:rPr>
                <w:spacing w:val="-2"/>
                <w:sz w:val="24"/>
              </w:rPr>
              <w:t>1.003</w:t>
            </w:r>
          </w:p>
        </w:tc>
        <w:tc>
          <w:tcPr>
            <w:tcW w:w="2159" w:type="dxa"/>
          </w:tcPr>
          <w:p>
            <w:pPr>
              <w:pStyle w:val="TableParagraph"/>
              <w:spacing w:line="275" w:lineRule="exact"/>
              <w:ind w:left="1"/>
              <w:jc w:val="center"/>
              <w:rPr>
                <w:sz w:val="24"/>
              </w:rPr>
            </w:pPr>
            <w:r>
              <w:rPr>
                <w:spacing w:val="-10"/>
                <w:sz w:val="24"/>
              </w:rPr>
              <w:t>A</w:t>
            </w:r>
          </w:p>
        </w:tc>
      </w:tr>
      <w:tr>
        <w:trPr>
          <w:trHeight w:val="338" w:hRule="atLeast"/>
        </w:trPr>
        <w:tc>
          <w:tcPr>
            <w:tcW w:w="754" w:type="dxa"/>
            <w:vMerge w:val="restart"/>
          </w:tcPr>
          <w:p>
            <w:pPr>
              <w:pStyle w:val="TableParagraph"/>
              <w:spacing w:line="270" w:lineRule="exact"/>
              <w:ind w:left="175"/>
              <w:rPr>
                <w:sz w:val="24"/>
              </w:rPr>
            </w:pPr>
            <w:r>
              <w:rPr>
                <w:spacing w:val="-5"/>
                <w:sz w:val="24"/>
              </w:rPr>
              <w:t>B69</w:t>
            </w:r>
          </w:p>
        </w:tc>
        <w:tc>
          <w:tcPr>
            <w:tcW w:w="2759" w:type="dxa"/>
            <w:tcBorders>
              <w:bottom w:val="nil"/>
            </w:tcBorders>
          </w:tcPr>
          <w:p>
            <w:pPr>
              <w:pStyle w:val="TableParagraph"/>
              <w:spacing w:line="270" w:lineRule="exact"/>
              <w:ind w:left="8"/>
              <w:rPr>
                <w:sz w:val="24"/>
              </w:rPr>
            </w:pPr>
            <w:r>
              <w:rPr>
                <w:sz w:val="24"/>
              </w:rPr>
              <w:t>It</w:t>
            </w:r>
            <w:r>
              <w:rPr>
                <w:spacing w:val="-1"/>
                <w:sz w:val="24"/>
              </w:rPr>
              <w:t> </w:t>
            </w:r>
            <w:r>
              <w:rPr>
                <w:sz w:val="24"/>
              </w:rPr>
              <w:t>is</w:t>
            </w:r>
            <w:r>
              <w:rPr>
                <w:spacing w:val="-1"/>
                <w:sz w:val="24"/>
              </w:rPr>
              <w:t> </w:t>
            </w:r>
            <w:r>
              <w:rPr>
                <w:sz w:val="24"/>
              </w:rPr>
              <w:t>a</w:t>
            </w:r>
            <w:r>
              <w:rPr>
                <w:spacing w:val="-2"/>
                <w:sz w:val="24"/>
              </w:rPr>
              <w:t> </w:t>
            </w:r>
            <w:r>
              <w:rPr>
                <w:sz w:val="24"/>
              </w:rPr>
              <w:t>total</w:t>
            </w:r>
            <w:r>
              <w:rPr>
                <w:spacing w:val="-1"/>
                <w:sz w:val="24"/>
              </w:rPr>
              <w:t> </w:t>
            </w:r>
            <w:r>
              <w:rPr>
                <w:sz w:val="24"/>
              </w:rPr>
              <w:t>failure</w:t>
            </w:r>
            <w:r>
              <w:rPr>
                <w:spacing w:val="-1"/>
                <w:sz w:val="24"/>
              </w:rPr>
              <w:t> </w:t>
            </w:r>
            <w:r>
              <w:rPr>
                <w:spacing w:val="-5"/>
                <w:sz w:val="24"/>
              </w:rPr>
              <w:t>and</w:t>
            </w:r>
          </w:p>
        </w:tc>
        <w:tc>
          <w:tcPr>
            <w:tcW w:w="834" w:type="dxa"/>
            <w:vMerge w:val="restart"/>
          </w:tcPr>
          <w:p>
            <w:pPr>
              <w:pStyle w:val="TableParagraph"/>
              <w:spacing w:line="270" w:lineRule="exact"/>
              <w:ind w:left="236"/>
              <w:rPr>
                <w:sz w:val="24"/>
              </w:rPr>
            </w:pPr>
            <w:r>
              <w:rPr>
                <w:spacing w:val="-5"/>
                <w:sz w:val="24"/>
              </w:rPr>
              <w:t>235</w:t>
            </w:r>
          </w:p>
        </w:tc>
        <w:tc>
          <w:tcPr>
            <w:tcW w:w="1006" w:type="dxa"/>
            <w:vMerge w:val="restart"/>
          </w:tcPr>
          <w:p>
            <w:pPr>
              <w:pStyle w:val="TableParagraph"/>
              <w:spacing w:line="270" w:lineRule="exact"/>
              <w:ind w:left="290"/>
              <w:rPr>
                <w:sz w:val="24"/>
              </w:rPr>
            </w:pPr>
            <w:r>
              <w:rPr>
                <w:spacing w:val="-4"/>
                <w:sz w:val="24"/>
              </w:rPr>
              <w:t>2.09</w:t>
            </w:r>
          </w:p>
        </w:tc>
        <w:tc>
          <w:tcPr>
            <w:tcW w:w="1191" w:type="dxa"/>
            <w:vMerge w:val="restart"/>
          </w:tcPr>
          <w:p>
            <w:pPr>
              <w:pStyle w:val="TableParagraph"/>
              <w:spacing w:line="270" w:lineRule="exact"/>
              <w:ind w:left="321"/>
              <w:rPr>
                <w:sz w:val="24"/>
              </w:rPr>
            </w:pPr>
            <w:r>
              <w:rPr>
                <w:spacing w:val="-2"/>
                <w:sz w:val="24"/>
              </w:rPr>
              <w:t>1.032</w:t>
            </w:r>
          </w:p>
        </w:tc>
        <w:tc>
          <w:tcPr>
            <w:tcW w:w="2159" w:type="dxa"/>
            <w:vMerge w:val="restart"/>
          </w:tcPr>
          <w:p>
            <w:pPr>
              <w:pStyle w:val="TableParagraph"/>
              <w:spacing w:line="270" w:lineRule="exact"/>
              <w:ind w:left="1"/>
              <w:jc w:val="center"/>
              <w:rPr>
                <w:sz w:val="24"/>
              </w:rPr>
            </w:pPr>
            <w:r>
              <w:rPr>
                <w:spacing w:val="-10"/>
                <w:sz w:val="24"/>
              </w:rPr>
              <w:t>D</w:t>
            </w:r>
          </w:p>
        </w:tc>
      </w:tr>
      <w:tr>
        <w:trPr>
          <w:trHeight w:val="481" w:hRule="atLeast"/>
        </w:trPr>
        <w:tc>
          <w:tcPr>
            <w:tcW w:w="754" w:type="dxa"/>
            <w:vMerge/>
            <w:tcBorders>
              <w:top w:val="nil"/>
            </w:tcBorders>
          </w:tcPr>
          <w:p>
            <w:pPr>
              <w:rPr>
                <w:sz w:val="2"/>
                <w:szCs w:val="2"/>
              </w:rPr>
            </w:pPr>
          </w:p>
        </w:tc>
        <w:tc>
          <w:tcPr>
            <w:tcW w:w="2759" w:type="dxa"/>
            <w:tcBorders>
              <w:top w:val="nil"/>
            </w:tcBorders>
          </w:tcPr>
          <w:p>
            <w:pPr>
              <w:pStyle w:val="TableParagraph"/>
              <w:spacing w:before="58"/>
              <w:ind w:left="8"/>
              <w:rPr>
                <w:sz w:val="24"/>
              </w:rPr>
            </w:pPr>
            <w:r>
              <w:rPr>
                <w:sz w:val="24"/>
              </w:rPr>
              <w:t>not </w:t>
            </w:r>
            <w:r>
              <w:rPr>
                <w:spacing w:val="-2"/>
                <w:sz w:val="24"/>
              </w:rPr>
              <w:t>justifiable.</w:t>
            </w:r>
          </w:p>
        </w:tc>
        <w:tc>
          <w:tcPr>
            <w:tcW w:w="834" w:type="dxa"/>
            <w:vMerge/>
            <w:tcBorders>
              <w:top w:val="nil"/>
            </w:tcBorders>
          </w:tcPr>
          <w:p>
            <w:pPr>
              <w:rPr>
                <w:sz w:val="2"/>
                <w:szCs w:val="2"/>
              </w:rPr>
            </w:pPr>
          </w:p>
        </w:tc>
        <w:tc>
          <w:tcPr>
            <w:tcW w:w="1006" w:type="dxa"/>
            <w:vMerge/>
            <w:tcBorders>
              <w:top w:val="nil"/>
            </w:tcBorders>
          </w:tcPr>
          <w:p>
            <w:pPr>
              <w:rPr>
                <w:sz w:val="2"/>
                <w:szCs w:val="2"/>
              </w:rPr>
            </w:pPr>
          </w:p>
        </w:tc>
        <w:tc>
          <w:tcPr>
            <w:tcW w:w="1191" w:type="dxa"/>
            <w:vMerge/>
            <w:tcBorders>
              <w:top w:val="nil"/>
            </w:tcBorders>
          </w:tcPr>
          <w:p>
            <w:pPr>
              <w:rPr>
                <w:sz w:val="2"/>
                <w:szCs w:val="2"/>
              </w:rPr>
            </w:pPr>
          </w:p>
        </w:tc>
        <w:tc>
          <w:tcPr>
            <w:tcW w:w="2159" w:type="dxa"/>
            <w:vMerge/>
            <w:tcBorders>
              <w:top w:val="nil"/>
            </w:tcBorders>
          </w:tcPr>
          <w:p>
            <w:pPr>
              <w:rPr>
                <w:sz w:val="2"/>
                <w:szCs w:val="2"/>
              </w:rPr>
            </w:pPr>
          </w:p>
        </w:tc>
      </w:tr>
      <w:tr>
        <w:trPr>
          <w:trHeight w:val="356" w:hRule="atLeast"/>
        </w:trPr>
        <w:tc>
          <w:tcPr>
            <w:tcW w:w="754" w:type="dxa"/>
            <w:vMerge w:val="restart"/>
          </w:tcPr>
          <w:p>
            <w:pPr>
              <w:pStyle w:val="TableParagraph"/>
              <w:spacing w:before="6"/>
              <w:ind w:left="175"/>
              <w:rPr>
                <w:sz w:val="24"/>
              </w:rPr>
            </w:pPr>
            <w:r>
              <w:rPr>
                <w:spacing w:val="-5"/>
                <w:sz w:val="24"/>
              </w:rPr>
              <w:t>B70</w:t>
            </w:r>
          </w:p>
        </w:tc>
        <w:tc>
          <w:tcPr>
            <w:tcW w:w="2759" w:type="dxa"/>
            <w:tcBorders>
              <w:bottom w:val="nil"/>
            </w:tcBorders>
          </w:tcPr>
          <w:p>
            <w:pPr>
              <w:pStyle w:val="TableParagraph"/>
              <w:spacing w:before="6"/>
              <w:ind w:left="8"/>
              <w:rPr>
                <w:sz w:val="24"/>
              </w:rPr>
            </w:pPr>
            <w:r>
              <w:rPr>
                <w:sz w:val="24"/>
              </w:rPr>
              <w:t>It has merely</w:t>
            </w:r>
            <w:r>
              <w:rPr>
                <w:spacing w:val="-5"/>
                <w:sz w:val="24"/>
              </w:rPr>
              <w:t> </w:t>
            </w:r>
            <w:r>
              <w:rPr>
                <w:spacing w:val="-2"/>
                <w:sz w:val="24"/>
              </w:rPr>
              <w:t>ensured</w:t>
            </w:r>
          </w:p>
        </w:tc>
        <w:tc>
          <w:tcPr>
            <w:tcW w:w="834" w:type="dxa"/>
            <w:vMerge w:val="restart"/>
          </w:tcPr>
          <w:p>
            <w:pPr>
              <w:pStyle w:val="TableParagraph"/>
              <w:spacing w:before="6"/>
              <w:ind w:left="236"/>
              <w:rPr>
                <w:sz w:val="24"/>
              </w:rPr>
            </w:pPr>
            <w:r>
              <w:rPr>
                <w:spacing w:val="-5"/>
                <w:sz w:val="24"/>
              </w:rPr>
              <w:t>233</w:t>
            </w:r>
          </w:p>
        </w:tc>
        <w:tc>
          <w:tcPr>
            <w:tcW w:w="1006" w:type="dxa"/>
            <w:vMerge w:val="restart"/>
          </w:tcPr>
          <w:p>
            <w:pPr>
              <w:pStyle w:val="TableParagraph"/>
              <w:spacing w:before="6"/>
              <w:ind w:left="290"/>
              <w:rPr>
                <w:sz w:val="24"/>
              </w:rPr>
            </w:pPr>
            <w:r>
              <w:rPr>
                <w:spacing w:val="-4"/>
                <w:sz w:val="24"/>
              </w:rPr>
              <w:t>2.52</w:t>
            </w:r>
          </w:p>
        </w:tc>
        <w:tc>
          <w:tcPr>
            <w:tcW w:w="1191" w:type="dxa"/>
            <w:vMerge w:val="restart"/>
          </w:tcPr>
          <w:p>
            <w:pPr>
              <w:pStyle w:val="TableParagraph"/>
              <w:spacing w:before="6"/>
              <w:ind w:left="381"/>
              <w:rPr>
                <w:sz w:val="24"/>
              </w:rPr>
            </w:pPr>
            <w:r>
              <w:rPr>
                <w:spacing w:val="-4"/>
                <w:sz w:val="24"/>
              </w:rPr>
              <w:t>.900</w:t>
            </w:r>
          </w:p>
        </w:tc>
        <w:tc>
          <w:tcPr>
            <w:tcW w:w="2159" w:type="dxa"/>
            <w:vMerge w:val="restart"/>
          </w:tcPr>
          <w:p>
            <w:pPr>
              <w:pStyle w:val="TableParagraph"/>
              <w:spacing w:before="6"/>
              <w:ind w:left="1"/>
              <w:jc w:val="center"/>
              <w:rPr>
                <w:sz w:val="24"/>
              </w:rPr>
            </w:pPr>
            <w:r>
              <w:rPr>
                <w:spacing w:val="-10"/>
                <w:sz w:val="24"/>
              </w:rPr>
              <w:t>A</w:t>
            </w:r>
          </w:p>
        </w:tc>
      </w:tr>
      <w:tr>
        <w:trPr>
          <w:trHeight w:val="468" w:hRule="atLeast"/>
        </w:trPr>
        <w:tc>
          <w:tcPr>
            <w:tcW w:w="754" w:type="dxa"/>
            <w:vMerge/>
            <w:tcBorders>
              <w:top w:val="nil"/>
            </w:tcBorders>
          </w:tcPr>
          <w:p>
            <w:pPr>
              <w:rPr>
                <w:sz w:val="2"/>
                <w:szCs w:val="2"/>
              </w:rPr>
            </w:pPr>
          </w:p>
        </w:tc>
        <w:tc>
          <w:tcPr>
            <w:tcW w:w="2759" w:type="dxa"/>
            <w:tcBorders>
              <w:top w:val="nil"/>
            </w:tcBorders>
          </w:tcPr>
          <w:p>
            <w:pPr>
              <w:pStyle w:val="TableParagraph"/>
              <w:spacing w:before="64"/>
              <w:ind w:left="8"/>
              <w:rPr>
                <w:sz w:val="24"/>
              </w:rPr>
            </w:pPr>
            <w:r>
              <w:rPr>
                <w:sz w:val="24"/>
              </w:rPr>
              <w:t>fragile</w:t>
            </w:r>
            <w:r>
              <w:rPr>
                <w:spacing w:val="-7"/>
                <w:sz w:val="24"/>
              </w:rPr>
              <w:t> </w:t>
            </w:r>
            <w:r>
              <w:rPr>
                <w:spacing w:val="-2"/>
                <w:sz w:val="24"/>
              </w:rPr>
              <w:t>peace.</w:t>
            </w:r>
          </w:p>
        </w:tc>
        <w:tc>
          <w:tcPr>
            <w:tcW w:w="834" w:type="dxa"/>
            <w:vMerge/>
            <w:tcBorders>
              <w:top w:val="nil"/>
            </w:tcBorders>
          </w:tcPr>
          <w:p>
            <w:pPr>
              <w:rPr>
                <w:sz w:val="2"/>
                <w:szCs w:val="2"/>
              </w:rPr>
            </w:pPr>
          </w:p>
        </w:tc>
        <w:tc>
          <w:tcPr>
            <w:tcW w:w="1006" w:type="dxa"/>
            <w:vMerge/>
            <w:tcBorders>
              <w:top w:val="nil"/>
            </w:tcBorders>
          </w:tcPr>
          <w:p>
            <w:pPr>
              <w:rPr>
                <w:sz w:val="2"/>
                <w:szCs w:val="2"/>
              </w:rPr>
            </w:pPr>
          </w:p>
        </w:tc>
        <w:tc>
          <w:tcPr>
            <w:tcW w:w="1191" w:type="dxa"/>
            <w:vMerge/>
            <w:tcBorders>
              <w:top w:val="nil"/>
            </w:tcBorders>
          </w:tcPr>
          <w:p>
            <w:pPr>
              <w:rPr>
                <w:sz w:val="2"/>
                <w:szCs w:val="2"/>
              </w:rPr>
            </w:pPr>
          </w:p>
        </w:tc>
        <w:tc>
          <w:tcPr>
            <w:tcW w:w="2159" w:type="dxa"/>
            <w:vMerge/>
            <w:tcBorders>
              <w:top w:val="nil"/>
            </w:tcBorders>
          </w:tcPr>
          <w:p>
            <w:pPr>
              <w:rPr>
                <w:sz w:val="2"/>
                <w:szCs w:val="2"/>
              </w:rPr>
            </w:pPr>
          </w:p>
        </w:tc>
      </w:tr>
      <w:tr>
        <w:trPr>
          <w:trHeight w:val="342" w:hRule="atLeast"/>
        </w:trPr>
        <w:tc>
          <w:tcPr>
            <w:tcW w:w="754" w:type="dxa"/>
            <w:vMerge w:val="restart"/>
          </w:tcPr>
          <w:p>
            <w:pPr>
              <w:pStyle w:val="TableParagraph"/>
              <w:spacing w:line="270" w:lineRule="exact"/>
              <w:ind w:left="175"/>
              <w:rPr>
                <w:sz w:val="24"/>
              </w:rPr>
            </w:pPr>
            <w:r>
              <w:rPr>
                <w:spacing w:val="-5"/>
                <w:sz w:val="24"/>
              </w:rPr>
              <w:t>B71</w:t>
            </w:r>
          </w:p>
        </w:tc>
        <w:tc>
          <w:tcPr>
            <w:tcW w:w="2759" w:type="dxa"/>
            <w:tcBorders>
              <w:bottom w:val="nil"/>
            </w:tcBorders>
          </w:tcPr>
          <w:p>
            <w:pPr>
              <w:pStyle w:val="TableParagraph"/>
              <w:spacing w:line="270" w:lineRule="exact"/>
              <w:ind w:left="8"/>
              <w:rPr>
                <w:sz w:val="24"/>
              </w:rPr>
            </w:pPr>
            <w:r>
              <w:rPr>
                <w:sz w:val="24"/>
              </w:rPr>
              <w:t>It</w:t>
            </w:r>
            <w:r>
              <w:rPr>
                <w:spacing w:val="-2"/>
                <w:sz w:val="24"/>
              </w:rPr>
              <w:t> </w:t>
            </w:r>
            <w:r>
              <w:rPr>
                <w:sz w:val="24"/>
              </w:rPr>
              <w:t>has</w:t>
            </w:r>
            <w:r>
              <w:rPr>
                <w:spacing w:val="-1"/>
                <w:sz w:val="24"/>
              </w:rPr>
              <w:t> </w:t>
            </w:r>
            <w:r>
              <w:rPr>
                <w:spacing w:val="-2"/>
                <w:sz w:val="24"/>
              </w:rPr>
              <w:t>entrenched</w:t>
            </w:r>
          </w:p>
        </w:tc>
        <w:tc>
          <w:tcPr>
            <w:tcW w:w="834" w:type="dxa"/>
            <w:vMerge w:val="restart"/>
          </w:tcPr>
          <w:p>
            <w:pPr>
              <w:pStyle w:val="TableParagraph"/>
              <w:spacing w:line="270" w:lineRule="exact"/>
              <w:ind w:left="236"/>
              <w:rPr>
                <w:sz w:val="24"/>
              </w:rPr>
            </w:pPr>
            <w:r>
              <w:rPr>
                <w:spacing w:val="-5"/>
                <w:sz w:val="24"/>
              </w:rPr>
              <w:t>232</w:t>
            </w:r>
          </w:p>
        </w:tc>
        <w:tc>
          <w:tcPr>
            <w:tcW w:w="1006" w:type="dxa"/>
            <w:vMerge w:val="restart"/>
          </w:tcPr>
          <w:p>
            <w:pPr>
              <w:pStyle w:val="TableParagraph"/>
              <w:spacing w:line="270" w:lineRule="exact"/>
              <w:ind w:left="290"/>
              <w:rPr>
                <w:sz w:val="24"/>
              </w:rPr>
            </w:pPr>
            <w:r>
              <w:rPr>
                <w:spacing w:val="-4"/>
                <w:sz w:val="24"/>
              </w:rPr>
              <w:t>2.27</w:t>
            </w:r>
          </w:p>
        </w:tc>
        <w:tc>
          <w:tcPr>
            <w:tcW w:w="1191" w:type="dxa"/>
            <w:vMerge w:val="restart"/>
          </w:tcPr>
          <w:p>
            <w:pPr>
              <w:pStyle w:val="TableParagraph"/>
              <w:spacing w:line="270" w:lineRule="exact"/>
              <w:ind w:left="381"/>
              <w:rPr>
                <w:sz w:val="24"/>
              </w:rPr>
            </w:pPr>
            <w:r>
              <w:rPr>
                <w:spacing w:val="-4"/>
                <w:sz w:val="24"/>
              </w:rPr>
              <w:t>.847</w:t>
            </w:r>
          </w:p>
        </w:tc>
        <w:tc>
          <w:tcPr>
            <w:tcW w:w="2159" w:type="dxa"/>
            <w:vMerge w:val="restart"/>
          </w:tcPr>
          <w:p>
            <w:pPr>
              <w:pStyle w:val="TableParagraph"/>
              <w:spacing w:line="270" w:lineRule="exact"/>
              <w:ind w:left="1"/>
              <w:jc w:val="center"/>
              <w:rPr>
                <w:sz w:val="24"/>
              </w:rPr>
            </w:pPr>
            <w:r>
              <w:rPr>
                <w:spacing w:val="-10"/>
                <w:sz w:val="24"/>
              </w:rPr>
              <w:t>D</w:t>
            </w:r>
          </w:p>
        </w:tc>
      </w:tr>
      <w:tr>
        <w:trPr>
          <w:trHeight w:val="484" w:hRule="atLeast"/>
        </w:trPr>
        <w:tc>
          <w:tcPr>
            <w:tcW w:w="754" w:type="dxa"/>
            <w:vMerge/>
            <w:tcBorders>
              <w:top w:val="nil"/>
            </w:tcBorders>
          </w:tcPr>
          <w:p>
            <w:pPr>
              <w:rPr>
                <w:sz w:val="2"/>
                <w:szCs w:val="2"/>
              </w:rPr>
            </w:pPr>
          </w:p>
        </w:tc>
        <w:tc>
          <w:tcPr>
            <w:tcW w:w="2759" w:type="dxa"/>
            <w:tcBorders>
              <w:top w:val="nil"/>
            </w:tcBorders>
          </w:tcPr>
          <w:p>
            <w:pPr>
              <w:pStyle w:val="TableParagraph"/>
              <w:spacing w:before="62"/>
              <w:ind w:left="8"/>
              <w:rPr>
                <w:sz w:val="24"/>
              </w:rPr>
            </w:pPr>
            <w:r>
              <w:rPr>
                <w:sz w:val="24"/>
              </w:rPr>
              <w:t>sustainable</w:t>
            </w:r>
            <w:r>
              <w:rPr>
                <w:spacing w:val="-2"/>
                <w:sz w:val="24"/>
              </w:rPr>
              <w:t> peace.</w:t>
            </w:r>
          </w:p>
        </w:tc>
        <w:tc>
          <w:tcPr>
            <w:tcW w:w="834" w:type="dxa"/>
            <w:vMerge/>
            <w:tcBorders>
              <w:top w:val="nil"/>
            </w:tcBorders>
          </w:tcPr>
          <w:p>
            <w:pPr>
              <w:rPr>
                <w:sz w:val="2"/>
                <w:szCs w:val="2"/>
              </w:rPr>
            </w:pPr>
          </w:p>
        </w:tc>
        <w:tc>
          <w:tcPr>
            <w:tcW w:w="1006" w:type="dxa"/>
            <w:vMerge/>
            <w:tcBorders>
              <w:top w:val="nil"/>
            </w:tcBorders>
          </w:tcPr>
          <w:p>
            <w:pPr>
              <w:rPr>
                <w:sz w:val="2"/>
                <w:szCs w:val="2"/>
              </w:rPr>
            </w:pPr>
          </w:p>
        </w:tc>
        <w:tc>
          <w:tcPr>
            <w:tcW w:w="1191" w:type="dxa"/>
            <w:vMerge/>
            <w:tcBorders>
              <w:top w:val="nil"/>
            </w:tcBorders>
          </w:tcPr>
          <w:p>
            <w:pPr>
              <w:rPr>
                <w:sz w:val="2"/>
                <w:szCs w:val="2"/>
              </w:rPr>
            </w:pPr>
          </w:p>
        </w:tc>
        <w:tc>
          <w:tcPr>
            <w:tcW w:w="2159" w:type="dxa"/>
            <w:vMerge/>
            <w:tcBorders>
              <w:top w:val="nil"/>
            </w:tcBorders>
          </w:tcPr>
          <w:p>
            <w:pPr>
              <w:rPr>
                <w:sz w:val="2"/>
                <w:szCs w:val="2"/>
              </w:rPr>
            </w:pPr>
          </w:p>
        </w:tc>
      </w:tr>
    </w:tbl>
    <w:p>
      <w:pPr>
        <w:pStyle w:val="BodyText"/>
        <w:spacing w:before="137"/>
        <w:ind w:left="0"/>
        <w:rPr>
          <w:b/>
        </w:rPr>
      </w:pPr>
    </w:p>
    <w:p>
      <w:pPr>
        <w:pStyle w:val="BodyText"/>
        <w:spacing w:line="360" w:lineRule="auto"/>
        <w:ind w:right="1261" w:firstLine="720"/>
        <w:jc w:val="both"/>
      </w:pPr>
      <w:r>
        <w:rPr/>
        <w:t>From the descriptive</w:t>
      </w:r>
      <w:r>
        <w:rPr>
          <w:spacing w:val="-1"/>
        </w:rPr>
        <w:t> </w:t>
      </w:r>
      <w:r>
        <w:rPr/>
        <w:t>statistics presented in Table 23, there</w:t>
      </w:r>
      <w:r>
        <w:rPr>
          <w:spacing w:val="-1"/>
        </w:rPr>
        <w:t> </w:t>
      </w:r>
      <w:r>
        <w:rPr/>
        <w:t>are</w:t>
      </w:r>
      <w:r>
        <w:rPr>
          <w:spacing w:val="-2"/>
        </w:rPr>
        <w:t> </w:t>
      </w:r>
      <w:r>
        <w:rPr/>
        <w:t>divergent views from the respondents. However, it was generally agreed that the establishment of the JTF</w:t>
      </w:r>
      <w:r>
        <w:rPr>
          <w:spacing w:val="-1"/>
        </w:rPr>
        <w:t> </w:t>
      </w:r>
      <w:r>
        <w:rPr/>
        <w:t>to curb violence in the Niger Delta is highly</w:t>
      </w:r>
      <w:r>
        <w:rPr>
          <w:spacing w:val="-4"/>
        </w:rPr>
        <w:t> </w:t>
      </w:r>
      <w:r>
        <w:rPr/>
        <w:t>justifiable but merely</w:t>
      </w:r>
      <w:r>
        <w:rPr>
          <w:spacing w:val="-2"/>
        </w:rPr>
        <w:t> </w:t>
      </w:r>
      <w:r>
        <w:rPr/>
        <w:t>ensured fragile peace. Likewise, there is a general disagreement that JTF is a total failure, not justifiable and has not entrenched sustainable peace.</w:t>
      </w:r>
    </w:p>
    <w:p>
      <w:pPr>
        <w:pStyle w:val="BodyText"/>
        <w:spacing w:before="4"/>
        <w:ind w:left="0"/>
      </w:pPr>
    </w:p>
    <w:p>
      <w:pPr>
        <w:pStyle w:val="Heading2"/>
        <w:numPr>
          <w:ilvl w:val="3"/>
          <w:numId w:val="26"/>
        </w:numPr>
        <w:tabs>
          <w:tab w:pos="2520" w:val="left" w:leader="none"/>
        </w:tabs>
        <w:spacing w:line="240" w:lineRule="auto" w:before="1" w:after="0"/>
        <w:ind w:left="2520" w:right="0" w:hanging="1080"/>
        <w:jc w:val="both"/>
      </w:pPr>
      <w:r>
        <w:rPr/>
        <w:t>Perception</w:t>
      </w:r>
      <w:r>
        <w:rPr>
          <w:spacing w:val="-6"/>
        </w:rPr>
        <w:t> </w:t>
      </w:r>
      <w:r>
        <w:rPr/>
        <w:t>on</w:t>
      </w:r>
      <w:r>
        <w:rPr>
          <w:spacing w:val="-4"/>
        </w:rPr>
        <w:t> </w:t>
      </w:r>
      <w:r>
        <w:rPr/>
        <w:t>Whether</w:t>
      </w:r>
      <w:r>
        <w:rPr>
          <w:spacing w:val="-4"/>
        </w:rPr>
        <w:t> </w:t>
      </w:r>
      <w:r>
        <w:rPr/>
        <w:t>JTF’s</w:t>
      </w:r>
      <w:r>
        <w:rPr>
          <w:spacing w:val="-4"/>
        </w:rPr>
        <w:t> </w:t>
      </w:r>
      <w:r>
        <w:rPr/>
        <w:t>Establishment</w:t>
      </w:r>
      <w:r>
        <w:rPr>
          <w:spacing w:val="-3"/>
        </w:rPr>
        <w:t> </w:t>
      </w:r>
      <w:r>
        <w:rPr/>
        <w:t>is</w:t>
      </w:r>
      <w:r>
        <w:rPr>
          <w:spacing w:val="-4"/>
        </w:rPr>
        <w:t> </w:t>
      </w:r>
      <w:r>
        <w:rPr/>
        <w:t>Highly</w:t>
      </w:r>
      <w:r>
        <w:rPr>
          <w:spacing w:val="-3"/>
        </w:rPr>
        <w:t> </w:t>
      </w:r>
      <w:r>
        <w:rPr>
          <w:spacing w:val="-2"/>
        </w:rPr>
        <w:t>Justifiable</w:t>
      </w:r>
    </w:p>
    <w:p>
      <w:pPr>
        <w:pStyle w:val="BodyText"/>
        <w:spacing w:line="360" w:lineRule="auto" w:before="134"/>
        <w:ind w:right="1261" w:firstLine="720"/>
        <w:jc w:val="both"/>
      </w:pPr>
      <w:r>
        <w:rPr/>
        <w:t>On a State by State basis, results of ANOVA indicate significant differences amongst the States (f = 18.200, P =.000), However, the agreement with this view is maintained within the States of Bayelsa 3.28(A) and Delta 2.59(A).</w:t>
      </w:r>
    </w:p>
    <w:p>
      <w:pPr>
        <w:spacing w:after="0" w:line="360" w:lineRule="auto"/>
        <w:jc w:val="both"/>
        <w:sectPr>
          <w:pgSz w:w="11910" w:h="16840"/>
          <w:pgMar w:header="0" w:footer="1561" w:top="1360" w:bottom="1760" w:left="720" w:right="180"/>
        </w:sectPr>
      </w:pPr>
    </w:p>
    <w:p>
      <w:pPr>
        <w:pStyle w:val="BodyText"/>
        <w:spacing w:line="360" w:lineRule="auto" w:before="60"/>
        <w:ind w:right="1256" w:firstLine="720"/>
        <w:jc w:val="both"/>
      </w:pPr>
      <w:r>
        <w:rPr/>
        <mc:AlternateContent>
          <mc:Choice Requires="wps">
            <w:drawing>
              <wp:anchor distT="0" distB="0" distL="0" distR="0" allowOverlap="1" layoutInCell="1" locked="0" behindDoc="1" simplePos="0" relativeHeight="480678912">
                <wp:simplePos x="0" y="0"/>
                <wp:positionH relativeFrom="page">
                  <wp:posOffset>-1537026</wp:posOffset>
                </wp:positionH>
                <wp:positionV relativeFrom="page">
                  <wp:posOffset>4900424</wp:posOffset>
                </wp:positionV>
                <wp:extent cx="10669905" cy="914400"/>
                <wp:effectExtent l="0" t="0" r="0" b="0"/>
                <wp:wrapNone/>
                <wp:docPr id="317" name="Textbox 317"/>
                <wp:cNvGraphicFramePr>
                  <a:graphicFrameLocks/>
                </wp:cNvGraphicFramePr>
                <a:graphic>
                  <a:graphicData uri="http://schemas.microsoft.com/office/word/2010/wordprocessingShape">
                    <wps:wsp>
                      <wps:cNvPr id="317" name="Textbox 317"/>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37568;rotation:306" type="#_x0000_t136" fillcolor="#ff5400" stroked="f">
                <o:extrusion v:ext="view" autorotationcenter="t"/>
                <v:textpath style="font-family:&quot;Arial MT&quot;;font-size:72pt;v-text-kern:t;mso-text-shadow:auto" string="UNIVERSITY OF IBADAN"/>
                <w10:wrap type="none"/>
              </v:shape>
            </w:pict>
          </mc:Fallback>
        </mc:AlternateContent>
      </w:r>
      <w:r>
        <w:rPr/>
        <w:t>A look at the results of t-test in</w:t>
      </w:r>
      <w:r>
        <w:rPr>
          <w:spacing w:val="40"/>
        </w:rPr>
        <w:t> </w:t>
      </w:r>
      <w:r>
        <w:rPr/>
        <w:t>indicate that gender is not a factor in forming the respondents view (t-value recorded is 1.596, p =.112). Likewise, based on Age Group of respondents, there is no significant difference in views (f = 3.388, P = .010). The difference is between Age Groups 25 - 34 years (A), 35 - 49 years (A), 50 - 60 years (A) and 15 - 24 years (D), 61 years and above (D).</w:t>
      </w:r>
    </w:p>
    <w:p>
      <w:pPr>
        <w:pStyle w:val="BodyText"/>
        <w:spacing w:before="4"/>
        <w:ind w:left="0"/>
      </w:pPr>
    </w:p>
    <w:p>
      <w:pPr>
        <w:pStyle w:val="Heading2"/>
        <w:numPr>
          <w:ilvl w:val="3"/>
          <w:numId w:val="26"/>
        </w:numPr>
        <w:tabs>
          <w:tab w:pos="2580" w:val="left" w:leader="none"/>
        </w:tabs>
        <w:spacing w:line="360" w:lineRule="auto" w:before="1" w:after="0"/>
        <w:ind w:left="1440" w:right="1489" w:firstLine="0"/>
        <w:jc w:val="both"/>
      </w:pPr>
      <w:r>
        <w:rPr/>
        <w:t>Perception</w:t>
      </w:r>
      <w:r>
        <w:rPr>
          <w:spacing w:val="-4"/>
        </w:rPr>
        <w:t> </w:t>
      </w:r>
      <w:r>
        <w:rPr/>
        <w:t>on</w:t>
      </w:r>
      <w:r>
        <w:rPr>
          <w:spacing w:val="-4"/>
        </w:rPr>
        <w:t> </w:t>
      </w:r>
      <w:r>
        <w:rPr/>
        <w:t>Whether</w:t>
      </w:r>
      <w:r>
        <w:rPr>
          <w:spacing w:val="-6"/>
        </w:rPr>
        <w:t> </w:t>
      </w:r>
      <w:r>
        <w:rPr/>
        <w:t>the</w:t>
      </w:r>
      <w:r>
        <w:rPr>
          <w:spacing w:val="-5"/>
        </w:rPr>
        <w:t> </w:t>
      </w:r>
      <w:r>
        <w:rPr/>
        <w:t>Establishment</w:t>
      </w:r>
      <w:r>
        <w:rPr>
          <w:spacing w:val="-4"/>
        </w:rPr>
        <w:t> </w:t>
      </w:r>
      <w:r>
        <w:rPr/>
        <w:t>of</w:t>
      </w:r>
      <w:r>
        <w:rPr>
          <w:spacing w:val="-4"/>
        </w:rPr>
        <w:t> </w:t>
      </w:r>
      <w:r>
        <w:rPr/>
        <w:t>JTF</w:t>
      </w:r>
      <w:r>
        <w:rPr>
          <w:spacing w:val="-6"/>
        </w:rPr>
        <w:t> </w:t>
      </w:r>
      <w:r>
        <w:rPr/>
        <w:t>in</w:t>
      </w:r>
      <w:r>
        <w:rPr>
          <w:spacing w:val="-3"/>
        </w:rPr>
        <w:t> </w:t>
      </w:r>
      <w:r>
        <w:rPr/>
        <w:t>Niger</w:t>
      </w:r>
      <w:r>
        <w:rPr>
          <w:spacing w:val="-3"/>
        </w:rPr>
        <w:t> </w:t>
      </w:r>
      <w:r>
        <w:rPr/>
        <w:t>Delta</w:t>
      </w:r>
      <w:r>
        <w:rPr>
          <w:spacing w:val="-4"/>
        </w:rPr>
        <w:t> </w:t>
      </w:r>
      <w:r>
        <w:rPr/>
        <w:t>is</w:t>
      </w:r>
      <w:r>
        <w:rPr>
          <w:spacing w:val="-4"/>
        </w:rPr>
        <w:t> </w:t>
      </w:r>
      <w:r>
        <w:rPr/>
        <w:t>a Failure and not Justifiable</w:t>
      </w:r>
    </w:p>
    <w:p>
      <w:pPr>
        <w:pStyle w:val="BodyText"/>
        <w:spacing w:line="360" w:lineRule="auto"/>
        <w:ind w:right="1263" w:firstLine="720"/>
        <w:jc w:val="both"/>
      </w:pPr>
      <w:r>
        <w:rPr/>
        <w:t>Respondents were asked to indicate whether the establishment of JTF in managing the Niger Delta conflict is a failure and not justifiable. From the data presented in Table 23, the respondents generally disagree with the view.</w:t>
      </w:r>
    </w:p>
    <w:p>
      <w:pPr>
        <w:pStyle w:val="BodyText"/>
        <w:spacing w:line="360" w:lineRule="auto"/>
        <w:ind w:right="1255" w:firstLine="720"/>
        <w:jc w:val="both"/>
      </w:pPr>
      <w:r>
        <w:rPr/>
        <w:t>Interviewees were asked during oral interviews to suggest other preferred options</w:t>
      </w:r>
      <w:r>
        <w:rPr>
          <w:spacing w:val="-3"/>
        </w:rPr>
        <w:t> </w:t>
      </w:r>
      <w:r>
        <w:rPr/>
        <w:t>other</w:t>
      </w:r>
      <w:r>
        <w:rPr>
          <w:spacing w:val="-3"/>
        </w:rPr>
        <w:t> </w:t>
      </w:r>
      <w:r>
        <w:rPr/>
        <w:t>than</w:t>
      </w:r>
      <w:r>
        <w:rPr>
          <w:spacing w:val="-3"/>
        </w:rPr>
        <w:t> </w:t>
      </w:r>
      <w:r>
        <w:rPr/>
        <w:t>the</w:t>
      </w:r>
      <w:r>
        <w:rPr>
          <w:spacing w:val="-3"/>
        </w:rPr>
        <w:t> </w:t>
      </w:r>
      <w:r>
        <w:rPr/>
        <w:t>JTF</w:t>
      </w:r>
      <w:r>
        <w:rPr>
          <w:spacing w:val="-5"/>
        </w:rPr>
        <w:t> </w:t>
      </w:r>
      <w:r>
        <w:rPr/>
        <w:t>approach</w:t>
      </w:r>
      <w:r>
        <w:rPr>
          <w:spacing w:val="-3"/>
        </w:rPr>
        <w:t> </w:t>
      </w:r>
      <w:r>
        <w:rPr/>
        <w:t>towards</w:t>
      </w:r>
      <w:r>
        <w:rPr>
          <w:spacing w:val="-3"/>
        </w:rPr>
        <w:t> </w:t>
      </w:r>
      <w:r>
        <w:rPr/>
        <w:t>the</w:t>
      </w:r>
      <w:r>
        <w:rPr>
          <w:spacing w:val="-2"/>
        </w:rPr>
        <w:t> </w:t>
      </w:r>
      <w:r>
        <w:rPr/>
        <w:t>resolution</w:t>
      </w:r>
      <w:r>
        <w:rPr>
          <w:spacing w:val="-3"/>
        </w:rPr>
        <w:t> </w:t>
      </w:r>
      <w:r>
        <w:rPr/>
        <w:t>of</w:t>
      </w:r>
      <w:r>
        <w:rPr>
          <w:spacing w:val="-3"/>
        </w:rPr>
        <w:t> </w:t>
      </w:r>
      <w:r>
        <w:rPr/>
        <w:t>the</w:t>
      </w:r>
      <w:r>
        <w:rPr>
          <w:spacing w:val="-4"/>
        </w:rPr>
        <w:t> </w:t>
      </w:r>
      <w:r>
        <w:rPr/>
        <w:t>Niger</w:t>
      </w:r>
      <w:r>
        <w:rPr>
          <w:spacing w:val="-2"/>
        </w:rPr>
        <w:t> </w:t>
      </w:r>
      <w:r>
        <w:rPr/>
        <w:t>Delta</w:t>
      </w:r>
      <w:r>
        <w:rPr>
          <w:spacing w:val="-4"/>
        </w:rPr>
        <w:t> </w:t>
      </w:r>
      <w:r>
        <w:rPr/>
        <w:t>conflict. Most interviewees noted that no one solution to the Niger Delta conflict. Rather a multifaceted strategies and approaches must be</w:t>
      </w:r>
      <w:r>
        <w:rPr>
          <w:spacing w:val="-1"/>
        </w:rPr>
        <w:t> </w:t>
      </w:r>
      <w:r>
        <w:rPr/>
        <w:t>evolved/used such that would include; cultural and morale re-orientation of the populace, building military capacity to monitor security situation, dialogue as well as international co-operations.</w:t>
      </w:r>
    </w:p>
    <w:p>
      <w:pPr>
        <w:pStyle w:val="BodyText"/>
        <w:spacing w:before="2"/>
        <w:ind w:left="0"/>
      </w:pPr>
    </w:p>
    <w:p>
      <w:pPr>
        <w:pStyle w:val="Heading2"/>
        <w:numPr>
          <w:ilvl w:val="3"/>
          <w:numId w:val="26"/>
        </w:numPr>
        <w:tabs>
          <w:tab w:pos="2580" w:val="left" w:leader="none"/>
        </w:tabs>
        <w:spacing w:line="360" w:lineRule="auto" w:before="0" w:after="0"/>
        <w:ind w:left="1440" w:right="1532" w:firstLine="0"/>
        <w:jc w:val="both"/>
      </w:pPr>
      <w:r>
        <w:rPr/>
        <w:t>RQI9:</w:t>
      </w:r>
      <w:r>
        <w:rPr>
          <w:spacing w:val="-5"/>
        </w:rPr>
        <w:t> </w:t>
      </w:r>
      <w:r>
        <w:rPr/>
        <w:t>Perception</w:t>
      </w:r>
      <w:r>
        <w:rPr>
          <w:spacing w:val="-3"/>
        </w:rPr>
        <w:t> </w:t>
      </w:r>
      <w:r>
        <w:rPr/>
        <w:t>on</w:t>
      </w:r>
      <w:r>
        <w:rPr>
          <w:spacing w:val="-5"/>
        </w:rPr>
        <w:t> </w:t>
      </w:r>
      <w:r>
        <w:rPr/>
        <w:t>Whether</w:t>
      </w:r>
      <w:r>
        <w:rPr>
          <w:spacing w:val="-7"/>
        </w:rPr>
        <w:t> </w:t>
      </w:r>
      <w:r>
        <w:rPr/>
        <w:t>Observable</w:t>
      </w:r>
      <w:r>
        <w:rPr>
          <w:spacing w:val="-5"/>
        </w:rPr>
        <w:t> </w:t>
      </w:r>
      <w:r>
        <w:rPr/>
        <w:t>Mistakes</w:t>
      </w:r>
      <w:r>
        <w:rPr>
          <w:spacing w:val="-5"/>
        </w:rPr>
        <w:t> </w:t>
      </w:r>
      <w:r>
        <w:rPr/>
        <w:t>Were</w:t>
      </w:r>
      <w:r>
        <w:rPr>
          <w:spacing w:val="-4"/>
        </w:rPr>
        <w:t> </w:t>
      </w:r>
      <w:r>
        <w:rPr/>
        <w:t>Made</w:t>
      </w:r>
      <w:r>
        <w:rPr>
          <w:spacing w:val="-6"/>
        </w:rPr>
        <w:t> </w:t>
      </w:r>
      <w:r>
        <w:rPr/>
        <w:t>by the JTF during their Operation in the Niger Delta</w:t>
      </w:r>
    </w:p>
    <w:p>
      <w:pPr>
        <w:spacing w:line="360" w:lineRule="auto" w:before="0"/>
        <w:ind w:left="1440" w:right="1260" w:firstLine="0"/>
        <w:jc w:val="left"/>
        <w:rPr>
          <w:b/>
          <w:sz w:val="24"/>
        </w:rPr>
      </w:pPr>
      <w:r>
        <w:rPr>
          <w:b/>
          <w:sz w:val="24"/>
        </w:rPr>
        <w:t>Table</w:t>
      </w:r>
      <w:r>
        <w:rPr>
          <w:b/>
          <w:spacing w:val="-3"/>
          <w:sz w:val="24"/>
        </w:rPr>
        <w:t> </w:t>
      </w:r>
      <w:r>
        <w:rPr>
          <w:b/>
          <w:sz w:val="24"/>
        </w:rPr>
        <w:t>24:</w:t>
      </w:r>
      <w:r>
        <w:rPr>
          <w:b/>
          <w:spacing w:val="-5"/>
          <w:sz w:val="24"/>
        </w:rPr>
        <w:t> </w:t>
      </w:r>
      <w:r>
        <w:rPr>
          <w:b/>
          <w:sz w:val="24"/>
        </w:rPr>
        <w:t>Perception</w:t>
      </w:r>
      <w:r>
        <w:rPr>
          <w:b/>
          <w:spacing w:val="-3"/>
          <w:sz w:val="24"/>
        </w:rPr>
        <w:t> </w:t>
      </w:r>
      <w:r>
        <w:rPr>
          <w:b/>
          <w:sz w:val="24"/>
        </w:rPr>
        <w:t>on</w:t>
      </w:r>
      <w:r>
        <w:rPr>
          <w:b/>
          <w:spacing w:val="-3"/>
          <w:sz w:val="24"/>
        </w:rPr>
        <w:t> </w:t>
      </w:r>
      <w:r>
        <w:rPr>
          <w:b/>
          <w:sz w:val="24"/>
        </w:rPr>
        <w:t>Whether</w:t>
      </w:r>
      <w:r>
        <w:rPr>
          <w:b/>
          <w:spacing w:val="-5"/>
          <w:sz w:val="24"/>
        </w:rPr>
        <w:t> </w:t>
      </w:r>
      <w:r>
        <w:rPr>
          <w:b/>
          <w:sz w:val="24"/>
        </w:rPr>
        <w:t>Observable</w:t>
      </w:r>
      <w:r>
        <w:rPr>
          <w:b/>
          <w:spacing w:val="-2"/>
          <w:sz w:val="24"/>
        </w:rPr>
        <w:t> </w:t>
      </w:r>
      <w:r>
        <w:rPr>
          <w:b/>
          <w:sz w:val="24"/>
        </w:rPr>
        <w:t>Mistakes</w:t>
      </w:r>
      <w:r>
        <w:rPr>
          <w:b/>
          <w:spacing w:val="-3"/>
          <w:sz w:val="24"/>
        </w:rPr>
        <w:t> </w:t>
      </w:r>
      <w:r>
        <w:rPr>
          <w:b/>
          <w:sz w:val="24"/>
        </w:rPr>
        <w:t>Were</w:t>
      </w:r>
      <w:r>
        <w:rPr>
          <w:b/>
          <w:spacing w:val="-4"/>
          <w:sz w:val="24"/>
        </w:rPr>
        <w:t> </w:t>
      </w:r>
      <w:r>
        <w:rPr>
          <w:b/>
          <w:sz w:val="24"/>
        </w:rPr>
        <w:t>Made</w:t>
      </w:r>
      <w:r>
        <w:rPr>
          <w:b/>
          <w:spacing w:val="-4"/>
          <w:sz w:val="24"/>
        </w:rPr>
        <w:t> </w:t>
      </w:r>
      <w:r>
        <w:rPr>
          <w:b/>
          <w:sz w:val="24"/>
        </w:rPr>
        <w:t>by</w:t>
      </w:r>
      <w:r>
        <w:rPr>
          <w:b/>
          <w:spacing w:val="-3"/>
          <w:sz w:val="24"/>
        </w:rPr>
        <w:t> </w:t>
      </w:r>
      <w:r>
        <w:rPr>
          <w:b/>
          <w:sz w:val="24"/>
        </w:rPr>
        <w:t>the</w:t>
      </w:r>
      <w:r>
        <w:rPr>
          <w:b/>
          <w:spacing w:val="-4"/>
          <w:sz w:val="24"/>
        </w:rPr>
        <w:t> </w:t>
      </w:r>
      <w:r>
        <w:rPr>
          <w:b/>
          <w:sz w:val="24"/>
        </w:rPr>
        <w:t>JTF during their Operation in the Niger Delta</w:t>
      </w: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54"/>
        <w:gridCol w:w="2847"/>
        <w:gridCol w:w="826"/>
        <w:gridCol w:w="1003"/>
        <w:gridCol w:w="1190"/>
        <w:gridCol w:w="2153"/>
      </w:tblGrid>
      <w:tr>
        <w:trPr>
          <w:trHeight w:val="445" w:hRule="atLeast"/>
        </w:trPr>
        <w:tc>
          <w:tcPr>
            <w:tcW w:w="754" w:type="dxa"/>
          </w:tcPr>
          <w:p>
            <w:pPr>
              <w:pStyle w:val="TableParagraph"/>
              <w:rPr>
                <w:sz w:val="24"/>
              </w:rPr>
            </w:pPr>
          </w:p>
        </w:tc>
        <w:tc>
          <w:tcPr>
            <w:tcW w:w="2847" w:type="dxa"/>
          </w:tcPr>
          <w:p>
            <w:pPr>
              <w:pStyle w:val="TableParagraph"/>
              <w:rPr>
                <w:sz w:val="24"/>
              </w:rPr>
            </w:pPr>
          </w:p>
        </w:tc>
        <w:tc>
          <w:tcPr>
            <w:tcW w:w="826" w:type="dxa"/>
          </w:tcPr>
          <w:p>
            <w:pPr>
              <w:pStyle w:val="TableParagraph"/>
              <w:spacing w:before="15"/>
              <w:ind w:left="10" w:right="6"/>
              <w:jc w:val="center"/>
              <w:rPr>
                <w:b/>
                <w:sz w:val="24"/>
              </w:rPr>
            </w:pPr>
            <w:r>
              <w:rPr>
                <w:b/>
                <w:spacing w:val="-10"/>
                <w:sz w:val="24"/>
              </w:rPr>
              <w:t>N</w:t>
            </w:r>
          </w:p>
        </w:tc>
        <w:tc>
          <w:tcPr>
            <w:tcW w:w="1003" w:type="dxa"/>
          </w:tcPr>
          <w:p>
            <w:pPr>
              <w:pStyle w:val="TableParagraph"/>
              <w:spacing w:before="15"/>
              <w:ind w:left="8"/>
              <w:jc w:val="center"/>
              <w:rPr>
                <w:b/>
                <w:sz w:val="24"/>
              </w:rPr>
            </w:pPr>
            <w:r>
              <w:rPr>
                <w:b/>
                <w:spacing w:val="-4"/>
                <w:sz w:val="24"/>
              </w:rPr>
              <w:t>Mean</w:t>
            </w:r>
          </w:p>
        </w:tc>
        <w:tc>
          <w:tcPr>
            <w:tcW w:w="1190" w:type="dxa"/>
          </w:tcPr>
          <w:p>
            <w:pPr>
              <w:pStyle w:val="TableParagraph"/>
              <w:spacing w:before="15"/>
              <w:ind w:left="10" w:right="1"/>
              <w:jc w:val="center"/>
              <w:rPr>
                <w:b/>
                <w:sz w:val="24"/>
              </w:rPr>
            </w:pPr>
            <w:r>
              <w:rPr>
                <w:b/>
                <w:spacing w:val="-5"/>
                <w:sz w:val="24"/>
              </w:rPr>
              <w:t>SD</w:t>
            </w:r>
          </w:p>
        </w:tc>
        <w:tc>
          <w:tcPr>
            <w:tcW w:w="2153" w:type="dxa"/>
          </w:tcPr>
          <w:p>
            <w:pPr>
              <w:pStyle w:val="TableParagraph"/>
              <w:spacing w:before="15"/>
              <w:ind w:left="9" w:right="3"/>
              <w:jc w:val="center"/>
              <w:rPr>
                <w:b/>
                <w:sz w:val="24"/>
              </w:rPr>
            </w:pPr>
            <w:r>
              <w:rPr>
                <w:b/>
                <w:sz w:val="24"/>
              </w:rPr>
              <w:t>Level</w:t>
            </w:r>
            <w:r>
              <w:rPr>
                <w:b/>
                <w:spacing w:val="-3"/>
                <w:sz w:val="24"/>
              </w:rPr>
              <w:t> </w:t>
            </w:r>
            <w:r>
              <w:rPr>
                <w:b/>
                <w:sz w:val="24"/>
              </w:rPr>
              <w:t>of </w:t>
            </w:r>
            <w:r>
              <w:rPr>
                <w:b/>
                <w:spacing w:val="-2"/>
                <w:sz w:val="24"/>
              </w:rPr>
              <w:t>Agreement</w:t>
            </w:r>
          </w:p>
        </w:tc>
      </w:tr>
      <w:tr>
        <w:trPr>
          <w:trHeight w:val="417" w:hRule="atLeast"/>
        </w:trPr>
        <w:tc>
          <w:tcPr>
            <w:tcW w:w="754" w:type="dxa"/>
          </w:tcPr>
          <w:p>
            <w:pPr>
              <w:pStyle w:val="TableParagraph"/>
              <w:spacing w:line="270" w:lineRule="exact"/>
              <w:ind w:left="175"/>
              <w:rPr>
                <w:sz w:val="24"/>
              </w:rPr>
            </w:pPr>
            <w:r>
              <w:rPr>
                <w:spacing w:val="-5"/>
                <w:sz w:val="24"/>
              </w:rPr>
              <w:t>B72</w:t>
            </w:r>
          </w:p>
        </w:tc>
        <w:tc>
          <w:tcPr>
            <w:tcW w:w="2847" w:type="dxa"/>
          </w:tcPr>
          <w:p>
            <w:pPr>
              <w:pStyle w:val="TableParagraph"/>
              <w:spacing w:line="270" w:lineRule="exact"/>
              <w:ind w:left="8"/>
              <w:rPr>
                <w:sz w:val="24"/>
              </w:rPr>
            </w:pPr>
            <w:r>
              <w:rPr>
                <w:sz w:val="24"/>
              </w:rPr>
              <w:t>High</w:t>
            </w:r>
            <w:r>
              <w:rPr>
                <w:spacing w:val="-3"/>
                <w:sz w:val="24"/>
              </w:rPr>
              <w:t> </w:t>
            </w:r>
            <w:r>
              <w:rPr>
                <w:spacing w:val="-2"/>
                <w:sz w:val="24"/>
              </w:rPr>
              <w:t>handedness.</w:t>
            </w:r>
          </w:p>
        </w:tc>
        <w:tc>
          <w:tcPr>
            <w:tcW w:w="826" w:type="dxa"/>
          </w:tcPr>
          <w:p>
            <w:pPr>
              <w:pStyle w:val="TableParagraph"/>
              <w:spacing w:line="270" w:lineRule="exact"/>
              <w:ind w:left="10" w:right="7"/>
              <w:jc w:val="center"/>
              <w:rPr>
                <w:sz w:val="24"/>
              </w:rPr>
            </w:pPr>
            <w:r>
              <w:rPr>
                <w:spacing w:val="-5"/>
                <w:sz w:val="24"/>
              </w:rPr>
              <w:t>229</w:t>
            </w:r>
          </w:p>
        </w:tc>
        <w:tc>
          <w:tcPr>
            <w:tcW w:w="1003" w:type="dxa"/>
          </w:tcPr>
          <w:p>
            <w:pPr>
              <w:pStyle w:val="TableParagraph"/>
              <w:spacing w:line="270" w:lineRule="exact"/>
              <w:ind w:left="8" w:right="2"/>
              <w:jc w:val="center"/>
              <w:rPr>
                <w:sz w:val="24"/>
              </w:rPr>
            </w:pPr>
            <w:r>
              <w:rPr>
                <w:spacing w:val="-4"/>
                <w:sz w:val="24"/>
              </w:rPr>
              <w:t>2.74</w:t>
            </w:r>
          </w:p>
        </w:tc>
        <w:tc>
          <w:tcPr>
            <w:tcW w:w="1190" w:type="dxa"/>
          </w:tcPr>
          <w:p>
            <w:pPr>
              <w:pStyle w:val="TableParagraph"/>
              <w:spacing w:line="270" w:lineRule="exact"/>
              <w:ind w:left="10" w:right="3"/>
              <w:jc w:val="center"/>
              <w:rPr>
                <w:sz w:val="24"/>
              </w:rPr>
            </w:pPr>
            <w:r>
              <w:rPr>
                <w:spacing w:val="-4"/>
                <w:sz w:val="24"/>
              </w:rPr>
              <w:t>.982</w:t>
            </w:r>
          </w:p>
        </w:tc>
        <w:tc>
          <w:tcPr>
            <w:tcW w:w="2153" w:type="dxa"/>
          </w:tcPr>
          <w:p>
            <w:pPr>
              <w:pStyle w:val="TableParagraph"/>
              <w:spacing w:line="270" w:lineRule="exact"/>
              <w:ind w:left="9"/>
              <w:jc w:val="center"/>
              <w:rPr>
                <w:sz w:val="24"/>
              </w:rPr>
            </w:pPr>
            <w:r>
              <w:rPr>
                <w:spacing w:val="-10"/>
                <w:sz w:val="24"/>
              </w:rPr>
              <w:t>A</w:t>
            </w:r>
          </w:p>
        </w:tc>
      </w:tr>
      <w:tr>
        <w:trPr>
          <w:trHeight w:val="341" w:hRule="atLeast"/>
        </w:trPr>
        <w:tc>
          <w:tcPr>
            <w:tcW w:w="754" w:type="dxa"/>
            <w:vMerge w:val="restart"/>
          </w:tcPr>
          <w:p>
            <w:pPr>
              <w:pStyle w:val="TableParagraph"/>
              <w:spacing w:line="270" w:lineRule="exact"/>
              <w:ind w:left="175"/>
              <w:rPr>
                <w:sz w:val="24"/>
              </w:rPr>
            </w:pPr>
            <w:r>
              <w:rPr>
                <w:spacing w:val="-5"/>
                <w:sz w:val="24"/>
              </w:rPr>
              <w:t>B73</w:t>
            </w:r>
          </w:p>
        </w:tc>
        <w:tc>
          <w:tcPr>
            <w:tcW w:w="2847" w:type="dxa"/>
            <w:tcBorders>
              <w:bottom w:val="nil"/>
            </w:tcBorders>
          </w:tcPr>
          <w:p>
            <w:pPr>
              <w:pStyle w:val="TableParagraph"/>
              <w:spacing w:line="270" w:lineRule="exact"/>
              <w:ind w:left="8"/>
              <w:rPr>
                <w:sz w:val="24"/>
              </w:rPr>
            </w:pPr>
            <w:r>
              <w:rPr>
                <w:sz w:val="24"/>
              </w:rPr>
              <w:t>Connivance</w:t>
            </w:r>
            <w:r>
              <w:rPr>
                <w:spacing w:val="-4"/>
                <w:sz w:val="24"/>
              </w:rPr>
              <w:t> </w:t>
            </w:r>
            <w:r>
              <w:rPr>
                <w:sz w:val="24"/>
              </w:rPr>
              <w:t>with</w:t>
            </w:r>
            <w:r>
              <w:rPr>
                <w:spacing w:val="-1"/>
                <w:sz w:val="24"/>
              </w:rPr>
              <w:t> </w:t>
            </w:r>
            <w:r>
              <w:rPr>
                <w:spacing w:val="-5"/>
                <w:sz w:val="24"/>
              </w:rPr>
              <w:t>oil</w:t>
            </w:r>
          </w:p>
        </w:tc>
        <w:tc>
          <w:tcPr>
            <w:tcW w:w="826" w:type="dxa"/>
            <w:vMerge w:val="restart"/>
          </w:tcPr>
          <w:p>
            <w:pPr>
              <w:pStyle w:val="TableParagraph"/>
              <w:spacing w:before="135"/>
              <w:rPr>
                <w:b/>
                <w:sz w:val="24"/>
              </w:rPr>
            </w:pPr>
          </w:p>
          <w:p>
            <w:pPr>
              <w:pStyle w:val="TableParagraph"/>
              <w:ind w:left="229"/>
              <w:rPr>
                <w:sz w:val="24"/>
              </w:rPr>
            </w:pPr>
            <w:r>
              <w:rPr>
                <w:spacing w:val="-5"/>
                <w:sz w:val="24"/>
              </w:rPr>
              <w:t>229</w:t>
            </w:r>
          </w:p>
        </w:tc>
        <w:tc>
          <w:tcPr>
            <w:tcW w:w="1003" w:type="dxa"/>
            <w:vMerge w:val="restart"/>
          </w:tcPr>
          <w:p>
            <w:pPr>
              <w:pStyle w:val="TableParagraph"/>
              <w:spacing w:before="135"/>
              <w:rPr>
                <w:b/>
                <w:sz w:val="24"/>
              </w:rPr>
            </w:pPr>
          </w:p>
          <w:p>
            <w:pPr>
              <w:pStyle w:val="TableParagraph"/>
              <w:ind w:left="289"/>
              <w:rPr>
                <w:sz w:val="24"/>
              </w:rPr>
            </w:pPr>
            <w:r>
              <w:rPr>
                <w:spacing w:val="-4"/>
                <w:sz w:val="24"/>
              </w:rPr>
              <w:t>2.55</w:t>
            </w:r>
          </w:p>
        </w:tc>
        <w:tc>
          <w:tcPr>
            <w:tcW w:w="1190" w:type="dxa"/>
            <w:vMerge w:val="restart"/>
          </w:tcPr>
          <w:p>
            <w:pPr>
              <w:pStyle w:val="TableParagraph"/>
              <w:spacing w:before="135"/>
              <w:rPr>
                <w:b/>
                <w:sz w:val="24"/>
              </w:rPr>
            </w:pPr>
          </w:p>
          <w:p>
            <w:pPr>
              <w:pStyle w:val="TableParagraph"/>
              <w:ind w:left="323"/>
              <w:rPr>
                <w:sz w:val="24"/>
              </w:rPr>
            </w:pPr>
            <w:r>
              <w:rPr>
                <w:spacing w:val="-2"/>
                <w:sz w:val="24"/>
              </w:rPr>
              <w:t>1.094</w:t>
            </w:r>
          </w:p>
        </w:tc>
        <w:tc>
          <w:tcPr>
            <w:tcW w:w="2153" w:type="dxa"/>
            <w:vMerge w:val="restart"/>
          </w:tcPr>
          <w:p>
            <w:pPr>
              <w:pStyle w:val="TableParagraph"/>
              <w:spacing w:before="135"/>
              <w:rPr>
                <w:b/>
                <w:sz w:val="24"/>
              </w:rPr>
            </w:pPr>
          </w:p>
          <w:p>
            <w:pPr>
              <w:pStyle w:val="TableParagraph"/>
              <w:ind w:left="9"/>
              <w:jc w:val="center"/>
              <w:rPr>
                <w:sz w:val="24"/>
              </w:rPr>
            </w:pPr>
            <w:r>
              <w:rPr>
                <w:spacing w:val="-10"/>
                <w:sz w:val="24"/>
              </w:rPr>
              <w:t>A</w:t>
            </w:r>
          </w:p>
        </w:tc>
      </w:tr>
      <w:tr>
        <w:trPr>
          <w:trHeight w:val="486" w:hRule="atLeast"/>
        </w:trPr>
        <w:tc>
          <w:tcPr>
            <w:tcW w:w="754" w:type="dxa"/>
            <w:vMerge/>
            <w:tcBorders>
              <w:top w:val="nil"/>
            </w:tcBorders>
          </w:tcPr>
          <w:p>
            <w:pPr>
              <w:rPr>
                <w:sz w:val="2"/>
                <w:szCs w:val="2"/>
              </w:rPr>
            </w:pPr>
          </w:p>
        </w:tc>
        <w:tc>
          <w:tcPr>
            <w:tcW w:w="2847" w:type="dxa"/>
            <w:tcBorders>
              <w:top w:val="nil"/>
            </w:tcBorders>
          </w:tcPr>
          <w:p>
            <w:pPr>
              <w:pStyle w:val="TableParagraph"/>
              <w:spacing w:before="60"/>
              <w:ind w:left="8"/>
              <w:rPr>
                <w:sz w:val="24"/>
              </w:rPr>
            </w:pPr>
            <w:r>
              <w:rPr>
                <w:spacing w:val="-2"/>
                <w:sz w:val="24"/>
              </w:rPr>
              <w:t>Bunkerers.</w:t>
            </w:r>
          </w:p>
        </w:tc>
        <w:tc>
          <w:tcPr>
            <w:tcW w:w="826" w:type="dxa"/>
            <w:vMerge/>
            <w:tcBorders>
              <w:top w:val="nil"/>
            </w:tcBorders>
          </w:tcPr>
          <w:p>
            <w:pPr>
              <w:rPr>
                <w:sz w:val="2"/>
                <w:szCs w:val="2"/>
              </w:rPr>
            </w:pPr>
          </w:p>
        </w:tc>
        <w:tc>
          <w:tcPr>
            <w:tcW w:w="1003" w:type="dxa"/>
            <w:vMerge/>
            <w:tcBorders>
              <w:top w:val="nil"/>
            </w:tcBorders>
          </w:tcPr>
          <w:p>
            <w:pPr>
              <w:rPr>
                <w:sz w:val="2"/>
                <w:szCs w:val="2"/>
              </w:rPr>
            </w:pPr>
          </w:p>
        </w:tc>
        <w:tc>
          <w:tcPr>
            <w:tcW w:w="1190" w:type="dxa"/>
            <w:vMerge/>
            <w:tcBorders>
              <w:top w:val="nil"/>
            </w:tcBorders>
          </w:tcPr>
          <w:p>
            <w:pPr>
              <w:rPr>
                <w:sz w:val="2"/>
                <w:szCs w:val="2"/>
              </w:rPr>
            </w:pPr>
          </w:p>
        </w:tc>
        <w:tc>
          <w:tcPr>
            <w:tcW w:w="2153" w:type="dxa"/>
            <w:vMerge/>
            <w:tcBorders>
              <w:top w:val="nil"/>
            </w:tcBorders>
          </w:tcPr>
          <w:p>
            <w:pPr>
              <w:rPr>
                <w:sz w:val="2"/>
                <w:szCs w:val="2"/>
              </w:rPr>
            </w:pPr>
          </w:p>
        </w:tc>
      </w:tr>
      <w:tr>
        <w:trPr>
          <w:trHeight w:val="342" w:hRule="atLeast"/>
        </w:trPr>
        <w:tc>
          <w:tcPr>
            <w:tcW w:w="754" w:type="dxa"/>
            <w:vMerge w:val="restart"/>
          </w:tcPr>
          <w:p>
            <w:pPr>
              <w:pStyle w:val="TableParagraph"/>
              <w:spacing w:line="273" w:lineRule="exact"/>
              <w:ind w:left="175"/>
              <w:rPr>
                <w:sz w:val="24"/>
              </w:rPr>
            </w:pPr>
            <w:r>
              <w:rPr>
                <w:spacing w:val="-5"/>
                <w:sz w:val="24"/>
              </w:rPr>
              <w:t>B74</w:t>
            </w:r>
          </w:p>
        </w:tc>
        <w:tc>
          <w:tcPr>
            <w:tcW w:w="2847" w:type="dxa"/>
            <w:tcBorders>
              <w:bottom w:val="nil"/>
            </w:tcBorders>
          </w:tcPr>
          <w:p>
            <w:pPr>
              <w:pStyle w:val="TableParagraph"/>
              <w:spacing w:line="273" w:lineRule="exact"/>
              <w:ind w:left="8"/>
              <w:rPr>
                <w:sz w:val="24"/>
              </w:rPr>
            </w:pPr>
            <w:r>
              <w:rPr>
                <w:sz w:val="24"/>
              </w:rPr>
              <w:t>Connivance</w:t>
            </w:r>
            <w:r>
              <w:rPr>
                <w:spacing w:val="-4"/>
                <w:sz w:val="24"/>
              </w:rPr>
              <w:t> </w:t>
            </w:r>
            <w:r>
              <w:rPr>
                <w:sz w:val="24"/>
              </w:rPr>
              <w:t>with</w:t>
            </w:r>
            <w:r>
              <w:rPr>
                <w:spacing w:val="-1"/>
                <w:sz w:val="24"/>
              </w:rPr>
              <w:t> </w:t>
            </w:r>
            <w:r>
              <w:rPr>
                <w:spacing w:val="-4"/>
                <w:sz w:val="24"/>
              </w:rPr>
              <w:t>anti</w:t>
            </w:r>
          </w:p>
        </w:tc>
        <w:tc>
          <w:tcPr>
            <w:tcW w:w="826" w:type="dxa"/>
            <w:vMerge w:val="restart"/>
          </w:tcPr>
          <w:p>
            <w:pPr>
              <w:pStyle w:val="TableParagraph"/>
              <w:spacing w:before="135"/>
              <w:rPr>
                <w:b/>
                <w:sz w:val="24"/>
              </w:rPr>
            </w:pPr>
          </w:p>
          <w:p>
            <w:pPr>
              <w:pStyle w:val="TableParagraph"/>
              <w:ind w:left="229"/>
              <w:rPr>
                <w:sz w:val="24"/>
              </w:rPr>
            </w:pPr>
            <w:r>
              <w:rPr>
                <w:spacing w:val="-5"/>
                <w:sz w:val="24"/>
              </w:rPr>
              <w:t>230</w:t>
            </w:r>
          </w:p>
        </w:tc>
        <w:tc>
          <w:tcPr>
            <w:tcW w:w="1003" w:type="dxa"/>
            <w:vMerge w:val="restart"/>
          </w:tcPr>
          <w:p>
            <w:pPr>
              <w:pStyle w:val="TableParagraph"/>
              <w:spacing w:before="135"/>
              <w:rPr>
                <w:b/>
                <w:sz w:val="24"/>
              </w:rPr>
            </w:pPr>
          </w:p>
          <w:p>
            <w:pPr>
              <w:pStyle w:val="TableParagraph"/>
              <w:ind w:left="289"/>
              <w:rPr>
                <w:sz w:val="24"/>
              </w:rPr>
            </w:pPr>
            <w:r>
              <w:rPr>
                <w:spacing w:val="-4"/>
                <w:sz w:val="24"/>
              </w:rPr>
              <w:t>2.36</w:t>
            </w:r>
          </w:p>
        </w:tc>
        <w:tc>
          <w:tcPr>
            <w:tcW w:w="1190" w:type="dxa"/>
            <w:vMerge w:val="restart"/>
          </w:tcPr>
          <w:p>
            <w:pPr>
              <w:pStyle w:val="TableParagraph"/>
              <w:spacing w:before="135"/>
              <w:rPr>
                <w:b/>
                <w:sz w:val="24"/>
              </w:rPr>
            </w:pPr>
          </w:p>
          <w:p>
            <w:pPr>
              <w:pStyle w:val="TableParagraph"/>
              <w:ind w:left="323"/>
              <w:rPr>
                <w:sz w:val="24"/>
              </w:rPr>
            </w:pPr>
            <w:r>
              <w:rPr>
                <w:spacing w:val="-2"/>
                <w:sz w:val="24"/>
              </w:rPr>
              <w:t>1.055</w:t>
            </w:r>
          </w:p>
        </w:tc>
        <w:tc>
          <w:tcPr>
            <w:tcW w:w="2153" w:type="dxa"/>
            <w:vMerge w:val="restart"/>
          </w:tcPr>
          <w:p>
            <w:pPr>
              <w:pStyle w:val="TableParagraph"/>
              <w:spacing w:before="135"/>
              <w:rPr>
                <w:b/>
                <w:sz w:val="24"/>
              </w:rPr>
            </w:pPr>
          </w:p>
          <w:p>
            <w:pPr>
              <w:pStyle w:val="TableParagraph"/>
              <w:ind w:left="9"/>
              <w:jc w:val="center"/>
              <w:rPr>
                <w:sz w:val="24"/>
              </w:rPr>
            </w:pPr>
            <w:r>
              <w:rPr>
                <w:spacing w:val="-10"/>
                <w:sz w:val="24"/>
              </w:rPr>
              <w:t>D</w:t>
            </w:r>
          </w:p>
        </w:tc>
      </w:tr>
      <w:tr>
        <w:trPr>
          <w:trHeight w:val="483" w:hRule="atLeast"/>
        </w:trPr>
        <w:tc>
          <w:tcPr>
            <w:tcW w:w="754" w:type="dxa"/>
            <w:vMerge/>
            <w:tcBorders>
              <w:top w:val="nil"/>
            </w:tcBorders>
          </w:tcPr>
          <w:p>
            <w:pPr>
              <w:rPr>
                <w:sz w:val="2"/>
                <w:szCs w:val="2"/>
              </w:rPr>
            </w:pPr>
          </w:p>
        </w:tc>
        <w:tc>
          <w:tcPr>
            <w:tcW w:w="2847" w:type="dxa"/>
            <w:tcBorders>
              <w:top w:val="nil"/>
            </w:tcBorders>
          </w:tcPr>
          <w:p>
            <w:pPr>
              <w:pStyle w:val="TableParagraph"/>
              <w:spacing w:before="59"/>
              <w:ind w:left="8"/>
              <w:rPr>
                <w:sz w:val="24"/>
              </w:rPr>
            </w:pPr>
            <w:r>
              <w:rPr>
                <w:sz w:val="24"/>
              </w:rPr>
              <w:t>government</w:t>
            </w:r>
            <w:r>
              <w:rPr>
                <w:spacing w:val="-4"/>
                <w:sz w:val="24"/>
              </w:rPr>
              <w:t> </w:t>
            </w:r>
            <w:r>
              <w:rPr>
                <w:spacing w:val="-2"/>
                <w:sz w:val="24"/>
              </w:rPr>
              <w:t>agencies.</w:t>
            </w:r>
          </w:p>
        </w:tc>
        <w:tc>
          <w:tcPr>
            <w:tcW w:w="826" w:type="dxa"/>
            <w:vMerge/>
            <w:tcBorders>
              <w:top w:val="nil"/>
            </w:tcBorders>
          </w:tcPr>
          <w:p>
            <w:pPr>
              <w:rPr>
                <w:sz w:val="2"/>
                <w:szCs w:val="2"/>
              </w:rPr>
            </w:pPr>
          </w:p>
        </w:tc>
        <w:tc>
          <w:tcPr>
            <w:tcW w:w="1003" w:type="dxa"/>
            <w:vMerge/>
            <w:tcBorders>
              <w:top w:val="nil"/>
            </w:tcBorders>
          </w:tcPr>
          <w:p>
            <w:pPr>
              <w:rPr>
                <w:sz w:val="2"/>
                <w:szCs w:val="2"/>
              </w:rPr>
            </w:pPr>
          </w:p>
        </w:tc>
        <w:tc>
          <w:tcPr>
            <w:tcW w:w="1190" w:type="dxa"/>
            <w:vMerge/>
            <w:tcBorders>
              <w:top w:val="nil"/>
            </w:tcBorders>
          </w:tcPr>
          <w:p>
            <w:pPr>
              <w:rPr>
                <w:sz w:val="2"/>
                <w:szCs w:val="2"/>
              </w:rPr>
            </w:pPr>
          </w:p>
        </w:tc>
        <w:tc>
          <w:tcPr>
            <w:tcW w:w="2153" w:type="dxa"/>
            <w:vMerge/>
            <w:tcBorders>
              <w:top w:val="nil"/>
            </w:tcBorders>
          </w:tcPr>
          <w:p>
            <w:pPr>
              <w:rPr>
                <w:sz w:val="2"/>
                <w:szCs w:val="2"/>
              </w:rPr>
            </w:pPr>
          </w:p>
        </w:tc>
      </w:tr>
      <w:tr>
        <w:trPr>
          <w:trHeight w:val="338" w:hRule="atLeast"/>
        </w:trPr>
        <w:tc>
          <w:tcPr>
            <w:tcW w:w="754" w:type="dxa"/>
            <w:vMerge w:val="restart"/>
          </w:tcPr>
          <w:p>
            <w:pPr>
              <w:pStyle w:val="TableParagraph"/>
              <w:spacing w:line="270" w:lineRule="exact"/>
              <w:ind w:left="175"/>
              <w:rPr>
                <w:sz w:val="24"/>
              </w:rPr>
            </w:pPr>
            <w:r>
              <w:rPr>
                <w:spacing w:val="-5"/>
                <w:sz w:val="24"/>
              </w:rPr>
              <w:t>B75</w:t>
            </w:r>
          </w:p>
        </w:tc>
        <w:tc>
          <w:tcPr>
            <w:tcW w:w="2847" w:type="dxa"/>
            <w:tcBorders>
              <w:bottom w:val="nil"/>
            </w:tcBorders>
          </w:tcPr>
          <w:p>
            <w:pPr>
              <w:pStyle w:val="TableParagraph"/>
              <w:spacing w:line="270" w:lineRule="exact"/>
              <w:ind w:left="8"/>
              <w:rPr>
                <w:sz w:val="24"/>
              </w:rPr>
            </w:pPr>
            <w:r>
              <w:rPr>
                <w:sz w:val="24"/>
              </w:rPr>
              <w:t>Activities</w:t>
            </w:r>
            <w:r>
              <w:rPr>
                <w:spacing w:val="-4"/>
                <w:sz w:val="24"/>
              </w:rPr>
              <w:t> </w:t>
            </w:r>
            <w:r>
              <w:rPr>
                <w:sz w:val="24"/>
              </w:rPr>
              <w:t>results</w:t>
            </w:r>
            <w:r>
              <w:rPr>
                <w:spacing w:val="-2"/>
                <w:sz w:val="24"/>
              </w:rPr>
              <w:t> </w:t>
            </w:r>
            <w:r>
              <w:rPr>
                <w:spacing w:val="-4"/>
                <w:sz w:val="24"/>
              </w:rPr>
              <w:t>into</w:t>
            </w:r>
          </w:p>
        </w:tc>
        <w:tc>
          <w:tcPr>
            <w:tcW w:w="826" w:type="dxa"/>
            <w:vMerge w:val="restart"/>
          </w:tcPr>
          <w:p>
            <w:pPr>
              <w:pStyle w:val="TableParagraph"/>
              <w:spacing w:before="130"/>
              <w:rPr>
                <w:b/>
                <w:sz w:val="24"/>
              </w:rPr>
            </w:pPr>
          </w:p>
          <w:p>
            <w:pPr>
              <w:pStyle w:val="TableParagraph"/>
              <w:spacing w:before="1"/>
              <w:ind w:left="229"/>
              <w:rPr>
                <w:sz w:val="24"/>
              </w:rPr>
            </w:pPr>
            <w:r>
              <w:rPr>
                <w:spacing w:val="-5"/>
                <w:sz w:val="24"/>
              </w:rPr>
              <w:t>230</w:t>
            </w:r>
          </w:p>
        </w:tc>
        <w:tc>
          <w:tcPr>
            <w:tcW w:w="1003" w:type="dxa"/>
            <w:vMerge w:val="restart"/>
          </w:tcPr>
          <w:p>
            <w:pPr>
              <w:pStyle w:val="TableParagraph"/>
              <w:spacing w:before="130"/>
              <w:rPr>
                <w:b/>
                <w:sz w:val="24"/>
              </w:rPr>
            </w:pPr>
          </w:p>
          <w:p>
            <w:pPr>
              <w:pStyle w:val="TableParagraph"/>
              <w:spacing w:before="1"/>
              <w:ind w:left="289"/>
              <w:rPr>
                <w:sz w:val="24"/>
              </w:rPr>
            </w:pPr>
            <w:r>
              <w:rPr>
                <w:spacing w:val="-4"/>
                <w:sz w:val="24"/>
              </w:rPr>
              <w:t>2.49</w:t>
            </w:r>
          </w:p>
        </w:tc>
        <w:tc>
          <w:tcPr>
            <w:tcW w:w="1190" w:type="dxa"/>
            <w:vMerge w:val="restart"/>
          </w:tcPr>
          <w:p>
            <w:pPr>
              <w:pStyle w:val="TableParagraph"/>
              <w:spacing w:before="130"/>
              <w:rPr>
                <w:b/>
                <w:sz w:val="24"/>
              </w:rPr>
            </w:pPr>
          </w:p>
          <w:p>
            <w:pPr>
              <w:pStyle w:val="TableParagraph"/>
              <w:spacing w:before="1"/>
              <w:ind w:left="323"/>
              <w:rPr>
                <w:sz w:val="24"/>
              </w:rPr>
            </w:pPr>
            <w:r>
              <w:rPr>
                <w:spacing w:val="-2"/>
                <w:sz w:val="24"/>
              </w:rPr>
              <w:t>1.040</w:t>
            </w:r>
          </w:p>
        </w:tc>
        <w:tc>
          <w:tcPr>
            <w:tcW w:w="2153" w:type="dxa"/>
            <w:vMerge w:val="restart"/>
          </w:tcPr>
          <w:p>
            <w:pPr>
              <w:pStyle w:val="TableParagraph"/>
              <w:spacing w:before="130"/>
              <w:rPr>
                <w:b/>
                <w:sz w:val="24"/>
              </w:rPr>
            </w:pPr>
          </w:p>
          <w:p>
            <w:pPr>
              <w:pStyle w:val="TableParagraph"/>
              <w:spacing w:before="1"/>
              <w:ind w:left="9"/>
              <w:jc w:val="center"/>
              <w:rPr>
                <w:sz w:val="24"/>
              </w:rPr>
            </w:pPr>
            <w:r>
              <w:rPr>
                <w:spacing w:val="-10"/>
                <w:sz w:val="24"/>
              </w:rPr>
              <w:t>D</w:t>
            </w:r>
          </w:p>
        </w:tc>
      </w:tr>
      <w:tr>
        <w:trPr>
          <w:trHeight w:val="486" w:hRule="atLeast"/>
        </w:trPr>
        <w:tc>
          <w:tcPr>
            <w:tcW w:w="754" w:type="dxa"/>
            <w:vMerge/>
            <w:tcBorders>
              <w:top w:val="nil"/>
            </w:tcBorders>
          </w:tcPr>
          <w:p>
            <w:pPr>
              <w:rPr>
                <w:sz w:val="2"/>
                <w:szCs w:val="2"/>
              </w:rPr>
            </w:pPr>
          </w:p>
        </w:tc>
        <w:tc>
          <w:tcPr>
            <w:tcW w:w="2847" w:type="dxa"/>
            <w:tcBorders>
              <w:top w:val="nil"/>
            </w:tcBorders>
          </w:tcPr>
          <w:p>
            <w:pPr>
              <w:pStyle w:val="TableParagraph"/>
              <w:spacing w:before="58"/>
              <w:ind w:left="8"/>
              <w:rPr>
                <w:sz w:val="24"/>
              </w:rPr>
            </w:pPr>
            <w:r>
              <w:rPr>
                <w:sz w:val="24"/>
              </w:rPr>
              <w:t>collateral</w:t>
            </w:r>
            <w:r>
              <w:rPr>
                <w:spacing w:val="-5"/>
                <w:sz w:val="24"/>
              </w:rPr>
              <w:t> </w:t>
            </w:r>
            <w:r>
              <w:rPr>
                <w:spacing w:val="-2"/>
                <w:sz w:val="24"/>
              </w:rPr>
              <w:t>damages.</w:t>
            </w:r>
          </w:p>
        </w:tc>
        <w:tc>
          <w:tcPr>
            <w:tcW w:w="826" w:type="dxa"/>
            <w:vMerge/>
            <w:tcBorders>
              <w:top w:val="nil"/>
            </w:tcBorders>
          </w:tcPr>
          <w:p>
            <w:pPr>
              <w:rPr>
                <w:sz w:val="2"/>
                <w:szCs w:val="2"/>
              </w:rPr>
            </w:pPr>
          </w:p>
        </w:tc>
        <w:tc>
          <w:tcPr>
            <w:tcW w:w="1003" w:type="dxa"/>
            <w:vMerge/>
            <w:tcBorders>
              <w:top w:val="nil"/>
            </w:tcBorders>
          </w:tcPr>
          <w:p>
            <w:pPr>
              <w:rPr>
                <w:sz w:val="2"/>
                <w:szCs w:val="2"/>
              </w:rPr>
            </w:pPr>
          </w:p>
        </w:tc>
        <w:tc>
          <w:tcPr>
            <w:tcW w:w="1190" w:type="dxa"/>
            <w:vMerge/>
            <w:tcBorders>
              <w:top w:val="nil"/>
            </w:tcBorders>
          </w:tcPr>
          <w:p>
            <w:pPr>
              <w:rPr>
                <w:sz w:val="2"/>
                <w:szCs w:val="2"/>
              </w:rPr>
            </w:pPr>
          </w:p>
        </w:tc>
        <w:tc>
          <w:tcPr>
            <w:tcW w:w="2153" w:type="dxa"/>
            <w:vMerge/>
            <w:tcBorders>
              <w:top w:val="nil"/>
            </w:tcBorders>
          </w:tcPr>
          <w:p>
            <w:pPr>
              <w:rPr>
                <w:sz w:val="2"/>
                <w:szCs w:val="2"/>
              </w:rPr>
            </w:pPr>
          </w:p>
        </w:tc>
      </w:tr>
    </w:tbl>
    <w:p>
      <w:pPr>
        <w:pStyle w:val="BodyText"/>
        <w:spacing w:before="133"/>
        <w:ind w:left="0"/>
        <w:rPr>
          <w:b/>
        </w:rPr>
      </w:pPr>
    </w:p>
    <w:p>
      <w:pPr>
        <w:pStyle w:val="BodyText"/>
        <w:spacing w:line="360" w:lineRule="auto"/>
        <w:ind w:right="1258" w:firstLine="720"/>
        <w:jc w:val="both"/>
      </w:pPr>
      <w:r>
        <w:rPr/>
        <w:t>From the statistical data on Table 24, some respondents generally agree that the</w:t>
      </w:r>
      <w:r>
        <w:rPr>
          <w:spacing w:val="25"/>
        </w:rPr>
        <w:t> </w:t>
      </w:r>
      <w:r>
        <w:rPr/>
        <w:t>JTF</w:t>
      </w:r>
      <w:r>
        <w:rPr>
          <w:spacing w:val="25"/>
        </w:rPr>
        <w:t> </w:t>
      </w:r>
      <w:r>
        <w:rPr/>
        <w:t>exhibits</w:t>
      </w:r>
      <w:r>
        <w:rPr>
          <w:spacing w:val="29"/>
        </w:rPr>
        <w:t> </w:t>
      </w:r>
      <w:r>
        <w:rPr/>
        <w:t>some</w:t>
      </w:r>
      <w:r>
        <w:rPr>
          <w:spacing w:val="27"/>
        </w:rPr>
        <w:t> </w:t>
      </w:r>
      <w:r>
        <w:rPr/>
        <w:t>elements</w:t>
      </w:r>
      <w:r>
        <w:rPr>
          <w:spacing w:val="29"/>
        </w:rPr>
        <w:t> </w:t>
      </w:r>
      <w:r>
        <w:rPr/>
        <w:t>of</w:t>
      </w:r>
      <w:r>
        <w:rPr>
          <w:spacing w:val="26"/>
        </w:rPr>
        <w:t> </w:t>
      </w:r>
      <w:r>
        <w:rPr/>
        <w:t>high</w:t>
      </w:r>
      <w:r>
        <w:rPr>
          <w:spacing w:val="27"/>
        </w:rPr>
        <w:t> </w:t>
      </w:r>
      <w:r>
        <w:rPr/>
        <w:t>handedness</w:t>
      </w:r>
      <w:r>
        <w:rPr>
          <w:spacing w:val="29"/>
        </w:rPr>
        <w:t> </w:t>
      </w:r>
      <w:r>
        <w:rPr/>
        <w:t>and</w:t>
      </w:r>
      <w:r>
        <w:rPr>
          <w:spacing w:val="27"/>
        </w:rPr>
        <w:t> </w:t>
      </w:r>
      <w:r>
        <w:rPr/>
        <w:t>connivance</w:t>
      </w:r>
      <w:r>
        <w:rPr>
          <w:spacing w:val="29"/>
        </w:rPr>
        <w:t> </w:t>
      </w:r>
      <w:r>
        <w:rPr/>
        <w:t>with</w:t>
      </w:r>
      <w:r>
        <w:rPr>
          <w:spacing w:val="28"/>
        </w:rPr>
        <w:t> </w:t>
      </w:r>
      <w:r>
        <w:rPr/>
        <w:t>illegal</w:t>
      </w:r>
      <w:r>
        <w:rPr>
          <w:spacing w:val="29"/>
        </w:rPr>
        <w:t> </w:t>
      </w:r>
      <w:r>
        <w:rPr>
          <w:spacing w:val="-5"/>
        </w:rPr>
        <w:t>oil</w:t>
      </w:r>
    </w:p>
    <w:p>
      <w:pPr>
        <w:spacing w:after="0" w:line="360" w:lineRule="auto"/>
        <w:jc w:val="both"/>
        <w:sectPr>
          <w:pgSz w:w="11910" w:h="16840"/>
          <w:pgMar w:header="0" w:footer="1561" w:top="1360" w:bottom="1760" w:left="720" w:right="180"/>
        </w:sectPr>
      </w:pPr>
    </w:p>
    <w:p>
      <w:pPr>
        <w:pStyle w:val="BodyText"/>
        <w:spacing w:line="360" w:lineRule="auto" w:before="60"/>
        <w:ind w:right="1255"/>
        <w:jc w:val="both"/>
      </w:pPr>
      <w:r>
        <w:rPr/>
        <mc:AlternateContent>
          <mc:Choice Requires="wps">
            <w:drawing>
              <wp:anchor distT="0" distB="0" distL="0" distR="0" allowOverlap="1" layoutInCell="1" locked="0" behindDoc="1" simplePos="0" relativeHeight="480679424">
                <wp:simplePos x="0" y="0"/>
                <wp:positionH relativeFrom="page">
                  <wp:posOffset>-1537026</wp:posOffset>
                </wp:positionH>
                <wp:positionV relativeFrom="page">
                  <wp:posOffset>4900424</wp:posOffset>
                </wp:positionV>
                <wp:extent cx="10669905" cy="914400"/>
                <wp:effectExtent l="0" t="0" r="0" b="0"/>
                <wp:wrapNone/>
                <wp:docPr id="318" name="Textbox 318"/>
                <wp:cNvGraphicFramePr>
                  <a:graphicFrameLocks/>
                </wp:cNvGraphicFramePr>
                <a:graphic>
                  <a:graphicData uri="http://schemas.microsoft.com/office/word/2010/wordprocessingShape">
                    <wps:wsp>
                      <wps:cNvPr id="318" name="Textbox 318"/>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37056;rotation:306" type="#_x0000_t136" fillcolor="#ff5400" stroked="f">
                <o:extrusion v:ext="view" autorotationcenter="t"/>
                <v:textpath style="font-family:&quot;Arial MT&quot;;font-size:72pt;v-text-kern:t;mso-text-shadow:auto" string="UNIVERSITY OF IBADAN"/>
                <w10:wrap type="none"/>
              </v:shape>
            </w:pict>
          </mc:Fallback>
        </mc:AlternateContent>
      </w:r>
      <w:r>
        <w:rPr/>
        <w:t>bunkerers, while</w:t>
      </w:r>
      <w:r>
        <w:rPr>
          <w:spacing w:val="-1"/>
        </w:rPr>
        <w:t> </w:t>
      </w:r>
      <w:r>
        <w:rPr/>
        <w:t>carrying</w:t>
      </w:r>
      <w:r>
        <w:rPr>
          <w:spacing w:val="-3"/>
        </w:rPr>
        <w:t> </w:t>
      </w:r>
      <w:r>
        <w:rPr/>
        <w:t>out its operation. On</w:t>
      </w:r>
      <w:r>
        <w:rPr>
          <w:spacing w:val="-1"/>
        </w:rPr>
        <w:t> </w:t>
      </w:r>
      <w:r>
        <w:rPr/>
        <w:t>the</w:t>
      </w:r>
      <w:r>
        <w:rPr>
          <w:spacing w:val="-1"/>
        </w:rPr>
        <w:t> </w:t>
      </w:r>
      <w:r>
        <w:rPr/>
        <w:t>contrary, the respondents generally disagree with the views that JTF personnel connive with anti-governmental agencies and also that their activities have resulted into collateral damages.</w:t>
      </w:r>
    </w:p>
    <w:p>
      <w:pPr>
        <w:pStyle w:val="BodyText"/>
        <w:spacing w:line="360" w:lineRule="auto"/>
        <w:ind w:right="1257" w:firstLine="720"/>
        <w:jc w:val="both"/>
      </w:pPr>
      <w:r>
        <w:rPr/>
        <w:t>On whether the JTF operations are producing some negative activities, the study is on the affirmative. The cases of collateral damages occasioned by the JTF tasks were recorded and most times these cases are inevitable. For instance, the</w:t>
      </w:r>
      <w:r>
        <w:rPr>
          <w:spacing w:val="40"/>
        </w:rPr>
        <w:t> </w:t>
      </w:r>
      <w:r>
        <w:rPr/>
        <w:t>Okrika episode involving the manhunt of the militia leader Ateke Tom, the May</w:t>
      </w:r>
      <w:r>
        <w:rPr>
          <w:spacing w:val="-3"/>
        </w:rPr>
        <w:t> </w:t>
      </w:r>
      <w:r>
        <w:rPr/>
        <w:t>2009 counter – attack on militant camps of Okerenkoko, Oporozua as well as 2011 attacks on John Togo‟s camps in Ayakoroma, Delta State are cases in point. In the course of JTF operation, they have created personal, diplomatic, political and socio- economic </w:t>
      </w:r>
      <w:r>
        <w:rPr>
          <w:spacing w:val="-2"/>
        </w:rPr>
        <w:t>risks.</w:t>
      </w:r>
    </w:p>
    <w:p>
      <w:pPr>
        <w:pStyle w:val="BodyText"/>
        <w:spacing w:before="5"/>
        <w:ind w:left="0"/>
      </w:pPr>
    </w:p>
    <w:p>
      <w:pPr>
        <w:pStyle w:val="Heading2"/>
        <w:numPr>
          <w:ilvl w:val="3"/>
          <w:numId w:val="27"/>
        </w:numPr>
        <w:tabs>
          <w:tab w:pos="2400" w:val="left" w:leader="none"/>
        </w:tabs>
        <w:spacing w:line="360" w:lineRule="auto" w:before="0" w:after="0"/>
        <w:ind w:left="1440" w:right="1648" w:firstLine="0"/>
        <w:jc w:val="left"/>
      </w:pPr>
      <w:r>
        <w:rPr/>
        <w:t>RQ20:</w:t>
      </w:r>
      <w:r>
        <w:rPr>
          <w:spacing w:val="40"/>
        </w:rPr>
        <w:t> </w:t>
      </w:r>
      <w:r>
        <w:rPr/>
        <w:t>Perception</w:t>
      </w:r>
      <w:r>
        <w:rPr>
          <w:spacing w:val="-3"/>
        </w:rPr>
        <w:t> </w:t>
      </w:r>
      <w:r>
        <w:rPr/>
        <w:t>on</w:t>
      </w:r>
      <w:r>
        <w:rPr>
          <w:spacing w:val="-3"/>
        </w:rPr>
        <w:t> </w:t>
      </w:r>
      <w:r>
        <w:rPr/>
        <w:t>Challenges</w:t>
      </w:r>
      <w:r>
        <w:rPr>
          <w:spacing w:val="-3"/>
        </w:rPr>
        <w:t> </w:t>
      </w:r>
      <w:r>
        <w:rPr/>
        <w:t>Facing</w:t>
      </w:r>
      <w:r>
        <w:rPr>
          <w:spacing w:val="-3"/>
        </w:rPr>
        <w:t> </w:t>
      </w:r>
      <w:r>
        <w:rPr/>
        <w:t>the</w:t>
      </w:r>
      <w:r>
        <w:rPr>
          <w:spacing w:val="-4"/>
        </w:rPr>
        <w:t> </w:t>
      </w:r>
      <w:r>
        <w:rPr/>
        <w:t>JTF</w:t>
      </w:r>
      <w:r>
        <w:rPr>
          <w:spacing w:val="-5"/>
        </w:rPr>
        <w:t> </w:t>
      </w:r>
      <w:r>
        <w:rPr/>
        <w:t>in</w:t>
      </w:r>
      <w:r>
        <w:rPr>
          <w:spacing w:val="-3"/>
        </w:rPr>
        <w:t> </w:t>
      </w:r>
      <w:r>
        <w:rPr/>
        <w:t>the</w:t>
      </w:r>
      <w:r>
        <w:rPr>
          <w:spacing w:val="-4"/>
        </w:rPr>
        <w:t> </w:t>
      </w:r>
      <w:r>
        <w:rPr/>
        <w:t>Niger</w:t>
      </w:r>
      <w:r>
        <w:rPr>
          <w:spacing w:val="-4"/>
        </w:rPr>
        <w:t> </w:t>
      </w:r>
      <w:r>
        <w:rPr/>
        <w:t>Delta. Table 25: Perception on Challenges Facing the JTF in the Niger Delta</w:t>
      </w: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9"/>
        <w:gridCol w:w="3250"/>
        <w:gridCol w:w="835"/>
        <w:gridCol w:w="926"/>
        <w:gridCol w:w="900"/>
        <w:gridCol w:w="2161"/>
      </w:tblGrid>
      <w:tr>
        <w:trPr>
          <w:trHeight w:val="441" w:hRule="atLeast"/>
        </w:trPr>
        <w:tc>
          <w:tcPr>
            <w:tcW w:w="749" w:type="dxa"/>
          </w:tcPr>
          <w:p>
            <w:pPr>
              <w:pStyle w:val="TableParagraph"/>
              <w:rPr>
                <w:sz w:val="24"/>
              </w:rPr>
            </w:pPr>
          </w:p>
        </w:tc>
        <w:tc>
          <w:tcPr>
            <w:tcW w:w="3250" w:type="dxa"/>
          </w:tcPr>
          <w:p>
            <w:pPr>
              <w:pStyle w:val="TableParagraph"/>
              <w:rPr>
                <w:sz w:val="24"/>
              </w:rPr>
            </w:pPr>
          </w:p>
        </w:tc>
        <w:tc>
          <w:tcPr>
            <w:tcW w:w="835" w:type="dxa"/>
          </w:tcPr>
          <w:p>
            <w:pPr>
              <w:pStyle w:val="TableParagraph"/>
              <w:spacing w:before="13"/>
              <w:ind w:left="11"/>
              <w:jc w:val="center"/>
              <w:rPr>
                <w:b/>
                <w:sz w:val="24"/>
              </w:rPr>
            </w:pPr>
            <w:r>
              <w:rPr>
                <w:b/>
                <w:spacing w:val="-10"/>
                <w:sz w:val="24"/>
              </w:rPr>
              <w:t>N</w:t>
            </w:r>
          </w:p>
        </w:tc>
        <w:tc>
          <w:tcPr>
            <w:tcW w:w="926" w:type="dxa"/>
          </w:tcPr>
          <w:p>
            <w:pPr>
              <w:pStyle w:val="TableParagraph"/>
              <w:spacing w:before="13"/>
              <w:ind w:left="10"/>
              <w:jc w:val="center"/>
              <w:rPr>
                <w:b/>
                <w:sz w:val="24"/>
              </w:rPr>
            </w:pPr>
            <w:r>
              <w:rPr>
                <w:b/>
                <w:spacing w:val="-4"/>
                <w:sz w:val="24"/>
              </w:rPr>
              <w:t>Mean</w:t>
            </w:r>
          </w:p>
        </w:tc>
        <w:tc>
          <w:tcPr>
            <w:tcW w:w="900" w:type="dxa"/>
          </w:tcPr>
          <w:p>
            <w:pPr>
              <w:pStyle w:val="TableParagraph"/>
              <w:spacing w:before="13"/>
              <w:ind w:left="11" w:right="2"/>
              <w:jc w:val="center"/>
              <w:rPr>
                <w:b/>
                <w:sz w:val="24"/>
              </w:rPr>
            </w:pPr>
            <w:r>
              <w:rPr>
                <w:b/>
                <w:spacing w:val="-5"/>
                <w:sz w:val="24"/>
              </w:rPr>
              <w:t>SD</w:t>
            </w:r>
          </w:p>
        </w:tc>
        <w:tc>
          <w:tcPr>
            <w:tcW w:w="2161" w:type="dxa"/>
          </w:tcPr>
          <w:p>
            <w:pPr>
              <w:pStyle w:val="TableParagraph"/>
              <w:spacing w:before="13"/>
              <w:ind w:left="12" w:right="2"/>
              <w:jc w:val="center"/>
              <w:rPr>
                <w:b/>
                <w:sz w:val="24"/>
              </w:rPr>
            </w:pPr>
            <w:r>
              <w:rPr>
                <w:b/>
                <w:sz w:val="24"/>
              </w:rPr>
              <w:t>Level</w:t>
            </w:r>
            <w:r>
              <w:rPr>
                <w:b/>
                <w:spacing w:val="-3"/>
                <w:sz w:val="24"/>
              </w:rPr>
              <w:t> </w:t>
            </w:r>
            <w:r>
              <w:rPr>
                <w:b/>
                <w:sz w:val="24"/>
              </w:rPr>
              <w:t>of </w:t>
            </w:r>
            <w:r>
              <w:rPr>
                <w:b/>
                <w:spacing w:val="-2"/>
                <w:sz w:val="24"/>
              </w:rPr>
              <w:t>Agreement</w:t>
            </w:r>
          </w:p>
        </w:tc>
      </w:tr>
      <w:tr>
        <w:trPr>
          <w:trHeight w:val="422" w:hRule="atLeast"/>
        </w:trPr>
        <w:tc>
          <w:tcPr>
            <w:tcW w:w="749" w:type="dxa"/>
          </w:tcPr>
          <w:p>
            <w:pPr>
              <w:pStyle w:val="TableParagraph"/>
              <w:spacing w:line="275" w:lineRule="exact"/>
              <w:ind w:left="4"/>
              <w:jc w:val="center"/>
              <w:rPr>
                <w:sz w:val="24"/>
              </w:rPr>
            </w:pPr>
            <w:r>
              <w:rPr>
                <w:spacing w:val="-5"/>
                <w:sz w:val="24"/>
              </w:rPr>
              <w:t>B76</w:t>
            </w:r>
          </w:p>
        </w:tc>
        <w:tc>
          <w:tcPr>
            <w:tcW w:w="3250" w:type="dxa"/>
          </w:tcPr>
          <w:p>
            <w:pPr>
              <w:pStyle w:val="TableParagraph"/>
              <w:spacing w:line="275" w:lineRule="exact"/>
              <w:ind w:left="9"/>
              <w:rPr>
                <w:sz w:val="24"/>
              </w:rPr>
            </w:pPr>
            <w:r>
              <w:rPr>
                <w:sz w:val="24"/>
              </w:rPr>
              <w:t>Inadequate</w:t>
            </w:r>
            <w:r>
              <w:rPr>
                <w:spacing w:val="-4"/>
                <w:sz w:val="24"/>
              </w:rPr>
              <w:t> </w:t>
            </w:r>
            <w:r>
              <w:rPr>
                <w:spacing w:val="-2"/>
                <w:sz w:val="24"/>
              </w:rPr>
              <w:t>logistics.</w:t>
            </w:r>
          </w:p>
        </w:tc>
        <w:tc>
          <w:tcPr>
            <w:tcW w:w="835" w:type="dxa"/>
          </w:tcPr>
          <w:p>
            <w:pPr>
              <w:pStyle w:val="TableParagraph"/>
              <w:spacing w:line="275" w:lineRule="exact"/>
              <w:ind w:left="11" w:right="2"/>
              <w:jc w:val="center"/>
              <w:rPr>
                <w:sz w:val="24"/>
              </w:rPr>
            </w:pPr>
            <w:r>
              <w:rPr>
                <w:spacing w:val="-5"/>
                <w:sz w:val="24"/>
              </w:rPr>
              <w:t>227</w:t>
            </w:r>
          </w:p>
        </w:tc>
        <w:tc>
          <w:tcPr>
            <w:tcW w:w="926" w:type="dxa"/>
          </w:tcPr>
          <w:p>
            <w:pPr>
              <w:pStyle w:val="TableParagraph"/>
              <w:spacing w:line="275" w:lineRule="exact"/>
              <w:ind w:left="10" w:right="2"/>
              <w:jc w:val="center"/>
              <w:rPr>
                <w:sz w:val="24"/>
              </w:rPr>
            </w:pPr>
            <w:r>
              <w:rPr>
                <w:spacing w:val="-4"/>
                <w:sz w:val="24"/>
              </w:rPr>
              <w:t>2.93</w:t>
            </w:r>
          </w:p>
        </w:tc>
        <w:tc>
          <w:tcPr>
            <w:tcW w:w="900" w:type="dxa"/>
          </w:tcPr>
          <w:p>
            <w:pPr>
              <w:pStyle w:val="TableParagraph"/>
              <w:spacing w:line="275" w:lineRule="exact"/>
              <w:ind w:left="11"/>
              <w:jc w:val="center"/>
              <w:rPr>
                <w:sz w:val="24"/>
              </w:rPr>
            </w:pPr>
            <w:r>
              <w:rPr>
                <w:spacing w:val="-2"/>
                <w:sz w:val="24"/>
              </w:rPr>
              <w:t>1.004</w:t>
            </w:r>
          </w:p>
        </w:tc>
        <w:tc>
          <w:tcPr>
            <w:tcW w:w="2161" w:type="dxa"/>
          </w:tcPr>
          <w:p>
            <w:pPr>
              <w:pStyle w:val="TableParagraph"/>
              <w:spacing w:line="275" w:lineRule="exact"/>
              <w:ind w:left="12"/>
              <w:jc w:val="center"/>
              <w:rPr>
                <w:sz w:val="24"/>
              </w:rPr>
            </w:pPr>
            <w:r>
              <w:rPr>
                <w:spacing w:val="-10"/>
                <w:sz w:val="24"/>
              </w:rPr>
              <w:t>A</w:t>
            </w:r>
          </w:p>
        </w:tc>
      </w:tr>
      <w:tr>
        <w:trPr>
          <w:trHeight w:val="356" w:hRule="atLeast"/>
        </w:trPr>
        <w:tc>
          <w:tcPr>
            <w:tcW w:w="749" w:type="dxa"/>
            <w:vMerge w:val="restart"/>
          </w:tcPr>
          <w:p>
            <w:pPr>
              <w:pStyle w:val="TableParagraph"/>
              <w:spacing w:before="6"/>
              <w:ind w:left="172"/>
              <w:rPr>
                <w:sz w:val="24"/>
              </w:rPr>
            </w:pPr>
            <w:r>
              <w:rPr>
                <w:spacing w:val="-5"/>
                <w:sz w:val="24"/>
              </w:rPr>
              <w:t>B77</w:t>
            </w:r>
          </w:p>
        </w:tc>
        <w:tc>
          <w:tcPr>
            <w:tcW w:w="3250" w:type="dxa"/>
            <w:tcBorders>
              <w:bottom w:val="nil"/>
            </w:tcBorders>
          </w:tcPr>
          <w:p>
            <w:pPr>
              <w:pStyle w:val="TableParagraph"/>
              <w:spacing w:before="6"/>
              <w:ind w:left="9"/>
              <w:rPr>
                <w:sz w:val="24"/>
              </w:rPr>
            </w:pPr>
            <w:r>
              <w:rPr>
                <w:sz w:val="24"/>
              </w:rPr>
              <w:t>Lack</w:t>
            </w:r>
            <w:r>
              <w:rPr>
                <w:spacing w:val="-2"/>
                <w:sz w:val="24"/>
              </w:rPr>
              <w:t> </w:t>
            </w:r>
            <w:r>
              <w:rPr>
                <w:sz w:val="24"/>
              </w:rPr>
              <w:t>of</w:t>
            </w:r>
            <w:r>
              <w:rPr>
                <w:spacing w:val="-2"/>
                <w:sz w:val="24"/>
              </w:rPr>
              <w:t> </w:t>
            </w:r>
            <w:r>
              <w:rPr>
                <w:sz w:val="24"/>
              </w:rPr>
              <w:t>goodwill</w:t>
            </w:r>
            <w:r>
              <w:rPr>
                <w:spacing w:val="-1"/>
                <w:sz w:val="24"/>
              </w:rPr>
              <w:t> </w:t>
            </w:r>
            <w:r>
              <w:rPr>
                <w:spacing w:val="-5"/>
                <w:sz w:val="24"/>
              </w:rPr>
              <w:t>and</w:t>
            </w:r>
          </w:p>
        </w:tc>
        <w:tc>
          <w:tcPr>
            <w:tcW w:w="835" w:type="dxa"/>
            <w:vMerge w:val="restart"/>
          </w:tcPr>
          <w:p>
            <w:pPr>
              <w:pStyle w:val="TableParagraph"/>
              <w:spacing w:before="154"/>
              <w:rPr>
                <w:b/>
                <w:sz w:val="24"/>
              </w:rPr>
            </w:pPr>
          </w:p>
          <w:p>
            <w:pPr>
              <w:pStyle w:val="TableParagraph"/>
              <w:spacing w:before="1"/>
              <w:ind w:left="237"/>
              <w:rPr>
                <w:sz w:val="24"/>
              </w:rPr>
            </w:pPr>
            <w:r>
              <w:rPr>
                <w:spacing w:val="-5"/>
                <w:sz w:val="24"/>
              </w:rPr>
              <w:t>227</w:t>
            </w:r>
          </w:p>
        </w:tc>
        <w:tc>
          <w:tcPr>
            <w:tcW w:w="926" w:type="dxa"/>
            <w:vMerge w:val="restart"/>
          </w:tcPr>
          <w:p>
            <w:pPr>
              <w:pStyle w:val="TableParagraph"/>
              <w:spacing w:before="154"/>
              <w:rPr>
                <w:b/>
                <w:sz w:val="24"/>
              </w:rPr>
            </w:pPr>
          </w:p>
          <w:p>
            <w:pPr>
              <w:pStyle w:val="TableParagraph"/>
              <w:spacing w:before="1"/>
              <w:ind w:left="252"/>
              <w:rPr>
                <w:sz w:val="24"/>
              </w:rPr>
            </w:pPr>
            <w:r>
              <w:rPr>
                <w:spacing w:val="-4"/>
                <w:sz w:val="24"/>
              </w:rPr>
              <w:t>2.92</w:t>
            </w:r>
          </w:p>
        </w:tc>
        <w:tc>
          <w:tcPr>
            <w:tcW w:w="900" w:type="dxa"/>
            <w:vMerge w:val="restart"/>
          </w:tcPr>
          <w:p>
            <w:pPr>
              <w:pStyle w:val="TableParagraph"/>
              <w:spacing w:before="154"/>
              <w:rPr>
                <w:b/>
                <w:sz w:val="24"/>
              </w:rPr>
            </w:pPr>
          </w:p>
          <w:p>
            <w:pPr>
              <w:pStyle w:val="TableParagraph"/>
              <w:spacing w:before="1"/>
              <w:ind w:left="240"/>
              <w:rPr>
                <w:sz w:val="24"/>
              </w:rPr>
            </w:pPr>
            <w:r>
              <w:rPr>
                <w:spacing w:val="-4"/>
                <w:sz w:val="24"/>
              </w:rPr>
              <w:t>.888</w:t>
            </w:r>
          </w:p>
        </w:tc>
        <w:tc>
          <w:tcPr>
            <w:tcW w:w="2161" w:type="dxa"/>
            <w:vMerge w:val="restart"/>
          </w:tcPr>
          <w:p>
            <w:pPr>
              <w:pStyle w:val="TableParagraph"/>
              <w:spacing w:before="154"/>
              <w:rPr>
                <w:b/>
                <w:sz w:val="24"/>
              </w:rPr>
            </w:pPr>
          </w:p>
          <w:p>
            <w:pPr>
              <w:pStyle w:val="TableParagraph"/>
              <w:spacing w:before="1"/>
              <w:ind w:left="12"/>
              <w:jc w:val="center"/>
              <w:rPr>
                <w:sz w:val="24"/>
              </w:rPr>
            </w:pPr>
            <w:r>
              <w:rPr>
                <w:spacing w:val="-10"/>
                <w:sz w:val="24"/>
              </w:rPr>
              <w:t>A</w:t>
            </w:r>
          </w:p>
        </w:tc>
      </w:tr>
      <w:tr>
        <w:trPr>
          <w:trHeight w:val="468" w:hRule="atLeast"/>
        </w:trPr>
        <w:tc>
          <w:tcPr>
            <w:tcW w:w="749" w:type="dxa"/>
            <w:vMerge/>
            <w:tcBorders>
              <w:top w:val="nil"/>
            </w:tcBorders>
          </w:tcPr>
          <w:p>
            <w:pPr>
              <w:rPr>
                <w:sz w:val="2"/>
                <w:szCs w:val="2"/>
              </w:rPr>
            </w:pPr>
          </w:p>
        </w:tc>
        <w:tc>
          <w:tcPr>
            <w:tcW w:w="3250" w:type="dxa"/>
            <w:tcBorders>
              <w:top w:val="nil"/>
            </w:tcBorders>
          </w:tcPr>
          <w:p>
            <w:pPr>
              <w:pStyle w:val="TableParagraph"/>
              <w:spacing w:before="64"/>
              <w:ind w:left="9"/>
              <w:rPr>
                <w:sz w:val="24"/>
              </w:rPr>
            </w:pPr>
            <w:r>
              <w:rPr>
                <w:sz w:val="24"/>
              </w:rPr>
              <w:t>support</w:t>
            </w:r>
            <w:r>
              <w:rPr>
                <w:spacing w:val="-1"/>
                <w:sz w:val="24"/>
              </w:rPr>
              <w:t> </w:t>
            </w:r>
            <w:r>
              <w:rPr>
                <w:sz w:val="24"/>
              </w:rPr>
              <w:t>from </w:t>
            </w:r>
            <w:r>
              <w:rPr>
                <w:spacing w:val="-2"/>
                <w:sz w:val="24"/>
              </w:rPr>
              <w:t>indigenes.</w:t>
            </w:r>
          </w:p>
        </w:tc>
        <w:tc>
          <w:tcPr>
            <w:tcW w:w="835" w:type="dxa"/>
            <w:vMerge/>
            <w:tcBorders>
              <w:top w:val="nil"/>
            </w:tcBorders>
          </w:tcPr>
          <w:p>
            <w:pPr>
              <w:rPr>
                <w:sz w:val="2"/>
                <w:szCs w:val="2"/>
              </w:rPr>
            </w:pPr>
          </w:p>
        </w:tc>
        <w:tc>
          <w:tcPr>
            <w:tcW w:w="926" w:type="dxa"/>
            <w:vMerge/>
            <w:tcBorders>
              <w:top w:val="nil"/>
            </w:tcBorders>
          </w:tcPr>
          <w:p>
            <w:pPr>
              <w:rPr>
                <w:sz w:val="2"/>
                <w:szCs w:val="2"/>
              </w:rPr>
            </w:pPr>
          </w:p>
        </w:tc>
        <w:tc>
          <w:tcPr>
            <w:tcW w:w="900" w:type="dxa"/>
            <w:vMerge/>
            <w:tcBorders>
              <w:top w:val="nil"/>
            </w:tcBorders>
          </w:tcPr>
          <w:p>
            <w:pPr>
              <w:rPr>
                <w:sz w:val="2"/>
                <w:szCs w:val="2"/>
              </w:rPr>
            </w:pPr>
          </w:p>
        </w:tc>
        <w:tc>
          <w:tcPr>
            <w:tcW w:w="2161" w:type="dxa"/>
            <w:vMerge/>
            <w:tcBorders>
              <w:top w:val="nil"/>
            </w:tcBorders>
          </w:tcPr>
          <w:p>
            <w:pPr>
              <w:rPr>
                <w:sz w:val="2"/>
                <w:szCs w:val="2"/>
              </w:rPr>
            </w:pPr>
          </w:p>
        </w:tc>
      </w:tr>
      <w:tr>
        <w:trPr>
          <w:trHeight w:val="356" w:hRule="atLeast"/>
        </w:trPr>
        <w:tc>
          <w:tcPr>
            <w:tcW w:w="749" w:type="dxa"/>
            <w:vMerge w:val="restart"/>
          </w:tcPr>
          <w:p>
            <w:pPr>
              <w:pStyle w:val="TableParagraph"/>
              <w:spacing w:before="6"/>
              <w:ind w:left="172"/>
              <w:rPr>
                <w:sz w:val="24"/>
              </w:rPr>
            </w:pPr>
            <w:r>
              <w:rPr>
                <w:spacing w:val="-5"/>
                <w:sz w:val="24"/>
              </w:rPr>
              <w:t>B78</w:t>
            </w:r>
          </w:p>
        </w:tc>
        <w:tc>
          <w:tcPr>
            <w:tcW w:w="3250" w:type="dxa"/>
            <w:tcBorders>
              <w:bottom w:val="nil"/>
            </w:tcBorders>
          </w:tcPr>
          <w:p>
            <w:pPr>
              <w:pStyle w:val="TableParagraph"/>
              <w:spacing w:before="6"/>
              <w:ind w:left="9"/>
              <w:rPr>
                <w:sz w:val="24"/>
              </w:rPr>
            </w:pPr>
            <w:r>
              <w:rPr>
                <w:sz w:val="24"/>
              </w:rPr>
              <w:t>Lack</w:t>
            </w:r>
            <w:r>
              <w:rPr>
                <w:spacing w:val="-2"/>
                <w:sz w:val="24"/>
              </w:rPr>
              <w:t> </w:t>
            </w:r>
            <w:r>
              <w:rPr>
                <w:sz w:val="24"/>
              </w:rPr>
              <w:t>of</w:t>
            </w:r>
            <w:r>
              <w:rPr>
                <w:spacing w:val="-1"/>
                <w:sz w:val="24"/>
              </w:rPr>
              <w:t> </w:t>
            </w:r>
            <w:r>
              <w:rPr>
                <w:sz w:val="24"/>
              </w:rPr>
              <w:t>proper </w:t>
            </w:r>
            <w:r>
              <w:rPr>
                <w:spacing w:val="-5"/>
                <w:sz w:val="24"/>
              </w:rPr>
              <w:t>co-</w:t>
            </w:r>
          </w:p>
        </w:tc>
        <w:tc>
          <w:tcPr>
            <w:tcW w:w="835" w:type="dxa"/>
            <w:vMerge w:val="restart"/>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30"/>
              <w:rPr>
                <w:b/>
                <w:sz w:val="24"/>
              </w:rPr>
            </w:pPr>
          </w:p>
          <w:p>
            <w:pPr>
              <w:pStyle w:val="TableParagraph"/>
              <w:ind w:left="237"/>
              <w:rPr>
                <w:sz w:val="24"/>
              </w:rPr>
            </w:pPr>
            <w:r>
              <w:rPr>
                <w:spacing w:val="-5"/>
                <w:sz w:val="24"/>
              </w:rPr>
              <w:t>226</w:t>
            </w:r>
          </w:p>
        </w:tc>
        <w:tc>
          <w:tcPr>
            <w:tcW w:w="926" w:type="dxa"/>
            <w:vMerge w:val="restart"/>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30"/>
              <w:rPr>
                <w:b/>
                <w:sz w:val="24"/>
              </w:rPr>
            </w:pPr>
          </w:p>
          <w:p>
            <w:pPr>
              <w:pStyle w:val="TableParagraph"/>
              <w:ind w:left="252"/>
              <w:rPr>
                <w:sz w:val="24"/>
              </w:rPr>
            </w:pPr>
            <w:r>
              <w:rPr>
                <w:spacing w:val="-4"/>
                <w:sz w:val="24"/>
              </w:rPr>
              <w:t>2.47</w:t>
            </w:r>
          </w:p>
        </w:tc>
        <w:tc>
          <w:tcPr>
            <w:tcW w:w="900" w:type="dxa"/>
            <w:vMerge w:val="restart"/>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30"/>
              <w:rPr>
                <w:b/>
                <w:sz w:val="24"/>
              </w:rPr>
            </w:pPr>
          </w:p>
          <w:p>
            <w:pPr>
              <w:pStyle w:val="TableParagraph"/>
              <w:ind w:left="240"/>
              <w:rPr>
                <w:sz w:val="24"/>
              </w:rPr>
            </w:pPr>
            <w:r>
              <w:rPr>
                <w:spacing w:val="-4"/>
                <w:sz w:val="24"/>
              </w:rPr>
              <w:t>.990</w:t>
            </w:r>
          </w:p>
        </w:tc>
        <w:tc>
          <w:tcPr>
            <w:tcW w:w="2161" w:type="dxa"/>
            <w:vMerge w:val="restart"/>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30"/>
              <w:rPr>
                <w:b/>
                <w:sz w:val="24"/>
              </w:rPr>
            </w:pPr>
          </w:p>
          <w:p>
            <w:pPr>
              <w:pStyle w:val="TableParagraph"/>
              <w:ind w:left="12"/>
              <w:jc w:val="center"/>
              <w:rPr>
                <w:sz w:val="24"/>
              </w:rPr>
            </w:pPr>
            <w:r>
              <w:rPr>
                <w:spacing w:val="-10"/>
                <w:sz w:val="24"/>
              </w:rPr>
              <w:t>D</w:t>
            </w:r>
          </w:p>
        </w:tc>
      </w:tr>
      <w:tr>
        <w:trPr>
          <w:trHeight w:val="397" w:hRule="atLeast"/>
        </w:trPr>
        <w:tc>
          <w:tcPr>
            <w:tcW w:w="749" w:type="dxa"/>
            <w:vMerge/>
            <w:tcBorders>
              <w:top w:val="nil"/>
            </w:tcBorders>
          </w:tcPr>
          <w:p>
            <w:pPr>
              <w:rPr>
                <w:sz w:val="2"/>
                <w:szCs w:val="2"/>
              </w:rPr>
            </w:pPr>
          </w:p>
        </w:tc>
        <w:tc>
          <w:tcPr>
            <w:tcW w:w="3250" w:type="dxa"/>
            <w:tcBorders>
              <w:top w:val="nil"/>
              <w:bottom w:val="nil"/>
            </w:tcBorders>
          </w:tcPr>
          <w:p>
            <w:pPr>
              <w:pStyle w:val="TableParagraph"/>
              <w:spacing w:before="64"/>
              <w:ind w:left="9"/>
              <w:rPr>
                <w:sz w:val="24"/>
              </w:rPr>
            </w:pPr>
            <w:r>
              <w:rPr>
                <w:sz w:val="24"/>
              </w:rPr>
              <w:t>ordination</w:t>
            </w:r>
            <w:r>
              <w:rPr>
                <w:spacing w:val="-2"/>
                <w:sz w:val="24"/>
              </w:rPr>
              <w:t> </w:t>
            </w:r>
            <w:r>
              <w:rPr>
                <w:sz w:val="24"/>
              </w:rPr>
              <w:t>between</w:t>
            </w:r>
            <w:r>
              <w:rPr>
                <w:spacing w:val="-2"/>
                <w:sz w:val="24"/>
              </w:rPr>
              <w:t> </w:t>
            </w:r>
            <w:r>
              <w:rPr>
                <w:spacing w:val="-5"/>
                <w:sz w:val="24"/>
              </w:rPr>
              <w:t>the</w:t>
            </w:r>
          </w:p>
        </w:tc>
        <w:tc>
          <w:tcPr>
            <w:tcW w:w="835" w:type="dxa"/>
            <w:vMerge/>
            <w:tcBorders>
              <w:top w:val="nil"/>
            </w:tcBorders>
          </w:tcPr>
          <w:p>
            <w:pPr>
              <w:rPr>
                <w:sz w:val="2"/>
                <w:szCs w:val="2"/>
              </w:rPr>
            </w:pPr>
          </w:p>
        </w:tc>
        <w:tc>
          <w:tcPr>
            <w:tcW w:w="926" w:type="dxa"/>
            <w:vMerge/>
            <w:tcBorders>
              <w:top w:val="nil"/>
            </w:tcBorders>
          </w:tcPr>
          <w:p>
            <w:pPr>
              <w:rPr>
                <w:sz w:val="2"/>
                <w:szCs w:val="2"/>
              </w:rPr>
            </w:pPr>
          </w:p>
        </w:tc>
        <w:tc>
          <w:tcPr>
            <w:tcW w:w="900" w:type="dxa"/>
            <w:vMerge/>
            <w:tcBorders>
              <w:top w:val="nil"/>
            </w:tcBorders>
          </w:tcPr>
          <w:p>
            <w:pPr>
              <w:rPr>
                <w:sz w:val="2"/>
                <w:szCs w:val="2"/>
              </w:rPr>
            </w:pPr>
          </w:p>
        </w:tc>
        <w:tc>
          <w:tcPr>
            <w:tcW w:w="2161" w:type="dxa"/>
            <w:vMerge/>
            <w:tcBorders>
              <w:top w:val="nil"/>
            </w:tcBorders>
          </w:tcPr>
          <w:p>
            <w:pPr>
              <w:rPr>
                <w:sz w:val="2"/>
                <w:szCs w:val="2"/>
              </w:rPr>
            </w:pPr>
          </w:p>
        </w:tc>
      </w:tr>
      <w:tr>
        <w:trPr>
          <w:trHeight w:val="401" w:hRule="atLeast"/>
        </w:trPr>
        <w:tc>
          <w:tcPr>
            <w:tcW w:w="749" w:type="dxa"/>
            <w:vMerge/>
            <w:tcBorders>
              <w:top w:val="nil"/>
            </w:tcBorders>
          </w:tcPr>
          <w:p>
            <w:pPr>
              <w:rPr>
                <w:sz w:val="2"/>
                <w:szCs w:val="2"/>
              </w:rPr>
            </w:pPr>
          </w:p>
        </w:tc>
        <w:tc>
          <w:tcPr>
            <w:tcW w:w="3250" w:type="dxa"/>
            <w:tcBorders>
              <w:top w:val="nil"/>
              <w:bottom w:val="nil"/>
            </w:tcBorders>
          </w:tcPr>
          <w:p>
            <w:pPr>
              <w:pStyle w:val="TableParagraph"/>
              <w:spacing w:before="46"/>
              <w:ind w:left="9"/>
              <w:rPr>
                <w:sz w:val="24"/>
              </w:rPr>
            </w:pPr>
            <w:r>
              <w:rPr>
                <w:sz w:val="24"/>
              </w:rPr>
              <w:t>constituent</w:t>
            </w:r>
            <w:r>
              <w:rPr>
                <w:spacing w:val="-1"/>
                <w:sz w:val="24"/>
              </w:rPr>
              <w:t> </w:t>
            </w:r>
            <w:r>
              <w:rPr>
                <w:sz w:val="24"/>
              </w:rPr>
              <w:t>units</w:t>
            </w:r>
            <w:r>
              <w:rPr>
                <w:spacing w:val="-1"/>
                <w:sz w:val="24"/>
              </w:rPr>
              <w:t> </w:t>
            </w:r>
            <w:r>
              <w:rPr>
                <w:sz w:val="24"/>
              </w:rPr>
              <w:t>of </w:t>
            </w:r>
            <w:r>
              <w:rPr>
                <w:spacing w:val="-5"/>
                <w:sz w:val="24"/>
              </w:rPr>
              <w:t>the</w:t>
            </w:r>
          </w:p>
        </w:tc>
        <w:tc>
          <w:tcPr>
            <w:tcW w:w="835" w:type="dxa"/>
            <w:vMerge/>
            <w:tcBorders>
              <w:top w:val="nil"/>
            </w:tcBorders>
          </w:tcPr>
          <w:p>
            <w:pPr>
              <w:rPr>
                <w:sz w:val="2"/>
                <w:szCs w:val="2"/>
              </w:rPr>
            </w:pPr>
          </w:p>
        </w:tc>
        <w:tc>
          <w:tcPr>
            <w:tcW w:w="926" w:type="dxa"/>
            <w:vMerge/>
            <w:tcBorders>
              <w:top w:val="nil"/>
            </w:tcBorders>
          </w:tcPr>
          <w:p>
            <w:pPr>
              <w:rPr>
                <w:sz w:val="2"/>
                <w:szCs w:val="2"/>
              </w:rPr>
            </w:pPr>
          </w:p>
        </w:tc>
        <w:tc>
          <w:tcPr>
            <w:tcW w:w="900" w:type="dxa"/>
            <w:vMerge/>
            <w:tcBorders>
              <w:top w:val="nil"/>
            </w:tcBorders>
          </w:tcPr>
          <w:p>
            <w:pPr>
              <w:rPr>
                <w:sz w:val="2"/>
                <w:szCs w:val="2"/>
              </w:rPr>
            </w:pPr>
          </w:p>
        </w:tc>
        <w:tc>
          <w:tcPr>
            <w:tcW w:w="2161" w:type="dxa"/>
            <w:vMerge/>
            <w:tcBorders>
              <w:top w:val="nil"/>
            </w:tcBorders>
          </w:tcPr>
          <w:p>
            <w:pPr>
              <w:rPr>
                <w:sz w:val="2"/>
                <w:szCs w:val="2"/>
              </w:rPr>
            </w:pPr>
          </w:p>
        </w:tc>
      </w:tr>
      <w:tr>
        <w:trPr>
          <w:trHeight w:val="423" w:hRule="atLeast"/>
        </w:trPr>
        <w:tc>
          <w:tcPr>
            <w:tcW w:w="749" w:type="dxa"/>
            <w:vMerge/>
            <w:tcBorders>
              <w:top w:val="nil"/>
            </w:tcBorders>
          </w:tcPr>
          <w:p>
            <w:pPr>
              <w:rPr>
                <w:sz w:val="2"/>
                <w:szCs w:val="2"/>
              </w:rPr>
            </w:pPr>
          </w:p>
        </w:tc>
        <w:tc>
          <w:tcPr>
            <w:tcW w:w="3250" w:type="dxa"/>
            <w:tcBorders>
              <w:top w:val="nil"/>
              <w:bottom w:val="nil"/>
            </w:tcBorders>
          </w:tcPr>
          <w:p>
            <w:pPr>
              <w:pStyle w:val="TableParagraph"/>
              <w:spacing w:before="69"/>
              <w:ind w:left="9"/>
              <w:rPr>
                <w:sz w:val="24"/>
              </w:rPr>
            </w:pPr>
            <w:r>
              <w:rPr>
                <w:sz w:val="24"/>
              </w:rPr>
              <w:t>JTF</w:t>
            </w:r>
            <w:r>
              <w:rPr>
                <w:spacing w:val="-4"/>
                <w:sz w:val="24"/>
              </w:rPr>
              <w:t> </w:t>
            </w:r>
            <w:r>
              <w:rPr>
                <w:sz w:val="24"/>
              </w:rPr>
              <w:t>(military,</w:t>
            </w:r>
            <w:r>
              <w:rPr>
                <w:spacing w:val="-2"/>
                <w:sz w:val="24"/>
              </w:rPr>
              <w:t> police,</w:t>
            </w:r>
          </w:p>
        </w:tc>
        <w:tc>
          <w:tcPr>
            <w:tcW w:w="835" w:type="dxa"/>
            <w:vMerge/>
            <w:tcBorders>
              <w:top w:val="nil"/>
            </w:tcBorders>
          </w:tcPr>
          <w:p>
            <w:pPr>
              <w:rPr>
                <w:sz w:val="2"/>
                <w:szCs w:val="2"/>
              </w:rPr>
            </w:pPr>
          </w:p>
        </w:tc>
        <w:tc>
          <w:tcPr>
            <w:tcW w:w="926" w:type="dxa"/>
            <w:vMerge/>
            <w:tcBorders>
              <w:top w:val="nil"/>
            </w:tcBorders>
          </w:tcPr>
          <w:p>
            <w:pPr>
              <w:rPr>
                <w:sz w:val="2"/>
                <w:szCs w:val="2"/>
              </w:rPr>
            </w:pPr>
          </w:p>
        </w:tc>
        <w:tc>
          <w:tcPr>
            <w:tcW w:w="900" w:type="dxa"/>
            <w:vMerge/>
            <w:tcBorders>
              <w:top w:val="nil"/>
            </w:tcBorders>
          </w:tcPr>
          <w:p>
            <w:pPr>
              <w:rPr>
                <w:sz w:val="2"/>
                <w:szCs w:val="2"/>
              </w:rPr>
            </w:pPr>
          </w:p>
        </w:tc>
        <w:tc>
          <w:tcPr>
            <w:tcW w:w="2161" w:type="dxa"/>
            <w:vMerge/>
            <w:tcBorders>
              <w:top w:val="nil"/>
            </w:tcBorders>
          </w:tcPr>
          <w:p>
            <w:pPr>
              <w:rPr>
                <w:sz w:val="2"/>
                <w:szCs w:val="2"/>
              </w:rPr>
            </w:pPr>
          </w:p>
        </w:tc>
      </w:tr>
      <w:tr>
        <w:trPr>
          <w:trHeight w:val="466" w:hRule="atLeast"/>
        </w:trPr>
        <w:tc>
          <w:tcPr>
            <w:tcW w:w="749" w:type="dxa"/>
            <w:vMerge/>
            <w:tcBorders>
              <w:top w:val="nil"/>
            </w:tcBorders>
          </w:tcPr>
          <w:p>
            <w:pPr>
              <w:rPr>
                <w:sz w:val="2"/>
                <w:szCs w:val="2"/>
              </w:rPr>
            </w:pPr>
          </w:p>
        </w:tc>
        <w:tc>
          <w:tcPr>
            <w:tcW w:w="3250" w:type="dxa"/>
            <w:tcBorders>
              <w:top w:val="nil"/>
            </w:tcBorders>
          </w:tcPr>
          <w:p>
            <w:pPr>
              <w:pStyle w:val="TableParagraph"/>
              <w:spacing w:before="68"/>
              <w:ind w:left="9"/>
              <w:rPr>
                <w:sz w:val="24"/>
              </w:rPr>
            </w:pPr>
            <w:r>
              <w:rPr>
                <w:sz w:val="24"/>
              </w:rPr>
              <w:t>SSS </w:t>
            </w:r>
            <w:r>
              <w:rPr>
                <w:spacing w:val="-2"/>
                <w:sz w:val="24"/>
              </w:rPr>
              <w:t>etc).</w:t>
            </w:r>
          </w:p>
        </w:tc>
        <w:tc>
          <w:tcPr>
            <w:tcW w:w="835" w:type="dxa"/>
            <w:vMerge/>
            <w:tcBorders>
              <w:top w:val="nil"/>
            </w:tcBorders>
          </w:tcPr>
          <w:p>
            <w:pPr>
              <w:rPr>
                <w:sz w:val="2"/>
                <w:szCs w:val="2"/>
              </w:rPr>
            </w:pPr>
          </w:p>
        </w:tc>
        <w:tc>
          <w:tcPr>
            <w:tcW w:w="926" w:type="dxa"/>
            <w:vMerge/>
            <w:tcBorders>
              <w:top w:val="nil"/>
            </w:tcBorders>
          </w:tcPr>
          <w:p>
            <w:pPr>
              <w:rPr>
                <w:sz w:val="2"/>
                <w:szCs w:val="2"/>
              </w:rPr>
            </w:pPr>
          </w:p>
        </w:tc>
        <w:tc>
          <w:tcPr>
            <w:tcW w:w="900" w:type="dxa"/>
            <w:vMerge/>
            <w:tcBorders>
              <w:top w:val="nil"/>
            </w:tcBorders>
          </w:tcPr>
          <w:p>
            <w:pPr>
              <w:rPr>
                <w:sz w:val="2"/>
                <w:szCs w:val="2"/>
              </w:rPr>
            </w:pPr>
          </w:p>
        </w:tc>
        <w:tc>
          <w:tcPr>
            <w:tcW w:w="2161" w:type="dxa"/>
            <w:vMerge/>
            <w:tcBorders>
              <w:top w:val="nil"/>
            </w:tcBorders>
          </w:tcPr>
          <w:p>
            <w:pPr>
              <w:rPr>
                <w:sz w:val="2"/>
                <w:szCs w:val="2"/>
              </w:rPr>
            </w:pPr>
          </w:p>
        </w:tc>
      </w:tr>
      <w:tr>
        <w:trPr>
          <w:trHeight w:val="332" w:hRule="atLeast"/>
        </w:trPr>
        <w:tc>
          <w:tcPr>
            <w:tcW w:w="749" w:type="dxa"/>
            <w:vMerge w:val="restart"/>
          </w:tcPr>
          <w:p>
            <w:pPr>
              <w:pStyle w:val="TableParagraph"/>
              <w:spacing w:line="270" w:lineRule="exact"/>
              <w:ind w:left="172"/>
              <w:rPr>
                <w:sz w:val="24"/>
              </w:rPr>
            </w:pPr>
            <w:r>
              <w:rPr>
                <w:spacing w:val="-5"/>
                <w:sz w:val="24"/>
              </w:rPr>
              <w:t>B79</w:t>
            </w:r>
          </w:p>
        </w:tc>
        <w:tc>
          <w:tcPr>
            <w:tcW w:w="3250" w:type="dxa"/>
            <w:tcBorders>
              <w:bottom w:val="nil"/>
            </w:tcBorders>
          </w:tcPr>
          <w:p>
            <w:pPr>
              <w:pStyle w:val="TableParagraph"/>
              <w:spacing w:line="270" w:lineRule="exact"/>
              <w:ind w:left="9"/>
              <w:rPr>
                <w:sz w:val="24"/>
              </w:rPr>
            </w:pPr>
            <w:r>
              <w:rPr>
                <w:sz w:val="24"/>
              </w:rPr>
              <w:t>Poor </w:t>
            </w:r>
            <w:r>
              <w:rPr>
                <w:spacing w:val="-2"/>
                <w:sz w:val="24"/>
              </w:rPr>
              <w:t>communication</w:t>
            </w:r>
          </w:p>
        </w:tc>
        <w:tc>
          <w:tcPr>
            <w:tcW w:w="835" w:type="dxa"/>
            <w:vMerge w:val="restart"/>
          </w:tcPr>
          <w:p>
            <w:pPr>
              <w:pStyle w:val="TableParagraph"/>
              <w:rPr>
                <w:b/>
                <w:sz w:val="24"/>
              </w:rPr>
            </w:pPr>
          </w:p>
          <w:p>
            <w:pPr>
              <w:pStyle w:val="TableParagraph"/>
              <w:spacing w:before="274"/>
              <w:rPr>
                <w:b/>
                <w:sz w:val="24"/>
              </w:rPr>
            </w:pPr>
          </w:p>
          <w:p>
            <w:pPr>
              <w:pStyle w:val="TableParagraph"/>
              <w:spacing w:before="1"/>
              <w:ind w:left="237"/>
              <w:rPr>
                <w:sz w:val="24"/>
              </w:rPr>
            </w:pPr>
            <w:r>
              <w:rPr>
                <w:spacing w:val="-5"/>
                <w:sz w:val="24"/>
              </w:rPr>
              <w:t>224</w:t>
            </w:r>
          </w:p>
        </w:tc>
        <w:tc>
          <w:tcPr>
            <w:tcW w:w="926" w:type="dxa"/>
            <w:vMerge w:val="restart"/>
          </w:tcPr>
          <w:p>
            <w:pPr>
              <w:pStyle w:val="TableParagraph"/>
              <w:rPr>
                <w:b/>
                <w:sz w:val="24"/>
              </w:rPr>
            </w:pPr>
          </w:p>
          <w:p>
            <w:pPr>
              <w:pStyle w:val="TableParagraph"/>
              <w:spacing w:before="274"/>
              <w:rPr>
                <w:b/>
                <w:sz w:val="24"/>
              </w:rPr>
            </w:pPr>
          </w:p>
          <w:p>
            <w:pPr>
              <w:pStyle w:val="TableParagraph"/>
              <w:spacing w:before="1"/>
              <w:ind w:left="252"/>
              <w:rPr>
                <w:sz w:val="24"/>
              </w:rPr>
            </w:pPr>
            <w:r>
              <w:rPr>
                <w:spacing w:val="-4"/>
                <w:sz w:val="24"/>
              </w:rPr>
              <w:t>2.90</w:t>
            </w:r>
          </w:p>
        </w:tc>
        <w:tc>
          <w:tcPr>
            <w:tcW w:w="900" w:type="dxa"/>
            <w:vMerge w:val="restart"/>
          </w:tcPr>
          <w:p>
            <w:pPr>
              <w:pStyle w:val="TableParagraph"/>
              <w:rPr>
                <w:b/>
                <w:sz w:val="24"/>
              </w:rPr>
            </w:pPr>
          </w:p>
          <w:p>
            <w:pPr>
              <w:pStyle w:val="TableParagraph"/>
              <w:spacing w:before="274"/>
              <w:rPr>
                <w:b/>
                <w:sz w:val="24"/>
              </w:rPr>
            </w:pPr>
          </w:p>
          <w:p>
            <w:pPr>
              <w:pStyle w:val="TableParagraph"/>
              <w:spacing w:before="1"/>
              <w:ind w:left="240"/>
              <w:rPr>
                <w:sz w:val="24"/>
              </w:rPr>
            </w:pPr>
            <w:r>
              <w:rPr>
                <w:spacing w:val="-4"/>
                <w:sz w:val="24"/>
              </w:rPr>
              <w:t>.942</w:t>
            </w:r>
          </w:p>
        </w:tc>
        <w:tc>
          <w:tcPr>
            <w:tcW w:w="2161" w:type="dxa"/>
            <w:vMerge w:val="restart"/>
          </w:tcPr>
          <w:p>
            <w:pPr>
              <w:pStyle w:val="TableParagraph"/>
              <w:rPr>
                <w:b/>
                <w:sz w:val="24"/>
              </w:rPr>
            </w:pPr>
          </w:p>
          <w:p>
            <w:pPr>
              <w:pStyle w:val="TableParagraph"/>
              <w:spacing w:before="274"/>
              <w:rPr>
                <w:b/>
                <w:sz w:val="24"/>
              </w:rPr>
            </w:pPr>
          </w:p>
          <w:p>
            <w:pPr>
              <w:pStyle w:val="TableParagraph"/>
              <w:spacing w:before="1"/>
              <w:ind w:left="12"/>
              <w:jc w:val="center"/>
              <w:rPr>
                <w:sz w:val="24"/>
              </w:rPr>
            </w:pPr>
            <w:r>
              <w:rPr>
                <w:spacing w:val="-10"/>
                <w:sz w:val="24"/>
              </w:rPr>
              <w:t>A</w:t>
            </w:r>
          </w:p>
        </w:tc>
      </w:tr>
      <w:tr>
        <w:trPr>
          <w:trHeight w:val="406" w:hRule="atLeast"/>
        </w:trPr>
        <w:tc>
          <w:tcPr>
            <w:tcW w:w="749" w:type="dxa"/>
            <w:vMerge/>
            <w:tcBorders>
              <w:top w:val="nil"/>
            </w:tcBorders>
          </w:tcPr>
          <w:p>
            <w:pPr>
              <w:rPr>
                <w:sz w:val="2"/>
                <w:szCs w:val="2"/>
              </w:rPr>
            </w:pPr>
          </w:p>
        </w:tc>
        <w:tc>
          <w:tcPr>
            <w:tcW w:w="3250" w:type="dxa"/>
            <w:tcBorders>
              <w:top w:val="nil"/>
              <w:bottom w:val="nil"/>
            </w:tcBorders>
          </w:tcPr>
          <w:p>
            <w:pPr>
              <w:pStyle w:val="TableParagraph"/>
              <w:spacing w:before="52"/>
              <w:ind w:left="9"/>
              <w:rPr>
                <w:sz w:val="24"/>
              </w:rPr>
            </w:pPr>
            <w:r>
              <w:rPr>
                <w:sz w:val="24"/>
              </w:rPr>
              <w:t>between</w:t>
            </w:r>
            <w:r>
              <w:rPr>
                <w:spacing w:val="-1"/>
                <w:sz w:val="24"/>
              </w:rPr>
              <w:t> </w:t>
            </w:r>
            <w:r>
              <w:rPr>
                <w:sz w:val="24"/>
              </w:rPr>
              <w:t>JTF</w:t>
            </w:r>
            <w:r>
              <w:rPr>
                <w:spacing w:val="-3"/>
                <w:sz w:val="24"/>
              </w:rPr>
              <w:t> </w:t>
            </w:r>
            <w:r>
              <w:rPr>
                <w:sz w:val="24"/>
              </w:rPr>
              <w:t>and </w:t>
            </w:r>
            <w:r>
              <w:rPr>
                <w:spacing w:val="-5"/>
                <w:sz w:val="24"/>
              </w:rPr>
              <w:t>the</w:t>
            </w:r>
          </w:p>
        </w:tc>
        <w:tc>
          <w:tcPr>
            <w:tcW w:w="835" w:type="dxa"/>
            <w:vMerge/>
            <w:tcBorders>
              <w:top w:val="nil"/>
            </w:tcBorders>
          </w:tcPr>
          <w:p>
            <w:pPr>
              <w:rPr>
                <w:sz w:val="2"/>
                <w:szCs w:val="2"/>
              </w:rPr>
            </w:pPr>
          </w:p>
        </w:tc>
        <w:tc>
          <w:tcPr>
            <w:tcW w:w="926" w:type="dxa"/>
            <w:vMerge/>
            <w:tcBorders>
              <w:top w:val="nil"/>
            </w:tcBorders>
          </w:tcPr>
          <w:p>
            <w:pPr>
              <w:rPr>
                <w:sz w:val="2"/>
                <w:szCs w:val="2"/>
              </w:rPr>
            </w:pPr>
          </w:p>
        </w:tc>
        <w:tc>
          <w:tcPr>
            <w:tcW w:w="900" w:type="dxa"/>
            <w:vMerge/>
            <w:tcBorders>
              <w:top w:val="nil"/>
            </w:tcBorders>
          </w:tcPr>
          <w:p>
            <w:pPr>
              <w:rPr>
                <w:sz w:val="2"/>
                <w:szCs w:val="2"/>
              </w:rPr>
            </w:pPr>
          </w:p>
        </w:tc>
        <w:tc>
          <w:tcPr>
            <w:tcW w:w="2161" w:type="dxa"/>
            <w:vMerge/>
            <w:tcBorders>
              <w:top w:val="nil"/>
            </w:tcBorders>
          </w:tcPr>
          <w:p>
            <w:pPr>
              <w:rPr>
                <w:sz w:val="2"/>
                <w:szCs w:val="2"/>
              </w:rPr>
            </w:pPr>
          </w:p>
        </w:tc>
      </w:tr>
      <w:tr>
        <w:trPr>
          <w:trHeight w:val="490" w:hRule="atLeast"/>
        </w:trPr>
        <w:tc>
          <w:tcPr>
            <w:tcW w:w="749" w:type="dxa"/>
            <w:vMerge/>
            <w:tcBorders>
              <w:top w:val="nil"/>
            </w:tcBorders>
          </w:tcPr>
          <w:p>
            <w:pPr>
              <w:rPr>
                <w:sz w:val="2"/>
                <w:szCs w:val="2"/>
              </w:rPr>
            </w:pPr>
          </w:p>
        </w:tc>
        <w:tc>
          <w:tcPr>
            <w:tcW w:w="3250" w:type="dxa"/>
            <w:tcBorders>
              <w:top w:val="nil"/>
            </w:tcBorders>
          </w:tcPr>
          <w:p>
            <w:pPr>
              <w:pStyle w:val="TableParagraph"/>
              <w:spacing w:before="68"/>
              <w:ind w:left="9"/>
              <w:rPr>
                <w:sz w:val="24"/>
              </w:rPr>
            </w:pPr>
            <w:r>
              <w:rPr>
                <w:spacing w:val="-2"/>
                <w:sz w:val="24"/>
              </w:rPr>
              <w:t>community.</w:t>
            </w:r>
          </w:p>
        </w:tc>
        <w:tc>
          <w:tcPr>
            <w:tcW w:w="835" w:type="dxa"/>
            <w:vMerge/>
            <w:tcBorders>
              <w:top w:val="nil"/>
            </w:tcBorders>
          </w:tcPr>
          <w:p>
            <w:pPr>
              <w:rPr>
                <w:sz w:val="2"/>
                <w:szCs w:val="2"/>
              </w:rPr>
            </w:pPr>
          </w:p>
        </w:tc>
        <w:tc>
          <w:tcPr>
            <w:tcW w:w="926" w:type="dxa"/>
            <w:vMerge/>
            <w:tcBorders>
              <w:top w:val="nil"/>
            </w:tcBorders>
          </w:tcPr>
          <w:p>
            <w:pPr>
              <w:rPr>
                <w:sz w:val="2"/>
                <w:szCs w:val="2"/>
              </w:rPr>
            </w:pPr>
          </w:p>
        </w:tc>
        <w:tc>
          <w:tcPr>
            <w:tcW w:w="900" w:type="dxa"/>
            <w:vMerge/>
            <w:tcBorders>
              <w:top w:val="nil"/>
            </w:tcBorders>
          </w:tcPr>
          <w:p>
            <w:pPr>
              <w:rPr>
                <w:sz w:val="2"/>
                <w:szCs w:val="2"/>
              </w:rPr>
            </w:pPr>
          </w:p>
        </w:tc>
        <w:tc>
          <w:tcPr>
            <w:tcW w:w="2161" w:type="dxa"/>
            <w:vMerge/>
            <w:tcBorders>
              <w:top w:val="nil"/>
            </w:tcBorders>
          </w:tcPr>
          <w:p>
            <w:pPr>
              <w:rPr>
                <w:sz w:val="2"/>
                <w:szCs w:val="2"/>
              </w:rPr>
            </w:pPr>
          </w:p>
        </w:tc>
      </w:tr>
      <w:tr>
        <w:trPr>
          <w:trHeight w:val="412" w:hRule="atLeast"/>
        </w:trPr>
        <w:tc>
          <w:tcPr>
            <w:tcW w:w="749" w:type="dxa"/>
          </w:tcPr>
          <w:p>
            <w:pPr>
              <w:pStyle w:val="TableParagraph"/>
              <w:spacing w:line="270" w:lineRule="exact"/>
              <w:ind w:left="4"/>
              <w:jc w:val="center"/>
              <w:rPr>
                <w:sz w:val="24"/>
              </w:rPr>
            </w:pPr>
            <w:r>
              <w:rPr>
                <w:spacing w:val="-5"/>
                <w:sz w:val="24"/>
              </w:rPr>
              <w:t>B80</w:t>
            </w:r>
          </w:p>
        </w:tc>
        <w:tc>
          <w:tcPr>
            <w:tcW w:w="3250" w:type="dxa"/>
          </w:tcPr>
          <w:p>
            <w:pPr>
              <w:pStyle w:val="TableParagraph"/>
              <w:spacing w:line="270" w:lineRule="exact"/>
              <w:ind w:left="9"/>
              <w:rPr>
                <w:sz w:val="24"/>
              </w:rPr>
            </w:pPr>
            <w:r>
              <w:rPr>
                <w:sz w:val="24"/>
              </w:rPr>
              <w:t>All of the</w:t>
            </w:r>
            <w:r>
              <w:rPr>
                <w:spacing w:val="-1"/>
                <w:sz w:val="24"/>
              </w:rPr>
              <w:t> </w:t>
            </w:r>
            <w:r>
              <w:rPr>
                <w:spacing w:val="-2"/>
                <w:sz w:val="24"/>
              </w:rPr>
              <w:t>above</w:t>
            </w:r>
          </w:p>
        </w:tc>
        <w:tc>
          <w:tcPr>
            <w:tcW w:w="835" w:type="dxa"/>
          </w:tcPr>
          <w:p>
            <w:pPr>
              <w:pStyle w:val="TableParagraph"/>
              <w:spacing w:line="270" w:lineRule="exact"/>
              <w:ind w:left="11" w:right="2"/>
              <w:jc w:val="center"/>
              <w:rPr>
                <w:sz w:val="24"/>
              </w:rPr>
            </w:pPr>
            <w:r>
              <w:rPr>
                <w:spacing w:val="-5"/>
                <w:sz w:val="24"/>
              </w:rPr>
              <w:t>209</w:t>
            </w:r>
          </w:p>
        </w:tc>
        <w:tc>
          <w:tcPr>
            <w:tcW w:w="926" w:type="dxa"/>
          </w:tcPr>
          <w:p>
            <w:pPr>
              <w:pStyle w:val="TableParagraph"/>
              <w:spacing w:line="270" w:lineRule="exact"/>
              <w:ind w:left="10" w:right="2"/>
              <w:jc w:val="center"/>
              <w:rPr>
                <w:sz w:val="24"/>
              </w:rPr>
            </w:pPr>
            <w:r>
              <w:rPr>
                <w:spacing w:val="-4"/>
                <w:sz w:val="24"/>
              </w:rPr>
              <w:t>2.65</w:t>
            </w:r>
          </w:p>
        </w:tc>
        <w:tc>
          <w:tcPr>
            <w:tcW w:w="900" w:type="dxa"/>
          </w:tcPr>
          <w:p>
            <w:pPr>
              <w:pStyle w:val="TableParagraph"/>
              <w:spacing w:line="270" w:lineRule="exact"/>
              <w:ind w:left="11"/>
              <w:jc w:val="center"/>
              <w:rPr>
                <w:sz w:val="24"/>
              </w:rPr>
            </w:pPr>
            <w:r>
              <w:rPr>
                <w:spacing w:val="-4"/>
                <w:sz w:val="24"/>
              </w:rPr>
              <w:t>.960</w:t>
            </w:r>
          </w:p>
        </w:tc>
        <w:tc>
          <w:tcPr>
            <w:tcW w:w="2161" w:type="dxa"/>
          </w:tcPr>
          <w:p>
            <w:pPr>
              <w:pStyle w:val="TableParagraph"/>
              <w:spacing w:line="270" w:lineRule="exact"/>
              <w:ind w:left="12"/>
              <w:jc w:val="center"/>
              <w:rPr>
                <w:sz w:val="24"/>
              </w:rPr>
            </w:pPr>
            <w:r>
              <w:rPr>
                <w:spacing w:val="-10"/>
                <w:sz w:val="24"/>
              </w:rPr>
              <w:t>A</w:t>
            </w:r>
          </w:p>
        </w:tc>
      </w:tr>
    </w:tbl>
    <w:p>
      <w:pPr>
        <w:pStyle w:val="BodyText"/>
        <w:spacing w:before="118"/>
        <w:ind w:left="0"/>
        <w:rPr>
          <w:b/>
        </w:rPr>
      </w:pPr>
    </w:p>
    <w:p>
      <w:pPr>
        <w:pStyle w:val="BodyText"/>
        <w:spacing w:line="360" w:lineRule="auto"/>
        <w:ind w:right="1258" w:firstLine="720"/>
        <w:jc w:val="both"/>
      </w:pPr>
      <w:r>
        <w:rPr/>
        <w:t>Respondents were asked to express their views on the challenges facing the JTF during their operations in the Niger Delta. From the views expressed by the respondents, there is a general agreement that the JTF is faced with some operational challenges such as inadequate logistics, lack of goodwill and support from indigenes and</w:t>
      </w:r>
      <w:r>
        <w:rPr>
          <w:spacing w:val="1"/>
        </w:rPr>
        <w:t> </w:t>
      </w:r>
      <w:r>
        <w:rPr/>
        <w:t>poor communication</w:t>
      </w:r>
      <w:r>
        <w:rPr>
          <w:spacing w:val="3"/>
        </w:rPr>
        <w:t> </w:t>
      </w:r>
      <w:r>
        <w:rPr/>
        <w:t>between</w:t>
      </w:r>
      <w:r>
        <w:rPr>
          <w:spacing w:val="2"/>
        </w:rPr>
        <w:t> </w:t>
      </w:r>
      <w:r>
        <w:rPr/>
        <w:t>the JTF</w:t>
      </w:r>
      <w:r>
        <w:rPr>
          <w:spacing w:val="-1"/>
        </w:rPr>
        <w:t> </w:t>
      </w:r>
      <w:r>
        <w:rPr/>
        <w:t>troops</w:t>
      </w:r>
      <w:r>
        <w:rPr>
          <w:spacing w:val="4"/>
        </w:rPr>
        <w:t> </w:t>
      </w:r>
      <w:r>
        <w:rPr/>
        <w:t>and</w:t>
      </w:r>
      <w:r>
        <w:rPr>
          <w:spacing w:val="1"/>
        </w:rPr>
        <w:t> </w:t>
      </w:r>
      <w:r>
        <w:rPr/>
        <w:t>communities. Some</w:t>
      </w:r>
      <w:r>
        <w:rPr>
          <w:spacing w:val="1"/>
        </w:rPr>
        <w:t> </w:t>
      </w:r>
      <w:r>
        <w:rPr>
          <w:spacing w:val="-2"/>
        </w:rPr>
        <w:t>respondents</w:t>
      </w:r>
    </w:p>
    <w:p>
      <w:pPr>
        <w:spacing w:after="0" w:line="360" w:lineRule="auto"/>
        <w:jc w:val="both"/>
        <w:sectPr>
          <w:pgSz w:w="11910" w:h="16840"/>
          <w:pgMar w:header="0" w:footer="1561" w:top="1360" w:bottom="1760" w:left="720" w:right="180"/>
        </w:sectPr>
      </w:pPr>
    </w:p>
    <w:p>
      <w:pPr>
        <w:pStyle w:val="BodyText"/>
        <w:spacing w:line="360" w:lineRule="auto" w:before="60"/>
        <w:ind w:right="1263"/>
        <w:jc w:val="both"/>
      </w:pPr>
      <w:r>
        <w:rPr/>
        <mc:AlternateContent>
          <mc:Choice Requires="wps">
            <w:drawing>
              <wp:anchor distT="0" distB="0" distL="0" distR="0" allowOverlap="1" layoutInCell="1" locked="0" behindDoc="1" simplePos="0" relativeHeight="480679936">
                <wp:simplePos x="0" y="0"/>
                <wp:positionH relativeFrom="page">
                  <wp:posOffset>-1537026</wp:posOffset>
                </wp:positionH>
                <wp:positionV relativeFrom="page">
                  <wp:posOffset>4900424</wp:posOffset>
                </wp:positionV>
                <wp:extent cx="10669905" cy="914400"/>
                <wp:effectExtent l="0" t="0" r="0" b="0"/>
                <wp:wrapNone/>
                <wp:docPr id="319" name="Textbox 319"/>
                <wp:cNvGraphicFramePr>
                  <a:graphicFrameLocks/>
                </wp:cNvGraphicFramePr>
                <a:graphic>
                  <a:graphicData uri="http://schemas.microsoft.com/office/word/2010/wordprocessingShape">
                    <wps:wsp>
                      <wps:cNvPr id="319" name="Textbox 319"/>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36544;rotation:306" type="#_x0000_t136" fillcolor="#ff5400" stroked="f">
                <o:extrusion v:ext="view" autorotationcenter="t"/>
                <v:textpath style="font-family:&quot;Arial MT&quot;;font-size:72pt;v-text-kern:t;mso-text-shadow:auto" string="UNIVERSITY OF IBADAN"/>
                <w10:wrap type="none"/>
              </v:shape>
            </w:pict>
          </mc:Fallback>
        </mc:AlternateContent>
      </w:r>
      <w:r>
        <w:rPr/>
        <w:t>however, disagree with the view that there is lack of coordination among the constituent units of the JTF.</w:t>
      </w:r>
    </w:p>
    <w:p>
      <w:pPr>
        <w:pStyle w:val="BodyText"/>
        <w:spacing w:line="360" w:lineRule="auto" w:before="1"/>
        <w:ind w:right="1258" w:firstLine="720"/>
        <w:jc w:val="both"/>
      </w:pPr>
      <w:r>
        <w:rPr/>
        <w:t>The submissions of our oral interviewees also attest to these findings.</w:t>
      </w:r>
      <w:r>
        <w:rPr>
          <w:spacing w:val="80"/>
        </w:rPr>
        <w:t> </w:t>
      </w:r>
      <w:r>
        <w:rPr/>
        <w:t>The</w:t>
      </w:r>
      <w:r>
        <w:rPr>
          <w:spacing w:val="40"/>
        </w:rPr>
        <w:t> </w:t>
      </w:r>
      <w:r>
        <w:rPr/>
        <w:t>JTF is observed to be faced with obvious operational challenges. These include problems of acceptability of the JTF troops by the rural communities who may not readily be disposed to the military, difficult terrain, inadequate manpower as well as lack of political will especially at the inception of the Task Force on the part of </w:t>
      </w:r>
      <w:r>
        <w:rPr>
          <w:spacing w:val="-2"/>
        </w:rPr>
        <w:t>Government.</w:t>
      </w:r>
    </w:p>
    <w:p>
      <w:pPr>
        <w:pStyle w:val="BodyText"/>
        <w:spacing w:line="360" w:lineRule="auto"/>
        <w:ind w:right="1256" w:firstLine="720"/>
        <w:jc w:val="both"/>
      </w:pPr>
      <w:r>
        <w:rPr/>
        <w:t>Furthermore, the study identifies multi-dimensional risk factors that are germane to the successful attainment of the</w:t>
      </w:r>
      <w:r>
        <w:rPr>
          <w:spacing w:val="-1"/>
        </w:rPr>
        <w:t> </w:t>
      </w:r>
      <w:r>
        <w:rPr/>
        <w:t>JTF</w:t>
      </w:r>
      <w:r>
        <w:rPr>
          <w:spacing w:val="-2"/>
        </w:rPr>
        <w:t> </w:t>
      </w:r>
      <w:r>
        <w:rPr/>
        <w:t>mandate</w:t>
      </w:r>
      <w:r>
        <w:rPr>
          <w:spacing w:val="-1"/>
        </w:rPr>
        <w:t> </w:t>
      </w:r>
      <w:r>
        <w:rPr/>
        <w:t>including personal, political, economic, environmental and diplomatic risks. The JTF operation is basically a military operation other than War (MOOTW) in a riverine environment and in some cases in the built-up areas. The geography and terrain of the JTF Joint Operations</w:t>
      </w:r>
      <w:r>
        <w:rPr>
          <w:spacing w:val="40"/>
        </w:rPr>
        <w:t> </w:t>
      </w:r>
      <w:r>
        <w:rPr/>
        <w:t>Area constitute special problems and risks. The militant knows and understand the nuances of the waters and the creeks more than the JTF troops. This is against the backdrop</w:t>
      </w:r>
      <w:r>
        <w:rPr>
          <w:spacing w:val="-2"/>
        </w:rPr>
        <w:t> </w:t>
      </w:r>
      <w:r>
        <w:rPr/>
        <w:t>of</w:t>
      </w:r>
      <w:r>
        <w:rPr>
          <w:spacing w:val="-2"/>
        </w:rPr>
        <w:t> </w:t>
      </w:r>
      <w:r>
        <w:rPr/>
        <w:t>the</w:t>
      </w:r>
      <w:r>
        <w:rPr>
          <w:spacing w:val="-1"/>
        </w:rPr>
        <w:t> </w:t>
      </w:r>
      <w:r>
        <w:rPr/>
        <w:t>JTF</w:t>
      </w:r>
      <w:r>
        <w:rPr>
          <w:spacing w:val="-1"/>
        </w:rPr>
        <w:t> </w:t>
      </w:r>
      <w:r>
        <w:rPr/>
        <w:t>troops‟</w:t>
      </w:r>
      <w:r>
        <w:rPr>
          <w:spacing w:val="-2"/>
        </w:rPr>
        <w:t> </w:t>
      </w:r>
      <w:r>
        <w:rPr/>
        <w:t>poor</w:t>
      </w:r>
      <w:r>
        <w:rPr>
          <w:spacing w:val="-2"/>
        </w:rPr>
        <w:t> </w:t>
      </w:r>
      <w:r>
        <w:rPr/>
        <w:t>knowledge</w:t>
      </w:r>
      <w:r>
        <w:rPr>
          <w:spacing w:val="-2"/>
        </w:rPr>
        <w:t> </w:t>
      </w:r>
      <w:r>
        <w:rPr/>
        <w:t>of</w:t>
      </w:r>
      <w:r>
        <w:rPr>
          <w:spacing w:val="-2"/>
        </w:rPr>
        <w:t> </w:t>
      </w:r>
      <w:r>
        <w:rPr/>
        <w:t>the</w:t>
      </w:r>
      <w:r>
        <w:rPr>
          <w:spacing w:val="-2"/>
        </w:rPr>
        <w:t> </w:t>
      </w:r>
      <w:r>
        <w:rPr/>
        <w:t>Niger</w:t>
      </w:r>
      <w:r>
        <w:rPr>
          <w:spacing w:val="-1"/>
        </w:rPr>
        <w:t> </w:t>
      </w:r>
      <w:r>
        <w:rPr/>
        <w:t>Delta</w:t>
      </w:r>
      <w:r>
        <w:rPr>
          <w:spacing w:val="-1"/>
        </w:rPr>
        <w:t> </w:t>
      </w:r>
      <w:r>
        <w:rPr/>
        <w:t>terrain</w:t>
      </w:r>
      <w:r>
        <w:rPr>
          <w:spacing w:val="-1"/>
        </w:rPr>
        <w:t> </w:t>
      </w:r>
      <w:r>
        <w:rPr/>
        <w:t>and absence</w:t>
      </w:r>
      <w:r>
        <w:rPr>
          <w:spacing w:val="-2"/>
        </w:rPr>
        <w:t> </w:t>
      </w:r>
      <w:r>
        <w:rPr/>
        <w:t>of riverine training.</w:t>
      </w:r>
    </w:p>
    <w:p>
      <w:pPr>
        <w:pStyle w:val="BodyText"/>
        <w:spacing w:before="4"/>
        <w:ind w:left="0"/>
      </w:pPr>
    </w:p>
    <w:p>
      <w:pPr>
        <w:pStyle w:val="Heading2"/>
        <w:numPr>
          <w:ilvl w:val="3"/>
          <w:numId w:val="27"/>
        </w:numPr>
        <w:tabs>
          <w:tab w:pos="2442" w:val="left" w:leader="none"/>
        </w:tabs>
        <w:spacing w:line="357" w:lineRule="auto" w:before="1" w:after="0"/>
        <w:ind w:left="1440" w:right="1260" w:firstLine="0"/>
        <w:jc w:val="left"/>
        <w:rPr>
          <w:b w:val="0"/>
        </w:rPr>
      </w:pPr>
      <w:r>
        <w:rPr/>
        <w:t>RQ21:</w:t>
      </w:r>
      <w:r>
        <w:rPr>
          <w:spacing w:val="37"/>
        </w:rPr>
        <w:t> </w:t>
      </w:r>
      <w:r>
        <w:rPr/>
        <w:t>Perception</w:t>
      </w:r>
      <w:r>
        <w:rPr>
          <w:spacing w:val="38"/>
        </w:rPr>
        <w:t> </w:t>
      </w:r>
      <w:r>
        <w:rPr/>
        <w:t>on</w:t>
      </w:r>
      <w:r>
        <w:rPr>
          <w:spacing w:val="36"/>
        </w:rPr>
        <w:t> </w:t>
      </w:r>
      <w:r>
        <w:rPr/>
        <w:t>Activities</w:t>
      </w:r>
      <w:r>
        <w:rPr>
          <w:spacing w:val="38"/>
        </w:rPr>
        <w:t> </w:t>
      </w:r>
      <w:r>
        <w:rPr/>
        <w:t>of</w:t>
      </w:r>
      <w:r>
        <w:rPr>
          <w:spacing w:val="37"/>
        </w:rPr>
        <w:t> </w:t>
      </w:r>
      <w:r>
        <w:rPr/>
        <w:t>Youth</w:t>
      </w:r>
      <w:r>
        <w:rPr>
          <w:spacing w:val="38"/>
        </w:rPr>
        <w:t> </w:t>
      </w:r>
      <w:r>
        <w:rPr/>
        <w:t>Organizations</w:t>
      </w:r>
      <w:r>
        <w:rPr>
          <w:spacing w:val="35"/>
        </w:rPr>
        <w:t> </w:t>
      </w:r>
      <w:r>
        <w:rPr/>
        <w:t>in</w:t>
      </w:r>
      <w:r>
        <w:rPr>
          <w:spacing w:val="38"/>
        </w:rPr>
        <w:t> </w:t>
      </w:r>
      <w:r>
        <w:rPr/>
        <w:t>the</w:t>
      </w:r>
      <w:r>
        <w:rPr>
          <w:spacing w:val="37"/>
        </w:rPr>
        <w:t> </w:t>
      </w:r>
      <w:r>
        <w:rPr/>
        <w:t>Niger </w:t>
      </w:r>
      <w:r>
        <w:rPr>
          <w:spacing w:val="-2"/>
        </w:rPr>
        <w:t>Delta</w:t>
      </w:r>
      <w:r>
        <w:rPr>
          <w:b w:val="0"/>
          <w:spacing w:val="-2"/>
        </w:rPr>
        <w:t>.</w:t>
      </w:r>
    </w:p>
    <w:p>
      <w:pPr>
        <w:pStyle w:val="BodyText"/>
        <w:spacing w:line="360" w:lineRule="auto" w:before="1"/>
        <w:ind w:right="1260"/>
      </w:pPr>
      <w:r>
        <w:rPr/>
        <w:t>Perception</w:t>
      </w:r>
      <w:r>
        <w:rPr>
          <w:spacing w:val="40"/>
        </w:rPr>
        <w:t> </w:t>
      </w:r>
      <w:r>
        <w:rPr/>
        <w:t>of</w:t>
      </w:r>
      <w:r>
        <w:rPr>
          <w:spacing w:val="40"/>
        </w:rPr>
        <w:t> </w:t>
      </w:r>
      <w:r>
        <w:rPr/>
        <w:t>activities</w:t>
      </w:r>
      <w:r>
        <w:rPr>
          <w:spacing w:val="40"/>
        </w:rPr>
        <w:t> </w:t>
      </w:r>
      <w:r>
        <w:rPr/>
        <w:t>of</w:t>
      </w:r>
      <w:r>
        <w:rPr>
          <w:spacing w:val="40"/>
        </w:rPr>
        <w:t> </w:t>
      </w:r>
      <w:r>
        <w:rPr/>
        <w:t>the</w:t>
      </w:r>
      <w:r>
        <w:rPr>
          <w:spacing w:val="40"/>
        </w:rPr>
        <w:t> </w:t>
      </w:r>
      <w:r>
        <w:rPr/>
        <w:t>various</w:t>
      </w:r>
      <w:r>
        <w:rPr>
          <w:spacing w:val="68"/>
        </w:rPr>
        <w:t> </w:t>
      </w:r>
      <w:r>
        <w:rPr/>
        <w:t>youth</w:t>
      </w:r>
      <w:r>
        <w:rPr>
          <w:spacing w:val="40"/>
        </w:rPr>
        <w:t> </w:t>
      </w:r>
      <w:r>
        <w:rPr/>
        <w:t>organizations</w:t>
      </w:r>
      <w:r>
        <w:rPr>
          <w:spacing w:val="40"/>
        </w:rPr>
        <w:t> </w:t>
      </w:r>
      <w:r>
        <w:rPr/>
        <w:t>in</w:t>
      </w:r>
      <w:r>
        <w:rPr>
          <w:spacing w:val="40"/>
        </w:rPr>
        <w:t> </w:t>
      </w:r>
      <w:r>
        <w:rPr/>
        <w:t>the</w:t>
      </w:r>
      <w:r>
        <w:rPr>
          <w:spacing w:val="40"/>
        </w:rPr>
        <w:t> </w:t>
      </w:r>
      <w:r>
        <w:rPr/>
        <w:t>Niger</w:t>
      </w:r>
      <w:r>
        <w:rPr>
          <w:spacing w:val="40"/>
        </w:rPr>
        <w:t> </w:t>
      </w:r>
      <w:r>
        <w:rPr/>
        <w:t>delta</w:t>
      </w:r>
      <w:r>
        <w:rPr>
          <w:spacing w:val="40"/>
        </w:rPr>
        <w:t> </w:t>
      </w:r>
      <w:r>
        <w:rPr/>
        <w:t>is</w:t>
      </w:r>
      <w:r>
        <w:rPr>
          <w:spacing w:val="80"/>
        </w:rPr>
        <w:t> </w:t>
      </w:r>
      <w:r>
        <w:rPr/>
        <w:t>presented on Table 26.</w:t>
      </w:r>
    </w:p>
    <w:p>
      <w:pPr>
        <w:pStyle w:val="Heading2"/>
        <w:spacing w:before="5"/>
      </w:pPr>
      <w:r>
        <w:rPr/>
        <w:t>Table</w:t>
      </w:r>
      <w:r>
        <w:rPr>
          <w:spacing w:val="-3"/>
        </w:rPr>
        <w:t> </w:t>
      </w:r>
      <w:r>
        <w:rPr/>
        <w:t>26:</w:t>
      </w:r>
      <w:r>
        <w:rPr>
          <w:spacing w:val="-3"/>
        </w:rPr>
        <w:t> </w:t>
      </w:r>
      <w:r>
        <w:rPr/>
        <w:t>Perception</w:t>
      </w:r>
      <w:r>
        <w:rPr>
          <w:spacing w:val="-1"/>
        </w:rPr>
        <w:t> </w:t>
      </w:r>
      <w:r>
        <w:rPr/>
        <w:t>on</w:t>
      </w:r>
      <w:r>
        <w:rPr>
          <w:spacing w:val="-1"/>
        </w:rPr>
        <w:t> </w:t>
      </w:r>
      <w:r>
        <w:rPr/>
        <w:t>Activities</w:t>
      </w:r>
      <w:r>
        <w:rPr>
          <w:spacing w:val="-1"/>
        </w:rPr>
        <w:t> </w:t>
      </w:r>
      <w:r>
        <w:rPr/>
        <w:t>of Youth</w:t>
      </w:r>
      <w:r>
        <w:rPr>
          <w:spacing w:val="-1"/>
        </w:rPr>
        <w:t> </w:t>
      </w:r>
      <w:r>
        <w:rPr/>
        <w:t>Organizations</w:t>
      </w:r>
      <w:r>
        <w:rPr>
          <w:spacing w:val="-1"/>
        </w:rPr>
        <w:t> </w:t>
      </w:r>
      <w:r>
        <w:rPr/>
        <w:t>in</w:t>
      </w:r>
      <w:r>
        <w:rPr>
          <w:spacing w:val="-1"/>
        </w:rPr>
        <w:t> </w:t>
      </w:r>
      <w:r>
        <w:rPr/>
        <w:t>Niger</w:t>
      </w:r>
      <w:r>
        <w:rPr>
          <w:spacing w:val="-1"/>
        </w:rPr>
        <w:t> </w:t>
      </w:r>
      <w:r>
        <w:rPr>
          <w:spacing w:val="-2"/>
        </w:rPr>
        <w:t>Delta</w:t>
      </w:r>
    </w:p>
    <w:p>
      <w:pPr>
        <w:pStyle w:val="BodyText"/>
        <w:spacing w:before="2"/>
        <w:ind w:left="0"/>
        <w:rPr>
          <w:b/>
          <w:sz w:val="12"/>
        </w:rPr>
      </w:pP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9"/>
        <w:gridCol w:w="3255"/>
        <w:gridCol w:w="831"/>
        <w:gridCol w:w="756"/>
        <w:gridCol w:w="1008"/>
        <w:gridCol w:w="2597"/>
      </w:tblGrid>
      <w:tr>
        <w:trPr>
          <w:trHeight w:val="448" w:hRule="atLeast"/>
        </w:trPr>
        <w:tc>
          <w:tcPr>
            <w:tcW w:w="739" w:type="dxa"/>
          </w:tcPr>
          <w:p>
            <w:pPr>
              <w:pStyle w:val="TableParagraph"/>
              <w:rPr>
                <w:sz w:val="24"/>
              </w:rPr>
            </w:pPr>
          </w:p>
        </w:tc>
        <w:tc>
          <w:tcPr>
            <w:tcW w:w="3255" w:type="dxa"/>
          </w:tcPr>
          <w:p>
            <w:pPr>
              <w:pStyle w:val="TableParagraph"/>
              <w:rPr>
                <w:sz w:val="24"/>
              </w:rPr>
            </w:pPr>
          </w:p>
        </w:tc>
        <w:tc>
          <w:tcPr>
            <w:tcW w:w="831" w:type="dxa"/>
          </w:tcPr>
          <w:p>
            <w:pPr>
              <w:pStyle w:val="TableParagraph"/>
              <w:spacing w:before="15"/>
              <w:ind w:left="10"/>
              <w:jc w:val="center"/>
              <w:rPr>
                <w:b/>
                <w:sz w:val="24"/>
              </w:rPr>
            </w:pPr>
            <w:r>
              <w:rPr>
                <w:b/>
                <w:spacing w:val="-10"/>
                <w:sz w:val="24"/>
              </w:rPr>
              <w:t>N</w:t>
            </w:r>
          </w:p>
        </w:tc>
        <w:tc>
          <w:tcPr>
            <w:tcW w:w="756" w:type="dxa"/>
          </w:tcPr>
          <w:p>
            <w:pPr>
              <w:pStyle w:val="TableParagraph"/>
              <w:spacing w:before="15"/>
              <w:ind w:left="9" w:right="3"/>
              <w:jc w:val="center"/>
              <w:rPr>
                <w:b/>
                <w:sz w:val="24"/>
              </w:rPr>
            </w:pPr>
            <w:r>
              <w:rPr>
                <w:b/>
                <w:spacing w:val="-4"/>
                <w:sz w:val="24"/>
              </w:rPr>
              <w:t>Mean</w:t>
            </w:r>
          </w:p>
        </w:tc>
        <w:tc>
          <w:tcPr>
            <w:tcW w:w="1008" w:type="dxa"/>
          </w:tcPr>
          <w:p>
            <w:pPr>
              <w:pStyle w:val="TableParagraph"/>
              <w:spacing w:before="15"/>
              <w:ind w:left="9"/>
              <w:jc w:val="center"/>
              <w:rPr>
                <w:b/>
                <w:sz w:val="24"/>
              </w:rPr>
            </w:pPr>
            <w:r>
              <w:rPr>
                <w:b/>
                <w:spacing w:val="-5"/>
                <w:sz w:val="24"/>
              </w:rPr>
              <w:t>SD</w:t>
            </w:r>
          </w:p>
        </w:tc>
        <w:tc>
          <w:tcPr>
            <w:tcW w:w="2597" w:type="dxa"/>
          </w:tcPr>
          <w:p>
            <w:pPr>
              <w:pStyle w:val="TableParagraph"/>
              <w:spacing w:before="15"/>
              <w:ind w:left="15" w:right="10"/>
              <w:jc w:val="center"/>
              <w:rPr>
                <w:b/>
                <w:sz w:val="24"/>
              </w:rPr>
            </w:pPr>
            <w:r>
              <w:rPr>
                <w:b/>
                <w:sz w:val="24"/>
              </w:rPr>
              <w:t>Level</w:t>
            </w:r>
            <w:r>
              <w:rPr>
                <w:b/>
                <w:spacing w:val="-3"/>
                <w:sz w:val="24"/>
              </w:rPr>
              <w:t> </w:t>
            </w:r>
            <w:r>
              <w:rPr>
                <w:b/>
                <w:sz w:val="24"/>
              </w:rPr>
              <w:t>of </w:t>
            </w:r>
            <w:r>
              <w:rPr>
                <w:b/>
                <w:spacing w:val="-2"/>
                <w:sz w:val="24"/>
              </w:rPr>
              <w:t>Agreement</w:t>
            </w:r>
          </w:p>
        </w:tc>
      </w:tr>
      <w:tr>
        <w:trPr>
          <w:trHeight w:val="422" w:hRule="atLeast"/>
        </w:trPr>
        <w:tc>
          <w:tcPr>
            <w:tcW w:w="739" w:type="dxa"/>
          </w:tcPr>
          <w:p>
            <w:pPr>
              <w:pStyle w:val="TableParagraph"/>
              <w:spacing w:line="275" w:lineRule="exact"/>
              <w:ind w:left="11" w:right="2"/>
              <w:jc w:val="center"/>
              <w:rPr>
                <w:sz w:val="24"/>
              </w:rPr>
            </w:pPr>
            <w:r>
              <w:rPr>
                <w:spacing w:val="-5"/>
                <w:sz w:val="24"/>
              </w:rPr>
              <w:t>B81</w:t>
            </w:r>
          </w:p>
        </w:tc>
        <w:tc>
          <w:tcPr>
            <w:tcW w:w="3255" w:type="dxa"/>
          </w:tcPr>
          <w:p>
            <w:pPr>
              <w:pStyle w:val="TableParagraph"/>
              <w:spacing w:line="275" w:lineRule="exact"/>
              <w:ind w:left="9"/>
              <w:rPr>
                <w:sz w:val="24"/>
              </w:rPr>
            </w:pPr>
            <w:r>
              <w:rPr>
                <w:spacing w:val="-2"/>
                <w:sz w:val="24"/>
              </w:rPr>
              <w:t>Criminal.</w:t>
            </w:r>
          </w:p>
        </w:tc>
        <w:tc>
          <w:tcPr>
            <w:tcW w:w="831" w:type="dxa"/>
          </w:tcPr>
          <w:p>
            <w:pPr>
              <w:pStyle w:val="TableParagraph"/>
              <w:spacing w:line="275" w:lineRule="exact"/>
              <w:ind w:left="10" w:right="1"/>
              <w:jc w:val="center"/>
              <w:rPr>
                <w:sz w:val="24"/>
              </w:rPr>
            </w:pPr>
            <w:r>
              <w:rPr>
                <w:spacing w:val="-5"/>
                <w:sz w:val="24"/>
              </w:rPr>
              <w:t>235</w:t>
            </w:r>
          </w:p>
        </w:tc>
        <w:tc>
          <w:tcPr>
            <w:tcW w:w="756" w:type="dxa"/>
          </w:tcPr>
          <w:p>
            <w:pPr>
              <w:pStyle w:val="TableParagraph"/>
              <w:spacing w:line="275" w:lineRule="exact"/>
              <w:ind w:left="9"/>
              <w:jc w:val="center"/>
              <w:rPr>
                <w:sz w:val="24"/>
              </w:rPr>
            </w:pPr>
            <w:r>
              <w:rPr>
                <w:spacing w:val="-4"/>
                <w:sz w:val="24"/>
              </w:rPr>
              <w:t>2.56</w:t>
            </w:r>
          </w:p>
        </w:tc>
        <w:tc>
          <w:tcPr>
            <w:tcW w:w="1008" w:type="dxa"/>
          </w:tcPr>
          <w:p>
            <w:pPr>
              <w:pStyle w:val="TableParagraph"/>
              <w:spacing w:line="275" w:lineRule="exact"/>
              <w:ind w:left="9" w:right="2"/>
              <w:jc w:val="center"/>
              <w:rPr>
                <w:sz w:val="24"/>
              </w:rPr>
            </w:pPr>
            <w:r>
              <w:rPr>
                <w:spacing w:val="-2"/>
                <w:sz w:val="24"/>
              </w:rPr>
              <w:t>1.000</w:t>
            </w:r>
          </w:p>
        </w:tc>
        <w:tc>
          <w:tcPr>
            <w:tcW w:w="2597" w:type="dxa"/>
          </w:tcPr>
          <w:p>
            <w:pPr>
              <w:pStyle w:val="TableParagraph"/>
              <w:spacing w:line="275" w:lineRule="exact"/>
              <w:ind w:left="15" w:right="9"/>
              <w:jc w:val="center"/>
              <w:rPr>
                <w:sz w:val="24"/>
              </w:rPr>
            </w:pPr>
            <w:r>
              <w:rPr>
                <w:spacing w:val="-10"/>
                <w:sz w:val="24"/>
              </w:rPr>
              <w:t>A</w:t>
            </w:r>
          </w:p>
        </w:tc>
      </w:tr>
      <w:tr>
        <w:trPr>
          <w:trHeight w:val="421" w:hRule="atLeast"/>
        </w:trPr>
        <w:tc>
          <w:tcPr>
            <w:tcW w:w="739" w:type="dxa"/>
          </w:tcPr>
          <w:p>
            <w:pPr>
              <w:pStyle w:val="TableParagraph"/>
              <w:spacing w:line="275" w:lineRule="exact"/>
              <w:ind w:left="11" w:right="2"/>
              <w:jc w:val="center"/>
              <w:rPr>
                <w:sz w:val="24"/>
              </w:rPr>
            </w:pPr>
            <w:r>
              <w:rPr>
                <w:spacing w:val="-5"/>
                <w:sz w:val="24"/>
              </w:rPr>
              <w:t>B82</w:t>
            </w:r>
          </w:p>
        </w:tc>
        <w:tc>
          <w:tcPr>
            <w:tcW w:w="3255" w:type="dxa"/>
          </w:tcPr>
          <w:p>
            <w:pPr>
              <w:pStyle w:val="TableParagraph"/>
              <w:spacing w:line="275" w:lineRule="exact"/>
              <w:ind w:left="9"/>
              <w:rPr>
                <w:sz w:val="24"/>
              </w:rPr>
            </w:pPr>
            <w:r>
              <w:rPr>
                <w:sz w:val="24"/>
              </w:rPr>
              <w:t>Sometime</w:t>
            </w:r>
            <w:r>
              <w:rPr>
                <w:spacing w:val="-1"/>
                <w:sz w:val="24"/>
              </w:rPr>
              <w:t> </w:t>
            </w:r>
            <w:r>
              <w:rPr>
                <w:spacing w:val="-2"/>
                <w:sz w:val="24"/>
              </w:rPr>
              <w:t>good.</w:t>
            </w:r>
          </w:p>
        </w:tc>
        <w:tc>
          <w:tcPr>
            <w:tcW w:w="831" w:type="dxa"/>
          </w:tcPr>
          <w:p>
            <w:pPr>
              <w:pStyle w:val="TableParagraph"/>
              <w:spacing w:line="275" w:lineRule="exact"/>
              <w:ind w:left="10" w:right="1"/>
              <w:jc w:val="center"/>
              <w:rPr>
                <w:sz w:val="24"/>
              </w:rPr>
            </w:pPr>
            <w:r>
              <w:rPr>
                <w:spacing w:val="-5"/>
                <w:sz w:val="24"/>
              </w:rPr>
              <w:t>234</w:t>
            </w:r>
          </w:p>
        </w:tc>
        <w:tc>
          <w:tcPr>
            <w:tcW w:w="756" w:type="dxa"/>
          </w:tcPr>
          <w:p>
            <w:pPr>
              <w:pStyle w:val="TableParagraph"/>
              <w:spacing w:line="275" w:lineRule="exact"/>
              <w:ind w:left="9"/>
              <w:jc w:val="center"/>
              <w:rPr>
                <w:sz w:val="24"/>
              </w:rPr>
            </w:pPr>
            <w:r>
              <w:rPr>
                <w:spacing w:val="-4"/>
                <w:sz w:val="24"/>
              </w:rPr>
              <w:t>2.83</w:t>
            </w:r>
          </w:p>
        </w:tc>
        <w:tc>
          <w:tcPr>
            <w:tcW w:w="1008" w:type="dxa"/>
          </w:tcPr>
          <w:p>
            <w:pPr>
              <w:pStyle w:val="TableParagraph"/>
              <w:spacing w:line="275" w:lineRule="exact"/>
              <w:ind w:left="9" w:right="2"/>
              <w:jc w:val="center"/>
              <w:rPr>
                <w:sz w:val="24"/>
              </w:rPr>
            </w:pPr>
            <w:r>
              <w:rPr>
                <w:spacing w:val="-4"/>
                <w:sz w:val="24"/>
              </w:rPr>
              <w:t>.885</w:t>
            </w:r>
          </w:p>
        </w:tc>
        <w:tc>
          <w:tcPr>
            <w:tcW w:w="2597" w:type="dxa"/>
          </w:tcPr>
          <w:p>
            <w:pPr>
              <w:pStyle w:val="TableParagraph"/>
              <w:spacing w:line="275" w:lineRule="exact"/>
              <w:ind w:left="15"/>
              <w:jc w:val="center"/>
              <w:rPr>
                <w:sz w:val="24"/>
              </w:rPr>
            </w:pPr>
            <w:r>
              <w:rPr>
                <w:spacing w:val="-10"/>
                <w:sz w:val="24"/>
              </w:rPr>
              <w:t>A</w:t>
            </w:r>
          </w:p>
        </w:tc>
      </w:tr>
      <w:tr>
        <w:trPr>
          <w:trHeight w:val="422" w:hRule="atLeast"/>
        </w:trPr>
        <w:tc>
          <w:tcPr>
            <w:tcW w:w="739" w:type="dxa"/>
          </w:tcPr>
          <w:p>
            <w:pPr>
              <w:pStyle w:val="TableParagraph"/>
              <w:spacing w:line="275" w:lineRule="exact"/>
              <w:ind w:left="11" w:right="2"/>
              <w:jc w:val="center"/>
              <w:rPr>
                <w:sz w:val="24"/>
              </w:rPr>
            </w:pPr>
            <w:r>
              <w:rPr>
                <w:spacing w:val="-5"/>
                <w:sz w:val="24"/>
              </w:rPr>
              <w:t>B83</w:t>
            </w:r>
          </w:p>
        </w:tc>
        <w:tc>
          <w:tcPr>
            <w:tcW w:w="3255" w:type="dxa"/>
          </w:tcPr>
          <w:p>
            <w:pPr>
              <w:pStyle w:val="TableParagraph"/>
              <w:spacing w:line="275" w:lineRule="exact"/>
              <w:ind w:left="9"/>
              <w:rPr>
                <w:sz w:val="24"/>
              </w:rPr>
            </w:pPr>
            <w:r>
              <w:rPr>
                <w:spacing w:val="-2"/>
                <w:sz w:val="24"/>
              </w:rPr>
              <w:t>Nationalistic.</w:t>
            </w:r>
          </w:p>
        </w:tc>
        <w:tc>
          <w:tcPr>
            <w:tcW w:w="831" w:type="dxa"/>
          </w:tcPr>
          <w:p>
            <w:pPr>
              <w:pStyle w:val="TableParagraph"/>
              <w:spacing w:line="275" w:lineRule="exact"/>
              <w:ind w:left="10" w:right="1"/>
              <w:jc w:val="center"/>
              <w:rPr>
                <w:sz w:val="24"/>
              </w:rPr>
            </w:pPr>
            <w:r>
              <w:rPr>
                <w:spacing w:val="-5"/>
                <w:sz w:val="24"/>
              </w:rPr>
              <w:t>230</w:t>
            </w:r>
          </w:p>
        </w:tc>
        <w:tc>
          <w:tcPr>
            <w:tcW w:w="756" w:type="dxa"/>
          </w:tcPr>
          <w:p>
            <w:pPr>
              <w:pStyle w:val="TableParagraph"/>
              <w:spacing w:line="275" w:lineRule="exact"/>
              <w:ind w:left="9"/>
              <w:jc w:val="center"/>
              <w:rPr>
                <w:sz w:val="24"/>
              </w:rPr>
            </w:pPr>
            <w:r>
              <w:rPr>
                <w:spacing w:val="-4"/>
                <w:sz w:val="24"/>
              </w:rPr>
              <w:t>2.31</w:t>
            </w:r>
          </w:p>
        </w:tc>
        <w:tc>
          <w:tcPr>
            <w:tcW w:w="1008" w:type="dxa"/>
          </w:tcPr>
          <w:p>
            <w:pPr>
              <w:pStyle w:val="TableParagraph"/>
              <w:spacing w:line="275" w:lineRule="exact"/>
              <w:ind w:left="9" w:right="2"/>
              <w:jc w:val="center"/>
              <w:rPr>
                <w:sz w:val="24"/>
              </w:rPr>
            </w:pPr>
            <w:r>
              <w:rPr>
                <w:spacing w:val="-4"/>
                <w:sz w:val="24"/>
              </w:rPr>
              <w:t>.910</w:t>
            </w:r>
          </w:p>
        </w:tc>
        <w:tc>
          <w:tcPr>
            <w:tcW w:w="2597" w:type="dxa"/>
          </w:tcPr>
          <w:p>
            <w:pPr>
              <w:pStyle w:val="TableParagraph"/>
              <w:spacing w:line="275" w:lineRule="exact"/>
              <w:ind w:left="15"/>
              <w:jc w:val="center"/>
              <w:rPr>
                <w:sz w:val="24"/>
              </w:rPr>
            </w:pPr>
            <w:r>
              <w:rPr>
                <w:spacing w:val="-10"/>
                <w:sz w:val="24"/>
              </w:rPr>
              <w:t>D</w:t>
            </w:r>
          </w:p>
        </w:tc>
      </w:tr>
      <w:tr>
        <w:trPr>
          <w:trHeight w:val="417" w:hRule="atLeast"/>
        </w:trPr>
        <w:tc>
          <w:tcPr>
            <w:tcW w:w="739" w:type="dxa"/>
          </w:tcPr>
          <w:p>
            <w:pPr>
              <w:pStyle w:val="TableParagraph"/>
              <w:spacing w:line="273" w:lineRule="exact"/>
              <w:ind w:left="11" w:right="2"/>
              <w:jc w:val="center"/>
              <w:rPr>
                <w:sz w:val="24"/>
              </w:rPr>
            </w:pPr>
            <w:r>
              <w:rPr>
                <w:spacing w:val="-5"/>
                <w:sz w:val="24"/>
              </w:rPr>
              <w:t>B84</w:t>
            </w:r>
          </w:p>
        </w:tc>
        <w:tc>
          <w:tcPr>
            <w:tcW w:w="3255" w:type="dxa"/>
          </w:tcPr>
          <w:p>
            <w:pPr>
              <w:pStyle w:val="TableParagraph"/>
              <w:spacing w:line="273" w:lineRule="exact"/>
              <w:ind w:left="9"/>
              <w:rPr>
                <w:sz w:val="24"/>
              </w:rPr>
            </w:pPr>
            <w:r>
              <w:rPr>
                <w:sz w:val="24"/>
              </w:rPr>
              <w:t>Economic</w:t>
            </w:r>
            <w:r>
              <w:rPr>
                <w:spacing w:val="-3"/>
                <w:sz w:val="24"/>
              </w:rPr>
              <w:t> </w:t>
            </w:r>
            <w:r>
              <w:rPr>
                <w:spacing w:val="-2"/>
                <w:sz w:val="24"/>
              </w:rPr>
              <w:t>Saboteurs.</w:t>
            </w:r>
          </w:p>
        </w:tc>
        <w:tc>
          <w:tcPr>
            <w:tcW w:w="831" w:type="dxa"/>
          </w:tcPr>
          <w:p>
            <w:pPr>
              <w:pStyle w:val="TableParagraph"/>
              <w:spacing w:line="273" w:lineRule="exact"/>
              <w:ind w:left="10" w:right="1"/>
              <w:jc w:val="center"/>
              <w:rPr>
                <w:sz w:val="24"/>
              </w:rPr>
            </w:pPr>
            <w:r>
              <w:rPr>
                <w:spacing w:val="-5"/>
                <w:sz w:val="24"/>
              </w:rPr>
              <w:t>232</w:t>
            </w:r>
          </w:p>
        </w:tc>
        <w:tc>
          <w:tcPr>
            <w:tcW w:w="756" w:type="dxa"/>
          </w:tcPr>
          <w:p>
            <w:pPr>
              <w:pStyle w:val="TableParagraph"/>
              <w:spacing w:line="273" w:lineRule="exact"/>
              <w:ind w:left="9"/>
              <w:jc w:val="center"/>
              <w:rPr>
                <w:sz w:val="24"/>
              </w:rPr>
            </w:pPr>
            <w:r>
              <w:rPr>
                <w:spacing w:val="-4"/>
                <w:sz w:val="24"/>
              </w:rPr>
              <w:t>2.27</w:t>
            </w:r>
          </w:p>
        </w:tc>
        <w:tc>
          <w:tcPr>
            <w:tcW w:w="1008" w:type="dxa"/>
          </w:tcPr>
          <w:p>
            <w:pPr>
              <w:pStyle w:val="TableParagraph"/>
              <w:spacing w:line="273" w:lineRule="exact"/>
              <w:ind w:left="9" w:right="2"/>
              <w:jc w:val="center"/>
              <w:rPr>
                <w:sz w:val="24"/>
              </w:rPr>
            </w:pPr>
            <w:r>
              <w:rPr>
                <w:spacing w:val="-4"/>
                <w:sz w:val="24"/>
              </w:rPr>
              <w:t>.970</w:t>
            </w:r>
          </w:p>
        </w:tc>
        <w:tc>
          <w:tcPr>
            <w:tcW w:w="2597" w:type="dxa"/>
          </w:tcPr>
          <w:p>
            <w:pPr>
              <w:pStyle w:val="TableParagraph"/>
              <w:spacing w:line="273" w:lineRule="exact"/>
              <w:ind w:left="15" w:right="9"/>
              <w:jc w:val="center"/>
              <w:rPr>
                <w:sz w:val="24"/>
              </w:rPr>
            </w:pPr>
            <w:r>
              <w:rPr>
                <w:spacing w:val="-10"/>
                <w:sz w:val="24"/>
              </w:rPr>
              <w:t>D</w:t>
            </w:r>
          </w:p>
        </w:tc>
      </w:tr>
    </w:tbl>
    <w:p>
      <w:pPr>
        <w:pStyle w:val="BodyText"/>
        <w:spacing w:before="124"/>
        <w:ind w:left="0"/>
        <w:rPr>
          <w:b/>
        </w:rPr>
      </w:pPr>
    </w:p>
    <w:p>
      <w:pPr>
        <w:pStyle w:val="BodyText"/>
        <w:spacing w:line="360" w:lineRule="auto" w:before="1"/>
        <w:ind w:right="1260" w:firstLine="705"/>
        <w:jc w:val="both"/>
      </w:pPr>
      <w:r>
        <w:rPr/>
        <w:t>From the data presented on Table 26, there is a divided perception on the activities of various youth organizations in the Niger Delta. It was generally agreed that Niger Delta youths are involved in criminal activities while sometimes these activities could be directed toward good goals for the communities.</w:t>
      </w:r>
    </w:p>
    <w:p>
      <w:pPr>
        <w:spacing w:after="0" w:line="360" w:lineRule="auto"/>
        <w:jc w:val="both"/>
        <w:sectPr>
          <w:pgSz w:w="11910" w:h="16840"/>
          <w:pgMar w:header="0" w:footer="1561" w:top="1360" w:bottom="1760" w:left="720" w:right="180"/>
        </w:sectPr>
      </w:pPr>
    </w:p>
    <w:p>
      <w:pPr>
        <w:pStyle w:val="Heading2"/>
        <w:numPr>
          <w:ilvl w:val="3"/>
          <w:numId w:val="26"/>
        </w:numPr>
        <w:tabs>
          <w:tab w:pos="2880" w:val="left" w:leader="none"/>
        </w:tabs>
        <w:spacing w:line="240" w:lineRule="auto" w:before="78" w:after="0"/>
        <w:ind w:left="2880" w:right="0" w:hanging="1454"/>
        <w:jc w:val="both"/>
      </w:pPr>
      <w:r>
        <w:rPr/>
        <mc:AlternateContent>
          <mc:Choice Requires="wps">
            <w:drawing>
              <wp:anchor distT="0" distB="0" distL="0" distR="0" allowOverlap="1" layoutInCell="1" locked="0" behindDoc="1" simplePos="0" relativeHeight="480680448">
                <wp:simplePos x="0" y="0"/>
                <wp:positionH relativeFrom="page">
                  <wp:posOffset>-1537026</wp:posOffset>
                </wp:positionH>
                <wp:positionV relativeFrom="page">
                  <wp:posOffset>4900424</wp:posOffset>
                </wp:positionV>
                <wp:extent cx="10669905" cy="914400"/>
                <wp:effectExtent l="0" t="0" r="0" b="0"/>
                <wp:wrapNone/>
                <wp:docPr id="320" name="Textbox 320"/>
                <wp:cNvGraphicFramePr>
                  <a:graphicFrameLocks/>
                </wp:cNvGraphicFramePr>
                <a:graphic>
                  <a:graphicData uri="http://schemas.microsoft.com/office/word/2010/wordprocessingShape">
                    <wps:wsp>
                      <wps:cNvPr id="320" name="Textbox 320"/>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36032;rotation:306" type="#_x0000_t136" fillcolor="#ff5400" stroked="f">
                <o:extrusion v:ext="view" autorotationcenter="t"/>
                <v:textpath style="font-family:&quot;Arial MT&quot;;font-size:72pt;v-text-kern:t;mso-text-shadow:auto" string="UNIVERSITY OF IBADAN"/>
                <w10:wrap type="none"/>
              </v:shape>
            </w:pict>
          </mc:Fallback>
        </mc:AlternateContent>
      </w:r>
      <w:r>
        <w:rPr/>
        <w:t>Youth</w:t>
      </w:r>
      <w:r>
        <w:rPr>
          <w:spacing w:val="-1"/>
        </w:rPr>
        <w:t> </w:t>
      </w:r>
      <w:r>
        <w:rPr/>
        <w:t>Organizations</w:t>
      </w:r>
      <w:r>
        <w:rPr>
          <w:spacing w:val="-2"/>
        </w:rPr>
        <w:t> </w:t>
      </w:r>
      <w:r>
        <w:rPr/>
        <w:t>are</w:t>
      </w:r>
      <w:r>
        <w:rPr>
          <w:spacing w:val="-2"/>
        </w:rPr>
        <w:t> </w:t>
      </w:r>
      <w:r>
        <w:rPr/>
        <w:t>Involved</w:t>
      </w:r>
      <w:r>
        <w:rPr>
          <w:spacing w:val="-1"/>
        </w:rPr>
        <w:t> </w:t>
      </w:r>
      <w:r>
        <w:rPr/>
        <w:t>in</w:t>
      </w:r>
      <w:r>
        <w:rPr>
          <w:spacing w:val="-1"/>
        </w:rPr>
        <w:t> </w:t>
      </w:r>
      <w:r>
        <w:rPr/>
        <w:t>Criminal</w:t>
      </w:r>
      <w:r>
        <w:rPr>
          <w:spacing w:val="-1"/>
        </w:rPr>
        <w:t> </w:t>
      </w:r>
      <w:r>
        <w:rPr>
          <w:spacing w:val="-2"/>
        </w:rPr>
        <w:t>Activities</w:t>
      </w:r>
    </w:p>
    <w:p>
      <w:pPr>
        <w:pStyle w:val="BodyText"/>
        <w:spacing w:line="360" w:lineRule="auto" w:before="135"/>
        <w:ind w:right="1263" w:firstLine="720"/>
        <w:jc w:val="both"/>
      </w:pPr>
      <w:r>
        <w:rPr/>
        <w:t>On a State by State basis, results of ANOVA indicate a significant difference amongst the States (f=12.888, p=.OOO). However, the agreement with this view is maintained in Bayelsa State 2.97(A).</w:t>
      </w:r>
    </w:p>
    <w:p>
      <w:pPr>
        <w:pStyle w:val="BodyText"/>
        <w:spacing w:line="360" w:lineRule="auto"/>
        <w:ind w:right="1254" w:firstLine="710"/>
        <w:jc w:val="both"/>
      </w:pPr>
      <w:r>
        <w:rPr/>
        <w:t>Considering the gender of respondents' results of the t-test shows there is an indication</w:t>
      </w:r>
      <w:r>
        <w:rPr>
          <w:spacing w:val="14"/>
        </w:rPr>
        <w:t> </w:t>
      </w:r>
      <w:r>
        <w:rPr/>
        <w:t>that</w:t>
      </w:r>
      <w:r>
        <w:rPr>
          <w:spacing w:val="15"/>
        </w:rPr>
        <w:t> </w:t>
      </w:r>
      <w:r>
        <w:rPr/>
        <w:t>gender</w:t>
      </w:r>
      <w:r>
        <w:rPr>
          <w:spacing w:val="14"/>
        </w:rPr>
        <w:t> </w:t>
      </w:r>
      <w:r>
        <w:rPr/>
        <w:t>is</w:t>
      </w:r>
      <w:r>
        <w:rPr>
          <w:spacing w:val="19"/>
        </w:rPr>
        <w:t> </w:t>
      </w:r>
      <w:r>
        <w:rPr/>
        <w:t>not</w:t>
      </w:r>
      <w:r>
        <w:rPr>
          <w:spacing w:val="16"/>
        </w:rPr>
        <w:t> </w:t>
      </w:r>
      <w:r>
        <w:rPr/>
        <w:t>a</w:t>
      </w:r>
      <w:r>
        <w:rPr>
          <w:spacing w:val="14"/>
        </w:rPr>
        <w:t> </w:t>
      </w:r>
      <w:r>
        <w:rPr/>
        <w:t>factor</w:t>
      </w:r>
      <w:r>
        <w:rPr>
          <w:spacing w:val="18"/>
        </w:rPr>
        <w:t> </w:t>
      </w:r>
      <w:r>
        <w:rPr/>
        <w:t>in</w:t>
      </w:r>
      <w:r>
        <w:rPr>
          <w:spacing w:val="16"/>
        </w:rPr>
        <w:t> </w:t>
      </w:r>
      <w:r>
        <w:rPr/>
        <w:t>forming</w:t>
      </w:r>
      <w:r>
        <w:rPr>
          <w:spacing w:val="13"/>
        </w:rPr>
        <w:t> </w:t>
      </w:r>
      <w:r>
        <w:rPr/>
        <w:t>the</w:t>
      </w:r>
      <w:r>
        <w:rPr>
          <w:spacing w:val="16"/>
        </w:rPr>
        <w:t> </w:t>
      </w:r>
      <w:r>
        <w:rPr/>
        <w:t>perception</w:t>
      </w:r>
      <w:r>
        <w:rPr>
          <w:spacing w:val="15"/>
        </w:rPr>
        <w:t> </w:t>
      </w:r>
      <w:r>
        <w:rPr/>
        <w:t>(t</w:t>
      </w:r>
      <w:r>
        <w:rPr>
          <w:spacing w:val="15"/>
        </w:rPr>
        <w:t> </w:t>
      </w:r>
      <w:r>
        <w:rPr/>
        <w:t>value</w:t>
      </w:r>
      <w:r>
        <w:rPr>
          <w:spacing w:val="16"/>
        </w:rPr>
        <w:t> </w:t>
      </w:r>
      <w:r>
        <w:rPr/>
        <w:t>is</w:t>
      </w:r>
      <w:r>
        <w:rPr>
          <w:spacing w:val="18"/>
        </w:rPr>
        <w:t> </w:t>
      </w:r>
      <w:r>
        <w:rPr/>
        <w:t>1.685,</w:t>
      </w:r>
      <w:r>
        <w:rPr>
          <w:spacing w:val="15"/>
        </w:rPr>
        <w:t> </w:t>
      </w:r>
      <w:r>
        <w:rPr/>
        <w:t>p</w:t>
      </w:r>
      <w:r>
        <w:rPr>
          <w:spacing w:val="16"/>
        </w:rPr>
        <w:t> </w:t>
      </w:r>
      <w:r>
        <w:rPr>
          <w:spacing w:val="-5"/>
        </w:rPr>
        <w:t>is</w:t>
      </w:r>
    </w:p>
    <w:p>
      <w:pPr>
        <w:pStyle w:val="BodyText"/>
      </w:pPr>
      <w:r>
        <w:rPr>
          <w:spacing w:val="-2"/>
        </w:rPr>
        <w:t>.093).</w:t>
      </w:r>
    </w:p>
    <w:p>
      <w:pPr>
        <w:pStyle w:val="BodyText"/>
        <w:spacing w:line="360" w:lineRule="auto" w:before="138"/>
        <w:ind w:right="1259" w:firstLine="710"/>
        <w:jc w:val="both"/>
      </w:pPr>
      <w:r>
        <w:rPr/>
        <w:t>Based on Age Group of respondents, there are no significant, differences in views (f=2.583, p=038).</w:t>
      </w:r>
      <w:r>
        <w:rPr>
          <w:spacing w:val="80"/>
        </w:rPr>
        <w:t> </w:t>
      </w:r>
      <w:r>
        <w:rPr/>
        <w:t>The generality of respondents agree with the position that the youth organizations are involved in criminal activities. However, the Middle Age Groups 25 - 34 and 35 - 49 years disagree with the perception.</w:t>
      </w:r>
    </w:p>
    <w:p>
      <w:pPr>
        <w:pStyle w:val="BodyText"/>
        <w:spacing w:line="360" w:lineRule="auto" w:before="1"/>
        <w:ind w:right="1260" w:firstLine="710"/>
        <w:jc w:val="both"/>
      </w:pPr>
      <w:r>
        <w:rPr/>
        <w:t>On whether youths are involved in criminal activities in the Niger Delta,</w:t>
      </w:r>
      <w:r>
        <w:rPr>
          <w:spacing w:val="40"/>
        </w:rPr>
        <w:t> </w:t>
      </w:r>
      <w:r>
        <w:rPr/>
        <w:t>extant literature and policy assessments blamed most of the violent conflicts in the Niger Delta on the youth. Generally, the respondents agree that youth organizations are largely involved in criminal activities in the region. Most of the youth organizations form themselves into militant organizations.</w:t>
      </w:r>
    </w:p>
    <w:p>
      <w:pPr>
        <w:pStyle w:val="BodyText"/>
        <w:spacing w:line="360" w:lineRule="auto"/>
        <w:ind w:right="1254" w:firstLine="720"/>
        <w:jc w:val="both"/>
      </w:pPr>
      <w:r>
        <w:rPr/>
        <w:t>Respondents gave reasons for youth involvement in criminal activities to include, unemployment, elite manipulation and inadequate punishment for perpetrators of past violent crimes. Respondents were further asked to cite individuals and</w:t>
      </w:r>
      <w:r>
        <w:rPr>
          <w:spacing w:val="40"/>
        </w:rPr>
        <w:t> </w:t>
      </w:r>
      <w:r>
        <w:rPr/>
        <w:t>organizations that were behind confrontational youth organizations in the Niger Delta. The preponderance of opinion indicates that politicians, elites, illegal oil bunkerers and some government agencies are the agents of confrontational youth </w:t>
      </w:r>
      <w:r>
        <w:rPr>
          <w:spacing w:val="-2"/>
        </w:rPr>
        <w:t>organization.</w:t>
      </w:r>
    </w:p>
    <w:p>
      <w:pPr>
        <w:pStyle w:val="BodyText"/>
        <w:spacing w:line="360" w:lineRule="auto" w:before="1"/>
        <w:ind w:right="1256" w:firstLine="720"/>
        <w:jc w:val="both"/>
      </w:pPr>
      <w:r>
        <w:rPr/>
        <w:t>The major challenge facing the government is how to effectively engage these unemployed youths of the Niger Delta region. The government cannot effectively tackle the menace of crime and militancy, illegal oil bunkering, arms proliferation amongst</w:t>
      </w:r>
      <w:r>
        <w:rPr>
          <w:spacing w:val="-1"/>
        </w:rPr>
        <w:t> </w:t>
      </w:r>
      <w:r>
        <w:rPr/>
        <w:t>other</w:t>
      </w:r>
      <w:r>
        <w:rPr>
          <w:spacing w:val="-3"/>
        </w:rPr>
        <w:t> </w:t>
      </w:r>
      <w:r>
        <w:rPr/>
        <w:t>socio-economic</w:t>
      </w:r>
      <w:r>
        <w:rPr>
          <w:spacing w:val="-2"/>
        </w:rPr>
        <w:t> </w:t>
      </w:r>
      <w:r>
        <w:rPr/>
        <w:t>vices</w:t>
      </w:r>
      <w:r>
        <w:rPr>
          <w:spacing w:val="-1"/>
        </w:rPr>
        <w:t> </w:t>
      </w:r>
      <w:r>
        <w:rPr/>
        <w:t>without</w:t>
      </w:r>
      <w:r>
        <w:rPr>
          <w:spacing w:val="-1"/>
        </w:rPr>
        <w:t> </w:t>
      </w:r>
      <w:r>
        <w:rPr/>
        <w:t>properly</w:t>
      </w:r>
      <w:r>
        <w:rPr>
          <w:spacing w:val="-4"/>
        </w:rPr>
        <w:t> </w:t>
      </w:r>
      <w:r>
        <w:rPr/>
        <w:t>addressing</w:t>
      </w:r>
      <w:r>
        <w:rPr>
          <w:spacing w:val="-4"/>
        </w:rPr>
        <w:t> </w:t>
      </w:r>
      <w:r>
        <w:rPr/>
        <w:t>the</w:t>
      </w:r>
      <w:r>
        <w:rPr>
          <w:spacing w:val="-2"/>
        </w:rPr>
        <w:t> </w:t>
      </w:r>
      <w:r>
        <w:rPr/>
        <w:t>issues of</w:t>
      </w:r>
      <w:r>
        <w:rPr>
          <w:spacing w:val="-2"/>
        </w:rPr>
        <w:t> </w:t>
      </w:r>
      <w:r>
        <w:rPr/>
        <w:t>poverty and youths unemployment.</w:t>
      </w:r>
    </w:p>
    <w:p>
      <w:pPr>
        <w:pStyle w:val="BodyText"/>
        <w:spacing w:line="360" w:lineRule="auto"/>
        <w:ind w:right="1255" w:firstLine="720"/>
        <w:jc w:val="both"/>
      </w:pPr>
      <w:r>
        <w:rPr/>
        <w:t>However, few proactive measures have been implemented to address the unemployment – social unrest nexus, and its unfolding dynamics in the Niger Delta region (Benjamin, 2002). It can be deduced that no development works produce any positive</w:t>
      </w:r>
      <w:r>
        <w:rPr>
          <w:spacing w:val="41"/>
        </w:rPr>
        <w:t> </w:t>
      </w:r>
      <w:r>
        <w:rPr/>
        <w:t>results</w:t>
      </w:r>
      <w:r>
        <w:rPr>
          <w:spacing w:val="45"/>
        </w:rPr>
        <w:t> </w:t>
      </w:r>
      <w:r>
        <w:rPr/>
        <w:t>in</w:t>
      </w:r>
      <w:r>
        <w:rPr>
          <w:spacing w:val="45"/>
        </w:rPr>
        <w:t> </w:t>
      </w:r>
      <w:r>
        <w:rPr/>
        <w:t>the</w:t>
      </w:r>
      <w:r>
        <w:rPr>
          <w:spacing w:val="41"/>
        </w:rPr>
        <w:t> </w:t>
      </w:r>
      <w:r>
        <w:rPr/>
        <w:t>Niger</w:t>
      </w:r>
      <w:r>
        <w:rPr>
          <w:spacing w:val="44"/>
        </w:rPr>
        <w:t> </w:t>
      </w:r>
      <w:r>
        <w:rPr/>
        <w:t>Delta</w:t>
      </w:r>
      <w:r>
        <w:rPr>
          <w:spacing w:val="44"/>
        </w:rPr>
        <w:t> </w:t>
      </w:r>
      <w:r>
        <w:rPr/>
        <w:t>without</w:t>
      </w:r>
      <w:r>
        <w:rPr>
          <w:spacing w:val="46"/>
        </w:rPr>
        <w:t> </w:t>
      </w:r>
      <w:r>
        <w:rPr/>
        <w:t>addressing</w:t>
      </w:r>
      <w:r>
        <w:rPr>
          <w:spacing w:val="41"/>
        </w:rPr>
        <w:t> </w:t>
      </w:r>
      <w:r>
        <w:rPr/>
        <w:t>this</w:t>
      </w:r>
      <w:r>
        <w:rPr>
          <w:spacing w:val="45"/>
        </w:rPr>
        <w:t> </w:t>
      </w:r>
      <w:r>
        <w:rPr/>
        <w:t>problem.</w:t>
      </w:r>
      <w:r>
        <w:rPr>
          <w:spacing w:val="47"/>
        </w:rPr>
        <w:t> </w:t>
      </w:r>
      <w:r>
        <w:rPr/>
        <w:t>This</w:t>
      </w:r>
      <w:r>
        <w:rPr>
          <w:spacing w:val="45"/>
        </w:rPr>
        <w:t> </w:t>
      </w:r>
      <w:r>
        <w:rPr>
          <w:spacing w:val="-2"/>
        </w:rPr>
        <w:t>situation</w:t>
      </w:r>
    </w:p>
    <w:p>
      <w:pPr>
        <w:spacing w:after="0" w:line="360" w:lineRule="auto"/>
        <w:jc w:val="both"/>
        <w:sectPr>
          <w:pgSz w:w="11910" w:h="16840"/>
          <w:pgMar w:header="0" w:footer="1561" w:top="1760" w:bottom="1760" w:left="720" w:right="180"/>
        </w:sectPr>
      </w:pPr>
    </w:p>
    <w:p>
      <w:pPr>
        <w:pStyle w:val="BodyText"/>
        <w:spacing w:line="360" w:lineRule="auto" w:before="60"/>
        <w:ind w:right="1260"/>
      </w:pPr>
      <w:r>
        <w:rPr/>
        <mc:AlternateContent>
          <mc:Choice Requires="wps">
            <w:drawing>
              <wp:anchor distT="0" distB="0" distL="0" distR="0" allowOverlap="1" layoutInCell="1" locked="0" behindDoc="1" simplePos="0" relativeHeight="480680960">
                <wp:simplePos x="0" y="0"/>
                <wp:positionH relativeFrom="page">
                  <wp:posOffset>-1537026</wp:posOffset>
                </wp:positionH>
                <wp:positionV relativeFrom="page">
                  <wp:posOffset>4900424</wp:posOffset>
                </wp:positionV>
                <wp:extent cx="10669905" cy="914400"/>
                <wp:effectExtent l="0" t="0" r="0" b="0"/>
                <wp:wrapNone/>
                <wp:docPr id="321" name="Textbox 321"/>
                <wp:cNvGraphicFramePr>
                  <a:graphicFrameLocks/>
                </wp:cNvGraphicFramePr>
                <a:graphic>
                  <a:graphicData uri="http://schemas.microsoft.com/office/word/2010/wordprocessingShape">
                    <wps:wsp>
                      <wps:cNvPr id="321" name="Textbox 321"/>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35520;rotation:306" type="#_x0000_t136" fillcolor="#ff5400" stroked="f">
                <o:extrusion v:ext="view" autorotationcenter="t"/>
                <v:textpath style="font-family:&quot;Arial MT&quot;;font-size:72pt;v-text-kern:t;mso-text-shadow:auto" string="UNIVERSITY OF IBADAN"/>
                <w10:wrap type="none"/>
              </v:shape>
            </w:pict>
          </mc:Fallback>
        </mc:AlternateContent>
      </w:r>
      <w:r>
        <w:rPr/>
        <w:t>required</w:t>
      </w:r>
      <w:r>
        <w:rPr>
          <w:spacing w:val="-1"/>
        </w:rPr>
        <w:t> </w:t>
      </w:r>
      <w:r>
        <w:rPr/>
        <w:t>devising</w:t>
      </w:r>
      <w:r>
        <w:rPr>
          <w:spacing w:val="-4"/>
        </w:rPr>
        <w:t> </w:t>
      </w:r>
      <w:r>
        <w:rPr/>
        <w:t>mechanisms</w:t>
      </w:r>
      <w:r>
        <w:rPr>
          <w:spacing w:val="-1"/>
        </w:rPr>
        <w:t> </w:t>
      </w:r>
      <w:r>
        <w:rPr/>
        <w:t>to</w:t>
      </w:r>
      <w:r>
        <w:rPr>
          <w:spacing w:val="-1"/>
        </w:rPr>
        <w:t> </w:t>
      </w:r>
      <w:r>
        <w:rPr/>
        <w:t>assist youths</w:t>
      </w:r>
      <w:r>
        <w:rPr>
          <w:spacing w:val="-1"/>
        </w:rPr>
        <w:t> </w:t>
      </w:r>
      <w:r>
        <w:rPr/>
        <w:t>in</w:t>
      </w:r>
      <w:r>
        <w:rPr>
          <w:spacing w:val="-1"/>
        </w:rPr>
        <w:t> </w:t>
      </w:r>
      <w:r>
        <w:rPr/>
        <w:t>creating</w:t>
      </w:r>
      <w:r>
        <w:rPr>
          <w:spacing w:val="-4"/>
        </w:rPr>
        <w:t> </w:t>
      </w:r>
      <w:r>
        <w:rPr/>
        <w:t>their</w:t>
      </w:r>
      <w:r>
        <w:rPr>
          <w:spacing w:val="-2"/>
        </w:rPr>
        <w:t> </w:t>
      </w:r>
      <w:r>
        <w:rPr/>
        <w:t>own</w:t>
      </w:r>
      <w:r>
        <w:rPr>
          <w:spacing w:val="-2"/>
        </w:rPr>
        <w:t> </w:t>
      </w:r>
      <w:r>
        <w:rPr/>
        <w:t>jobs</w:t>
      </w:r>
      <w:r>
        <w:rPr>
          <w:spacing w:val="-1"/>
        </w:rPr>
        <w:t> </w:t>
      </w:r>
      <w:r>
        <w:rPr/>
        <w:t>since</w:t>
      </w:r>
      <w:r>
        <w:rPr>
          <w:spacing w:val="-2"/>
        </w:rPr>
        <w:t> </w:t>
      </w:r>
      <w:r>
        <w:rPr/>
        <w:t>there</w:t>
      </w:r>
      <w:r>
        <w:rPr>
          <w:spacing w:val="-2"/>
        </w:rPr>
        <w:t> </w:t>
      </w:r>
      <w:r>
        <w:rPr/>
        <w:t>is a limit to the number of people that government and oil companies can employ.</w:t>
      </w:r>
    </w:p>
    <w:p>
      <w:pPr>
        <w:pStyle w:val="BodyText"/>
        <w:spacing w:before="6"/>
        <w:ind w:left="0"/>
      </w:pPr>
    </w:p>
    <w:p>
      <w:pPr>
        <w:pStyle w:val="Heading2"/>
        <w:numPr>
          <w:ilvl w:val="3"/>
          <w:numId w:val="26"/>
        </w:numPr>
        <w:tabs>
          <w:tab w:pos="2400" w:val="left" w:leader="none"/>
        </w:tabs>
        <w:spacing w:line="240" w:lineRule="auto" w:before="0" w:after="0"/>
        <w:ind w:left="2400" w:right="0" w:hanging="960"/>
        <w:jc w:val="both"/>
      </w:pPr>
      <w:r>
        <w:rPr/>
        <w:t>Conflict</w:t>
      </w:r>
      <w:r>
        <w:rPr>
          <w:spacing w:val="-1"/>
        </w:rPr>
        <w:t> </w:t>
      </w:r>
      <w:r>
        <w:rPr/>
        <w:t>Resolution</w:t>
      </w:r>
      <w:r>
        <w:rPr>
          <w:spacing w:val="-1"/>
        </w:rPr>
        <w:t> </w:t>
      </w:r>
      <w:r>
        <w:rPr>
          <w:spacing w:val="-2"/>
        </w:rPr>
        <w:t>Strategies</w:t>
      </w:r>
    </w:p>
    <w:p>
      <w:pPr>
        <w:pStyle w:val="BodyText"/>
        <w:spacing w:line="360" w:lineRule="auto" w:before="132"/>
        <w:ind w:right="1257" w:firstLine="720"/>
        <w:jc w:val="both"/>
      </w:pPr>
      <w:r>
        <w:rPr/>
        <w:t>We sought to know from respondents what the roles being played by the stakeholders</w:t>
      </w:r>
      <w:r>
        <w:rPr>
          <w:spacing w:val="-1"/>
        </w:rPr>
        <w:t> </w:t>
      </w:r>
      <w:r>
        <w:rPr/>
        <w:t>as</w:t>
      </w:r>
      <w:r>
        <w:rPr>
          <w:spacing w:val="-2"/>
        </w:rPr>
        <w:t> </w:t>
      </w:r>
      <w:r>
        <w:rPr/>
        <w:t>well</w:t>
      </w:r>
      <w:r>
        <w:rPr>
          <w:spacing w:val="-2"/>
        </w:rPr>
        <w:t> </w:t>
      </w:r>
      <w:r>
        <w:rPr/>
        <w:t>as</w:t>
      </w:r>
      <w:r>
        <w:rPr>
          <w:spacing w:val="-1"/>
        </w:rPr>
        <w:t> </w:t>
      </w:r>
      <w:r>
        <w:rPr/>
        <w:t>who</w:t>
      </w:r>
      <w:r>
        <w:rPr>
          <w:spacing w:val="-2"/>
        </w:rPr>
        <w:t> </w:t>
      </w:r>
      <w:r>
        <w:rPr/>
        <w:t>these</w:t>
      </w:r>
      <w:r>
        <w:rPr>
          <w:spacing w:val="-2"/>
        </w:rPr>
        <w:t> </w:t>
      </w:r>
      <w:r>
        <w:rPr/>
        <w:t>conflict</w:t>
      </w:r>
      <w:r>
        <w:rPr>
          <w:spacing w:val="-2"/>
        </w:rPr>
        <w:t> </w:t>
      </w:r>
      <w:r>
        <w:rPr/>
        <w:t>managers</w:t>
      </w:r>
      <w:r>
        <w:rPr>
          <w:spacing w:val="-2"/>
        </w:rPr>
        <w:t> </w:t>
      </w:r>
      <w:r>
        <w:rPr/>
        <w:t>were.</w:t>
      </w:r>
      <w:r>
        <w:rPr>
          <w:spacing w:val="-2"/>
        </w:rPr>
        <w:t> </w:t>
      </w:r>
      <w:r>
        <w:rPr/>
        <w:t>Majority</w:t>
      </w:r>
      <w:r>
        <w:rPr>
          <w:spacing w:val="-5"/>
        </w:rPr>
        <w:t> </w:t>
      </w:r>
      <w:r>
        <w:rPr/>
        <w:t>of</w:t>
      </w:r>
      <w:r>
        <w:rPr>
          <w:spacing w:val="-3"/>
        </w:rPr>
        <w:t> </w:t>
      </w:r>
      <w:r>
        <w:rPr/>
        <w:t>the</w:t>
      </w:r>
      <w:r>
        <w:rPr>
          <w:spacing w:val="-3"/>
        </w:rPr>
        <w:t> </w:t>
      </w:r>
      <w:r>
        <w:rPr/>
        <w:t>respondents attributed the conflict management efforts to the Federal, States, community leaders, oil and gas companies, youth organizations and political leaders amongst others. The perception on government (Federal, States and Local Government Area) approaches</w:t>
      </w:r>
      <w:r>
        <w:rPr>
          <w:spacing w:val="40"/>
        </w:rPr>
        <w:t> </w:t>
      </w:r>
      <w:r>
        <w:rPr/>
        <w:t>in dealing with the Niger Delta conflict is presented on Table 27.</w:t>
      </w:r>
    </w:p>
    <w:p>
      <w:pPr>
        <w:pStyle w:val="Heading2"/>
        <w:spacing w:line="360" w:lineRule="auto" w:before="5"/>
        <w:ind w:right="1654"/>
        <w:jc w:val="both"/>
      </w:pPr>
      <w:r>
        <w:rPr/>
        <w:t>Table</w:t>
      </w:r>
      <w:r>
        <w:rPr>
          <w:spacing w:val="-4"/>
        </w:rPr>
        <w:t> </w:t>
      </w:r>
      <w:r>
        <w:rPr/>
        <w:t>27:</w:t>
      </w:r>
      <w:r>
        <w:rPr>
          <w:spacing w:val="-5"/>
        </w:rPr>
        <w:t> </w:t>
      </w:r>
      <w:r>
        <w:rPr/>
        <w:t>Roles</w:t>
      </w:r>
      <w:r>
        <w:rPr>
          <w:spacing w:val="-4"/>
        </w:rPr>
        <w:t> </w:t>
      </w:r>
      <w:r>
        <w:rPr/>
        <w:t>of</w:t>
      </w:r>
      <w:r>
        <w:rPr>
          <w:spacing w:val="-3"/>
        </w:rPr>
        <w:t> </w:t>
      </w:r>
      <w:r>
        <w:rPr/>
        <w:t>Government</w:t>
      </w:r>
      <w:r>
        <w:rPr>
          <w:spacing w:val="-4"/>
        </w:rPr>
        <w:t> </w:t>
      </w:r>
      <w:r>
        <w:rPr/>
        <w:t>(Federal,</w:t>
      </w:r>
      <w:r>
        <w:rPr>
          <w:spacing w:val="-4"/>
        </w:rPr>
        <w:t> </w:t>
      </w:r>
      <w:r>
        <w:rPr/>
        <w:t>States,</w:t>
      </w:r>
      <w:r>
        <w:rPr>
          <w:spacing w:val="-4"/>
        </w:rPr>
        <w:t> </w:t>
      </w:r>
      <w:r>
        <w:rPr/>
        <w:t>LGA)</w:t>
      </w:r>
      <w:r>
        <w:rPr>
          <w:spacing w:val="-5"/>
        </w:rPr>
        <w:t> </w:t>
      </w:r>
      <w:r>
        <w:rPr/>
        <w:t>in</w:t>
      </w:r>
      <w:r>
        <w:rPr>
          <w:spacing w:val="-3"/>
        </w:rPr>
        <w:t> </w:t>
      </w:r>
      <w:r>
        <w:rPr/>
        <w:t>Resolving</w:t>
      </w:r>
      <w:r>
        <w:rPr>
          <w:spacing w:val="-4"/>
        </w:rPr>
        <w:t> </w:t>
      </w:r>
      <w:r>
        <w:rPr/>
        <w:t>the</w:t>
      </w:r>
      <w:r>
        <w:rPr>
          <w:spacing w:val="-4"/>
        </w:rPr>
        <w:t> </w:t>
      </w:r>
      <w:r>
        <w:rPr/>
        <w:t>Niger Delta Conflict</w:t>
      </w: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4"/>
        <w:gridCol w:w="2857"/>
        <w:gridCol w:w="999"/>
        <w:gridCol w:w="1003"/>
        <w:gridCol w:w="1190"/>
        <w:gridCol w:w="2067"/>
      </w:tblGrid>
      <w:tr>
        <w:trPr>
          <w:trHeight w:val="446" w:hRule="atLeast"/>
        </w:trPr>
        <w:tc>
          <w:tcPr>
            <w:tcW w:w="744" w:type="dxa"/>
          </w:tcPr>
          <w:p>
            <w:pPr>
              <w:pStyle w:val="TableParagraph"/>
              <w:rPr>
                <w:sz w:val="24"/>
              </w:rPr>
            </w:pPr>
          </w:p>
        </w:tc>
        <w:tc>
          <w:tcPr>
            <w:tcW w:w="2857" w:type="dxa"/>
          </w:tcPr>
          <w:p>
            <w:pPr>
              <w:pStyle w:val="TableParagraph"/>
              <w:rPr>
                <w:sz w:val="24"/>
              </w:rPr>
            </w:pPr>
          </w:p>
        </w:tc>
        <w:tc>
          <w:tcPr>
            <w:tcW w:w="999" w:type="dxa"/>
          </w:tcPr>
          <w:p>
            <w:pPr>
              <w:pStyle w:val="TableParagraph"/>
              <w:spacing w:before="11"/>
              <w:ind w:left="8"/>
              <w:jc w:val="center"/>
              <w:rPr>
                <w:sz w:val="24"/>
              </w:rPr>
            </w:pPr>
            <w:r>
              <w:rPr>
                <w:spacing w:val="-10"/>
                <w:sz w:val="24"/>
              </w:rPr>
              <w:t>N</w:t>
            </w:r>
          </w:p>
        </w:tc>
        <w:tc>
          <w:tcPr>
            <w:tcW w:w="1003" w:type="dxa"/>
          </w:tcPr>
          <w:p>
            <w:pPr>
              <w:pStyle w:val="TableParagraph"/>
              <w:spacing w:before="15"/>
              <w:ind w:left="8" w:right="1"/>
              <w:jc w:val="center"/>
              <w:rPr>
                <w:b/>
                <w:sz w:val="24"/>
              </w:rPr>
            </w:pPr>
            <w:r>
              <w:rPr>
                <w:b/>
                <w:spacing w:val="-4"/>
                <w:sz w:val="24"/>
              </w:rPr>
              <w:t>Mean</w:t>
            </w:r>
          </w:p>
        </w:tc>
        <w:tc>
          <w:tcPr>
            <w:tcW w:w="1190" w:type="dxa"/>
          </w:tcPr>
          <w:p>
            <w:pPr>
              <w:pStyle w:val="TableParagraph"/>
              <w:spacing w:before="15"/>
              <w:ind w:left="10" w:right="1"/>
              <w:jc w:val="center"/>
              <w:rPr>
                <w:b/>
                <w:sz w:val="24"/>
              </w:rPr>
            </w:pPr>
            <w:r>
              <w:rPr>
                <w:b/>
                <w:spacing w:val="-5"/>
                <w:sz w:val="24"/>
              </w:rPr>
              <w:t>SD</w:t>
            </w:r>
          </w:p>
        </w:tc>
        <w:tc>
          <w:tcPr>
            <w:tcW w:w="2067" w:type="dxa"/>
          </w:tcPr>
          <w:p>
            <w:pPr>
              <w:pStyle w:val="TableParagraph"/>
              <w:spacing w:before="15"/>
              <w:ind w:left="8" w:right="2"/>
              <w:jc w:val="center"/>
              <w:rPr>
                <w:b/>
                <w:sz w:val="24"/>
              </w:rPr>
            </w:pPr>
            <w:r>
              <w:rPr>
                <w:b/>
                <w:sz w:val="24"/>
              </w:rPr>
              <w:t>Level</w:t>
            </w:r>
            <w:r>
              <w:rPr>
                <w:b/>
                <w:spacing w:val="-3"/>
                <w:sz w:val="24"/>
              </w:rPr>
              <w:t> </w:t>
            </w:r>
            <w:r>
              <w:rPr>
                <w:b/>
                <w:sz w:val="24"/>
              </w:rPr>
              <w:t>of </w:t>
            </w:r>
            <w:r>
              <w:rPr>
                <w:b/>
                <w:spacing w:val="-2"/>
                <w:sz w:val="24"/>
              </w:rPr>
              <w:t>Agreement</w:t>
            </w:r>
          </w:p>
        </w:tc>
      </w:tr>
      <w:tr>
        <w:trPr>
          <w:trHeight w:val="825" w:hRule="atLeast"/>
        </w:trPr>
        <w:tc>
          <w:tcPr>
            <w:tcW w:w="744" w:type="dxa"/>
          </w:tcPr>
          <w:p>
            <w:pPr>
              <w:pStyle w:val="TableParagraph"/>
              <w:spacing w:line="270" w:lineRule="exact"/>
              <w:ind w:left="9"/>
              <w:jc w:val="center"/>
              <w:rPr>
                <w:sz w:val="24"/>
              </w:rPr>
            </w:pPr>
            <w:r>
              <w:rPr>
                <w:spacing w:val="-5"/>
                <w:sz w:val="24"/>
              </w:rPr>
              <w:t>B86</w:t>
            </w:r>
          </w:p>
        </w:tc>
        <w:tc>
          <w:tcPr>
            <w:tcW w:w="2857" w:type="dxa"/>
          </w:tcPr>
          <w:p>
            <w:pPr>
              <w:pStyle w:val="TableParagraph"/>
              <w:spacing w:line="350" w:lineRule="auto"/>
              <w:ind w:left="9" w:right="647"/>
              <w:rPr>
                <w:sz w:val="24"/>
              </w:rPr>
            </w:pPr>
            <w:r>
              <w:rPr>
                <w:sz w:val="24"/>
              </w:rPr>
              <w:t>Fence mending (Peacemaking</w:t>
            </w:r>
            <w:r>
              <w:rPr>
                <w:spacing w:val="-15"/>
                <w:sz w:val="24"/>
              </w:rPr>
              <w:t> </w:t>
            </w:r>
            <w:r>
              <w:rPr>
                <w:sz w:val="24"/>
              </w:rPr>
              <w:t>efforts).</w:t>
            </w:r>
          </w:p>
        </w:tc>
        <w:tc>
          <w:tcPr>
            <w:tcW w:w="999" w:type="dxa"/>
          </w:tcPr>
          <w:p>
            <w:pPr>
              <w:pStyle w:val="TableParagraph"/>
              <w:spacing w:before="121"/>
              <w:rPr>
                <w:b/>
                <w:sz w:val="24"/>
              </w:rPr>
            </w:pPr>
          </w:p>
          <w:p>
            <w:pPr>
              <w:pStyle w:val="TableParagraph"/>
              <w:ind w:left="8"/>
              <w:jc w:val="center"/>
              <w:rPr>
                <w:sz w:val="24"/>
              </w:rPr>
            </w:pPr>
            <w:r>
              <w:rPr>
                <w:spacing w:val="-5"/>
                <w:sz w:val="24"/>
              </w:rPr>
              <w:t>231</w:t>
            </w:r>
          </w:p>
        </w:tc>
        <w:tc>
          <w:tcPr>
            <w:tcW w:w="1003" w:type="dxa"/>
          </w:tcPr>
          <w:p>
            <w:pPr>
              <w:pStyle w:val="TableParagraph"/>
              <w:spacing w:before="121"/>
              <w:rPr>
                <w:b/>
                <w:sz w:val="24"/>
              </w:rPr>
            </w:pPr>
          </w:p>
          <w:p>
            <w:pPr>
              <w:pStyle w:val="TableParagraph"/>
              <w:ind w:left="8" w:right="2"/>
              <w:jc w:val="center"/>
              <w:rPr>
                <w:sz w:val="24"/>
              </w:rPr>
            </w:pPr>
            <w:r>
              <w:rPr>
                <w:spacing w:val="-4"/>
                <w:sz w:val="24"/>
              </w:rPr>
              <w:t>2.86</w:t>
            </w:r>
          </w:p>
        </w:tc>
        <w:tc>
          <w:tcPr>
            <w:tcW w:w="1190" w:type="dxa"/>
          </w:tcPr>
          <w:p>
            <w:pPr>
              <w:pStyle w:val="TableParagraph"/>
              <w:spacing w:before="121"/>
              <w:rPr>
                <w:b/>
                <w:sz w:val="24"/>
              </w:rPr>
            </w:pPr>
          </w:p>
          <w:p>
            <w:pPr>
              <w:pStyle w:val="TableParagraph"/>
              <w:ind w:left="10" w:right="4"/>
              <w:jc w:val="center"/>
              <w:rPr>
                <w:sz w:val="24"/>
              </w:rPr>
            </w:pPr>
            <w:r>
              <w:rPr>
                <w:spacing w:val="-4"/>
                <w:sz w:val="24"/>
              </w:rPr>
              <w:t>.956</w:t>
            </w:r>
          </w:p>
        </w:tc>
        <w:tc>
          <w:tcPr>
            <w:tcW w:w="2067" w:type="dxa"/>
          </w:tcPr>
          <w:p>
            <w:pPr>
              <w:pStyle w:val="TableParagraph"/>
              <w:spacing w:before="121"/>
              <w:rPr>
                <w:b/>
                <w:sz w:val="24"/>
              </w:rPr>
            </w:pPr>
          </w:p>
          <w:p>
            <w:pPr>
              <w:pStyle w:val="TableParagraph"/>
              <w:ind w:left="8"/>
              <w:jc w:val="center"/>
              <w:rPr>
                <w:sz w:val="24"/>
              </w:rPr>
            </w:pPr>
            <w:r>
              <w:rPr>
                <w:spacing w:val="-10"/>
                <w:sz w:val="24"/>
              </w:rPr>
              <w:t>A</w:t>
            </w:r>
          </w:p>
        </w:tc>
      </w:tr>
      <w:tr>
        <w:trPr>
          <w:trHeight w:val="421" w:hRule="atLeast"/>
        </w:trPr>
        <w:tc>
          <w:tcPr>
            <w:tcW w:w="744" w:type="dxa"/>
          </w:tcPr>
          <w:p>
            <w:pPr>
              <w:pStyle w:val="TableParagraph"/>
              <w:spacing w:line="275" w:lineRule="exact"/>
              <w:ind w:left="9"/>
              <w:jc w:val="center"/>
              <w:rPr>
                <w:sz w:val="24"/>
              </w:rPr>
            </w:pPr>
            <w:r>
              <w:rPr>
                <w:spacing w:val="-5"/>
                <w:sz w:val="24"/>
              </w:rPr>
              <w:t>B87</w:t>
            </w:r>
          </w:p>
        </w:tc>
        <w:tc>
          <w:tcPr>
            <w:tcW w:w="2857" w:type="dxa"/>
          </w:tcPr>
          <w:p>
            <w:pPr>
              <w:pStyle w:val="TableParagraph"/>
              <w:spacing w:line="275" w:lineRule="exact"/>
              <w:ind w:left="9"/>
              <w:rPr>
                <w:sz w:val="24"/>
              </w:rPr>
            </w:pPr>
            <w:r>
              <w:rPr>
                <w:sz w:val="24"/>
              </w:rPr>
              <w:t>Fuelling</w:t>
            </w:r>
            <w:r>
              <w:rPr>
                <w:spacing w:val="-3"/>
                <w:sz w:val="24"/>
              </w:rPr>
              <w:t> </w:t>
            </w:r>
            <w:r>
              <w:rPr>
                <w:spacing w:val="-2"/>
                <w:sz w:val="24"/>
              </w:rPr>
              <w:t>crisis.</w:t>
            </w:r>
          </w:p>
        </w:tc>
        <w:tc>
          <w:tcPr>
            <w:tcW w:w="999" w:type="dxa"/>
          </w:tcPr>
          <w:p>
            <w:pPr>
              <w:pStyle w:val="TableParagraph"/>
              <w:spacing w:line="275" w:lineRule="exact"/>
              <w:ind w:left="8"/>
              <w:jc w:val="center"/>
              <w:rPr>
                <w:sz w:val="24"/>
              </w:rPr>
            </w:pPr>
            <w:r>
              <w:rPr>
                <w:spacing w:val="-5"/>
                <w:sz w:val="24"/>
              </w:rPr>
              <w:t>233</w:t>
            </w:r>
          </w:p>
        </w:tc>
        <w:tc>
          <w:tcPr>
            <w:tcW w:w="1003" w:type="dxa"/>
          </w:tcPr>
          <w:p>
            <w:pPr>
              <w:pStyle w:val="TableParagraph"/>
              <w:spacing w:line="275" w:lineRule="exact"/>
              <w:ind w:left="8" w:right="2"/>
              <w:jc w:val="center"/>
              <w:rPr>
                <w:sz w:val="24"/>
              </w:rPr>
            </w:pPr>
            <w:r>
              <w:rPr>
                <w:spacing w:val="-4"/>
                <w:sz w:val="24"/>
              </w:rPr>
              <w:t>2.38</w:t>
            </w:r>
          </w:p>
        </w:tc>
        <w:tc>
          <w:tcPr>
            <w:tcW w:w="1190" w:type="dxa"/>
          </w:tcPr>
          <w:p>
            <w:pPr>
              <w:pStyle w:val="TableParagraph"/>
              <w:spacing w:line="275" w:lineRule="exact"/>
              <w:ind w:left="10" w:right="4"/>
              <w:jc w:val="center"/>
              <w:rPr>
                <w:sz w:val="24"/>
              </w:rPr>
            </w:pPr>
            <w:r>
              <w:rPr>
                <w:spacing w:val="-2"/>
                <w:sz w:val="24"/>
              </w:rPr>
              <w:t>1.031</w:t>
            </w:r>
          </w:p>
        </w:tc>
        <w:tc>
          <w:tcPr>
            <w:tcW w:w="2067" w:type="dxa"/>
          </w:tcPr>
          <w:p>
            <w:pPr>
              <w:pStyle w:val="TableParagraph"/>
              <w:spacing w:line="275" w:lineRule="exact"/>
              <w:ind w:left="8"/>
              <w:jc w:val="center"/>
              <w:rPr>
                <w:sz w:val="24"/>
              </w:rPr>
            </w:pPr>
            <w:r>
              <w:rPr>
                <w:spacing w:val="-10"/>
                <w:sz w:val="24"/>
              </w:rPr>
              <w:t>D</w:t>
            </w:r>
          </w:p>
        </w:tc>
      </w:tr>
      <w:tr>
        <w:trPr>
          <w:trHeight w:val="417" w:hRule="atLeast"/>
        </w:trPr>
        <w:tc>
          <w:tcPr>
            <w:tcW w:w="744" w:type="dxa"/>
          </w:tcPr>
          <w:p>
            <w:pPr>
              <w:pStyle w:val="TableParagraph"/>
              <w:spacing w:line="273" w:lineRule="exact"/>
              <w:ind w:left="9"/>
              <w:jc w:val="center"/>
              <w:rPr>
                <w:sz w:val="24"/>
              </w:rPr>
            </w:pPr>
            <w:r>
              <w:rPr>
                <w:spacing w:val="-5"/>
                <w:sz w:val="24"/>
              </w:rPr>
              <w:t>B88</w:t>
            </w:r>
          </w:p>
        </w:tc>
        <w:tc>
          <w:tcPr>
            <w:tcW w:w="2857" w:type="dxa"/>
          </w:tcPr>
          <w:p>
            <w:pPr>
              <w:pStyle w:val="TableParagraph"/>
              <w:spacing w:line="273" w:lineRule="exact"/>
              <w:ind w:left="9"/>
              <w:rPr>
                <w:sz w:val="24"/>
              </w:rPr>
            </w:pPr>
            <w:r>
              <w:rPr>
                <w:sz w:val="24"/>
              </w:rPr>
              <w:t>Reducing</w:t>
            </w:r>
            <w:r>
              <w:rPr>
                <w:spacing w:val="-4"/>
                <w:sz w:val="24"/>
              </w:rPr>
              <w:t> </w:t>
            </w:r>
            <w:r>
              <w:rPr>
                <w:spacing w:val="-2"/>
                <w:sz w:val="24"/>
              </w:rPr>
              <w:t>Conflict.</w:t>
            </w:r>
          </w:p>
        </w:tc>
        <w:tc>
          <w:tcPr>
            <w:tcW w:w="999" w:type="dxa"/>
          </w:tcPr>
          <w:p>
            <w:pPr>
              <w:pStyle w:val="TableParagraph"/>
              <w:spacing w:line="273" w:lineRule="exact"/>
              <w:ind w:left="8"/>
              <w:jc w:val="center"/>
              <w:rPr>
                <w:sz w:val="24"/>
              </w:rPr>
            </w:pPr>
            <w:r>
              <w:rPr>
                <w:spacing w:val="-5"/>
                <w:sz w:val="24"/>
              </w:rPr>
              <w:t>234</w:t>
            </w:r>
          </w:p>
        </w:tc>
        <w:tc>
          <w:tcPr>
            <w:tcW w:w="1003" w:type="dxa"/>
          </w:tcPr>
          <w:p>
            <w:pPr>
              <w:pStyle w:val="TableParagraph"/>
              <w:spacing w:line="273" w:lineRule="exact"/>
              <w:ind w:left="8" w:right="2"/>
              <w:jc w:val="center"/>
              <w:rPr>
                <w:sz w:val="24"/>
              </w:rPr>
            </w:pPr>
            <w:r>
              <w:rPr>
                <w:spacing w:val="-4"/>
                <w:sz w:val="24"/>
              </w:rPr>
              <w:t>2.67</w:t>
            </w:r>
          </w:p>
        </w:tc>
        <w:tc>
          <w:tcPr>
            <w:tcW w:w="1190" w:type="dxa"/>
          </w:tcPr>
          <w:p>
            <w:pPr>
              <w:pStyle w:val="TableParagraph"/>
              <w:spacing w:line="273" w:lineRule="exact"/>
              <w:ind w:left="10" w:right="4"/>
              <w:jc w:val="center"/>
              <w:rPr>
                <w:sz w:val="24"/>
              </w:rPr>
            </w:pPr>
            <w:r>
              <w:rPr>
                <w:spacing w:val="-4"/>
                <w:sz w:val="24"/>
              </w:rPr>
              <w:t>.893</w:t>
            </w:r>
          </w:p>
        </w:tc>
        <w:tc>
          <w:tcPr>
            <w:tcW w:w="2067" w:type="dxa"/>
          </w:tcPr>
          <w:p>
            <w:pPr>
              <w:pStyle w:val="TableParagraph"/>
              <w:spacing w:line="273" w:lineRule="exact"/>
              <w:ind w:left="8"/>
              <w:jc w:val="center"/>
              <w:rPr>
                <w:sz w:val="24"/>
              </w:rPr>
            </w:pPr>
            <w:r>
              <w:rPr>
                <w:spacing w:val="-10"/>
                <w:sz w:val="24"/>
              </w:rPr>
              <w:t>A</w:t>
            </w:r>
          </w:p>
        </w:tc>
      </w:tr>
      <w:tr>
        <w:trPr>
          <w:trHeight w:val="830" w:hRule="atLeast"/>
        </w:trPr>
        <w:tc>
          <w:tcPr>
            <w:tcW w:w="744" w:type="dxa"/>
          </w:tcPr>
          <w:p>
            <w:pPr>
              <w:pStyle w:val="TableParagraph"/>
              <w:spacing w:line="270" w:lineRule="exact"/>
              <w:ind w:left="9"/>
              <w:jc w:val="center"/>
              <w:rPr>
                <w:sz w:val="24"/>
              </w:rPr>
            </w:pPr>
            <w:r>
              <w:rPr>
                <w:spacing w:val="-5"/>
                <w:sz w:val="24"/>
              </w:rPr>
              <w:t>B89</w:t>
            </w:r>
          </w:p>
        </w:tc>
        <w:tc>
          <w:tcPr>
            <w:tcW w:w="2857" w:type="dxa"/>
          </w:tcPr>
          <w:p>
            <w:pPr>
              <w:pStyle w:val="TableParagraph"/>
              <w:spacing w:line="270" w:lineRule="exact"/>
              <w:ind w:left="9"/>
              <w:rPr>
                <w:sz w:val="24"/>
              </w:rPr>
            </w:pPr>
            <w:r>
              <w:rPr>
                <w:spacing w:val="-2"/>
                <w:sz w:val="24"/>
              </w:rPr>
              <w:t>Indifference</w:t>
            </w:r>
          </w:p>
          <w:p>
            <w:pPr>
              <w:pStyle w:val="TableParagraph"/>
              <w:spacing w:before="137"/>
              <w:ind w:left="9"/>
              <w:rPr>
                <w:sz w:val="24"/>
              </w:rPr>
            </w:pPr>
            <w:r>
              <w:rPr>
                <w:spacing w:val="-2"/>
                <w:sz w:val="24"/>
              </w:rPr>
              <w:t>(Complacency).</w:t>
            </w:r>
          </w:p>
        </w:tc>
        <w:tc>
          <w:tcPr>
            <w:tcW w:w="999" w:type="dxa"/>
          </w:tcPr>
          <w:p>
            <w:pPr>
              <w:pStyle w:val="TableParagraph"/>
              <w:spacing w:before="130"/>
              <w:rPr>
                <w:b/>
                <w:sz w:val="24"/>
              </w:rPr>
            </w:pPr>
          </w:p>
          <w:p>
            <w:pPr>
              <w:pStyle w:val="TableParagraph"/>
              <w:spacing w:before="1"/>
              <w:ind w:left="8"/>
              <w:jc w:val="center"/>
              <w:rPr>
                <w:sz w:val="24"/>
              </w:rPr>
            </w:pPr>
            <w:r>
              <w:rPr>
                <w:spacing w:val="-5"/>
                <w:sz w:val="24"/>
              </w:rPr>
              <w:t>227</w:t>
            </w:r>
          </w:p>
        </w:tc>
        <w:tc>
          <w:tcPr>
            <w:tcW w:w="1003" w:type="dxa"/>
          </w:tcPr>
          <w:p>
            <w:pPr>
              <w:pStyle w:val="TableParagraph"/>
              <w:spacing w:before="130"/>
              <w:rPr>
                <w:b/>
                <w:sz w:val="24"/>
              </w:rPr>
            </w:pPr>
          </w:p>
          <w:p>
            <w:pPr>
              <w:pStyle w:val="TableParagraph"/>
              <w:spacing w:before="1"/>
              <w:ind w:left="8" w:right="2"/>
              <w:jc w:val="center"/>
              <w:rPr>
                <w:sz w:val="24"/>
              </w:rPr>
            </w:pPr>
            <w:r>
              <w:rPr>
                <w:spacing w:val="-4"/>
                <w:sz w:val="24"/>
              </w:rPr>
              <w:t>2.37</w:t>
            </w:r>
          </w:p>
        </w:tc>
        <w:tc>
          <w:tcPr>
            <w:tcW w:w="1190" w:type="dxa"/>
          </w:tcPr>
          <w:p>
            <w:pPr>
              <w:pStyle w:val="TableParagraph"/>
              <w:spacing w:before="130"/>
              <w:rPr>
                <w:b/>
                <w:sz w:val="24"/>
              </w:rPr>
            </w:pPr>
          </w:p>
          <w:p>
            <w:pPr>
              <w:pStyle w:val="TableParagraph"/>
              <w:spacing w:before="1"/>
              <w:ind w:left="10" w:right="4"/>
              <w:jc w:val="center"/>
              <w:rPr>
                <w:sz w:val="24"/>
              </w:rPr>
            </w:pPr>
            <w:r>
              <w:rPr>
                <w:spacing w:val="-4"/>
                <w:sz w:val="24"/>
              </w:rPr>
              <w:t>.909</w:t>
            </w:r>
          </w:p>
        </w:tc>
        <w:tc>
          <w:tcPr>
            <w:tcW w:w="2067" w:type="dxa"/>
          </w:tcPr>
          <w:p>
            <w:pPr>
              <w:pStyle w:val="TableParagraph"/>
              <w:spacing w:before="130"/>
              <w:rPr>
                <w:b/>
                <w:sz w:val="24"/>
              </w:rPr>
            </w:pPr>
          </w:p>
          <w:p>
            <w:pPr>
              <w:pStyle w:val="TableParagraph"/>
              <w:spacing w:before="1"/>
              <w:ind w:left="8"/>
              <w:jc w:val="center"/>
              <w:rPr>
                <w:sz w:val="24"/>
              </w:rPr>
            </w:pPr>
            <w:r>
              <w:rPr>
                <w:spacing w:val="-10"/>
                <w:sz w:val="24"/>
              </w:rPr>
              <w:t>D</w:t>
            </w:r>
          </w:p>
        </w:tc>
      </w:tr>
    </w:tbl>
    <w:p>
      <w:pPr>
        <w:pStyle w:val="BodyText"/>
        <w:spacing w:before="132"/>
        <w:ind w:left="0"/>
        <w:rPr>
          <w:b/>
        </w:rPr>
      </w:pPr>
    </w:p>
    <w:p>
      <w:pPr>
        <w:pStyle w:val="BodyText"/>
        <w:spacing w:line="360" w:lineRule="auto"/>
        <w:ind w:right="1255" w:firstLine="484"/>
        <w:jc w:val="both"/>
      </w:pPr>
      <w:r>
        <w:rPr/>
        <w:t>From the data presented in Table 27, there are divergent views on the roles of Government towards resolving the Niger Delta conflict. Most respondents agree that the government carries out peace- making efforts in dealing with the Niger Delta conflict. Likewise, respondents generally disagree on the notion that the governments at various levels were behind the fuelling of crisis in the region. Respondents generally agree also that government at times shows some form of complacency towards transforming the Niger Delta.</w:t>
      </w:r>
    </w:p>
    <w:p>
      <w:pPr>
        <w:pStyle w:val="BodyText"/>
        <w:spacing w:line="360" w:lineRule="auto" w:before="2"/>
        <w:ind w:right="1256" w:firstLine="484"/>
        <w:jc w:val="both"/>
      </w:pPr>
      <w:r>
        <w:rPr/>
        <w:t>Results from oral interviews conducted reveals that respondents blame their problems on poor handling of issues by Federal, States and oil/gas companies. Most</w:t>
      </w:r>
      <w:r>
        <w:rPr>
          <w:spacing w:val="40"/>
        </w:rPr>
        <w:t> </w:t>
      </w:r>
      <w:r>
        <w:rPr/>
        <w:t>of the respondents are of the opinion that State responses to some of the violent conflicts are not well coordinated or appropriate enough. Early warning signs were often ignored and attempts to empower the militant‟s youths are not well-structured.</w:t>
      </w:r>
    </w:p>
    <w:p>
      <w:pPr>
        <w:pStyle w:val="BodyText"/>
        <w:spacing w:line="275" w:lineRule="exact"/>
        <w:ind w:left="2160"/>
        <w:jc w:val="both"/>
      </w:pPr>
      <w:r>
        <w:rPr/>
        <w:t>Several</w:t>
      </w:r>
      <w:r>
        <w:rPr>
          <w:spacing w:val="-1"/>
        </w:rPr>
        <w:t> </w:t>
      </w:r>
      <w:r>
        <w:rPr/>
        <w:t>conflicts that have</w:t>
      </w:r>
      <w:r>
        <w:rPr>
          <w:spacing w:val="-2"/>
        </w:rPr>
        <w:t> </w:t>
      </w:r>
      <w:r>
        <w:rPr/>
        <w:t>assumed violent dimensions</w:t>
      </w:r>
      <w:r>
        <w:rPr>
          <w:spacing w:val="-1"/>
        </w:rPr>
        <w:t> </w:t>
      </w:r>
      <w:r>
        <w:rPr/>
        <w:t>in Nigeria</w:t>
      </w:r>
      <w:r>
        <w:rPr>
          <w:spacing w:val="-2"/>
        </w:rPr>
        <w:t> </w:t>
      </w:r>
      <w:r>
        <w:rPr/>
        <w:t>have</w:t>
      </w:r>
      <w:r>
        <w:rPr>
          <w:spacing w:val="-1"/>
        </w:rPr>
        <w:t> </w:t>
      </w:r>
      <w:r>
        <w:rPr>
          <w:spacing w:val="-4"/>
        </w:rPr>
        <w:t>most</w:t>
      </w:r>
    </w:p>
    <w:p>
      <w:pPr>
        <w:spacing w:after="0" w:line="275" w:lineRule="exact"/>
        <w:jc w:val="both"/>
        <w:sectPr>
          <w:pgSz w:w="11910" w:h="16840"/>
          <w:pgMar w:header="0" w:footer="1561" w:top="1360" w:bottom="1760" w:left="720" w:right="180"/>
        </w:sectPr>
      </w:pPr>
    </w:p>
    <w:p>
      <w:pPr>
        <w:pStyle w:val="BodyText"/>
        <w:spacing w:line="360" w:lineRule="auto" w:before="60"/>
        <w:ind w:right="1336"/>
      </w:pPr>
      <w:r>
        <w:rPr/>
        <mc:AlternateContent>
          <mc:Choice Requires="wps">
            <w:drawing>
              <wp:anchor distT="0" distB="0" distL="0" distR="0" allowOverlap="1" layoutInCell="1" locked="0" behindDoc="1" simplePos="0" relativeHeight="480681472">
                <wp:simplePos x="0" y="0"/>
                <wp:positionH relativeFrom="page">
                  <wp:posOffset>-1537026</wp:posOffset>
                </wp:positionH>
                <wp:positionV relativeFrom="page">
                  <wp:posOffset>4900424</wp:posOffset>
                </wp:positionV>
                <wp:extent cx="10669905" cy="914400"/>
                <wp:effectExtent l="0" t="0" r="0" b="0"/>
                <wp:wrapNone/>
                <wp:docPr id="322" name="Textbox 322"/>
                <wp:cNvGraphicFramePr>
                  <a:graphicFrameLocks/>
                </wp:cNvGraphicFramePr>
                <a:graphic>
                  <a:graphicData uri="http://schemas.microsoft.com/office/word/2010/wordprocessingShape">
                    <wps:wsp>
                      <wps:cNvPr id="322" name="Textbox 322"/>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35008;rotation:306" type="#_x0000_t136" fillcolor="#ff5400" stroked="f">
                <o:extrusion v:ext="view" autorotationcenter="t"/>
                <v:textpath style="font-family:&quot;Arial MT&quot;;font-size:72pt;v-text-kern:t;mso-text-shadow:auto" string="UNIVERSITY OF IBADAN"/>
                <w10:wrap type="none"/>
              </v:shape>
            </w:pict>
          </mc:Fallback>
        </mc:AlternateContent>
      </w:r>
      <w:r>
        <w:rPr/>
        <w:t>often</w:t>
      </w:r>
      <w:r>
        <w:rPr>
          <w:spacing w:val="-4"/>
        </w:rPr>
        <w:t> </w:t>
      </w:r>
      <w:r>
        <w:rPr/>
        <w:t>been</w:t>
      </w:r>
      <w:r>
        <w:rPr>
          <w:spacing w:val="-4"/>
        </w:rPr>
        <w:t> </w:t>
      </w:r>
      <w:r>
        <w:rPr/>
        <w:t>linked</w:t>
      </w:r>
      <w:r>
        <w:rPr>
          <w:spacing w:val="-4"/>
        </w:rPr>
        <w:t> </w:t>
      </w:r>
      <w:r>
        <w:rPr/>
        <w:t>with</w:t>
      </w:r>
      <w:r>
        <w:rPr>
          <w:spacing w:val="-2"/>
        </w:rPr>
        <w:t> </w:t>
      </w:r>
      <w:r>
        <w:rPr/>
        <w:t>government</w:t>
      </w:r>
      <w:r>
        <w:rPr>
          <w:spacing w:val="-4"/>
        </w:rPr>
        <w:t> </w:t>
      </w:r>
      <w:r>
        <w:rPr/>
        <w:t>activities</w:t>
      </w:r>
      <w:r>
        <w:rPr>
          <w:spacing w:val="-4"/>
        </w:rPr>
        <w:t> </w:t>
      </w:r>
      <w:r>
        <w:rPr/>
        <w:t>or</w:t>
      </w:r>
      <w:r>
        <w:rPr>
          <w:spacing w:val="-5"/>
        </w:rPr>
        <w:t> </w:t>
      </w:r>
      <w:r>
        <w:rPr/>
        <w:t>inactivity.</w:t>
      </w:r>
      <w:r>
        <w:rPr>
          <w:spacing w:val="-4"/>
        </w:rPr>
        <w:t> </w:t>
      </w:r>
      <w:r>
        <w:rPr/>
        <w:t>The</w:t>
      </w:r>
      <w:r>
        <w:rPr>
          <w:spacing w:val="-6"/>
        </w:rPr>
        <w:t> </w:t>
      </w:r>
      <w:r>
        <w:rPr/>
        <w:t>failure</w:t>
      </w:r>
      <w:r>
        <w:rPr>
          <w:spacing w:val="-5"/>
        </w:rPr>
        <w:t> </w:t>
      </w:r>
      <w:r>
        <w:rPr/>
        <w:t>of</w:t>
      </w:r>
      <w:r>
        <w:rPr>
          <w:spacing w:val="-3"/>
        </w:rPr>
        <w:t> </w:t>
      </w:r>
      <w:r>
        <w:rPr/>
        <w:t>government to act when required or their unwarranted reactions to some situation are sometimes cited as factors behind any conflicts.</w:t>
      </w:r>
    </w:p>
    <w:p>
      <w:pPr>
        <w:pStyle w:val="BodyText"/>
        <w:spacing w:line="360" w:lineRule="auto"/>
        <w:ind w:right="1258" w:firstLine="720"/>
        <w:jc w:val="both"/>
      </w:pPr>
      <w:r>
        <w:rPr/>
        <w:t>The respondents in this survey were asked if government and its agencies through their actions or inactions generate conflict and violence. Majority of the respondents answer in the affirmative, while some say government does not generate conflicts. The government activity or actions that fuel conflict, according to the oral interviewees</w:t>
      </w:r>
      <w:r>
        <w:rPr>
          <w:spacing w:val="40"/>
        </w:rPr>
        <w:t> </w:t>
      </w:r>
      <w:r>
        <w:rPr/>
        <w:t>include creation of</w:t>
      </w:r>
      <w:r>
        <w:rPr>
          <w:spacing w:val="-1"/>
        </w:rPr>
        <w:t> </w:t>
      </w:r>
      <w:r>
        <w:rPr/>
        <w:t>local government areas and headquarters, imposition of bad leadership on communities, misapplication of State resources, unequal distribution</w:t>
      </w:r>
      <w:r>
        <w:rPr>
          <w:spacing w:val="40"/>
        </w:rPr>
        <w:t> </w:t>
      </w:r>
      <w:r>
        <w:rPr/>
        <w:t>of State resources and inability of the State to</w:t>
      </w:r>
      <w:r>
        <w:rPr>
          <w:spacing w:val="40"/>
        </w:rPr>
        <w:t> </w:t>
      </w:r>
      <w:r>
        <w:rPr/>
        <w:t>prosecute criminals.</w:t>
      </w:r>
    </w:p>
    <w:p>
      <w:pPr>
        <w:pStyle w:val="BodyText"/>
        <w:spacing w:line="360" w:lineRule="auto" w:before="2"/>
        <w:ind w:right="1260" w:firstLine="720"/>
      </w:pPr>
      <w:r>
        <w:rPr/>
        <w:t>From</w:t>
      </w:r>
      <w:r>
        <w:rPr>
          <w:spacing w:val="40"/>
        </w:rPr>
        <w:t> </w:t>
      </w:r>
      <w:r>
        <w:rPr/>
        <w:t>the</w:t>
      </w:r>
      <w:r>
        <w:rPr>
          <w:spacing w:val="40"/>
        </w:rPr>
        <w:t> </w:t>
      </w:r>
      <w:r>
        <w:rPr/>
        <w:t>literature,</w:t>
      </w:r>
      <w:r>
        <w:rPr>
          <w:spacing w:val="40"/>
        </w:rPr>
        <w:t> </w:t>
      </w:r>
      <w:r>
        <w:rPr/>
        <w:t>government</w:t>
      </w:r>
      <w:r>
        <w:rPr>
          <w:spacing w:val="40"/>
        </w:rPr>
        <w:t> </w:t>
      </w:r>
      <w:r>
        <w:rPr/>
        <w:t>plays</w:t>
      </w:r>
      <w:r>
        <w:rPr>
          <w:spacing w:val="40"/>
        </w:rPr>
        <w:t> </w:t>
      </w:r>
      <w:r>
        <w:rPr/>
        <w:t>the</w:t>
      </w:r>
      <w:r>
        <w:rPr>
          <w:spacing w:val="40"/>
        </w:rPr>
        <w:t> </w:t>
      </w:r>
      <w:r>
        <w:rPr/>
        <w:t>most</w:t>
      </w:r>
      <w:r>
        <w:rPr>
          <w:spacing w:val="40"/>
        </w:rPr>
        <w:t> </w:t>
      </w:r>
      <w:r>
        <w:rPr/>
        <w:t>effective</w:t>
      </w:r>
      <w:r>
        <w:rPr>
          <w:spacing w:val="40"/>
        </w:rPr>
        <w:t> </w:t>
      </w:r>
      <w:r>
        <w:rPr/>
        <w:t>role</w:t>
      </w:r>
      <w:r>
        <w:rPr>
          <w:spacing w:val="40"/>
        </w:rPr>
        <w:t> </w:t>
      </w:r>
      <w:r>
        <w:rPr/>
        <w:t>in</w:t>
      </w:r>
      <w:r>
        <w:rPr>
          <w:spacing w:val="40"/>
        </w:rPr>
        <w:t> </w:t>
      </w:r>
      <w:r>
        <w:rPr/>
        <w:t>conflict</w:t>
      </w:r>
      <w:r>
        <w:rPr>
          <w:spacing w:val="80"/>
        </w:rPr>
        <w:t> </w:t>
      </w:r>
      <w:r>
        <w:rPr/>
        <w:t>management.</w:t>
      </w:r>
      <w:r>
        <w:rPr>
          <w:spacing w:val="40"/>
        </w:rPr>
        <w:t> </w:t>
      </w:r>
      <w:r>
        <w:rPr/>
        <w:t>While</w:t>
      </w:r>
      <w:r>
        <w:rPr>
          <w:spacing w:val="40"/>
        </w:rPr>
        <w:t> </w:t>
      </w:r>
      <w:r>
        <w:rPr/>
        <w:t>commenting</w:t>
      </w:r>
      <w:r>
        <w:rPr>
          <w:spacing w:val="40"/>
        </w:rPr>
        <w:t> </w:t>
      </w:r>
      <w:r>
        <w:rPr/>
        <w:t>freely</w:t>
      </w:r>
      <w:r>
        <w:rPr>
          <w:spacing w:val="40"/>
        </w:rPr>
        <w:t> </w:t>
      </w:r>
      <w:r>
        <w:rPr/>
        <w:t>on</w:t>
      </w:r>
      <w:r>
        <w:rPr>
          <w:spacing w:val="40"/>
        </w:rPr>
        <w:t> </w:t>
      </w:r>
      <w:r>
        <w:rPr/>
        <w:t>the</w:t>
      </w:r>
      <w:r>
        <w:rPr>
          <w:spacing w:val="40"/>
        </w:rPr>
        <w:t> </w:t>
      </w:r>
      <w:r>
        <w:rPr/>
        <w:t>Niger</w:t>
      </w:r>
      <w:r>
        <w:rPr>
          <w:spacing w:val="40"/>
        </w:rPr>
        <w:t> </w:t>
      </w:r>
      <w:r>
        <w:rPr/>
        <w:t>Delta</w:t>
      </w:r>
      <w:r>
        <w:rPr>
          <w:spacing w:val="40"/>
        </w:rPr>
        <w:t> </w:t>
      </w:r>
      <w:r>
        <w:rPr/>
        <w:t>conflict,</w:t>
      </w:r>
      <w:r>
        <w:rPr>
          <w:spacing w:val="40"/>
        </w:rPr>
        <w:t> </w:t>
      </w:r>
      <w:r>
        <w:rPr/>
        <w:t>most</w:t>
      </w:r>
      <w:r>
        <w:rPr>
          <w:spacing w:val="40"/>
        </w:rPr>
        <w:t> </w:t>
      </w:r>
      <w:r>
        <w:rPr/>
        <w:t>of</w:t>
      </w:r>
      <w:r>
        <w:rPr>
          <w:spacing w:val="40"/>
        </w:rPr>
        <w:t> </w:t>
      </w:r>
      <w:r>
        <w:rPr/>
        <w:t>the respondents</w:t>
      </w:r>
      <w:r>
        <w:rPr>
          <w:spacing w:val="70"/>
        </w:rPr>
        <w:t> </w:t>
      </w:r>
      <w:r>
        <w:rPr/>
        <w:t>opined</w:t>
      </w:r>
      <w:r>
        <w:rPr>
          <w:spacing w:val="69"/>
        </w:rPr>
        <w:t> </w:t>
      </w:r>
      <w:r>
        <w:rPr/>
        <w:t>that</w:t>
      </w:r>
      <w:r>
        <w:rPr>
          <w:spacing w:val="70"/>
        </w:rPr>
        <w:t> </w:t>
      </w:r>
      <w:r>
        <w:rPr/>
        <w:t>there</w:t>
      </w:r>
      <w:r>
        <w:rPr>
          <w:spacing w:val="69"/>
        </w:rPr>
        <w:t> </w:t>
      </w:r>
      <w:r>
        <w:rPr/>
        <w:t>should</w:t>
      </w:r>
      <w:r>
        <w:rPr>
          <w:spacing w:val="70"/>
        </w:rPr>
        <w:t> </w:t>
      </w:r>
      <w:r>
        <w:rPr/>
        <w:t>be</w:t>
      </w:r>
      <w:r>
        <w:rPr>
          <w:spacing w:val="69"/>
        </w:rPr>
        <w:t> </w:t>
      </w:r>
      <w:r>
        <w:rPr/>
        <w:t>strong</w:t>
      </w:r>
      <w:r>
        <w:rPr>
          <w:spacing w:val="67"/>
        </w:rPr>
        <w:t> </w:t>
      </w:r>
      <w:r>
        <w:rPr/>
        <w:t>political</w:t>
      </w:r>
      <w:r>
        <w:rPr>
          <w:spacing w:val="74"/>
        </w:rPr>
        <w:t> </w:t>
      </w:r>
      <w:r>
        <w:rPr/>
        <w:t>will</w:t>
      </w:r>
      <w:r>
        <w:rPr>
          <w:spacing w:val="70"/>
        </w:rPr>
        <w:t> </w:t>
      </w:r>
      <w:r>
        <w:rPr/>
        <w:t>by</w:t>
      </w:r>
      <w:r>
        <w:rPr>
          <w:spacing w:val="66"/>
        </w:rPr>
        <w:t> </w:t>
      </w:r>
      <w:r>
        <w:rPr/>
        <w:t>government</w:t>
      </w:r>
      <w:r>
        <w:rPr>
          <w:spacing w:val="70"/>
        </w:rPr>
        <w:t> </w:t>
      </w:r>
      <w:r>
        <w:rPr/>
        <w:t>to develop the Niger Delta region. One of the interviewees, a community leader, noted: “…for sustainable development, there should be massive development of the region, youth‟s</w:t>
      </w:r>
      <w:r>
        <w:rPr>
          <w:spacing w:val="-6"/>
        </w:rPr>
        <w:t> </w:t>
      </w:r>
      <w:r>
        <w:rPr/>
        <w:t>employment</w:t>
      </w:r>
      <w:r>
        <w:rPr>
          <w:spacing w:val="-5"/>
        </w:rPr>
        <w:t> </w:t>
      </w:r>
      <w:r>
        <w:rPr/>
        <w:t>by</w:t>
      </w:r>
      <w:r>
        <w:rPr>
          <w:spacing w:val="-8"/>
        </w:rPr>
        <w:t> </w:t>
      </w:r>
      <w:r>
        <w:rPr/>
        <w:t>government</w:t>
      </w:r>
      <w:r>
        <w:rPr>
          <w:spacing w:val="-5"/>
        </w:rPr>
        <w:t> </w:t>
      </w:r>
      <w:r>
        <w:rPr/>
        <w:t>and</w:t>
      </w:r>
      <w:r>
        <w:rPr>
          <w:spacing w:val="-4"/>
        </w:rPr>
        <w:t> </w:t>
      </w:r>
      <w:r>
        <w:rPr/>
        <w:t>other</w:t>
      </w:r>
      <w:r>
        <w:rPr>
          <w:spacing w:val="-5"/>
        </w:rPr>
        <w:t> </w:t>
      </w:r>
      <w:r>
        <w:rPr/>
        <w:t>stakeholders</w:t>
      </w:r>
      <w:r>
        <w:rPr>
          <w:spacing w:val="-6"/>
        </w:rPr>
        <w:t> </w:t>
      </w:r>
      <w:r>
        <w:rPr/>
        <w:t>and</w:t>
      </w:r>
      <w:r>
        <w:rPr>
          <w:spacing w:val="-4"/>
        </w:rPr>
        <w:t> </w:t>
      </w:r>
      <w:r>
        <w:rPr/>
        <w:t>good</w:t>
      </w:r>
      <w:r>
        <w:rPr>
          <w:spacing w:val="-3"/>
        </w:rPr>
        <w:t> </w:t>
      </w:r>
      <w:r>
        <w:rPr>
          <w:spacing w:val="-2"/>
        </w:rPr>
        <w:t>governance…..”</w:t>
      </w:r>
    </w:p>
    <w:p>
      <w:pPr>
        <w:pStyle w:val="BodyText"/>
        <w:spacing w:line="360" w:lineRule="auto"/>
        <w:ind w:right="1260" w:firstLine="720"/>
        <w:jc w:val="both"/>
      </w:pPr>
      <w:r>
        <w:rPr/>
        <w:t>However, the violent conflict in the three States sampled is viewed by the Federal Government, from a security standpoint, where containment and suppression have been the primary objectives rather than long-term resolutions.</w:t>
      </w:r>
    </w:p>
    <w:p>
      <w:pPr>
        <w:pStyle w:val="Heading2"/>
        <w:numPr>
          <w:ilvl w:val="3"/>
          <w:numId w:val="26"/>
        </w:numPr>
        <w:tabs>
          <w:tab w:pos="2400" w:val="left" w:leader="none"/>
        </w:tabs>
        <w:spacing w:line="360" w:lineRule="auto" w:before="4" w:after="0"/>
        <w:ind w:left="1440" w:right="1259" w:firstLine="0"/>
        <w:jc w:val="both"/>
      </w:pPr>
      <w:r>
        <w:rPr/>
        <w:t>RQ22b.</w:t>
      </w:r>
      <w:r>
        <w:rPr>
          <w:spacing w:val="-4"/>
        </w:rPr>
        <w:t> </w:t>
      </w:r>
      <w:r>
        <w:rPr/>
        <w:t>Roles</w:t>
      </w:r>
      <w:r>
        <w:rPr>
          <w:spacing w:val="-2"/>
        </w:rPr>
        <w:t> </w:t>
      </w:r>
      <w:r>
        <w:rPr/>
        <w:t>of</w:t>
      </w:r>
      <w:r>
        <w:rPr>
          <w:spacing w:val="-3"/>
        </w:rPr>
        <w:t> </w:t>
      </w:r>
      <w:r>
        <w:rPr/>
        <w:t>Political</w:t>
      </w:r>
      <w:r>
        <w:rPr>
          <w:spacing w:val="-4"/>
        </w:rPr>
        <w:t> </w:t>
      </w:r>
      <w:r>
        <w:rPr/>
        <w:t>Elites</w:t>
      </w:r>
      <w:r>
        <w:rPr>
          <w:spacing w:val="-4"/>
        </w:rPr>
        <w:t> </w:t>
      </w:r>
      <w:r>
        <w:rPr/>
        <w:t>and</w:t>
      </w:r>
      <w:r>
        <w:rPr>
          <w:spacing w:val="-2"/>
        </w:rPr>
        <w:t> </w:t>
      </w:r>
      <w:r>
        <w:rPr/>
        <w:t>Politicians</w:t>
      </w:r>
      <w:r>
        <w:rPr>
          <w:spacing w:val="-4"/>
        </w:rPr>
        <w:t> </w:t>
      </w:r>
      <w:r>
        <w:rPr/>
        <w:t>in</w:t>
      </w:r>
      <w:r>
        <w:rPr>
          <w:spacing w:val="-3"/>
        </w:rPr>
        <w:t> </w:t>
      </w:r>
      <w:r>
        <w:rPr/>
        <w:t>Conflict</w:t>
      </w:r>
      <w:r>
        <w:rPr>
          <w:spacing w:val="-4"/>
        </w:rPr>
        <w:t> </w:t>
      </w:r>
      <w:r>
        <w:rPr/>
        <w:t>Resolution</w:t>
      </w:r>
      <w:r>
        <w:rPr>
          <w:spacing w:val="-4"/>
        </w:rPr>
        <w:t> </w:t>
      </w:r>
      <w:r>
        <w:rPr/>
        <w:t>in the Niger Delta.</w:t>
      </w:r>
    </w:p>
    <w:p>
      <w:pPr>
        <w:pStyle w:val="BodyText"/>
        <w:spacing w:line="360" w:lineRule="auto"/>
        <w:ind w:right="1260" w:firstLine="720"/>
        <w:jc w:val="both"/>
      </w:pPr>
      <w:r>
        <w:rPr/>
        <w:t>The perception on the roles of political elites and politicians in conflict resolution in the Niger Delta conflict is presented on Table 28.</w:t>
      </w:r>
    </w:p>
    <w:p>
      <w:pPr>
        <w:pStyle w:val="Heading2"/>
        <w:spacing w:line="360" w:lineRule="auto"/>
        <w:ind w:right="1258"/>
        <w:jc w:val="both"/>
      </w:pPr>
      <w:r>
        <w:rPr/>
        <w:t>Table 28: Role of Political Elites and Politicians Towards Resolving the Niger Delta Conflict</w:t>
      </w: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3"/>
        <w:gridCol w:w="3164"/>
        <w:gridCol w:w="999"/>
        <w:gridCol w:w="835"/>
        <w:gridCol w:w="900"/>
        <w:gridCol w:w="2341"/>
      </w:tblGrid>
      <w:tr>
        <w:trPr>
          <w:trHeight w:val="455" w:hRule="atLeast"/>
        </w:trPr>
        <w:tc>
          <w:tcPr>
            <w:tcW w:w="763" w:type="dxa"/>
          </w:tcPr>
          <w:p>
            <w:pPr>
              <w:pStyle w:val="TableParagraph"/>
              <w:rPr>
                <w:sz w:val="24"/>
              </w:rPr>
            </w:pPr>
          </w:p>
        </w:tc>
        <w:tc>
          <w:tcPr>
            <w:tcW w:w="3164" w:type="dxa"/>
          </w:tcPr>
          <w:p>
            <w:pPr>
              <w:pStyle w:val="TableParagraph"/>
              <w:rPr>
                <w:sz w:val="24"/>
              </w:rPr>
            </w:pPr>
          </w:p>
        </w:tc>
        <w:tc>
          <w:tcPr>
            <w:tcW w:w="999" w:type="dxa"/>
          </w:tcPr>
          <w:p>
            <w:pPr>
              <w:pStyle w:val="TableParagraph"/>
              <w:spacing w:before="15"/>
              <w:ind w:left="8" w:right="3"/>
              <w:jc w:val="center"/>
              <w:rPr>
                <w:sz w:val="24"/>
              </w:rPr>
            </w:pPr>
            <w:r>
              <w:rPr>
                <w:spacing w:val="-10"/>
                <w:sz w:val="24"/>
              </w:rPr>
              <w:t>N</w:t>
            </w:r>
          </w:p>
        </w:tc>
        <w:tc>
          <w:tcPr>
            <w:tcW w:w="835" w:type="dxa"/>
          </w:tcPr>
          <w:p>
            <w:pPr>
              <w:pStyle w:val="TableParagraph"/>
              <w:spacing w:before="20"/>
              <w:ind w:left="11" w:right="3"/>
              <w:jc w:val="center"/>
              <w:rPr>
                <w:b/>
                <w:sz w:val="24"/>
              </w:rPr>
            </w:pPr>
            <w:r>
              <w:rPr>
                <w:b/>
                <w:spacing w:val="-4"/>
                <w:sz w:val="24"/>
              </w:rPr>
              <w:t>Mean</w:t>
            </w:r>
          </w:p>
        </w:tc>
        <w:tc>
          <w:tcPr>
            <w:tcW w:w="900" w:type="dxa"/>
          </w:tcPr>
          <w:p>
            <w:pPr>
              <w:pStyle w:val="TableParagraph"/>
              <w:spacing w:before="20"/>
              <w:ind w:left="11" w:right="4"/>
              <w:jc w:val="center"/>
              <w:rPr>
                <w:b/>
                <w:sz w:val="24"/>
              </w:rPr>
            </w:pPr>
            <w:r>
              <w:rPr>
                <w:b/>
                <w:spacing w:val="-5"/>
                <w:sz w:val="24"/>
              </w:rPr>
              <w:t>SD</w:t>
            </w:r>
          </w:p>
        </w:tc>
        <w:tc>
          <w:tcPr>
            <w:tcW w:w="2341" w:type="dxa"/>
          </w:tcPr>
          <w:p>
            <w:pPr>
              <w:pStyle w:val="TableParagraph"/>
              <w:spacing w:before="20"/>
              <w:ind w:left="17" w:right="12"/>
              <w:jc w:val="center"/>
              <w:rPr>
                <w:b/>
                <w:sz w:val="24"/>
              </w:rPr>
            </w:pPr>
            <w:r>
              <w:rPr>
                <w:b/>
                <w:sz w:val="24"/>
              </w:rPr>
              <w:t>Level</w:t>
            </w:r>
            <w:r>
              <w:rPr>
                <w:b/>
                <w:spacing w:val="-3"/>
                <w:sz w:val="24"/>
              </w:rPr>
              <w:t> </w:t>
            </w:r>
            <w:r>
              <w:rPr>
                <w:b/>
                <w:sz w:val="24"/>
              </w:rPr>
              <w:t>of </w:t>
            </w:r>
            <w:r>
              <w:rPr>
                <w:b/>
                <w:spacing w:val="-2"/>
                <w:sz w:val="24"/>
              </w:rPr>
              <w:t>Agreement</w:t>
            </w:r>
          </w:p>
        </w:tc>
      </w:tr>
      <w:tr>
        <w:trPr>
          <w:trHeight w:val="840" w:hRule="atLeast"/>
        </w:trPr>
        <w:tc>
          <w:tcPr>
            <w:tcW w:w="763" w:type="dxa"/>
          </w:tcPr>
          <w:p>
            <w:pPr>
              <w:pStyle w:val="TableParagraph"/>
              <w:spacing w:before="6"/>
              <w:ind w:left="9"/>
              <w:rPr>
                <w:sz w:val="24"/>
              </w:rPr>
            </w:pPr>
            <w:r>
              <w:rPr>
                <w:spacing w:val="-5"/>
                <w:sz w:val="24"/>
              </w:rPr>
              <w:t>B90</w:t>
            </w:r>
          </w:p>
        </w:tc>
        <w:tc>
          <w:tcPr>
            <w:tcW w:w="3164" w:type="dxa"/>
          </w:tcPr>
          <w:p>
            <w:pPr>
              <w:pStyle w:val="TableParagraph"/>
              <w:spacing w:before="6"/>
              <w:ind w:left="9"/>
              <w:rPr>
                <w:sz w:val="24"/>
              </w:rPr>
            </w:pPr>
            <w:r>
              <w:rPr>
                <w:sz w:val="24"/>
              </w:rPr>
              <w:t>Fence</w:t>
            </w:r>
            <w:r>
              <w:rPr>
                <w:spacing w:val="-3"/>
                <w:sz w:val="24"/>
              </w:rPr>
              <w:t> </w:t>
            </w:r>
            <w:r>
              <w:rPr>
                <w:spacing w:val="-2"/>
                <w:sz w:val="24"/>
              </w:rPr>
              <w:t>mending</w:t>
            </w:r>
          </w:p>
          <w:p>
            <w:pPr>
              <w:pStyle w:val="TableParagraph"/>
              <w:spacing w:before="149"/>
              <w:ind w:left="9"/>
              <w:rPr>
                <w:sz w:val="24"/>
              </w:rPr>
            </w:pPr>
            <w:r>
              <w:rPr>
                <w:sz w:val="24"/>
              </w:rPr>
              <w:t>(Peacemaking</w:t>
            </w:r>
            <w:r>
              <w:rPr>
                <w:spacing w:val="-3"/>
                <w:sz w:val="24"/>
              </w:rPr>
              <w:t> </w:t>
            </w:r>
            <w:r>
              <w:rPr>
                <w:spacing w:val="-2"/>
                <w:sz w:val="24"/>
              </w:rPr>
              <w:t>efforts).</w:t>
            </w:r>
          </w:p>
        </w:tc>
        <w:tc>
          <w:tcPr>
            <w:tcW w:w="999" w:type="dxa"/>
          </w:tcPr>
          <w:p>
            <w:pPr>
              <w:pStyle w:val="TableParagraph"/>
              <w:spacing w:before="6"/>
              <w:ind w:left="8" w:right="4"/>
              <w:jc w:val="center"/>
              <w:rPr>
                <w:sz w:val="24"/>
              </w:rPr>
            </w:pPr>
            <w:r>
              <w:rPr>
                <w:spacing w:val="-5"/>
                <w:sz w:val="24"/>
              </w:rPr>
              <w:t>234</w:t>
            </w:r>
          </w:p>
        </w:tc>
        <w:tc>
          <w:tcPr>
            <w:tcW w:w="835" w:type="dxa"/>
          </w:tcPr>
          <w:p>
            <w:pPr>
              <w:pStyle w:val="TableParagraph"/>
              <w:spacing w:before="6"/>
              <w:ind w:left="11" w:right="4"/>
              <w:jc w:val="center"/>
              <w:rPr>
                <w:sz w:val="24"/>
              </w:rPr>
            </w:pPr>
            <w:r>
              <w:rPr>
                <w:spacing w:val="-4"/>
                <w:sz w:val="24"/>
              </w:rPr>
              <w:t>2.44</w:t>
            </w:r>
          </w:p>
        </w:tc>
        <w:tc>
          <w:tcPr>
            <w:tcW w:w="900" w:type="dxa"/>
          </w:tcPr>
          <w:p>
            <w:pPr>
              <w:pStyle w:val="TableParagraph"/>
              <w:spacing w:before="6"/>
              <w:ind w:left="11" w:right="2"/>
              <w:jc w:val="center"/>
              <w:rPr>
                <w:sz w:val="24"/>
              </w:rPr>
            </w:pPr>
            <w:r>
              <w:rPr>
                <w:spacing w:val="-4"/>
                <w:sz w:val="24"/>
              </w:rPr>
              <w:t>.988</w:t>
            </w:r>
          </w:p>
        </w:tc>
        <w:tc>
          <w:tcPr>
            <w:tcW w:w="2341" w:type="dxa"/>
          </w:tcPr>
          <w:p>
            <w:pPr>
              <w:pStyle w:val="TableParagraph"/>
              <w:spacing w:before="6"/>
              <w:ind w:left="17" w:right="10"/>
              <w:jc w:val="center"/>
              <w:rPr>
                <w:sz w:val="24"/>
              </w:rPr>
            </w:pPr>
            <w:r>
              <w:rPr>
                <w:spacing w:val="-10"/>
                <w:sz w:val="24"/>
              </w:rPr>
              <w:t>D</w:t>
            </w:r>
          </w:p>
        </w:tc>
      </w:tr>
      <w:tr>
        <w:trPr>
          <w:trHeight w:val="410" w:hRule="atLeast"/>
        </w:trPr>
        <w:tc>
          <w:tcPr>
            <w:tcW w:w="763" w:type="dxa"/>
          </w:tcPr>
          <w:p>
            <w:pPr>
              <w:pStyle w:val="TableParagraph"/>
              <w:spacing w:line="270" w:lineRule="exact"/>
              <w:ind w:left="9"/>
              <w:rPr>
                <w:sz w:val="24"/>
              </w:rPr>
            </w:pPr>
            <w:r>
              <w:rPr>
                <w:spacing w:val="-5"/>
                <w:sz w:val="24"/>
              </w:rPr>
              <w:t>B91</w:t>
            </w:r>
          </w:p>
        </w:tc>
        <w:tc>
          <w:tcPr>
            <w:tcW w:w="3164" w:type="dxa"/>
          </w:tcPr>
          <w:p>
            <w:pPr>
              <w:pStyle w:val="TableParagraph"/>
              <w:spacing w:line="270" w:lineRule="exact"/>
              <w:ind w:left="9"/>
              <w:rPr>
                <w:sz w:val="24"/>
              </w:rPr>
            </w:pPr>
            <w:r>
              <w:rPr>
                <w:sz w:val="24"/>
              </w:rPr>
              <w:t>Fuelling</w:t>
            </w:r>
            <w:r>
              <w:rPr>
                <w:spacing w:val="-3"/>
                <w:sz w:val="24"/>
              </w:rPr>
              <w:t> </w:t>
            </w:r>
            <w:r>
              <w:rPr>
                <w:spacing w:val="-2"/>
                <w:sz w:val="24"/>
              </w:rPr>
              <w:t>crisis.</w:t>
            </w:r>
          </w:p>
        </w:tc>
        <w:tc>
          <w:tcPr>
            <w:tcW w:w="999" w:type="dxa"/>
          </w:tcPr>
          <w:p>
            <w:pPr>
              <w:pStyle w:val="TableParagraph"/>
              <w:spacing w:line="270" w:lineRule="exact"/>
              <w:ind w:left="8" w:right="4"/>
              <w:jc w:val="center"/>
              <w:rPr>
                <w:sz w:val="24"/>
              </w:rPr>
            </w:pPr>
            <w:r>
              <w:rPr>
                <w:spacing w:val="-5"/>
                <w:sz w:val="24"/>
              </w:rPr>
              <w:t>234</w:t>
            </w:r>
          </w:p>
        </w:tc>
        <w:tc>
          <w:tcPr>
            <w:tcW w:w="835" w:type="dxa"/>
          </w:tcPr>
          <w:p>
            <w:pPr>
              <w:pStyle w:val="TableParagraph"/>
              <w:spacing w:line="270" w:lineRule="exact"/>
              <w:ind w:left="11" w:right="4"/>
              <w:jc w:val="center"/>
              <w:rPr>
                <w:sz w:val="24"/>
              </w:rPr>
            </w:pPr>
            <w:r>
              <w:rPr>
                <w:spacing w:val="-4"/>
                <w:sz w:val="24"/>
              </w:rPr>
              <w:t>2.79</w:t>
            </w:r>
          </w:p>
        </w:tc>
        <w:tc>
          <w:tcPr>
            <w:tcW w:w="900" w:type="dxa"/>
          </w:tcPr>
          <w:p>
            <w:pPr>
              <w:pStyle w:val="TableParagraph"/>
              <w:spacing w:line="270" w:lineRule="exact"/>
              <w:ind w:left="11" w:right="2"/>
              <w:jc w:val="center"/>
              <w:rPr>
                <w:sz w:val="24"/>
              </w:rPr>
            </w:pPr>
            <w:r>
              <w:rPr>
                <w:spacing w:val="-4"/>
                <w:sz w:val="24"/>
              </w:rPr>
              <w:t>.966</w:t>
            </w:r>
          </w:p>
        </w:tc>
        <w:tc>
          <w:tcPr>
            <w:tcW w:w="2341" w:type="dxa"/>
          </w:tcPr>
          <w:p>
            <w:pPr>
              <w:pStyle w:val="TableParagraph"/>
              <w:spacing w:line="270" w:lineRule="exact"/>
              <w:ind w:left="17" w:right="10"/>
              <w:jc w:val="center"/>
              <w:rPr>
                <w:sz w:val="24"/>
              </w:rPr>
            </w:pPr>
            <w:r>
              <w:rPr>
                <w:spacing w:val="-10"/>
                <w:sz w:val="24"/>
              </w:rPr>
              <w:t>A</w:t>
            </w:r>
          </w:p>
        </w:tc>
      </w:tr>
      <w:tr>
        <w:trPr>
          <w:trHeight w:val="412" w:hRule="atLeast"/>
        </w:trPr>
        <w:tc>
          <w:tcPr>
            <w:tcW w:w="763" w:type="dxa"/>
          </w:tcPr>
          <w:p>
            <w:pPr>
              <w:pStyle w:val="TableParagraph"/>
              <w:spacing w:line="273" w:lineRule="exact"/>
              <w:ind w:left="9"/>
              <w:rPr>
                <w:sz w:val="24"/>
              </w:rPr>
            </w:pPr>
            <w:r>
              <w:rPr>
                <w:spacing w:val="-5"/>
                <w:sz w:val="24"/>
              </w:rPr>
              <w:t>B92</w:t>
            </w:r>
          </w:p>
        </w:tc>
        <w:tc>
          <w:tcPr>
            <w:tcW w:w="3164" w:type="dxa"/>
          </w:tcPr>
          <w:p>
            <w:pPr>
              <w:pStyle w:val="TableParagraph"/>
              <w:spacing w:line="273" w:lineRule="exact"/>
              <w:ind w:left="9"/>
              <w:rPr>
                <w:sz w:val="24"/>
              </w:rPr>
            </w:pPr>
            <w:r>
              <w:rPr>
                <w:sz w:val="24"/>
              </w:rPr>
              <w:t>Reducing</w:t>
            </w:r>
            <w:r>
              <w:rPr>
                <w:spacing w:val="-4"/>
                <w:sz w:val="24"/>
              </w:rPr>
              <w:t> </w:t>
            </w:r>
            <w:r>
              <w:rPr>
                <w:spacing w:val="-2"/>
                <w:sz w:val="24"/>
              </w:rPr>
              <w:t>Conflict.</w:t>
            </w:r>
          </w:p>
        </w:tc>
        <w:tc>
          <w:tcPr>
            <w:tcW w:w="999" w:type="dxa"/>
          </w:tcPr>
          <w:p>
            <w:pPr>
              <w:pStyle w:val="TableParagraph"/>
              <w:spacing w:line="273" w:lineRule="exact"/>
              <w:ind w:left="8" w:right="4"/>
              <w:jc w:val="center"/>
              <w:rPr>
                <w:sz w:val="24"/>
              </w:rPr>
            </w:pPr>
            <w:r>
              <w:rPr>
                <w:spacing w:val="-5"/>
                <w:sz w:val="24"/>
              </w:rPr>
              <w:t>234</w:t>
            </w:r>
          </w:p>
        </w:tc>
        <w:tc>
          <w:tcPr>
            <w:tcW w:w="835" w:type="dxa"/>
          </w:tcPr>
          <w:p>
            <w:pPr>
              <w:pStyle w:val="TableParagraph"/>
              <w:spacing w:line="273" w:lineRule="exact"/>
              <w:ind w:left="11" w:right="4"/>
              <w:jc w:val="center"/>
              <w:rPr>
                <w:sz w:val="24"/>
              </w:rPr>
            </w:pPr>
            <w:r>
              <w:rPr>
                <w:spacing w:val="-4"/>
                <w:sz w:val="24"/>
              </w:rPr>
              <w:t>2.25</w:t>
            </w:r>
          </w:p>
        </w:tc>
        <w:tc>
          <w:tcPr>
            <w:tcW w:w="900" w:type="dxa"/>
          </w:tcPr>
          <w:p>
            <w:pPr>
              <w:pStyle w:val="TableParagraph"/>
              <w:spacing w:line="273" w:lineRule="exact"/>
              <w:ind w:left="11" w:right="2"/>
              <w:jc w:val="center"/>
              <w:rPr>
                <w:sz w:val="24"/>
              </w:rPr>
            </w:pPr>
            <w:r>
              <w:rPr>
                <w:spacing w:val="-4"/>
                <w:sz w:val="24"/>
              </w:rPr>
              <w:t>.917</w:t>
            </w:r>
          </w:p>
        </w:tc>
        <w:tc>
          <w:tcPr>
            <w:tcW w:w="2341" w:type="dxa"/>
          </w:tcPr>
          <w:p>
            <w:pPr>
              <w:pStyle w:val="TableParagraph"/>
              <w:spacing w:line="273" w:lineRule="exact"/>
              <w:ind w:left="17"/>
              <w:jc w:val="center"/>
              <w:rPr>
                <w:sz w:val="24"/>
              </w:rPr>
            </w:pPr>
            <w:r>
              <w:rPr>
                <w:spacing w:val="-10"/>
                <w:sz w:val="24"/>
              </w:rPr>
              <w:t>D</w:t>
            </w:r>
          </w:p>
        </w:tc>
      </w:tr>
      <w:tr>
        <w:trPr>
          <w:trHeight w:val="834" w:hRule="atLeast"/>
        </w:trPr>
        <w:tc>
          <w:tcPr>
            <w:tcW w:w="763" w:type="dxa"/>
          </w:tcPr>
          <w:p>
            <w:pPr>
              <w:pStyle w:val="TableParagraph"/>
              <w:spacing w:line="270" w:lineRule="exact"/>
              <w:ind w:left="9"/>
              <w:rPr>
                <w:sz w:val="24"/>
              </w:rPr>
            </w:pPr>
            <w:r>
              <w:rPr>
                <w:spacing w:val="-5"/>
                <w:sz w:val="24"/>
              </w:rPr>
              <w:t>B93</w:t>
            </w:r>
          </w:p>
        </w:tc>
        <w:tc>
          <w:tcPr>
            <w:tcW w:w="3164" w:type="dxa"/>
          </w:tcPr>
          <w:p>
            <w:pPr>
              <w:pStyle w:val="TableParagraph"/>
              <w:spacing w:line="270" w:lineRule="exact"/>
              <w:ind w:left="9"/>
              <w:rPr>
                <w:sz w:val="24"/>
              </w:rPr>
            </w:pPr>
            <w:r>
              <w:rPr>
                <w:spacing w:val="-2"/>
                <w:sz w:val="24"/>
              </w:rPr>
              <w:t>Indifference</w:t>
            </w:r>
          </w:p>
          <w:p>
            <w:pPr>
              <w:pStyle w:val="TableParagraph"/>
              <w:spacing w:before="139"/>
              <w:ind w:left="9"/>
              <w:rPr>
                <w:sz w:val="24"/>
              </w:rPr>
            </w:pPr>
            <w:r>
              <w:rPr>
                <w:spacing w:val="-2"/>
                <w:sz w:val="24"/>
              </w:rPr>
              <w:t>(Complacency).</w:t>
            </w:r>
          </w:p>
        </w:tc>
        <w:tc>
          <w:tcPr>
            <w:tcW w:w="999" w:type="dxa"/>
          </w:tcPr>
          <w:p>
            <w:pPr>
              <w:pStyle w:val="TableParagraph"/>
              <w:spacing w:before="133"/>
              <w:rPr>
                <w:b/>
                <w:sz w:val="24"/>
              </w:rPr>
            </w:pPr>
          </w:p>
          <w:p>
            <w:pPr>
              <w:pStyle w:val="TableParagraph"/>
              <w:ind w:left="8" w:right="4"/>
              <w:jc w:val="center"/>
              <w:rPr>
                <w:sz w:val="24"/>
              </w:rPr>
            </w:pPr>
            <w:r>
              <w:rPr>
                <w:spacing w:val="-5"/>
                <w:sz w:val="24"/>
              </w:rPr>
              <w:t>230</w:t>
            </w:r>
          </w:p>
        </w:tc>
        <w:tc>
          <w:tcPr>
            <w:tcW w:w="835" w:type="dxa"/>
          </w:tcPr>
          <w:p>
            <w:pPr>
              <w:pStyle w:val="TableParagraph"/>
              <w:spacing w:before="133"/>
              <w:rPr>
                <w:b/>
                <w:sz w:val="24"/>
              </w:rPr>
            </w:pPr>
          </w:p>
          <w:p>
            <w:pPr>
              <w:pStyle w:val="TableParagraph"/>
              <w:ind w:left="11" w:right="4"/>
              <w:jc w:val="center"/>
              <w:rPr>
                <w:sz w:val="24"/>
              </w:rPr>
            </w:pPr>
            <w:r>
              <w:rPr>
                <w:spacing w:val="-4"/>
                <w:sz w:val="24"/>
              </w:rPr>
              <w:t>2.63</w:t>
            </w:r>
          </w:p>
        </w:tc>
        <w:tc>
          <w:tcPr>
            <w:tcW w:w="900" w:type="dxa"/>
          </w:tcPr>
          <w:p>
            <w:pPr>
              <w:pStyle w:val="TableParagraph"/>
              <w:spacing w:before="133"/>
              <w:rPr>
                <w:b/>
                <w:sz w:val="24"/>
              </w:rPr>
            </w:pPr>
          </w:p>
          <w:p>
            <w:pPr>
              <w:pStyle w:val="TableParagraph"/>
              <w:ind w:left="11" w:right="2"/>
              <w:jc w:val="center"/>
              <w:rPr>
                <w:sz w:val="24"/>
              </w:rPr>
            </w:pPr>
            <w:r>
              <w:rPr>
                <w:spacing w:val="-4"/>
                <w:sz w:val="24"/>
              </w:rPr>
              <w:t>.934</w:t>
            </w:r>
          </w:p>
        </w:tc>
        <w:tc>
          <w:tcPr>
            <w:tcW w:w="2341" w:type="dxa"/>
          </w:tcPr>
          <w:p>
            <w:pPr>
              <w:pStyle w:val="TableParagraph"/>
              <w:spacing w:before="133"/>
              <w:rPr>
                <w:b/>
                <w:sz w:val="24"/>
              </w:rPr>
            </w:pPr>
          </w:p>
          <w:p>
            <w:pPr>
              <w:pStyle w:val="TableParagraph"/>
              <w:ind w:left="17" w:right="10"/>
              <w:jc w:val="center"/>
              <w:rPr>
                <w:sz w:val="24"/>
              </w:rPr>
            </w:pPr>
            <w:r>
              <w:rPr>
                <w:spacing w:val="-10"/>
                <w:sz w:val="24"/>
              </w:rPr>
              <w:t>D</w:t>
            </w:r>
          </w:p>
        </w:tc>
      </w:tr>
    </w:tbl>
    <w:p>
      <w:pPr>
        <w:spacing w:after="0"/>
        <w:jc w:val="center"/>
        <w:rPr>
          <w:sz w:val="24"/>
        </w:rPr>
        <w:sectPr>
          <w:pgSz w:w="11910" w:h="16840"/>
          <w:pgMar w:header="0" w:footer="1561" w:top="1360" w:bottom="1760" w:left="720" w:right="180"/>
        </w:sectPr>
      </w:pPr>
    </w:p>
    <w:p>
      <w:pPr>
        <w:pStyle w:val="BodyText"/>
        <w:spacing w:line="360" w:lineRule="auto" w:before="60"/>
        <w:ind w:right="1264" w:firstLine="900"/>
        <w:jc w:val="both"/>
      </w:pPr>
      <w:r>
        <w:rPr/>
        <mc:AlternateContent>
          <mc:Choice Requires="wps">
            <w:drawing>
              <wp:anchor distT="0" distB="0" distL="0" distR="0" allowOverlap="1" layoutInCell="1" locked="0" behindDoc="1" simplePos="0" relativeHeight="480681984">
                <wp:simplePos x="0" y="0"/>
                <wp:positionH relativeFrom="page">
                  <wp:posOffset>-1537026</wp:posOffset>
                </wp:positionH>
                <wp:positionV relativeFrom="page">
                  <wp:posOffset>4900424</wp:posOffset>
                </wp:positionV>
                <wp:extent cx="10669905" cy="914400"/>
                <wp:effectExtent l="0" t="0" r="0" b="0"/>
                <wp:wrapNone/>
                <wp:docPr id="323" name="Textbox 323"/>
                <wp:cNvGraphicFramePr>
                  <a:graphicFrameLocks/>
                </wp:cNvGraphicFramePr>
                <a:graphic>
                  <a:graphicData uri="http://schemas.microsoft.com/office/word/2010/wordprocessingShape">
                    <wps:wsp>
                      <wps:cNvPr id="323" name="Textbox 323"/>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34496;rotation:306" type="#_x0000_t136" fillcolor="#ff5400" stroked="f">
                <o:extrusion v:ext="view" autorotationcenter="t"/>
                <v:textpath style="font-family:&quot;Arial MT&quot;;font-size:72pt;v-text-kern:t;mso-text-shadow:auto" string="UNIVERSITY OF IBADAN"/>
                <w10:wrap type="none"/>
              </v:shape>
            </w:pict>
          </mc:Fallback>
        </mc:AlternateContent>
      </w:r>
      <w:r>
        <w:rPr/>
        <w:t>From the data presented in Table 28, there is a divided perception on the roles of political elites and politicians in the resolution of the Niger Delta conflict. It was generally agreed that politicians fuel crisis and are in most times complacent in the handling of conflict issues in the States.</w:t>
      </w:r>
    </w:p>
    <w:p>
      <w:pPr>
        <w:pStyle w:val="BodyText"/>
        <w:spacing w:line="360" w:lineRule="auto" w:before="1"/>
        <w:ind w:right="1253" w:firstLine="720"/>
        <w:jc w:val="both"/>
      </w:pPr>
      <w:r>
        <w:rPr/>
        <w:t>Likewise, there is a general disagreement that politicians were involved in conflict</w:t>
      </w:r>
      <w:r>
        <w:rPr>
          <w:spacing w:val="-1"/>
        </w:rPr>
        <w:t> </w:t>
      </w:r>
      <w:r>
        <w:rPr/>
        <w:t>reduction</w:t>
      </w:r>
      <w:r>
        <w:rPr>
          <w:spacing w:val="-1"/>
        </w:rPr>
        <w:t> </w:t>
      </w:r>
      <w:r>
        <w:rPr/>
        <w:t>and</w:t>
      </w:r>
      <w:r>
        <w:rPr>
          <w:spacing w:val="-1"/>
        </w:rPr>
        <w:t> </w:t>
      </w:r>
      <w:r>
        <w:rPr/>
        <w:t>peace-making efforts.</w:t>
      </w:r>
      <w:r>
        <w:rPr>
          <w:spacing w:val="-1"/>
        </w:rPr>
        <w:t> </w:t>
      </w:r>
      <w:r>
        <w:rPr/>
        <w:t>Party</w:t>
      </w:r>
      <w:r>
        <w:rPr>
          <w:spacing w:val="-4"/>
        </w:rPr>
        <w:t> </w:t>
      </w:r>
      <w:r>
        <w:rPr/>
        <w:t>politics</w:t>
      </w:r>
      <w:r>
        <w:rPr>
          <w:spacing w:val="-1"/>
        </w:rPr>
        <w:t> </w:t>
      </w:r>
      <w:r>
        <w:rPr/>
        <w:t>as</w:t>
      </w:r>
      <w:r>
        <w:rPr>
          <w:spacing w:val="-1"/>
        </w:rPr>
        <w:t> </w:t>
      </w:r>
      <w:r>
        <w:rPr/>
        <w:t>a</w:t>
      </w:r>
      <w:r>
        <w:rPr>
          <w:spacing w:val="-2"/>
        </w:rPr>
        <w:t> </w:t>
      </w:r>
      <w:r>
        <w:rPr/>
        <w:t>causal</w:t>
      </w:r>
      <w:r>
        <w:rPr>
          <w:spacing w:val="-1"/>
        </w:rPr>
        <w:t> </w:t>
      </w:r>
      <w:r>
        <w:rPr/>
        <w:t>factor</w:t>
      </w:r>
      <w:r>
        <w:rPr>
          <w:spacing w:val="-2"/>
        </w:rPr>
        <w:t> </w:t>
      </w:r>
      <w:r>
        <w:rPr/>
        <w:t>of</w:t>
      </w:r>
      <w:r>
        <w:rPr>
          <w:spacing w:val="-2"/>
        </w:rPr>
        <w:t> </w:t>
      </w:r>
      <w:r>
        <w:rPr/>
        <w:t>violent conflicts in the States has been clearly acknowledged in extant literatures as well as oral interviews that were held during the fieldwork. One of the interviewees for instance cited the most talked about political crisis in Delta State as that between erstwhile Governor Ibori and Chief Ogboru and of recent, that between Governor Uduangan and Chief Ogboru. In the same vein, the problems in the sampled States now include political assassinations and violent inter-cult rivalries. The politicians in the three sampled States arm militants‟ youths against their opponents. The political elites were also said to have manipulated militant youths to reactivate primordial communal and chieftaincy feuds.</w:t>
      </w:r>
    </w:p>
    <w:p>
      <w:pPr>
        <w:pStyle w:val="BodyText"/>
        <w:spacing w:before="144"/>
        <w:ind w:left="0"/>
      </w:pPr>
    </w:p>
    <w:p>
      <w:pPr>
        <w:pStyle w:val="Heading2"/>
        <w:numPr>
          <w:ilvl w:val="3"/>
          <w:numId w:val="28"/>
        </w:numPr>
        <w:tabs>
          <w:tab w:pos="2520" w:val="left" w:leader="none"/>
        </w:tabs>
        <w:spacing w:line="360" w:lineRule="auto" w:before="0" w:after="0"/>
        <w:ind w:left="1440" w:right="1376" w:firstLine="0"/>
        <w:jc w:val="both"/>
      </w:pPr>
      <w:r>
        <w:rPr/>
        <w:t>RQ22c</w:t>
      </w:r>
      <w:r>
        <w:rPr>
          <w:spacing w:val="-4"/>
        </w:rPr>
        <w:t> </w:t>
      </w:r>
      <w:r>
        <w:rPr/>
        <w:t>Perception</w:t>
      </w:r>
      <w:r>
        <w:rPr>
          <w:spacing w:val="-5"/>
        </w:rPr>
        <w:t> </w:t>
      </w:r>
      <w:r>
        <w:rPr/>
        <w:t>on</w:t>
      </w:r>
      <w:r>
        <w:rPr>
          <w:spacing w:val="-5"/>
        </w:rPr>
        <w:t> </w:t>
      </w:r>
      <w:r>
        <w:rPr/>
        <w:t>the</w:t>
      </w:r>
      <w:r>
        <w:rPr>
          <w:spacing w:val="-6"/>
        </w:rPr>
        <w:t> </w:t>
      </w:r>
      <w:r>
        <w:rPr/>
        <w:t>Roles</w:t>
      </w:r>
      <w:r>
        <w:rPr>
          <w:spacing w:val="-5"/>
        </w:rPr>
        <w:t> </w:t>
      </w:r>
      <w:r>
        <w:rPr/>
        <w:t>of</w:t>
      </w:r>
      <w:r>
        <w:rPr>
          <w:spacing w:val="-4"/>
        </w:rPr>
        <w:t> </w:t>
      </w:r>
      <w:r>
        <w:rPr/>
        <w:t>Civil</w:t>
      </w:r>
      <w:r>
        <w:rPr>
          <w:spacing w:val="-5"/>
        </w:rPr>
        <w:t> </w:t>
      </w:r>
      <w:r>
        <w:rPr/>
        <w:t>Society</w:t>
      </w:r>
      <w:r>
        <w:rPr>
          <w:spacing w:val="-5"/>
        </w:rPr>
        <w:t> </w:t>
      </w:r>
      <w:r>
        <w:rPr/>
        <w:t>Organizations</w:t>
      </w:r>
      <w:r>
        <w:rPr>
          <w:spacing w:val="-5"/>
        </w:rPr>
        <w:t> </w:t>
      </w:r>
      <w:r>
        <w:rPr/>
        <w:t>(CSOs) in the Resolution of the Niger Delta Conflict</w:t>
      </w:r>
    </w:p>
    <w:p>
      <w:pPr>
        <w:pStyle w:val="BodyText"/>
        <w:spacing w:line="360" w:lineRule="auto"/>
        <w:ind w:right="1260" w:firstLine="720"/>
        <w:jc w:val="both"/>
      </w:pPr>
      <w:r>
        <w:rPr/>
        <w:t>Respondents were asked the roles being played by the CSOs in the resolution of the Niger Delta conflict. The summary of views of respondents is given in Table</w:t>
      </w:r>
      <w:r>
        <w:rPr>
          <w:spacing w:val="40"/>
        </w:rPr>
        <w:t> </w:t>
      </w:r>
      <w:r>
        <w:rPr>
          <w:spacing w:val="-4"/>
        </w:rPr>
        <w:t>29.</w:t>
      </w:r>
    </w:p>
    <w:p>
      <w:pPr>
        <w:pStyle w:val="Heading2"/>
        <w:spacing w:line="360" w:lineRule="auto"/>
        <w:ind w:right="1254"/>
        <w:jc w:val="both"/>
      </w:pPr>
      <w:r>
        <w:rPr/>
        <w:t>Table 29: Perception on the Roles of Civil Society Organizations (CSOs) in the Resolution of the Niger Delta Conflict</w:t>
      </w: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8"/>
        <w:gridCol w:w="3173"/>
        <w:gridCol w:w="739"/>
        <w:gridCol w:w="998"/>
        <w:gridCol w:w="897"/>
        <w:gridCol w:w="2424"/>
      </w:tblGrid>
      <w:tr>
        <w:trPr>
          <w:trHeight w:val="445" w:hRule="atLeast"/>
        </w:trPr>
        <w:tc>
          <w:tcPr>
            <w:tcW w:w="768" w:type="dxa"/>
          </w:tcPr>
          <w:p>
            <w:pPr>
              <w:pStyle w:val="TableParagraph"/>
              <w:rPr>
                <w:sz w:val="24"/>
              </w:rPr>
            </w:pPr>
          </w:p>
        </w:tc>
        <w:tc>
          <w:tcPr>
            <w:tcW w:w="3173" w:type="dxa"/>
          </w:tcPr>
          <w:p>
            <w:pPr>
              <w:pStyle w:val="TableParagraph"/>
              <w:rPr>
                <w:sz w:val="24"/>
              </w:rPr>
            </w:pPr>
          </w:p>
        </w:tc>
        <w:tc>
          <w:tcPr>
            <w:tcW w:w="739" w:type="dxa"/>
          </w:tcPr>
          <w:p>
            <w:pPr>
              <w:pStyle w:val="TableParagraph"/>
              <w:spacing w:before="11"/>
              <w:ind w:left="11"/>
              <w:jc w:val="center"/>
              <w:rPr>
                <w:sz w:val="24"/>
              </w:rPr>
            </w:pPr>
            <w:r>
              <w:rPr>
                <w:spacing w:val="-10"/>
                <w:sz w:val="24"/>
              </w:rPr>
              <w:t>N</w:t>
            </w:r>
          </w:p>
        </w:tc>
        <w:tc>
          <w:tcPr>
            <w:tcW w:w="998" w:type="dxa"/>
          </w:tcPr>
          <w:p>
            <w:pPr>
              <w:pStyle w:val="TableParagraph"/>
              <w:spacing w:before="15"/>
              <w:ind w:left="9" w:right="3"/>
              <w:jc w:val="center"/>
              <w:rPr>
                <w:b/>
                <w:sz w:val="24"/>
              </w:rPr>
            </w:pPr>
            <w:r>
              <w:rPr>
                <w:b/>
                <w:spacing w:val="-4"/>
                <w:sz w:val="24"/>
              </w:rPr>
              <w:t>Mean</w:t>
            </w:r>
          </w:p>
        </w:tc>
        <w:tc>
          <w:tcPr>
            <w:tcW w:w="897" w:type="dxa"/>
          </w:tcPr>
          <w:p>
            <w:pPr>
              <w:pStyle w:val="TableParagraph"/>
              <w:spacing w:before="15"/>
              <w:ind w:left="13"/>
              <w:jc w:val="center"/>
              <w:rPr>
                <w:b/>
                <w:sz w:val="24"/>
              </w:rPr>
            </w:pPr>
            <w:r>
              <w:rPr>
                <w:b/>
                <w:spacing w:val="-5"/>
                <w:sz w:val="24"/>
              </w:rPr>
              <w:t>SD</w:t>
            </w:r>
          </w:p>
        </w:tc>
        <w:tc>
          <w:tcPr>
            <w:tcW w:w="2424" w:type="dxa"/>
          </w:tcPr>
          <w:p>
            <w:pPr>
              <w:pStyle w:val="TableParagraph"/>
              <w:spacing w:before="15"/>
              <w:ind w:left="15" w:right="2"/>
              <w:jc w:val="center"/>
              <w:rPr>
                <w:b/>
                <w:sz w:val="24"/>
              </w:rPr>
            </w:pPr>
            <w:r>
              <w:rPr>
                <w:b/>
                <w:sz w:val="24"/>
              </w:rPr>
              <w:t>Level</w:t>
            </w:r>
            <w:r>
              <w:rPr>
                <w:b/>
                <w:spacing w:val="-3"/>
                <w:sz w:val="24"/>
              </w:rPr>
              <w:t> </w:t>
            </w:r>
            <w:r>
              <w:rPr>
                <w:b/>
                <w:sz w:val="24"/>
              </w:rPr>
              <w:t>of </w:t>
            </w:r>
            <w:r>
              <w:rPr>
                <w:b/>
                <w:spacing w:val="-2"/>
                <w:sz w:val="24"/>
              </w:rPr>
              <w:t>Agreement</w:t>
            </w:r>
          </w:p>
        </w:tc>
      </w:tr>
      <w:tr>
        <w:trPr>
          <w:trHeight w:val="837" w:hRule="atLeast"/>
        </w:trPr>
        <w:tc>
          <w:tcPr>
            <w:tcW w:w="768" w:type="dxa"/>
          </w:tcPr>
          <w:p>
            <w:pPr>
              <w:pStyle w:val="TableParagraph"/>
              <w:spacing w:before="13"/>
              <w:ind w:left="9"/>
              <w:jc w:val="center"/>
              <w:rPr>
                <w:sz w:val="24"/>
              </w:rPr>
            </w:pPr>
            <w:r>
              <w:rPr>
                <w:spacing w:val="-5"/>
                <w:sz w:val="24"/>
              </w:rPr>
              <w:t>B94</w:t>
            </w:r>
          </w:p>
        </w:tc>
        <w:tc>
          <w:tcPr>
            <w:tcW w:w="3173" w:type="dxa"/>
          </w:tcPr>
          <w:p>
            <w:pPr>
              <w:pStyle w:val="TableParagraph"/>
              <w:spacing w:before="13"/>
              <w:ind w:left="9"/>
              <w:rPr>
                <w:sz w:val="24"/>
              </w:rPr>
            </w:pPr>
            <w:r>
              <w:rPr>
                <w:sz w:val="24"/>
              </w:rPr>
              <w:t>Fence</w:t>
            </w:r>
            <w:r>
              <w:rPr>
                <w:spacing w:val="-3"/>
                <w:sz w:val="24"/>
              </w:rPr>
              <w:t> </w:t>
            </w:r>
            <w:r>
              <w:rPr>
                <w:spacing w:val="-2"/>
                <w:sz w:val="24"/>
              </w:rPr>
              <w:t>mending</w:t>
            </w:r>
          </w:p>
          <w:p>
            <w:pPr>
              <w:pStyle w:val="TableParagraph"/>
              <w:spacing w:before="156"/>
              <w:ind w:left="9"/>
              <w:rPr>
                <w:sz w:val="24"/>
              </w:rPr>
            </w:pPr>
            <w:r>
              <w:rPr>
                <w:sz w:val="24"/>
              </w:rPr>
              <w:t>(Peacemaking</w:t>
            </w:r>
            <w:r>
              <w:rPr>
                <w:spacing w:val="-3"/>
                <w:sz w:val="24"/>
              </w:rPr>
              <w:t> </w:t>
            </w:r>
            <w:r>
              <w:rPr>
                <w:spacing w:val="-2"/>
                <w:sz w:val="24"/>
              </w:rPr>
              <w:t>efforts).</w:t>
            </w:r>
          </w:p>
        </w:tc>
        <w:tc>
          <w:tcPr>
            <w:tcW w:w="739" w:type="dxa"/>
          </w:tcPr>
          <w:p>
            <w:pPr>
              <w:pStyle w:val="TableParagraph"/>
              <w:spacing w:before="169"/>
              <w:rPr>
                <w:b/>
                <w:sz w:val="24"/>
              </w:rPr>
            </w:pPr>
          </w:p>
          <w:p>
            <w:pPr>
              <w:pStyle w:val="TableParagraph"/>
              <w:ind w:left="11" w:right="1"/>
              <w:jc w:val="center"/>
              <w:rPr>
                <w:sz w:val="24"/>
              </w:rPr>
            </w:pPr>
            <w:r>
              <w:rPr>
                <w:spacing w:val="-5"/>
                <w:sz w:val="24"/>
              </w:rPr>
              <w:t>231</w:t>
            </w:r>
          </w:p>
        </w:tc>
        <w:tc>
          <w:tcPr>
            <w:tcW w:w="998" w:type="dxa"/>
          </w:tcPr>
          <w:p>
            <w:pPr>
              <w:pStyle w:val="TableParagraph"/>
              <w:spacing w:before="169"/>
              <w:rPr>
                <w:b/>
                <w:sz w:val="24"/>
              </w:rPr>
            </w:pPr>
          </w:p>
          <w:p>
            <w:pPr>
              <w:pStyle w:val="TableParagraph"/>
              <w:ind w:left="9"/>
              <w:jc w:val="center"/>
              <w:rPr>
                <w:sz w:val="24"/>
              </w:rPr>
            </w:pPr>
            <w:r>
              <w:rPr>
                <w:spacing w:val="-4"/>
                <w:sz w:val="24"/>
              </w:rPr>
              <w:t>2.97</w:t>
            </w:r>
          </w:p>
        </w:tc>
        <w:tc>
          <w:tcPr>
            <w:tcW w:w="897" w:type="dxa"/>
          </w:tcPr>
          <w:p>
            <w:pPr>
              <w:pStyle w:val="TableParagraph"/>
              <w:spacing w:before="169"/>
              <w:rPr>
                <w:b/>
                <w:sz w:val="24"/>
              </w:rPr>
            </w:pPr>
          </w:p>
          <w:p>
            <w:pPr>
              <w:pStyle w:val="TableParagraph"/>
              <w:ind w:left="13" w:right="3"/>
              <w:jc w:val="center"/>
              <w:rPr>
                <w:sz w:val="24"/>
              </w:rPr>
            </w:pPr>
            <w:r>
              <w:rPr>
                <w:spacing w:val="-4"/>
                <w:sz w:val="24"/>
              </w:rPr>
              <w:t>.918</w:t>
            </w:r>
          </w:p>
        </w:tc>
        <w:tc>
          <w:tcPr>
            <w:tcW w:w="2424" w:type="dxa"/>
          </w:tcPr>
          <w:p>
            <w:pPr>
              <w:pStyle w:val="TableParagraph"/>
              <w:spacing w:before="169"/>
              <w:rPr>
                <w:b/>
                <w:sz w:val="24"/>
              </w:rPr>
            </w:pPr>
          </w:p>
          <w:p>
            <w:pPr>
              <w:pStyle w:val="TableParagraph"/>
              <w:ind w:left="15"/>
              <w:jc w:val="center"/>
              <w:rPr>
                <w:sz w:val="24"/>
              </w:rPr>
            </w:pPr>
            <w:r>
              <w:rPr>
                <w:spacing w:val="-10"/>
                <w:sz w:val="24"/>
              </w:rPr>
              <w:t>A</w:t>
            </w:r>
          </w:p>
        </w:tc>
      </w:tr>
      <w:tr>
        <w:trPr>
          <w:trHeight w:val="417" w:hRule="atLeast"/>
        </w:trPr>
        <w:tc>
          <w:tcPr>
            <w:tcW w:w="768" w:type="dxa"/>
          </w:tcPr>
          <w:p>
            <w:pPr>
              <w:pStyle w:val="TableParagraph"/>
              <w:spacing w:line="273" w:lineRule="exact"/>
              <w:ind w:left="9"/>
              <w:jc w:val="center"/>
              <w:rPr>
                <w:sz w:val="24"/>
              </w:rPr>
            </w:pPr>
            <w:r>
              <w:rPr>
                <w:spacing w:val="-5"/>
                <w:sz w:val="24"/>
              </w:rPr>
              <w:t>B95</w:t>
            </w:r>
          </w:p>
        </w:tc>
        <w:tc>
          <w:tcPr>
            <w:tcW w:w="3173" w:type="dxa"/>
          </w:tcPr>
          <w:p>
            <w:pPr>
              <w:pStyle w:val="TableParagraph"/>
              <w:spacing w:line="273" w:lineRule="exact"/>
              <w:ind w:left="9"/>
              <w:rPr>
                <w:sz w:val="24"/>
              </w:rPr>
            </w:pPr>
            <w:r>
              <w:rPr>
                <w:sz w:val="24"/>
              </w:rPr>
              <w:t>Fuelling</w:t>
            </w:r>
            <w:r>
              <w:rPr>
                <w:spacing w:val="-3"/>
                <w:sz w:val="24"/>
              </w:rPr>
              <w:t> </w:t>
            </w:r>
            <w:r>
              <w:rPr>
                <w:spacing w:val="-2"/>
                <w:sz w:val="24"/>
              </w:rPr>
              <w:t>crisis.</w:t>
            </w:r>
          </w:p>
        </w:tc>
        <w:tc>
          <w:tcPr>
            <w:tcW w:w="739" w:type="dxa"/>
          </w:tcPr>
          <w:p>
            <w:pPr>
              <w:pStyle w:val="TableParagraph"/>
              <w:spacing w:line="273" w:lineRule="exact"/>
              <w:ind w:left="11" w:right="1"/>
              <w:jc w:val="center"/>
              <w:rPr>
                <w:sz w:val="24"/>
              </w:rPr>
            </w:pPr>
            <w:r>
              <w:rPr>
                <w:spacing w:val="-5"/>
                <w:sz w:val="24"/>
              </w:rPr>
              <w:t>232</w:t>
            </w:r>
          </w:p>
        </w:tc>
        <w:tc>
          <w:tcPr>
            <w:tcW w:w="998" w:type="dxa"/>
          </w:tcPr>
          <w:p>
            <w:pPr>
              <w:pStyle w:val="TableParagraph"/>
              <w:spacing w:line="273" w:lineRule="exact"/>
              <w:ind w:left="9"/>
              <w:jc w:val="center"/>
              <w:rPr>
                <w:sz w:val="24"/>
              </w:rPr>
            </w:pPr>
            <w:r>
              <w:rPr>
                <w:spacing w:val="-4"/>
                <w:sz w:val="24"/>
              </w:rPr>
              <w:t>2.02</w:t>
            </w:r>
          </w:p>
        </w:tc>
        <w:tc>
          <w:tcPr>
            <w:tcW w:w="897" w:type="dxa"/>
          </w:tcPr>
          <w:p>
            <w:pPr>
              <w:pStyle w:val="TableParagraph"/>
              <w:spacing w:line="273" w:lineRule="exact"/>
              <w:ind w:left="13" w:right="3"/>
              <w:jc w:val="center"/>
              <w:rPr>
                <w:sz w:val="24"/>
              </w:rPr>
            </w:pPr>
            <w:r>
              <w:rPr>
                <w:spacing w:val="-4"/>
                <w:sz w:val="24"/>
              </w:rPr>
              <w:t>.914</w:t>
            </w:r>
          </w:p>
        </w:tc>
        <w:tc>
          <w:tcPr>
            <w:tcW w:w="2424" w:type="dxa"/>
          </w:tcPr>
          <w:p>
            <w:pPr>
              <w:pStyle w:val="TableParagraph"/>
              <w:spacing w:line="273" w:lineRule="exact"/>
              <w:ind w:left="15"/>
              <w:jc w:val="center"/>
              <w:rPr>
                <w:sz w:val="24"/>
              </w:rPr>
            </w:pPr>
            <w:r>
              <w:rPr>
                <w:spacing w:val="-10"/>
                <w:sz w:val="24"/>
              </w:rPr>
              <w:t>D</w:t>
            </w:r>
          </w:p>
        </w:tc>
      </w:tr>
      <w:tr>
        <w:trPr>
          <w:trHeight w:val="422" w:hRule="atLeast"/>
        </w:trPr>
        <w:tc>
          <w:tcPr>
            <w:tcW w:w="768" w:type="dxa"/>
          </w:tcPr>
          <w:p>
            <w:pPr>
              <w:pStyle w:val="TableParagraph"/>
              <w:spacing w:line="276" w:lineRule="exact"/>
              <w:ind w:left="9"/>
              <w:jc w:val="center"/>
              <w:rPr>
                <w:sz w:val="24"/>
              </w:rPr>
            </w:pPr>
            <w:r>
              <w:rPr>
                <w:spacing w:val="-5"/>
                <w:sz w:val="24"/>
              </w:rPr>
              <w:t>B96</w:t>
            </w:r>
          </w:p>
        </w:tc>
        <w:tc>
          <w:tcPr>
            <w:tcW w:w="3173" w:type="dxa"/>
          </w:tcPr>
          <w:p>
            <w:pPr>
              <w:pStyle w:val="TableParagraph"/>
              <w:spacing w:line="276" w:lineRule="exact"/>
              <w:ind w:left="9"/>
              <w:rPr>
                <w:sz w:val="24"/>
              </w:rPr>
            </w:pPr>
            <w:r>
              <w:rPr>
                <w:sz w:val="24"/>
              </w:rPr>
              <w:t>Reducing</w:t>
            </w:r>
            <w:r>
              <w:rPr>
                <w:spacing w:val="-4"/>
                <w:sz w:val="24"/>
              </w:rPr>
              <w:t> </w:t>
            </w:r>
            <w:r>
              <w:rPr>
                <w:spacing w:val="-2"/>
                <w:sz w:val="24"/>
              </w:rPr>
              <w:t>Conflict.</w:t>
            </w:r>
          </w:p>
        </w:tc>
        <w:tc>
          <w:tcPr>
            <w:tcW w:w="739" w:type="dxa"/>
          </w:tcPr>
          <w:p>
            <w:pPr>
              <w:pStyle w:val="TableParagraph"/>
              <w:spacing w:line="276" w:lineRule="exact"/>
              <w:ind w:left="11" w:right="1"/>
              <w:jc w:val="center"/>
              <w:rPr>
                <w:sz w:val="24"/>
              </w:rPr>
            </w:pPr>
            <w:r>
              <w:rPr>
                <w:spacing w:val="-5"/>
                <w:sz w:val="24"/>
              </w:rPr>
              <w:t>231</w:t>
            </w:r>
          </w:p>
        </w:tc>
        <w:tc>
          <w:tcPr>
            <w:tcW w:w="998" w:type="dxa"/>
          </w:tcPr>
          <w:p>
            <w:pPr>
              <w:pStyle w:val="TableParagraph"/>
              <w:spacing w:line="276" w:lineRule="exact"/>
              <w:ind w:left="9"/>
              <w:jc w:val="center"/>
              <w:rPr>
                <w:sz w:val="24"/>
              </w:rPr>
            </w:pPr>
            <w:r>
              <w:rPr>
                <w:spacing w:val="-4"/>
                <w:sz w:val="24"/>
              </w:rPr>
              <w:t>2.84</w:t>
            </w:r>
          </w:p>
        </w:tc>
        <w:tc>
          <w:tcPr>
            <w:tcW w:w="897" w:type="dxa"/>
          </w:tcPr>
          <w:p>
            <w:pPr>
              <w:pStyle w:val="TableParagraph"/>
              <w:spacing w:line="276" w:lineRule="exact"/>
              <w:ind w:left="13" w:right="3"/>
              <w:jc w:val="center"/>
              <w:rPr>
                <w:sz w:val="24"/>
              </w:rPr>
            </w:pPr>
            <w:r>
              <w:rPr>
                <w:spacing w:val="-4"/>
                <w:sz w:val="24"/>
              </w:rPr>
              <w:t>.887</w:t>
            </w:r>
          </w:p>
        </w:tc>
        <w:tc>
          <w:tcPr>
            <w:tcW w:w="2424" w:type="dxa"/>
          </w:tcPr>
          <w:p>
            <w:pPr>
              <w:pStyle w:val="TableParagraph"/>
              <w:spacing w:line="276" w:lineRule="exact"/>
              <w:ind w:left="15"/>
              <w:jc w:val="center"/>
              <w:rPr>
                <w:sz w:val="24"/>
              </w:rPr>
            </w:pPr>
            <w:r>
              <w:rPr>
                <w:spacing w:val="-10"/>
                <w:sz w:val="24"/>
              </w:rPr>
              <w:t>A</w:t>
            </w:r>
          </w:p>
        </w:tc>
      </w:tr>
      <w:tr>
        <w:trPr>
          <w:trHeight w:val="849" w:hRule="atLeast"/>
        </w:trPr>
        <w:tc>
          <w:tcPr>
            <w:tcW w:w="768" w:type="dxa"/>
          </w:tcPr>
          <w:p>
            <w:pPr>
              <w:pStyle w:val="TableParagraph"/>
              <w:spacing w:before="6"/>
              <w:ind w:left="9"/>
              <w:jc w:val="center"/>
              <w:rPr>
                <w:sz w:val="24"/>
              </w:rPr>
            </w:pPr>
            <w:r>
              <w:rPr>
                <w:spacing w:val="-5"/>
                <w:sz w:val="24"/>
              </w:rPr>
              <w:t>B97</w:t>
            </w:r>
          </w:p>
        </w:tc>
        <w:tc>
          <w:tcPr>
            <w:tcW w:w="3173" w:type="dxa"/>
          </w:tcPr>
          <w:p>
            <w:pPr>
              <w:pStyle w:val="TableParagraph"/>
              <w:spacing w:before="6"/>
              <w:ind w:left="9"/>
              <w:rPr>
                <w:sz w:val="24"/>
              </w:rPr>
            </w:pPr>
            <w:r>
              <w:rPr>
                <w:spacing w:val="-2"/>
                <w:sz w:val="24"/>
              </w:rPr>
              <w:t>Indifference</w:t>
            </w:r>
          </w:p>
          <w:p>
            <w:pPr>
              <w:pStyle w:val="TableParagraph"/>
              <w:spacing w:before="149"/>
              <w:ind w:left="9"/>
              <w:rPr>
                <w:sz w:val="24"/>
              </w:rPr>
            </w:pPr>
            <w:r>
              <w:rPr>
                <w:spacing w:val="-2"/>
                <w:sz w:val="24"/>
              </w:rPr>
              <w:t>(Complacency).</w:t>
            </w:r>
          </w:p>
        </w:tc>
        <w:tc>
          <w:tcPr>
            <w:tcW w:w="739" w:type="dxa"/>
          </w:tcPr>
          <w:p>
            <w:pPr>
              <w:pStyle w:val="TableParagraph"/>
              <w:spacing w:before="154"/>
              <w:rPr>
                <w:b/>
                <w:sz w:val="24"/>
              </w:rPr>
            </w:pPr>
          </w:p>
          <w:p>
            <w:pPr>
              <w:pStyle w:val="TableParagraph"/>
              <w:spacing w:before="1"/>
              <w:ind w:left="11" w:right="1"/>
              <w:jc w:val="center"/>
              <w:rPr>
                <w:sz w:val="24"/>
              </w:rPr>
            </w:pPr>
            <w:r>
              <w:rPr>
                <w:spacing w:val="-5"/>
                <w:sz w:val="24"/>
              </w:rPr>
              <w:t>224</w:t>
            </w:r>
          </w:p>
        </w:tc>
        <w:tc>
          <w:tcPr>
            <w:tcW w:w="998" w:type="dxa"/>
          </w:tcPr>
          <w:p>
            <w:pPr>
              <w:pStyle w:val="TableParagraph"/>
              <w:spacing w:before="154"/>
              <w:rPr>
                <w:b/>
                <w:sz w:val="24"/>
              </w:rPr>
            </w:pPr>
          </w:p>
          <w:p>
            <w:pPr>
              <w:pStyle w:val="TableParagraph"/>
              <w:spacing w:before="1"/>
              <w:ind w:left="9"/>
              <w:jc w:val="center"/>
              <w:rPr>
                <w:sz w:val="24"/>
              </w:rPr>
            </w:pPr>
            <w:r>
              <w:rPr>
                <w:spacing w:val="-4"/>
                <w:sz w:val="24"/>
              </w:rPr>
              <w:t>2.13</w:t>
            </w:r>
          </w:p>
        </w:tc>
        <w:tc>
          <w:tcPr>
            <w:tcW w:w="897" w:type="dxa"/>
          </w:tcPr>
          <w:p>
            <w:pPr>
              <w:pStyle w:val="TableParagraph"/>
              <w:spacing w:before="154"/>
              <w:rPr>
                <w:b/>
                <w:sz w:val="24"/>
              </w:rPr>
            </w:pPr>
          </w:p>
          <w:p>
            <w:pPr>
              <w:pStyle w:val="TableParagraph"/>
              <w:spacing w:before="1"/>
              <w:ind w:left="13" w:right="3"/>
              <w:jc w:val="center"/>
              <w:rPr>
                <w:sz w:val="24"/>
              </w:rPr>
            </w:pPr>
            <w:r>
              <w:rPr>
                <w:spacing w:val="-4"/>
                <w:sz w:val="24"/>
              </w:rPr>
              <w:t>.824</w:t>
            </w:r>
          </w:p>
        </w:tc>
        <w:tc>
          <w:tcPr>
            <w:tcW w:w="2424" w:type="dxa"/>
          </w:tcPr>
          <w:p>
            <w:pPr>
              <w:pStyle w:val="TableParagraph"/>
              <w:spacing w:before="154"/>
              <w:rPr>
                <w:b/>
                <w:sz w:val="24"/>
              </w:rPr>
            </w:pPr>
          </w:p>
          <w:p>
            <w:pPr>
              <w:pStyle w:val="TableParagraph"/>
              <w:spacing w:before="1"/>
              <w:ind w:left="15"/>
              <w:jc w:val="center"/>
              <w:rPr>
                <w:sz w:val="24"/>
              </w:rPr>
            </w:pPr>
            <w:r>
              <w:rPr>
                <w:spacing w:val="-10"/>
                <w:sz w:val="24"/>
              </w:rPr>
              <w:t>D</w:t>
            </w:r>
          </w:p>
        </w:tc>
      </w:tr>
    </w:tbl>
    <w:p>
      <w:pPr>
        <w:spacing w:after="0"/>
        <w:jc w:val="center"/>
        <w:rPr>
          <w:sz w:val="24"/>
        </w:rPr>
        <w:sectPr>
          <w:pgSz w:w="11910" w:h="16840"/>
          <w:pgMar w:header="0" w:footer="1561" w:top="1360" w:bottom="1760" w:left="720" w:right="180"/>
        </w:sectPr>
      </w:pPr>
    </w:p>
    <w:p>
      <w:pPr>
        <w:pStyle w:val="BodyText"/>
        <w:spacing w:line="360" w:lineRule="auto" w:before="60"/>
        <w:ind w:right="1259" w:firstLine="585"/>
        <w:jc w:val="both"/>
      </w:pPr>
      <w:r>
        <w:rPr/>
        <mc:AlternateContent>
          <mc:Choice Requires="wps">
            <w:drawing>
              <wp:anchor distT="0" distB="0" distL="0" distR="0" allowOverlap="1" layoutInCell="1" locked="0" behindDoc="1" simplePos="0" relativeHeight="480682496">
                <wp:simplePos x="0" y="0"/>
                <wp:positionH relativeFrom="page">
                  <wp:posOffset>-1537026</wp:posOffset>
                </wp:positionH>
                <wp:positionV relativeFrom="page">
                  <wp:posOffset>4900424</wp:posOffset>
                </wp:positionV>
                <wp:extent cx="10669905" cy="914400"/>
                <wp:effectExtent l="0" t="0" r="0" b="0"/>
                <wp:wrapNone/>
                <wp:docPr id="324" name="Textbox 324"/>
                <wp:cNvGraphicFramePr>
                  <a:graphicFrameLocks/>
                </wp:cNvGraphicFramePr>
                <a:graphic>
                  <a:graphicData uri="http://schemas.microsoft.com/office/word/2010/wordprocessingShape">
                    <wps:wsp>
                      <wps:cNvPr id="324" name="Textbox 324"/>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33984;rotation:306" type="#_x0000_t136" fillcolor="#ff5400" stroked="f">
                <o:extrusion v:ext="view" autorotationcenter="t"/>
                <v:textpath style="font-family:&quot;Arial MT&quot;;font-size:72pt;v-text-kern:t;mso-text-shadow:auto" string="UNIVERSITY OF IBADAN"/>
                <w10:wrap type="none"/>
              </v:shape>
            </w:pict>
          </mc:Fallback>
        </mc:AlternateContent>
      </w:r>
      <w:r>
        <w:rPr/>
        <w:t>From the views expressed by the respondents, there is a general agreement that the CSOs embark on peacemaking efforts towards the resolution of the seemingly intractable conflict of the Niger Delta region. Likewise, from the statistics presented on Table 29, there is a general disagreement that the CSOs fuel the conflict in the Niger Delta. Furthermore, on whether the CSOs are helpful in reducing the conflicts</w:t>
      </w:r>
      <w:r>
        <w:rPr>
          <w:spacing w:val="40"/>
        </w:rPr>
        <w:t> </w:t>
      </w:r>
      <w:r>
        <w:rPr/>
        <w:t>in the Niger Delta, the respondents are in the affirmative and also disagree that CSOs show complacency towards conflict resolution in the Niger Delta.</w:t>
      </w:r>
    </w:p>
    <w:p>
      <w:pPr>
        <w:pStyle w:val="BodyText"/>
        <w:spacing w:line="360" w:lineRule="auto"/>
        <w:ind w:right="1256" w:firstLine="585"/>
        <w:jc w:val="both"/>
      </w:pPr>
      <w:r>
        <w:rPr/>
        <w:t>The study identifies gaps for non-inclusion of some stakeholders in the JTF military approach to conflict management in the Niger Delta. The JTF ought to have included the NGOs, CSOs, media, militants (ex-militants), NDDC, Ministry of Niger Delta Affairs, oil/gas companies, State/L.G.As and other security agencies (EFCC), Customs, Immigration, NSCDC) and communities for better performance and acceptability. This of course, meant giving the JTF a “human face”.</w:t>
      </w:r>
    </w:p>
    <w:p>
      <w:pPr>
        <w:pStyle w:val="BodyText"/>
        <w:spacing w:line="360" w:lineRule="auto" w:before="1"/>
        <w:ind w:right="1257" w:firstLine="720"/>
        <w:jc w:val="both"/>
      </w:pPr>
      <w:r>
        <w:rPr/>
        <w:t>Civil Society Organizations have a lot to do towards complementing government in conflict resolution/management.</w:t>
      </w:r>
      <w:r>
        <w:rPr>
          <w:spacing w:val="40"/>
        </w:rPr>
        <w:t> </w:t>
      </w:r>
      <w:r>
        <w:rPr/>
        <w:t>The responsibility of monitoring</w:t>
      </w:r>
      <w:r>
        <w:rPr>
          <w:spacing w:val="40"/>
        </w:rPr>
        <w:t> </w:t>
      </w:r>
      <w:r>
        <w:rPr/>
        <w:t>early signs generally rests with governments and the CSOs.</w:t>
      </w:r>
      <w:r>
        <w:rPr>
          <w:spacing w:val="40"/>
        </w:rPr>
        <w:t> </w:t>
      </w:r>
      <w:r>
        <w:rPr/>
        <w:t>However, from extant literature, it was noted that CSOs response to early warning signs is weak (and not effective) and often not well coordinated.</w:t>
      </w:r>
    </w:p>
    <w:p>
      <w:pPr>
        <w:pStyle w:val="BodyText"/>
        <w:spacing w:before="143"/>
        <w:ind w:left="0"/>
      </w:pPr>
    </w:p>
    <w:p>
      <w:pPr>
        <w:pStyle w:val="Heading2"/>
        <w:numPr>
          <w:ilvl w:val="3"/>
          <w:numId w:val="28"/>
        </w:numPr>
        <w:tabs>
          <w:tab w:pos="2880" w:val="left" w:leader="none"/>
        </w:tabs>
        <w:spacing w:line="360" w:lineRule="auto" w:before="0" w:after="0"/>
        <w:ind w:left="1440" w:right="1262" w:firstLine="0"/>
        <w:jc w:val="left"/>
      </w:pPr>
      <w:r>
        <w:rPr/>
        <w:t>RQ22d:</w:t>
      </w:r>
      <w:r>
        <w:rPr>
          <w:spacing w:val="40"/>
        </w:rPr>
        <w:t> </w:t>
      </w:r>
      <w:r>
        <w:rPr/>
        <w:t>Perception</w:t>
      </w:r>
      <w:r>
        <w:rPr>
          <w:spacing w:val="40"/>
        </w:rPr>
        <w:t> </w:t>
      </w:r>
      <w:r>
        <w:rPr/>
        <w:t>on</w:t>
      </w:r>
      <w:r>
        <w:rPr>
          <w:spacing w:val="40"/>
        </w:rPr>
        <w:t> </w:t>
      </w:r>
      <w:r>
        <w:rPr/>
        <w:t>the</w:t>
      </w:r>
      <w:r>
        <w:rPr>
          <w:spacing w:val="40"/>
        </w:rPr>
        <w:t> </w:t>
      </w:r>
      <w:r>
        <w:rPr/>
        <w:t>Roles</w:t>
      </w:r>
      <w:r>
        <w:rPr>
          <w:spacing w:val="40"/>
        </w:rPr>
        <w:t> </w:t>
      </w:r>
      <w:r>
        <w:rPr/>
        <w:t>of</w:t>
      </w:r>
      <w:r>
        <w:rPr>
          <w:spacing w:val="40"/>
        </w:rPr>
        <w:t> </w:t>
      </w:r>
      <w:r>
        <w:rPr/>
        <w:t>Oil</w:t>
      </w:r>
      <w:r>
        <w:rPr>
          <w:spacing w:val="40"/>
        </w:rPr>
        <w:t> </w:t>
      </w:r>
      <w:r>
        <w:rPr/>
        <w:t>Gas</w:t>
      </w:r>
      <w:r>
        <w:rPr>
          <w:spacing w:val="40"/>
        </w:rPr>
        <w:t> </w:t>
      </w:r>
      <w:r>
        <w:rPr/>
        <w:t>Companies</w:t>
      </w:r>
      <w:r>
        <w:rPr>
          <w:spacing w:val="40"/>
        </w:rPr>
        <w:t> </w:t>
      </w:r>
      <w:r>
        <w:rPr/>
        <w:t>in</w:t>
      </w:r>
      <w:r>
        <w:rPr>
          <w:spacing w:val="40"/>
        </w:rPr>
        <w:t> </w:t>
      </w:r>
      <w:r>
        <w:rPr/>
        <w:t>the Resolution of the Niger Delta Conflict.</w:t>
      </w:r>
    </w:p>
    <w:p>
      <w:pPr>
        <w:pStyle w:val="BodyText"/>
        <w:spacing w:line="360" w:lineRule="auto"/>
        <w:ind w:right="1260" w:firstLine="652"/>
      </w:pPr>
      <w:r>
        <w:rPr/>
        <w:t>The</w:t>
      </w:r>
      <w:r>
        <w:rPr>
          <w:spacing w:val="40"/>
        </w:rPr>
        <w:t> </w:t>
      </w:r>
      <w:r>
        <w:rPr/>
        <w:t>perception</w:t>
      </w:r>
      <w:r>
        <w:rPr>
          <w:spacing w:val="40"/>
        </w:rPr>
        <w:t> </w:t>
      </w:r>
      <w:r>
        <w:rPr/>
        <w:t>on</w:t>
      </w:r>
      <w:r>
        <w:rPr>
          <w:spacing w:val="40"/>
        </w:rPr>
        <w:t> </w:t>
      </w:r>
      <w:r>
        <w:rPr/>
        <w:t>the</w:t>
      </w:r>
      <w:r>
        <w:rPr>
          <w:spacing w:val="40"/>
        </w:rPr>
        <w:t> </w:t>
      </w:r>
      <w:r>
        <w:rPr/>
        <w:t>roles</w:t>
      </w:r>
      <w:r>
        <w:rPr>
          <w:spacing w:val="40"/>
        </w:rPr>
        <w:t> </w:t>
      </w:r>
      <w:r>
        <w:rPr/>
        <w:t>of</w:t>
      </w:r>
      <w:r>
        <w:rPr>
          <w:spacing w:val="40"/>
        </w:rPr>
        <w:t> </w:t>
      </w:r>
      <w:r>
        <w:rPr/>
        <w:t>Oil</w:t>
      </w:r>
      <w:r>
        <w:rPr>
          <w:spacing w:val="40"/>
        </w:rPr>
        <w:t> </w:t>
      </w:r>
      <w:r>
        <w:rPr/>
        <w:t>Gas</w:t>
      </w:r>
      <w:r>
        <w:rPr>
          <w:spacing w:val="40"/>
        </w:rPr>
        <w:t> </w:t>
      </w:r>
      <w:r>
        <w:rPr/>
        <w:t>Companies</w:t>
      </w:r>
      <w:r>
        <w:rPr>
          <w:spacing w:val="40"/>
        </w:rPr>
        <w:t> </w:t>
      </w:r>
      <w:r>
        <w:rPr/>
        <w:t>in</w:t>
      </w:r>
      <w:r>
        <w:rPr>
          <w:spacing w:val="40"/>
        </w:rPr>
        <w:t> </w:t>
      </w:r>
      <w:r>
        <w:rPr/>
        <w:t>the</w:t>
      </w:r>
      <w:r>
        <w:rPr>
          <w:spacing w:val="40"/>
        </w:rPr>
        <w:t> </w:t>
      </w:r>
      <w:r>
        <w:rPr/>
        <w:t>resolution</w:t>
      </w:r>
      <w:r>
        <w:rPr>
          <w:spacing w:val="40"/>
        </w:rPr>
        <w:t> </w:t>
      </w:r>
      <w:r>
        <w:rPr/>
        <w:t>of</w:t>
      </w:r>
      <w:r>
        <w:rPr>
          <w:spacing w:val="40"/>
        </w:rPr>
        <w:t> </w:t>
      </w:r>
      <w:r>
        <w:rPr/>
        <w:t>the Niger Delta conflict is presented in Table 30.</w:t>
      </w:r>
    </w:p>
    <w:p>
      <w:pPr>
        <w:pStyle w:val="Heading2"/>
        <w:spacing w:line="360" w:lineRule="auto"/>
        <w:ind w:right="1260" w:hanging="68"/>
      </w:pPr>
      <w:r>
        <w:rPr/>
        <w:t>Table 30: Perception on the Roles of Oil Gas Companies in the Resolution of the Niger Delta Conflict</w:t>
      </w: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1"/>
        <w:gridCol w:w="2880"/>
        <w:gridCol w:w="900"/>
        <w:gridCol w:w="1080"/>
        <w:gridCol w:w="989"/>
        <w:gridCol w:w="2521"/>
      </w:tblGrid>
      <w:tr>
        <w:trPr>
          <w:trHeight w:val="417" w:hRule="atLeast"/>
        </w:trPr>
        <w:tc>
          <w:tcPr>
            <w:tcW w:w="811" w:type="dxa"/>
          </w:tcPr>
          <w:p>
            <w:pPr>
              <w:pStyle w:val="TableParagraph"/>
              <w:rPr>
                <w:sz w:val="24"/>
              </w:rPr>
            </w:pPr>
          </w:p>
        </w:tc>
        <w:tc>
          <w:tcPr>
            <w:tcW w:w="2880" w:type="dxa"/>
          </w:tcPr>
          <w:p>
            <w:pPr>
              <w:pStyle w:val="TableParagraph"/>
              <w:rPr>
                <w:sz w:val="24"/>
              </w:rPr>
            </w:pPr>
          </w:p>
        </w:tc>
        <w:tc>
          <w:tcPr>
            <w:tcW w:w="900" w:type="dxa"/>
          </w:tcPr>
          <w:p>
            <w:pPr>
              <w:pStyle w:val="TableParagraph"/>
              <w:spacing w:line="273" w:lineRule="exact"/>
              <w:ind w:left="11" w:right="2"/>
              <w:jc w:val="center"/>
              <w:rPr>
                <w:sz w:val="24"/>
              </w:rPr>
            </w:pPr>
            <w:r>
              <w:rPr>
                <w:spacing w:val="-10"/>
                <w:sz w:val="24"/>
              </w:rPr>
              <w:t>N</w:t>
            </w:r>
          </w:p>
        </w:tc>
        <w:tc>
          <w:tcPr>
            <w:tcW w:w="1080" w:type="dxa"/>
          </w:tcPr>
          <w:p>
            <w:pPr>
              <w:pStyle w:val="TableParagraph"/>
              <w:spacing w:before="1"/>
              <w:ind w:left="11"/>
              <w:jc w:val="center"/>
              <w:rPr>
                <w:b/>
                <w:sz w:val="24"/>
              </w:rPr>
            </w:pPr>
            <w:r>
              <w:rPr>
                <w:b/>
                <w:spacing w:val="-4"/>
                <w:sz w:val="24"/>
              </w:rPr>
              <w:t>Mean</w:t>
            </w:r>
          </w:p>
        </w:tc>
        <w:tc>
          <w:tcPr>
            <w:tcW w:w="989" w:type="dxa"/>
          </w:tcPr>
          <w:p>
            <w:pPr>
              <w:pStyle w:val="TableParagraph"/>
              <w:spacing w:before="1"/>
              <w:ind w:left="12"/>
              <w:jc w:val="center"/>
              <w:rPr>
                <w:b/>
                <w:sz w:val="24"/>
              </w:rPr>
            </w:pPr>
            <w:r>
              <w:rPr>
                <w:b/>
                <w:spacing w:val="-5"/>
                <w:sz w:val="24"/>
              </w:rPr>
              <w:t>SD</w:t>
            </w:r>
          </w:p>
        </w:tc>
        <w:tc>
          <w:tcPr>
            <w:tcW w:w="2521" w:type="dxa"/>
          </w:tcPr>
          <w:p>
            <w:pPr>
              <w:pStyle w:val="TableParagraph"/>
              <w:spacing w:before="1"/>
              <w:ind w:left="21" w:right="10"/>
              <w:jc w:val="center"/>
              <w:rPr>
                <w:b/>
                <w:sz w:val="24"/>
              </w:rPr>
            </w:pPr>
            <w:r>
              <w:rPr>
                <w:b/>
                <w:sz w:val="24"/>
              </w:rPr>
              <w:t>Level</w:t>
            </w:r>
            <w:r>
              <w:rPr>
                <w:b/>
                <w:spacing w:val="-3"/>
                <w:sz w:val="24"/>
              </w:rPr>
              <w:t> </w:t>
            </w:r>
            <w:r>
              <w:rPr>
                <w:b/>
                <w:sz w:val="24"/>
              </w:rPr>
              <w:t>of </w:t>
            </w:r>
            <w:r>
              <w:rPr>
                <w:b/>
                <w:spacing w:val="-2"/>
                <w:sz w:val="24"/>
              </w:rPr>
              <w:t>Agreement</w:t>
            </w:r>
          </w:p>
        </w:tc>
      </w:tr>
      <w:tr>
        <w:trPr>
          <w:trHeight w:val="835" w:hRule="atLeast"/>
        </w:trPr>
        <w:tc>
          <w:tcPr>
            <w:tcW w:w="811" w:type="dxa"/>
          </w:tcPr>
          <w:p>
            <w:pPr>
              <w:pStyle w:val="TableParagraph"/>
              <w:spacing w:before="3"/>
              <w:ind w:left="9"/>
              <w:rPr>
                <w:sz w:val="24"/>
              </w:rPr>
            </w:pPr>
            <w:r>
              <w:rPr>
                <w:spacing w:val="-5"/>
                <w:sz w:val="24"/>
              </w:rPr>
              <w:t>B98</w:t>
            </w:r>
          </w:p>
        </w:tc>
        <w:tc>
          <w:tcPr>
            <w:tcW w:w="2880" w:type="dxa"/>
          </w:tcPr>
          <w:p>
            <w:pPr>
              <w:pStyle w:val="TableParagraph"/>
              <w:spacing w:before="3"/>
              <w:ind w:left="9"/>
              <w:rPr>
                <w:sz w:val="24"/>
              </w:rPr>
            </w:pPr>
            <w:r>
              <w:rPr>
                <w:sz w:val="24"/>
              </w:rPr>
              <w:t>Fence</w:t>
            </w:r>
            <w:r>
              <w:rPr>
                <w:spacing w:val="-3"/>
                <w:sz w:val="24"/>
              </w:rPr>
              <w:t> </w:t>
            </w:r>
            <w:r>
              <w:rPr>
                <w:spacing w:val="-2"/>
                <w:sz w:val="24"/>
              </w:rPr>
              <w:t>mending</w:t>
            </w:r>
          </w:p>
          <w:p>
            <w:pPr>
              <w:pStyle w:val="TableParagraph"/>
              <w:spacing w:before="147"/>
              <w:ind w:left="9"/>
              <w:rPr>
                <w:sz w:val="24"/>
              </w:rPr>
            </w:pPr>
            <w:r>
              <w:rPr>
                <w:sz w:val="24"/>
              </w:rPr>
              <w:t>(Peacemaking</w:t>
            </w:r>
            <w:r>
              <w:rPr>
                <w:spacing w:val="-3"/>
                <w:sz w:val="24"/>
              </w:rPr>
              <w:t> </w:t>
            </w:r>
            <w:r>
              <w:rPr>
                <w:spacing w:val="-2"/>
                <w:sz w:val="24"/>
              </w:rPr>
              <w:t>efforts).</w:t>
            </w:r>
          </w:p>
        </w:tc>
        <w:tc>
          <w:tcPr>
            <w:tcW w:w="900" w:type="dxa"/>
          </w:tcPr>
          <w:p>
            <w:pPr>
              <w:pStyle w:val="TableParagraph"/>
              <w:spacing w:before="150"/>
              <w:rPr>
                <w:b/>
                <w:sz w:val="24"/>
              </w:rPr>
            </w:pPr>
          </w:p>
          <w:p>
            <w:pPr>
              <w:pStyle w:val="TableParagraph"/>
              <w:ind w:left="11" w:right="3"/>
              <w:jc w:val="center"/>
              <w:rPr>
                <w:sz w:val="24"/>
              </w:rPr>
            </w:pPr>
            <w:r>
              <w:rPr>
                <w:spacing w:val="-5"/>
                <w:sz w:val="24"/>
              </w:rPr>
              <w:t>233</w:t>
            </w:r>
          </w:p>
        </w:tc>
        <w:tc>
          <w:tcPr>
            <w:tcW w:w="1080" w:type="dxa"/>
          </w:tcPr>
          <w:p>
            <w:pPr>
              <w:pStyle w:val="TableParagraph"/>
              <w:spacing w:before="150"/>
              <w:rPr>
                <w:b/>
                <w:sz w:val="24"/>
              </w:rPr>
            </w:pPr>
          </w:p>
          <w:p>
            <w:pPr>
              <w:pStyle w:val="TableParagraph"/>
              <w:ind w:left="11" w:right="2"/>
              <w:jc w:val="center"/>
              <w:rPr>
                <w:sz w:val="24"/>
              </w:rPr>
            </w:pPr>
            <w:r>
              <w:rPr>
                <w:spacing w:val="-4"/>
                <w:sz w:val="24"/>
              </w:rPr>
              <w:t>2.77</w:t>
            </w:r>
          </w:p>
        </w:tc>
        <w:tc>
          <w:tcPr>
            <w:tcW w:w="989" w:type="dxa"/>
          </w:tcPr>
          <w:p>
            <w:pPr>
              <w:pStyle w:val="TableParagraph"/>
              <w:spacing w:before="150"/>
              <w:rPr>
                <w:b/>
                <w:sz w:val="24"/>
              </w:rPr>
            </w:pPr>
          </w:p>
          <w:p>
            <w:pPr>
              <w:pStyle w:val="TableParagraph"/>
              <w:ind w:left="12" w:right="3"/>
              <w:jc w:val="center"/>
              <w:rPr>
                <w:sz w:val="24"/>
              </w:rPr>
            </w:pPr>
            <w:r>
              <w:rPr>
                <w:spacing w:val="-2"/>
                <w:sz w:val="24"/>
              </w:rPr>
              <w:t>1.032</w:t>
            </w:r>
          </w:p>
        </w:tc>
        <w:tc>
          <w:tcPr>
            <w:tcW w:w="2521" w:type="dxa"/>
          </w:tcPr>
          <w:p>
            <w:pPr>
              <w:pStyle w:val="TableParagraph"/>
              <w:spacing w:before="150"/>
              <w:rPr>
                <w:b/>
                <w:sz w:val="24"/>
              </w:rPr>
            </w:pPr>
          </w:p>
          <w:p>
            <w:pPr>
              <w:pStyle w:val="TableParagraph"/>
              <w:ind w:left="21" w:right="9"/>
              <w:jc w:val="center"/>
              <w:rPr>
                <w:sz w:val="24"/>
              </w:rPr>
            </w:pPr>
            <w:r>
              <w:rPr>
                <w:spacing w:val="-10"/>
                <w:sz w:val="24"/>
              </w:rPr>
              <w:t>A</w:t>
            </w:r>
          </w:p>
        </w:tc>
      </w:tr>
      <w:tr>
        <w:trPr>
          <w:trHeight w:val="417" w:hRule="atLeast"/>
        </w:trPr>
        <w:tc>
          <w:tcPr>
            <w:tcW w:w="811" w:type="dxa"/>
          </w:tcPr>
          <w:p>
            <w:pPr>
              <w:pStyle w:val="TableParagraph"/>
              <w:spacing w:line="273" w:lineRule="exact"/>
              <w:ind w:left="9"/>
              <w:rPr>
                <w:sz w:val="24"/>
              </w:rPr>
            </w:pPr>
            <w:r>
              <w:rPr>
                <w:spacing w:val="-5"/>
                <w:sz w:val="24"/>
              </w:rPr>
              <w:t>B99</w:t>
            </w:r>
          </w:p>
        </w:tc>
        <w:tc>
          <w:tcPr>
            <w:tcW w:w="2880" w:type="dxa"/>
          </w:tcPr>
          <w:p>
            <w:pPr>
              <w:pStyle w:val="TableParagraph"/>
              <w:spacing w:line="273" w:lineRule="exact"/>
              <w:ind w:left="9"/>
              <w:rPr>
                <w:sz w:val="24"/>
              </w:rPr>
            </w:pPr>
            <w:r>
              <w:rPr>
                <w:sz w:val="24"/>
              </w:rPr>
              <w:t>Fuelling</w:t>
            </w:r>
            <w:r>
              <w:rPr>
                <w:spacing w:val="-3"/>
                <w:sz w:val="24"/>
              </w:rPr>
              <w:t> </w:t>
            </w:r>
            <w:r>
              <w:rPr>
                <w:spacing w:val="-2"/>
                <w:sz w:val="24"/>
              </w:rPr>
              <w:t>crisis.</w:t>
            </w:r>
          </w:p>
        </w:tc>
        <w:tc>
          <w:tcPr>
            <w:tcW w:w="900" w:type="dxa"/>
          </w:tcPr>
          <w:p>
            <w:pPr>
              <w:pStyle w:val="TableParagraph"/>
              <w:spacing w:line="273" w:lineRule="exact"/>
              <w:ind w:left="11" w:right="3"/>
              <w:jc w:val="center"/>
              <w:rPr>
                <w:sz w:val="24"/>
              </w:rPr>
            </w:pPr>
            <w:r>
              <w:rPr>
                <w:spacing w:val="-5"/>
                <w:sz w:val="24"/>
              </w:rPr>
              <w:t>232</w:t>
            </w:r>
          </w:p>
        </w:tc>
        <w:tc>
          <w:tcPr>
            <w:tcW w:w="1080" w:type="dxa"/>
          </w:tcPr>
          <w:p>
            <w:pPr>
              <w:pStyle w:val="TableParagraph"/>
              <w:spacing w:line="273" w:lineRule="exact"/>
              <w:ind w:left="11" w:right="2"/>
              <w:jc w:val="center"/>
              <w:rPr>
                <w:sz w:val="24"/>
              </w:rPr>
            </w:pPr>
            <w:r>
              <w:rPr>
                <w:spacing w:val="-4"/>
                <w:sz w:val="24"/>
              </w:rPr>
              <w:t>2.30</w:t>
            </w:r>
          </w:p>
        </w:tc>
        <w:tc>
          <w:tcPr>
            <w:tcW w:w="989" w:type="dxa"/>
          </w:tcPr>
          <w:p>
            <w:pPr>
              <w:pStyle w:val="TableParagraph"/>
              <w:spacing w:line="273" w:lineRule="exact"/>
              <w:ind w:left="12" w:right="3"/>
              <w:jc w:val="center"/>
              <w:rPr>
                <w:sz w:val="24"/>
              </w:rPr>
            </w:pPr>
            <w:r>
              <w:rPr>
                <w:spacing w:val="-2"/>
                <w:sz w:val="24"/>
              </w:rPr>
              <w:t>1.097</w:t>
            </w:r>
          </w:p>
        </w:tc>
        <w:tc>
          <w:tcPr>
            <w:tcW w:w="2521" w:type="dxa"/>
          </w:tcPr>
          <w:p>
            <w:pPr>
              <w:pStyle w:val="TableParagraph"/>
              <w:spacing w:line="273" w:lineRule="exact"/>
              <w:ind w:left="21" w:right="9"/>
              <w:jc w:val="center"/>
              <w:rPr>
                <w:sz w:val="24"/>
              </w:rPr>
            </w:pPr>
            <w:r>
              <w:rPr>
                <w:spacing w:val="-10"/>
                <w:sz w:val="24"/>
              </w:rPr>
              <w:t>D</w:t>
            </w:r>
          </w:p>
        </w:tc>
      </w:tr>
      <w:tr>
        <w:trPr>
          <w:trHeight w:val="417" w:hRule="atLeast"/>
        </w:trPr>
        <w:tc>
          <w:tcPr>
            <w:tcW w:w="811" w:type="dxa"/>
          </w:tcPr>
          <w:p>
            <w:pPr>
              <w:pStyle w:val="TableParagraph"/>
              <w:spacing w:line="270" w:lineRule="exact"/>
              <w:ind w:left="9"/>
              <w:rPr>
                <w:sz w:val="24"/>
              </w:rPr>
            </w:pPr>
            <w:r>
              <w:rPr>
                <w:spacing w:val="-4"/>
                <w:sz w:val="24"/>
              </w:rPr>
              <w:t>B100</w:t>
            </w:r>
          </w:p>
        </w:tc>
        <w:tc>
          <w:tcPr>
            <w:tcW w:w="2880" w:type="dxa"/>
          </w:tcPr>
          <w:p>
            <w:pPr>
              <w:pStyle w:val="TableParagraph"/>
              <w:spacing w:line="270" w:lineRule="exact"/>
              <w:ind w:left="9"/>
              <w:rPr>
                <w:sz w:val="24"/>
              </w:rPr>
            </w:pPr>
            <w:r>
              <w:rPr>
                <w:sz w:val="24"/>
              </w:rPr>
              <w:t>Reducing</w:t>
            </w:r>
            <w:r>
              <w:rPr>
                <w:spacing w:val="-4"/>
                <w:sz w:val="24"/>
              </w:rPr>
              <w:t> </w:t>
            </w:r>
            <w:r>
              <w:rPr>
                <w:spacing w:val="-2"/>
                <w:sz w:val="24"/>
              </w:rPr>
              <w:t>Conflict.</w:t>
            </w:r>
          </w:p>
        </w:tc>
        <w:tc>
          <w:tcPr>
            <w:tcW w:w="900" w:type="dxa"/>
          </w:tcPr>
          <w:p>
            <w:pPr>
              <w:pStyle w:val="TableParagraph"/>
              <w:spacing w:line="270" w:lineRule="exact"/>
              <w:ind w:left="11" w:right="3"/>
              <w:jc w:val="center"/>
              <w:rPr>
                <w:sz w:val="24"/>
              </w:rPr>
            </w:pPr>
            <w:r>
              <w:rPr>
                <w:spacing w:val="-5"/>
                <w:sz w:val="24"/>
              </w:rPr>
              <w:t>231</w:t>
            </w:r>
          </w:p>
        </w:tc>
        <w:tc>
          <w:tcPr>
            <w:tcW w:w="1080" w:type="dxa"/>
          </w:tcPr>
          <w:p>
            <w:pPr>
              <w:pStyle w:val="TableParagraph"/>
              <w:spacing w:line="270" w:lineRule="exact"/>
              <w:ind w:left="11" w:right="2"/>
              <w:jc w:val="center"/>
              <w:rPr>
                <w:sz w:val="24"/>
              </w:rPr>
            </w:pPr>
            <w:r>
              <w:rPr>
                <w:spacing w:val="-4"/>
                <w:sz w:val="24"/>
              </w:rPr>
              <w:t>2.43</w:t>
            </w:r>
          </w:p>
        </w:tc>
        <w:tc>
          <w:tcPr>
            <w:tcW w:w="989" w:type="dxa"/>
          </w:tcPr>
          <w:p>
            <w:pPr>
              <w:pStyle w:val="TableParagraph"/>
              <w:spacing w:line="270" w:lineRule="exact"/>
              <w:ind w:left="12" w:right="3"/>
              <w:jc w:val="center"/>
              <w:rPr>
                <w:sz w:val="24"/>
              </w:rPr>
            </w:pPr>
            <w:r>
              <w:rPr>
                <w:spacing w:val="-4"/>
                <w:sz w:val="24"/>
              </w:rPr>
              <w:t>.886</w:t>
            </w:r>
          </w:p>
        </w:tc>
        <w:tc>
          <w:tcPr>
            <w:tcW w:w="2521" w:type="dxa"/>
          </w:tcPr>
          <w:p>
            <w:pPr>
              <w:pStyle w:val="TableParagraph"/>
              <w:spacing w:line="270" w:lineRule="exact"/>
              <w:ind w:left="21"/>
              <w:jc w:val="center"/>
              <w:rPr>
                <w:sz w:val="24"/>
              </w:rPr>
            </w:pPr>
            <w:r>
              <w:rPr>
                <w:spacing w:val="-10"/>
                <w:sz w:val="24"/>
              </w:rPr>
              <w:t>D</w:t>
            </w:r>
          </w:p>
        </w:tc>
      </w:tr>
      <w:tr>
        <w:trPr>
          <w:trHeight w:val="832" w:hRule="atLeast"/>
        </w:trPr>
        <w:tc>
          <w:tcPr>
            <w:tcW w:w="811" w:type="dxa"/>
          </w:tcPr>
          <w:p>
            <w:pPr>
              <w:pStyle w:val="TableParagraph"/>
              <w:spacing w:line="270" w:lineRule="exact"/>
              <w:ind w:left="9"/>
              <w:rPr>
                <w:sz w:val="24"/>
              </w:rPr>
            </w:pPr>
            <w:r>
              <w:rPr>
                <w:spacing w:val="-4"/>
                <w:sz w:val="24"/>
              </w:rPr>
              <w:t>B101</w:t>
            </w:r>
          </w:p>
        </w:tc>
        <w:tc>
          <w:tcPr>
            <w:tcW w:w="2880" w:type="dxa"/>
          </w:tcPr>
          <w:p>
            <w:pPr>
              <w:pStyle w:val="TableParagraph"/>
              <w:spacing w:line="270" w:lineRule="exact"/>
              <w:ind w:left="9"/>
              <w:rPr>
                <w:sz w:val="24"/>
              </w:rPr>
            </w:pPr>
            <w:r>
              <w:rPr>
                <w:spacing w:val="-2"/>
                <w:sz w:val="24"/>
              </w:rPr>
              <w:t>Indifference</w:t>
            </w:r>
          </w:p>
          <w:p>
            <w:pPr>
              <w:pStyle w:val="TableParagraph"/>
              <w:spacing w:before="137"/>
              <w:ind w:left="9"/>
              <w:rPr>
                <w:sz w:val="24"/>
              </w:rPr>
            </w:pPr>
            <w:r>
              <w:rPr>
                <w:spacing w:val="-2"/>
                <w:sz w:val="24"/>
              </w:rPr>
              <w:t>(Complacency).</w:t>
            </w:r>
          </w:p>
        </w:tc>
        <w:tc>
          <w:tcPr>
            <w:tcW w:w="900" w:type="dxa"/>
          </w:tcPr>
          <w:p>
            <w:pPr>
              <w:pStyle w:val="TableParagraph"/>
              <w:spacing w:before="130"/>
              <w:rPr>
                <w:b/>
                <w:sz w:val="24"/>
              </w:rPr>
            </w:pPr>
          </w:p>
          <w:p>
            <w:pPr>
              <w:pStyle w:val="TableParagraph"/>
              <w:spacing w:before="1"/>
              <w:ind w:left="11" w:right="3"/>
              <w:jc w:val="center"/>
              <w:rPr>
                <w:sz w:val="24"/>
              </w:rPr>
            </w:pPr>
            <w:r>
              <w:rPr>
                <w:spacing w:val="-5"/>
                <w:sz w:val="24"/>
              </w:rPr>
              <w:t>227</w:t>
            </w:r>
          </w:p>
        </w:tc>
        <w:tc>
          <w:tcPr>
            <w:tcW w:w="1080" w:type="dxa"/>
          </w:tcPr>
          <w:p>
            <w:pPr>
              <w:pStyle w:val="TableParagraph"/>
              <w:spacing w:before="130"/>
              <w:rPr>
                <w:b/>
                <w:sz w:val="24"/>
              </w:rPr>
            </w:pPr>
          </w:p>
          <w:p>
            <w:pPr>
              <w:pStyle w:val="TableParagraph"/>
              <w:spacing w:before="1"/>
              <w:ind w:left="11" w:right="2"/>
              <w:jc w:val="center"/>
              <w:rPr>
                <w:sz w:val="24"/>
              </w:rPr>
            </w:pPr>
            <w:r>
              <w:rPr>
                <w:spacing w:val="-4"/>
                <w:sz w:val="24"/>
              </w:rPr>
              <w:t>2.29</w:t>
            </w:r>
          </w:p>
        </w:tc>
        <w:tc>
          <w:tcPr>
            <w:tcW w:w="989" w:type="dxa"/>
          </w:tcPr>
          <w:p>
            <w:pPr>
              <w:pStyle w:val="TableParagraph"/>
              <w:spacing w:before="130"/>
              <w:rPr>
                <w:b/>
                <w:sz w:val="24"/>
              </w:rPr>
            </w:pPr>
          </w:p>
          <w:p>
            <w:pPr>
              <w:pStyle w:val="TableParagraph"/>
              <w:spacing w:before="1"/>
              <w:ind w:left="12" w:right="3"/>
              <w:jc w:val="center"/>
              <w:rPr>
                <w:sz w:val="24"/>
              </w:rPr>
            </w:pPr>
            <w:r>
              <w:rPr>
                <w:spacing w:val="-4"/>
                <w:sz w:val="24"/>
              </w:rPr>
              <w:t>.965</w:t>
            </w:r>
          </w:p>
        </w:tc>
        <w:tc>
          <w:tcPr>
            <w:tcW w:w="2521" w:type="dxa"/>
          </w:tcPr>
          <w:p>
            <w:pPr>
              <w:pStyle w:val="TableParagraph"/>
              <w:spacing w:before="130"/>
              <w:rPr>
                <w:b/>
                <w:sz w:val="24"/>
              </w:rPr>
            </w:pPr>
          </w:p>
          <w:p>
            <w:pPr>
              <w:pStyle w:val="TableParagraph"/>
              <w:spacing w:before="1"/>
              <w:ind w:left="21" w:right="9"/>
              <w:jc w:val="center"/>
              <w:rPr>
                <w:sz w:val="24"/>
              </w:rPr>
            </w:pPr>
            <w:r>
              <w:rPr>
                <w:spacing w:val="-10"/>
                <w:sz w:val="24"/>
              </w:rPr>
              <w:t>D</w:t>
            </w:r>
          </w:p>
        </w:tc>
      </w:tr>
    </w:tbl>
    <w:p>
      <w:pPr>
        <w:spacing w:after="0"/>
        <w:jc w:val="center"/>
        <w:rPr>
          <w:sz w:val="24"/>
        </w:rPr>
        <w:sectPr>
          <w:pgSz w:w="11910" w:h="16840"/>
          <w:pgMar w:header="0" w:footer="1561" w:top="1360" w:bottom="1760" w:left="720" w:right="180"/>
        </w:sectPr>
      </w:pPr>
    </w:p>
    <w:p>
      <w:pPr>
        <w:pStyle w:val="BodyText"/>
        <w:spacing w:line="360" w:lineRule="auto" w:before="60"/>
        <w:ind w:right="1253" w:firstLine="720"/>
        <w:jc w:val="both"/>
      </w:pPr>
      <w:r>
        <w:rPr/>
        <mc:AlternateContent>
          <mc:Choice Requires="wps">
            <w:drawing>
              <wp:anchor distT="0" distB="0" distL="0" distR="0" allowOverlap="1" layoutInCell="1" locked="0" behindDoc="1" simplePos="0" relativeHeight="480683008">
                <wp:simplePos x="0" y="0"/>
                <wp:positionH relativeFrom="page">
                  <wp:posOffset>-1537026</wp:posOffset>
                </wp:positionH>
                <wp:positionV relativeFrom="page">
                  <wp:posOffset>4900424</wp:posOffset>
                </wp:positionV>
                <wp:extent cx="10669905" cy="914400"/>
                <wp:effectExtent l="0" t="0" r="0" b="0"/>
                <wp:wrapNone/>
                <wp:docPr id="325" name="Textbox 325"/>
                <wp:cNvGraphicFramePr>
                  <a:graphicFrameLocks/>
                </wp:cNvGraphicFramePr>
                <a:graphic>
                  <a:graphicData uri="http://schemas.microsoft.com/office/word/2010/wordprocessingShape">
                    <wps:wsp>
                      <wps:cNvPr id="325" name="Textbox 325"/>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33472;rotation:306" type="#_x0000_t136" fillcolor="#ff5400" stroked="f">
                <o:extrusion v:ext="view" autorotationcenter="t"/>
                <v:textpath style="font-family:&quot;Arial MT&quot;;font-size:72pt;v-text-kern:t;mso-text-shadow:auto" string="UNIVERSITY OF IBADAN"/>
                <w10:wrap type="none"/>
              </v:shape>
            </w:pict>
          </mc:Fallback>
        </mc:AlternateContent>
      </w:r>
      <w:r>
        <w:rPr/>
        <w:t>The perception of the roles of oil and gas companies in the resolution of the Niger Delta conflict is presented in Table 30. From the statistics in Table 30, the respondents generally agree that the oil and gas companies play significant roles in fence mending in the resolution of conflict in the region. In the same vein, most respondents disagree with the view that oil and gas companies exploration and exploitation activities reduce conflict. Rather, it contributes to violent conflict in the Niger Delta region.</w:t>
      </w:r>
    </w:p>
    <w:p>
      <w:pPr>
        <w:pStyle w:val="BodyText"/>
        <w:spacing w:line="360" w:lineRule="auto"/>
        <w:ind w:right="1256" w:firstLine="720"/>
        <w:jc w:val="both"/>
      </w:pPr>
      <w:r>
        <w:rPr/>
        <w:t>Most of the respondents also disagree with the view that the oil and gas are indifferent to the issue</w:t>
      </w:r>
      <w:r>
        <w:rPr>
          <w:spacing w:val="-1"/>
        </w:rPr>
        <w:t> </w:t>
      </w:r>
      <w:r>
        <w:rPr/>
        <w:t>of</w:t>
      </w:r>
      <w:r>
        <w:rPr>
          <w:spacing w:val="-2"/>
        </w:rPr>
        <w:t> </w:t>
      </w:r>
      <w:r>
        <w:rPr/>
        <w:t>conflict resolution in</w:t>
      </w:r>
      <w:r>
        <w:rPr>
          <w:spacing w:val="-2"/>
        </w:rPr>
        <w:t> </w:t>
      </w:r>
      <w:r>
        <w:rPr/>
        <w:t>the region. From the literature</w:t>
      </w:r>
      <w:r>
        <w:rPr>
          <w:spacing w:val="-2"/>
        </w:rPr>
        <w:t> </w:t>
      </w:r>
      <w:r>
        <w:rPr/>
        <w:t>and oral evidence from interviews conducted in the field, it was revealed that most oil and gas companies activities are known to generate conflict in the Niger Delta. The particular oil and gas activities that are known to generate conflict in the Niger Delta region include; signing of Memorandum of Understanding (MOUs), acquisition of land for oil exploration and exploitation, payment of compensation to communities, employment of workers/contractors and carrying out community development</w:t>
      </w:r>
      <w:r>
        <w:rPr>
          <w:spacing w:val="40"/>
        </w:rPr>
        <w:t> </w:t>
      </w:r>
      <w:r>
        <w:rPr/>
        <w:t>projects amongst others. Most of the people interviewed feel that the oil and gas companies have not been fair to the Niger Delta communities.</w:t>
      </w:r>
    </w:p>
    <w:p>
      <w:pPr>
        <w:pStyle w:val="BodyText"/>
        <w:spacing w:before="5"/>
        <w:ind w:left="0"/>
      </w:pPr>
    </w:p>
    <w:p>
      <w:pPr>
        <w:pStyle w:val="Heading2"/>
        <w:numPr>
          <w:ilvl w:val="3"/>
          <w:numId w:val="28"/>
        </w:numPr>
        <w:tabs>
          <w:tab w:pos="2601" w:val="left" w:leader="none"/>
        </w:tabs>
        <w:spacing w:line="362" w:lineRule="auto" w:before="1" w:after="0"/>
        <w:ind w:left="1440" w:right="1670" w:firstLine="81"/>
        <w:jc w:val="left"/>
      </w:pPr>
      <w:r>
        <w:rPr/>
        <w:t>RQ22e.</w:t>
      </w:r>
      <w:r>
        <w:rPr>
          <w:spacing w:val="-2"/>
        </w:rPr>
        <w:t> </w:t>
      </w:r>
      <w:r>
        <w:rPr/>
        <w:t>Perception</w:t>
      </w:r>
      <w:r>
        <w:rPr>
          <w:spacing w:val="-4"/>
        </w:rPr>
        <w:t> </w:t>
      </w:r>
      <w:r>
        <w:rPr/>
        <w:t>on</w:t>
      </w:r>
      <w:r>
        <w:rPr>
          <w:spacing w:val="-4"/>
        </w:rPr>
        <w:t> </w:t>
      </w:r>
      <w:r>
        <w:rPr/>
        <w:t>the</w:t>
      </w:r>
      <w:r>
        <w:rPr>
          <w:spacing w:val="-5"/>
        </w:rPr>
        <w:t> </w:t>
      </w:r>
      <w:r>
        <w:rPr/>
        <w:t>Roles</w:t>
      </w:r>
      <w:r>
        <w:rPr>
          <w:spacing w:val="-4"/>
        </w:rPr>
        <w:t> </w:t>
      </w:r>
      <w:r>
        <w:rPr/>
        <w:t>of</w:t>
      </w:r>
      <w:r>
        <w:rPr>
          <w:spacing w:val="-3"/>
        </w:rPr>
        <w:t> </w:t>
      </w:r>
      <w:r>
        <w:rPr/>
        <w:t>Youths</w:t>
      </w:r>
      <w:r>
        <w:rPr>
          <w:spacing w:val="-4"/>
        </w:rPr>
        <w:t> </w:t>
      </w:r>
      <w:r>
        <w:rPr/>
        <w:t>in</w:t>
      </w:r>
      <w:r>
        <w:rPr>
          <w:spacing w:val="-3"/>
        </w:rPr>
        <w:t> </w:t>
      </w:r>
      <w:r>
        <w:rPr/>
        <w:t>the</w:t>
      </w:r>
      <w:r>
        <w:rPr>
          <w:spacing w:val="-5"/>
        </w:rPr>
        <w:t> </w:t>
      </w:r>
      <w:r>
        <w:rPr/>
        <w:t>Resolution</w:t>
      </w:r>
      <w:r>
        <w:rPr>
          <w:spacing w:val="-6"/>
        </w:rPr>
        <w:t> </w:t>
      </w:r>
      <w:r>
        <w:rPr/>
        <w:t>of</w:t>
      </w:r>
      <w:r>
        <w:rPr>
          <w:spacing w:val="-3"/>
        </w:rPr>
        <w:t> </w:t>
      </w:r>
      <w:r>
        <w:rPr/>
        <w:t>the Niger Delta Conflict.</w:t>
      </w:r>
    </w:p>
    <w:p>
      <w:pPr>
        <w:pStyle w:val="BodyText"/>
        <w:spacing w:line="360" w:lineRule="auto"/>
        <w:ind w:right="1260" w:firstLine="710"/>
      </w:pPr>
      <w:r>
        <w:rPr/>
        <w:t>The</w:t>
      </w:r>
      <w:r>
        <w:rPr>
          <w:spacing w:val="-5"/>
        </w:rPr>
        <w:t> </w:t>
      </w:r>
      <w:r>
        <w:rPr/>
        <w:t>perception</w:t>
      </w:r>
      <w:r>
        <w:rPr>
          <w:spacing w:val="-2"/>
        </w:rPr>
        <w:t> </w:t>
      </w:r>
      <w:r>
        <w:rPr/>
        <w:t>on</w:t>
      </w:r>
      <w:r>
        <w:rPr>
          <w:spacing w:val="-3"/>
        </w:rPr>
        <w:t> </w:t>
      </w:r>
      <w:r>
        <w:rPr/>
        <w:t>the</w:t>
      </w:r>
      <w:r>
        <w:rPr>
          <w:spacing w:val="-3"/>
        </w:rPr>
        <w:t> </w:t>
      </w:r>
      <w:r>
        <w:rPr/>
        <w:t>roles</w:t>
      </w:r>
      <w:r>
        <w:rPr>
          <w:spacing w:val="-3"/>
        </w:rPr>
        <w:t> </w:t>
      </w:r>
      <w:r>
        <w:rPr/>
        <w:t>of</w:t>
      </w:r>
      <w:r>
        <w:rPr>
          <w:spacing w:val="-3"/>
        </w:rPr>
        <w:t> </w:t>
      </w:r>
      <w:r>
        <w:rPr/>
        <w:t>Youths</w:t>
      </w:r>
      <w:r>
        <w:rPr>
          <w:spacing w:val="-3"/>
        </w:rPr>
        <w:t> </w:t>
      </w:r>
      <w:r>
        <w:rPr/>
        <w:t>in</w:t>
      </w:r>
      <w:r>
        <w:rPr>
          <w:spacing w:val="-3"/>
        </w:rPr>
        <w:t> </w:t>
      </w:r>
      <w:r>
        <w:rPr/>
        <w:t>the</w:t>
      </w:r>
      <w:r>
        <w:rPr>
          <w:spacing w:val="-4"/>
        </w:rPr>
        <w:t> </w:t>
      </w:r>
      <w:r>
        <w:rPr/>
        <w:t>Resolution</w:t>
      </w:r>
      <w:r>
        <w:rPr>
          <w:spacing w:val="-3"/>
        </w:rPr>
        <w:t> </w:t>
      </w:r>
      <w:r>
        <w:rPr/>
        <w:t>of</w:t>
      </w:r>
      <w:r>
        <w:rPr>
          <w:spacing w:val="-3"/>
        </w:rPr>
        <w:t> </w:t>
      </w:r>
      <w:r>
        <w:rPr/>
        <w:t>the</w:t>
      </w:r>
      <w:r>
        <w:rPr>
          <w:spacing w:val="-4"/>
        </w:rPr>
        <w:t> </w:t>
      </w:r>
      <w:r>
        <w:rPr/>
        <w:t>Niger</w:t>
      </w:r>
      <w:r>
        <w:rPr>
          <w:spacing w:val="-3"/>
        </w:rPr>
        <w:t> </w:t>
      </w:r>
      <w:r>
        <w:rPr/>
        <w:t>Delta Conflict is presented on Table 31.</w:t>
      </w:r>
    </w:p>
    <w:p>
      <w:pPr>
        <w:pStyle w:val="Heading2"/>
        <w:spacing w:line="360" w:lineRule="auto"/>
        <w:ind w:right="1260"/>
      </w:pPr>
      <w:r>
        <w:rPr/>
        <w:t>Table</w:t>
      </w:r>
      <w:r>
        <w:rPr>
          <w:spacing w:val="-3"/>
        </w:rPr>
        <w:t> </w:t>
      </w:r>
      <w:r>
        <w:rPr/>
        <w:t>31:</w:t>
      </w:r>
      <w:r>
        <w:rPr>
          <w:spacing w:val="-5"/>
        </w:rPr>
        <w:t> </w:t>
      </w:r>
      <w:r>
        <w:rPr/>
        <w:t>Perception</w:t>
      </w:r>
      <w:r>
        <w:rPr>
          <w:spacing w:val="-3"/>
        </w:rPr>
        <w:t> </w:t>
      </w:r>
      <w:r>
        <w:rPr/>
        <w:t>on</w:t>
      </w:r>
      <w:r>
        <w:rPr>
          <w:spacing w:val="-3"/>
        </w:rPr>
        <w:t> </w:t>
      </w:r>
      <w:r>
        <w:rPr/>
        <w:t>the</w:t>
      </w:r>
      <w:r>
        <w:rPr>
          <w:spacing w:val="-4"/>
        </w:rPr>
        <w:t> </w:t>
      </w:r>
      <w:r>
        <w:rPr/>
        <w:t>Roles</w:t>
      </w:r>
      <w:r>
        <w:rPr>
          <w:spacing w:val="-3"/>
        </w:rPr>
        <w:t> </w:t>
      </w:r>
      <w:r>
        <w:rPr/>
        <w:t>of</w:t>
      </w:r>
      <w:r>
        <w:rPr>
          <w:spacing w:val="-3"/>
        </w:rPr>
        <w:t> </w:t>
      </w:r>
      <w:r>
        <w:rPr/>
        <w:t>Youths</w:t>
      </w:r>
      <w:r>
        <w:rPr>
          <w:spacing w:val="-3"/>
        </w:rPr>
        <w:t> </w:t>
      </w:r>
      <w:r>
        <w:rPr/>
        <w:t>in</w:t>
      </w:r>
      <w:r>
        <w:rPr>
          <w:spacing w:val="-3"/>
        </w:rPr>
        <w:t> </w:t>
      </w:r>
      <w:r>
        <w:rPr/>
        <w:t>the</w:t>
      </w:r>
      <w:r>
        <w:rPr>
          <w:spacing w:val="-4"/>
        </w:rPr>
        <w:t> </w:t>
      </w:r>
      <w:r>
        <w:rPr/>
        <w:t>Resolution</w:t>
      </w:r>
      <w:r>
        <w:rPr>
          <w:spacing w:val="-3"/>
        </w:rPr>
        <w:t> </w:t>
      </w:r>
      <w:r>
        <w:rPr/>
        <w:t>of</w:t>
      </w:r>
      <w:r>
        <w:rPr>
          <w:spacing w:val="-3"/>
        </w:rPr>
        <w:t> </w:t>
      </w:r>
      <w:r>
        <w:rPr/>
        <w:t>the</w:t>
      </w:r>
      <w:r>
        <w:rPr>
          <w:spacing w:val="-4"/>
        </w:rPr>
        <w:t> </w:t>
      </w:r>
      <w:r>
        <w:rPr/>
        <w:t>Niger</w:t>
      </w:r>
      <w:r>
        <w:rPr>
          <w:spacing w:val="-4"/>
        </w:rPr>
        <w:t> </w:t>
      </w:r>
      <w:r>
        <w:rPr/>
        <w:t>Delta </w:t>
      </w:r>
      <w:r>
        <w:rPr>
          <w:spacing w:val="-2"/>
        </w:rPr>
        <w:t>Conflict.</w:t>
      </w:r>
    </w:p>
    <w:tbl>
      <w:tblPr>
        <w:tblW w:w="0" w:type="auto"/>
        <w:jc w:val="left"/>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70"/>
        <w:gridCol w:w="2363"/>
        <w:gridCol w:w="990"/>
        <w:gridCol w:w="992"/>
        <w:gridCol w:w="1081"/>
        <w:gridCol w:w="2430"/>
      </w:tblGrid>
      <w:tr>
        <w:trPr>
          <w:trHeight w:val="422" w:hRule="atLeast"/>
        </w:trPr>
        <w:tc>
          <w:tcPr>
            <w:tcW w:w="970" w:type="dxa"/>
          </w:tcPr>
          <w:p>
            <w:pPr>
              <w:pStyle w:val="TableParagraph"/>
              <w:rPr>
                <w:sz w:val="24"/>
              </w:rPr>
            </w:pPr>
          </w:p>
        </w:tc>
        <w:tc>
          <w:tcPr>
            <w:tcW w:w="2363" w:type="dxa"/>
          </w:tcPr>
          <w:p>
            <w:pPr>
              <w:pStyle w:val="TableParagraph"/>
              <w:rPr>
                <w:sz w:val="24"/>
              </w:rPr>
            </w:pPr>
          </w:p>
        </w:tc>
        <w:tc>
          <w:tcPr>
            <w:tcW w:w="990" w:type="dxa"/>
          </w:tcPr>
          <w:p>
            <w:pPr>
              <w:pStyle w:val="TableParagraph"/>
              <w:spacing w:line="276" w:lineRule="exact"/>
              <w:ind w:left="16"/>
              <w:jc w:val="center"/>
              <w:rPr>
                <w:b/>
                <w:sz w:val="24"/>
              </w:rPr>
            </w:pPr>
            <w:r>
              <w:rPr>
                <w:b/>
                <w:spacing w:val="-10"/>
                <w:sz w:val="24"/>
              </w:rPr>
              <w:t>N</w:t>
            </w:r>
          </w:p>
        </w:tc>
        <w:tc>
          <w:tcPr>
            <w:tcW w:w="992" w:type="dxa"/>
          </w:tcPr>
          <w:p>
            <w:pPr>
              <w:pStyle w:val="TableParagraph"/>
              <w:spacing w:line="276" w:lineRule="exact"/>
              <w:ind w:left="11"/>
              <w:jc w:val="center"/>
              <w:rPr>
                <w:b/>
                <w:sz w:val="24"/>
              </w:rPr>
            </w:pPr>
            <w:r>
              <w:rPr>
                <w:b/>
                <w:spacing w:val="-4"/>
                <w:sz w:val="24"/>
              </w:rPr>
              <w:t>Mean</w:t>
            </w:r>
          </w:p>
        </w:tc>
        <w:tc>
          <w:tcPr>
            <w:tcW w:w="1081" w:type="dxa"/>
          </w:tcPr>
          <w:p>
            <w:pPr>
              <w:pStyle w:val="TableParagraph"/>
              <w:spacing w:line="276" w:lineRule="exact"/>
              <w:ind w:left="12"/>
              <w:jc w:val="center"/>
              <w:rPr>
                <w:b/>
                <w:sz w:val="24"/>
              </w:rPr>
            </w:pPr>
            <w:r>
              <w:rPr>
                <w:b/>
                <w:spacing w:val="-5"/>
                <w:sz w:val="24"/>
              </w:rPr>
              <w:t>SD</w:t>
            </w:r>
          </w:p>
        </w:tc>
        <w:tc>
          <w:tcPr>
            <w:tcW w:w="2430" w:type="dxa"/>
          </w:tcPr>
          <w:p>
            <w:pPr>
              <w:pStyle w:val="TableParagraph"/>
              <w:spacing w:line="276" w:lineRule="exact"/>
              <w:ind w:left="12" w:right="3"/>
              <w:jc w:val="center"/>
              <w:rPr>
                <w:b/>
                <w:sz w:val="24"/>
              </w:rPr>
            </w:pPr>
            <w:r>
              <w:rPr>
                <w:b/>
                <w:sz w:val="24"/>
              </w:rPr>
              <w:t>Level</w:t>
            </w:r>
            <w:r>
              <w:rPr>
                <w:b/>
                <w:spacing w:val="-3"/>
                <w:sz w:val="24"/>
              </w:rPr>
              <w:t> </w:t>
            </w:r>
            <w:r>
              <w:rPr>
                <w:b/>
                <w:sz w:val="24"/>
              </w:rPr>
              <w:t>of </w:t>
            </w:r>
            <w:r>
              <w:rPr>
                <w:b/>
                <w:spacing w:val="-2"/>
                <w:sz w:val="24"/>
              </w:rPr>
              <w:t>Agreement</w:t>
            </w:r>
          </w:p>
        </w:tc>
      </w:tr>
      <w:tr>
        <w:trPr>
          <w:trHeight w:val="853" w:hRule="atLeast"/>
        </w:trPr>
        <w:tc>
          <w:tcPr>
            <w:tcW w:w="970" w:type="dxa"/>
          </w:tcPr>
          <w:p>
            <w:pPr>
              <w:pStyle w:val="TableParagraph"/>
              <w:spacing w:before="2"/>
              <w:ind w:left="14"/>
              <w:rPr>
                <w:sz w:val="24"/>
              </w:rPr>
            </w:pPr>
            <w:r>
              <w:rPr>
                <w:spacing w:val="-4"/>
                <w:sz w:val="24"/>
              </w:rPr>
              <w:t>B102</w:t>
            </w:r>
          </w:p>
        </w:tc>
        <w:tc>
          <w:tcPr>
            <w:tcW w:w="2363" w:type="dxa"/>
          </w:tcPr>
          <w:p>
            <w:pPr>
              <w:pStyle w:val="TableParagraph"/>
              <w:spacing w:before="2"/>
              <w:ind w:left="13"/>
              <w:rPr>
                <w:sz w:val="24"/>
              </w:rPr>
            </w:pPr>
            <w:r>
              <w:rPr>
                <w:sz w:val="24"/>
              </w:rPr>
              <w:t>Fence</w:t>
            </w:r>
            <w:r>
              <w:rPr>
                <w:spacing w:val="-3"/>
                <w:sz w:val="24"/>
              </w:rPr>
              <w:t> </w:t>
            </w:r>
            <w:r>
              <w:rPr>
                <w:spacing w:val="-2"/>
                <w:sz w:val="24"/>
              </w:rPr>
              <w:t>mending</w:t>
            </w:r>
          </w:p>
          <w:p>
            <w:pPr>
              <w:pStyle w:val="TableParagraph"/>
              <w:spacing w:before="151"/>
              <w:ind w:left="13"/>
              <w:rPr>
                <w:sz w:val="24"/>
              </w:rPr>
            </w:pPr>
            <w:r>
              <w:rPr>
                <w:sz w:val="24"/>
              </w:rPr>
              <w:t>(Peacemaking</w:t>
            </w:r>
            <w:r>
              <w:rPr>
                <w:spacing w:val="-2"/>
                <w:sz w:val="24"/>
              </w:rPr>
              <w:t> efforts).</w:t>
            </w:r>
          </w:p>
        </w:tc>
        <w:tc>
          <w:tcPr>
            <w:tcW w:w="990" w:type="dxa"/>
          </w:tcPr>
          <w:p>
            <w:pPr>
              <w:pStyle w:val="TableParagraph"/>
              <w:spacing w:before="153"/>
              <w:rPr>
                <w:b/>
                <w:sz w:val="24"/>
              </w:rPr>
            </w:pPr>
          </w:p>
          <w:p>
            <w:pPr>
              <w:pStyle w:val="TableParagraph"/>
              <w:ind w:left="16" w:right="1"/>
              <w:jc w:val="center"/>
              <w:rPr>
                <w:sz w:val="24"/>
              </w:rPr>
            </w:pPr>
            <w:r>
              <w:rPr>
                <w:spacing w:val="-5"/>
                <w:sz w:val="24"/>
              </w:rPr>
              <w:t>225</w:t>
            </w:r>
          </w:p>
        </w:tc>
        <w:tc>
          <w:tcPr>
            <w:tcW w:w="992" w:type="dxa"/>
          </w:tcPr>
          <w:p>
            <w:pPr>
              <w:pStyle w:val="TableParagraph"/>
              <w:spacing w:before="153"/>
              <w:rPr>
                <w:b/>
                <w:sz w:val="24"/>
              </w:rPr>
            </w:pPr>
          </w:p>
          <w:p>
            <w:pPr>
              <w:pStyle w:val="TableParagraph"/>
              <w:ind w:left="11" w:right="2"/>
              <w:jc w:val="center"/>
              <w:rPr>
                <w:sz w:val="24"/>
              </w:rPr>
            </w:pPr>
            <w:r>
              <w:rPr>
                <w:spacing w:val="-4"/>
                <w:sz w:val="24"/>
              </w:rPr>
              <w:t>2.45</w:t>
            </w:r>
          </w:p>
        </w:tc>
        <w:tc>
          <w:tcPr>
            <w:tcW w:w="1081" w:type="dxa"/>
          </w:tcPr>
          <w:p>
            <w:pPr>
              <w:pStyle w:val="TableParagraph"/>
              <w:spacing w:before="153"/>
              <w:rPr>
                <w:b/>
                <w:sz w:val="24"/>
              </w:rPr>
            </w:pPr>
          </w:p>
          <w:p>
            <w:pPr>
              <w:pStyle w:val="TableParagraph"/>
              <w:ind w:left="12" w:right="2"/>
              <w:jc w:val="center"/>
              <w:rPr>
                <w:sz w:val="24"/>
              </w:rPr>
            </w:pPr>
            <w:r>
              <w:rPr>
                <w:spacing w:val="-2"/>
                <w:sz w:val="24"/>
              </w:rPr>
              <w:t>1.013</w:t>
            </w:r>
          </w:p>
        </w:tc>
        <w:tc>
          <w:tcPr>
            <w:tcW w:w="2430" w:type="dxa"/>
          </w:tcPr>
          <w:p>
            <w:pPr>
              <w:pStyle w:val="TableParagraph"/>
              <w:spacing w:before="153"/>
              <w:rPr>
                <w:b/>
                <w:sz w:val="24"/>
              </w:rPr>
            </w:pPr>
          </w:p>
          <w:p>
            <w:pPr>
              <w:pStyle w:val="TableParagraph"/>
              <w:ind w:left="12"/>
              <w:jc w:val="center"/>
              <w:rPr>
                <w:sz w:val="24"/>
              </w:rPr>
            </w:pPr>
            <w:r>
              <w:rPr>
                <w:spacing w:val="-10"/>
                <w:sz w:val="24"/>
              </w:rPr>
              <w:t>D</w:t>
            </w:r>
          </w:p>
        </w:tc>
      </w:tr>
      <w:tr>
        <w:trPr>
          <w:trHeight w:val="389" w:hRule="atLeast"/>
        </w:trPr>
        <w:tc>
          <w:tcPr>
            <w:tcW w:w="970" w:type="dxa"/>
          </w:tcPr>
          <w:p>
            <w:pPr>
              <w:pStyle w:val="TableParagraph"/>
              <w:spacing w:line="266" w:lineRule="exact"/>
              <w:ind w:left="14"/>
              <w:rPr>
                <w:sz w:val="24"/>
              </w:rPr>
            </w:pPr>
            <w:r>
              <w:rPr>
                <w:spacing w:val="-4"/>
                <w:sz w:val="24"/>
              </w:rPr>
              <w:t>B103</w:t>
            </w:r>
          </w:p>
        </w:tc>
        <w:tc>
          <w:tcPr>
            <w:tcW w:w="2363" w:type="dxa"/>
          </w:tcPr>
          <w:p>
            <w:pPr>
              <w:pStyle w:val="TableParagraph"/>
              <w:spacing w:line="266" w:lineRule="exact"/>
              <w:ind w:left="13"/>
              <w:rPr>
                <w:sz w:val="24"/>
              </w:rPr>
            </w:pPr>
            <w:r>
              <w:rPr>
                <w:sz w:val="24"/>
              </w:rPr>
              <w:t>Fuelling</w:t>
            </w:r>
            <w:r>
              <w:rPr>
                <w:spacing w:val="-3"/>
                <w:sz w:val="24"/>
              </w:rPr>
              <w:t> </w:t>
            </w:r>
            <w:r>
              <w:rPr>
                <w:spacing w:val="-2"/>
                <w:sz w:val="24"/>
              </w:rPr>
              <w:t>crisis.</w:t>
            </w:r>
          </w:p>
        </w:tc>
        <w:tc>
          <w:tcPr>
            <w:tcW w:w="990" w:type="dxa"/>
          </w:tcPr>
          <w:p>
            <w:pPr>
              <w:pStyle w:val="TableParagraph"/>
              <w:spacing w:line="266" w:lineRule="exact"/>
              <w:ind w:left="16" w:right="1"/>
              <w:jc w:val="center"/>
              <w:rPr>
                <w:sz w:val="24"/>
              </w:rPr>
            </w:pPr>
            <w:r>
              <w:rPr>
                <w:spacing w:val="-5"/>
                <w:sz w:val="24"/>
              </w:rPr>
              <w:t>227</w:t>
            </w:r>
          </w:p>
        </w:tc>
        <w:tc>
          <w:tcPr>
            <w:tcW w:w="992" w:type="dxa"/>
          </w:tcPr>
          <w:p>
            <w:pPr>
              <w:pStyle w:val="TableParagraph"/>
              <w:spacing w:line="266" w:lineRule="exact"/>
              <w:ind w:left="11" w:right="2"/>
              <w:jc w:val="center"/>
              <w:rPr>
                <w:sz w:val="24"/>
              </w:rPr>
            </w:pPr>
            <w:r>
              <w:rPr>
                <w:spacing w:val="-4"/>
                <w:sz w:val="24"/>
              </w:rPr>
              <w:t>2.67</w:t>
            </w:r>
          </w:p>
        </w:tc>
        <w:tc>
          <w:tcPr>
            <w:tcW w:w="1081" w:type="dxa"/>
          </w:tcPr>
          <w:p>
            <w:pPr>
              <w:pStyle w:val="TableParagraph"/>
              <w:spacing w:line="266" w:lineRule="exact"/>
              <w:ind w:left="12" w:right="2"/>
              <w:jc w:val="center"/>
              <w:rPr>
                <w:sz w:val="24"/>
              </w:rPr>
            </w:pPr>
            <w:r>
              <w:rPr>
                <w:spacing w:val="-4"/>
                <w:sz w:val="24"/>
              </w:rPr>
              <w:t>.982</w:t>
            </w:r>
          </w:p>
        </w:tc>
        <w:tc>
          <w:tcPr>
            <w:tcW w:w="2430" w:type="dxa"/>
          </w:tcPr>
          <w:p>
            <w:pPr>
              <w:pStyle w:val="TableParagraph"/>
              <w:spacing w:line="266" w:lineRule="exact"/>
              <w:ind w:left="12"/>
              <w:jc w:val="center"/>
              <w:rPr>
                <w:sz w:val="24"/>
              </w:rPr>
            </w:pPr>
            <w:r>
              <w:rPr>
                <w:spacing w:val="-10"/>
                <w:sz w:val="24"/>
              </w:rPr>
              <w:t>A</w:t>
            </w:r>
          </w:p>
        </w:tc>
      </w:tr>
      <w:tr>
        <w:trPr>
          <w:trHeight w:val="414" w:hRule="atLeast"/>
        </w:trPr>
        <w:tc>
          <w:tcPr>
            <w:tcW w:w="970" w:type="dxa"/>
          </w:tcPr>
          <w:p>
            <w:pPr>
              <w:pStyle w:val="TableParagraph"/>
              <w:spacing w:line="266" w:lineRule="exact"/>
              <w:ind w:left="14"/>
              <w:rPr>
                <w:sz w:val="24"/>
              </w:rPr>
            </w:pPr>
            <w:r>
              <w:rPr>
                <w:spacing w:val="-4"/>
                <w:sz w:val="24"/>
              </w:rPr>
              <w:t>B104</w:t>
            </w:r>
          </w:p>
        </w:tc>
        <w:tc>
          <w:tcPr>
            <w:tcW w:w="2363" w:type="dxa"/>
          </w:tcPr>
          <w:p>
            <w:pPr>
              <w:pStyle w:val="TableParagraph"/>
              <w:spacing w:line="266" w:lineRule="exact"/>
              <w:ind w:left="13"/>
              <w:rPr>
                <w:sz w:val="24"/>
              </w:rPr>
            </w:pPr>
            <w:r>
              <w:rPr>
                <w:sz w:val="24"/>
              </w:rPr>
              <w:t>Reducing</w:t>
            </w:r>
            <w:r>
              <w:rPr>
                <w:spacing w:val="-4"/>
                <w:sz w:val="24"/>
              </w:rPr>
              <w:t> </w:t>
            </w:r>
            <w:r>
              <w:rPr>
                <w:spacing w:val="-2"/>
                <w:sz w:val="24"/>
              </w:rPr>
              <w:t>Conflict.</w:t>
            </w:r>
          </w:p>
        </w:tc>
        <w:tc>
          <w:tcPr>
            <w:tcW w:w="990" w:type="dxa"/>
          </w:tcPr>
          <w:p>
            <w:pPr>
              <w:pStyle w:val="TableParagraph"/>
              <w:spacing w:line="266" w:lineRule="exact"/>
              <w:ind w:left="16" w:right="1"/>
              <w:jc w:val="center"/>
              <w:rPr>
                <w:sz w:val="24"/>
              </w:rPr>
            </w:pPr>
            <w:r>
              <w:rPr>
                <w:spacing w:val="-5"/>
                <w:sz w:val="24"/>
              </w:rPr>
              <w:t>228</w:t>
            </w:r>
          </w:p>
        </w:tc>
        <w:tc>
          <w:tcPr>
            <w:tcW w:w="992" w:type="dxa"/>
          </w:tcPr>
          <w:p>
            <w:pPr>
              <w:pStyle w:val="TableParagraph"/>
              <w:spacing w:line="266" w:lineRule="exact"/>
              <w:ind w:left="11" w:right="2"/>
              <w:jc w:val="center"/>
              <w:rPr>
                <w:sz w:val="24"/>
              </w:rPr>
            </w:pPr>
            <w:r>
              <w:rPr>
                <w:spacing w:val="-4"/>
                <w:sz w:val="24"/>
              </w:rPr>
              <w:t>2.29</w:t>
            </w:r>
          </w:p>
        </w:tc>
        <w:tc>
          <w:tcPr>
            <w:tcW w:w="1081" w:type="dxa"/>
          </w:tcPr>
          <w:p>
            <w:pPr>
              <w:pStyle w:val="TableParagraph"/>
              <w:spacing w:line="266" w:lineRule="exact"/>
              <w:ind w:left="12" w:right="2"/>
              <w:jc w:val="center"/>
              <w:rPr>
                <w:sz w:val="24"/>
              </w:rPr>
            </w:pPr>
            <w:r>
              <w:rPr>
                <w:spacing w:val="-4"/>
                <w:sz w:val="24"/>
              </w:rPr>
              <w:t>.908</w:t>
            </w:r>
          </w:p>
        </w:tc>
        <w:tc>
          <w:tcPr>
            <w:tcW w:w="2430" w:type="dxa"/>
          </w:tcPr>
          <w:p>
            <w:pPr>
              <w:pStyle w:val="TableParagraph"/>
              <w:spacing w:line="266" w:lineRule="exact"/>
              <w:ind w:left="12"/>
              <w:jc w:val="center"/>
              <w:rPr>
                <w:sz w:val="24"/>
              </w:rPr>
            </w:pPr>
            <w:r>
              <w:rPr>
                <w:spacing w:val="-10"/>
                <w:sz w:val="24"/>
              </w:rPr>
              <w:t>D</w:t>
            </w:r>
          </w:p>
        </w:tc>
      </w:tr>
      <w:tr>
        <w:trPr>
          <w:trHeight w:val="834" w:hRule="atLeast"/>
        </w:trPr>
        <w:tc>
          <w:tcPr>
            <w:tcW w:w="970" w:type="dxa"/>
          </w:tcPr>
          <w:p>
            <w:pPr>
              <w:pStyle w:val="TableParagraph"/>
              <w:spacing w:line="268" w:lineRule="exact"/>
              <w:ind w:left="14"/>
              <w:rPr>
                <w:sz w:val="24"/>
              </w:rPr>
            </w:pPr>
            <w:r>
              <w:rPr>
                <w:spacing w:val="-4"/>
                <w:sz w:val="24"/>
              </w:rPr>
              <w:t>B105</w:t>
            </w:r>
          </w:p>
        </w:tc>
        <w:tc>
          <w:tcPr>
            <w:tcW w:w="2363" w:type="dxa"/>
          </w:tcPr>
          <w:p>
            <w:pPr>
              <w:pStyle w:val="TableParagraph"/>
              <w:spacing w:line="268" w:lineRule="exact"/>
              <w:ind w:left="13"/>
              <w:rPr>
                <w:sz w:val="24"/>
              </w:rPr>
            </w:pPr>
            <w:r>
              <w:rPr>
                <w:spacing w:val="-2"/>
                <w:sz w:val="24"/>
              </w:rPr>
              <w:t>Indifference</w:t>
            </w:r>
          </w:p>
          <w:p>
            <w:pPr>
              <w:pStyle w:val="TableParagraph"/>
              <w:spacing w:before="141"/>
              <w:ind w:left="13"/>
              <w:rPr>
                <w:sz w:val="24"/>
              </w:rPr>
            </w:pPr>
            <w:r>
              <w:rPr>
                <w:spacing w:val="-2"/>
                <w:sz w:val="24"/>
              </w:rPr>
              <w:t>(Complacency).</w:t>
            </w:r>
          </w:p>
        </w:tc>
        <w:tc>
          <w:tcPr>
            <w:tcW w:w="990" w:type="dxa"/>
          </w:tcPr>
          <w:p>
            <w:pPr>
              <w:pStyle w:val="TableParagraph"/>
              <w:spacing w:before="134"/>
              <w:rPr>
                <w:b/>
                <w:sz w:val="24"/>
              </w:rPr>
            </w:pPr>
          </w:p>
          <w:p>
            <w:pPr>
              <w:pStyle w:val="TableParagraph"/>
              <w:ind w:left="16" w:right="1"/>
              <w:jc w:val="center"/>
              <w:rPr>
                <w:sz w:val="24"/>
              </w:rPr>
            </w:pPr>
            <w:r>
              <w:rPr>
                <w:spacing w:val="-5"/>
                <w:sz w:val="24"/>
              </w:rPr>
              <w:t>228</w:t>
            </w:r>
          </w:p>
        </w:tc>
        <w:tc>
          <w:tcPr>
            <w:tcW w:w="992" w:type="dxa"/>
          </w:tcPr>
          <w:p>
            <w:pPr>
              <w:pStyle w:val="TableParagraph"/>
              <w:spacing w:before="134"/>
              <w:rPr>
                <w:b/>
                <w:sz w:val="24"/>
              </w:rPr>
            </w:pPr>
          </w:p>
          <w:p>
            <w:pPr>
              <w:pStyle w:val="TableParagraph"/>
              <w:ind w:left="11" w:right="2"/>
              <w:jc w:val="center"/>
              <w:rPr>
                <w:sz w:val="24"/>
              </w:rPr>
            </w:pPr>
            <w:r>
              <w:rPr>
                <w:spacing w:val="-4"/>
                <w:sz w:val="24"/>
              </w:rPr>
              <w:t>2.29</w:t>
            </w:r>
          </w:p>
        </w:tc>
        <w:tc>
          <w:tcPr>
            <w:tcW w:w="1081" w:type="dxa"/>
          </w:tcPr>
          <w:p>
            <w:pPr>
              <w:pStyle w:val="TableParagraph"/>
              <w:spacing w:before="134"/>
              <w:rPr>
                <w:b/>
                <w:sz w:val="24"/>
              </w:rPr>
            </w:pPr>
          </w:p>
          <w:p>
            <w:pPr>
              <w:pStyle w:val="TableParagraph"/>
              <w:ind w:left="12" w:right="2"/>
              <w:jc w:val="center"/>
              <w:rPr>
                <w:sz w:val="24"/>
              </w:rPr>
            </w:pPr>
            <w:r>
              <w:rPr>
                <w:spacing w:val="-4"/>
                <w:sz w:val="24"/>
              </w:rPr>
              <w:t>.908</w:t>
            </w:r>
          </w:p>
        </w:tc>
        <w:tc>
          <w:tcPr>
            <w:tcW w:w="2430" w:type="dxa"/>
            <w:tcBorders>
              <w:right w:val="single" w:sz="8" w:space="0" w:color="000000"/>
            </w:tcBorders>
          </w:tcPr>
          <w:p>
            <w:pPr>
              <w:pStyle w:val="TableParagraph"/>
              <w:spacing w:before="134"/>
              <w:rPr>
                <w:b/>
                <w:sz w:val="24"/>
              </w:rPr>
            </w:pPr>
          </w:p>
          <w:p>
            <w:pPr>
              <w:pStyle w:val="TableParagraph"/>
              <w:ind w:left="17"/>
              <w:jc w:val="center"/>
              <w:rPr>
                <w:sz w:val="24"/>
              </w:rPr>
            </w:pPr>
            <w:r>
              <w:rPr>
                <w:spacing w:val="-10"/>
                <w:sz w:val="24"/>
              </w:rPr>
              <w:t>D</w:t>
            </w:r>
          </w:p>
        </w:tc>
      </w:tr>
    </w:tbl>
    <w:p>
      <w:pPr>
        <w:spacing w:after="0"/>
        <w:jc w:val="center"/>
        <w:rPr>
          <w:sz w:val="24"/>
        </w:rPr>
        <w:sectPr>
          <w:pgSz w:w="11910" w:h="16840"/>
          <w:pgMar w:header="0" w:footer="1561" w:top="1360" w:bottom="1760" w:left="720" w:right="180"/>
        </w:sectPr>
      </w:pPr>
    </w:p>
    <w:p>
      <w:pPr>
        <w:pStyle w:val="BodyText"/>
        <w:spacing w:line="360" w:lineRule="auto" w:before="60"/>
        <w:ind w:right="1256" w:firstLine="720"/>
        <w:jc w:val="both"/>
      </w:pPr>
      <w:r>
        <w:rPr/>
        <mc:AlternateContent>
          <mc:Choice Requires="wps">
            <w:drawing>
              <wp:anchor distT="0" distB="0" distL="0" distR="0" allowOverlap="1" layoutInCell="1" locked="0" behindDoc="1" simplePos="0" relativeHeight="480683520">
                <wp:simplePos x="0" y="0"/>
                <wp:positionH relativeFrom="page">
                  <wp:posOffset>-1537026</wp:posOffset>
                </wp:positionH>
                <wp:positionV relativeFrom="page">
                  <wp:posOffset>4900424</wp:posOffset>
                </wp:positionV>
                <wp:extent cx="10669905" cy="914400"/>
                <wp:effectExtent l="0" t="0" r="0" b="0"/>
                <wp:wrapNone/>
                <wp:docPr id="326" name="Textbox 326"/>
                <wp:cNvGraphicFramePr>
                  <a:graphicFrameLocks/>
                </wp:cNvGraphicFramePr>
                <a:graphic>
                  <a:graphicData uri="http://schemas.microsoft.com/office/word/2010/wordprocessingShape">
                    <wps:wsp>
                      <wps:cNvPr id="326" name="Textbox 326"/>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32960;rotation:306" type="#_x0000_t136" fillcolor="#ff5400" stroked="f">
                <o:extrusion v:ext="view" autorotationcenter="t"/>
                <v:textpath style="font-family:&quot;Arial MT&quot;;font-size:72pt;v-text-kern:t;mso-text-shadow:auto" string="UNIVERSITY OF IBADAN"/>
                <w10:wrap type="none"/>
              </v:shape>
            </w:pict>
          </mc:Fallback>
        </mc:AlternateContent>
      </w:r>
      <w:r>
        <w:rPr/>
        <w:t>We sought to know the roles of youths in the resolution of the Niger Delta conflict. From the data presented in Table 31, there</w:t>
      </w:r>
      <w:r>
        <w:rPr>
          <w:spacing w:val="-1"/>
        </w:rPr>
        <w:t> </w:t>
      </w:r>
      <w:r>
        <w:rPr/>
        <w:t>is a general disagreement with the view that youths play a significant role in peacemaking at conflict resolution in the region. Rather, the respondents agree that the youths are responsible for fuelling most of the crisis in the Niger Delta.</w:t>
      </w:r>
    </w:p>
    <w:p>
      <w:pPr>
        <w:pStyle w:val="BodyText"/>
        <w:spacing w:line="360" w:lineRule="auto"/>
        <w:ind w:right="1260" w:firstLine="720"/>
        <w:jc w:val="both"/>
      </w:pPr>
      <w:r>
        <w:rPr/>
        <w:t>Likewise, there is a general disagreement by the respondents that the youths help at reducing conflict and at the same time show complacency in issues relating to conflict mitigation in the Niger Delta. Extant literature and past strategic assessments considered the youths to be key players in the violent conflict in all the three focal states</w:t>
      </w:r>
      <w:r>
        <w:rPr>
          <w:spacing w:val="-2"/>
        </w:rPr>
        <w:t> </w:t>
      </w:r>
      <w:r>
        <w:rPr/>
        <w:t>surveyed.</w:t>
      </w:r>
      <w:r>
        <w:rPr>
          <w:spacing w:val="-2"/>
        </w:rPr>
        <w:t> </w:t>
      </w:r>
      <w:r>
        <w:rPr/>
        <w:t>We</w:t>
      </w:r>
      <w:r>
        <w:rPr>
          <w:spacing w:val="-3"/>
        </w:rPr>
        <w:t> </w:t>
      </w:r>
      <w:r>
        <w:rPr/>
        <w:t>tried</w:t>
      </w:r>
      <w:r>
        <w:rPr>
          <w:spacing w:val="-3"/>
        </w:rPr>
        <w:t> </w:t>
      </w:r>
      <w:r>
        <w:rPr/>
        <w:t>to</w:t>
      </w:r>
      <w:r>
        <w:rPr>
          <w:spacing w:val="-2"/>
        </w:rPr>
        <w:t> </w:t>
      </w:r>
      <w:r>
        <w:rPr/>
        <w:t>confirm</w:t>
      </w:r>
      <w:r>
        <w:rPr>
          <w:spacing w:val="-2"/>
        </w:rPr>
        <w:t> </w:t>
      </w:r>
      <w:r>
        <w:rPr/>
        <w:t>this</w:t>
      </w:r>
      <w:r>
        <w:rPr>
          <w:spacing w:val="-2"/>
        </w:rPr>
        <w:t> </w:t>
      </w:r>
      <w:r>
        <w:rPr/>
        <w:t>in</w:t>
      </w:r>
      <w:r>
        <w:rPr>
          <w:spacing w:val="-4"/>
        </w:rPr>
        <w:t> </w:t>
      </w:r>
      <w:r>
        <w:rPr/>
        <w:t>the</w:t>
      </w:r>
      <w:r>
        <w:rPr>
          <w:spacing w:val="-3"/>
        </w:rPr>
        <w:t> </w:t>
      </w:r>
      <w:r>
        <w:rPr/>
        <w:t>survey.</w:t>
      </w:r>
      <w:r>
        <w:rPr>
          <w:spacing w:val="-2"/>
        </w:rPr>
        <w:t> </w:t>
      </w:r>
      <w:r>
        <w:rPr/>
        <w:t>Almost</w:t>
      </w:r>
      <w:r>
        <w:rPr>
          <w:spacing w:val="-2"/>
        </w:rPr>
        <w:t> </w:t>
      </w:r>
      <w:r>
        <w:rPr/>
        <w:t>all</w:t>
      </w:r>
      <w:r>
        <w:rPr>
          <w:spacing w:val="-2"/>
        </w:rPr>
        <w:t> </w:t>
      </w:r>
      <w:r>
        <w:rPr/>
        <w:t>the</w:t>
      </w:r>
      <w:r>
        <w:rPr>
          <w:spacing w:val="-3"/>
        </w:rPr>
        <w:t> </w:t>
      </w:r>
      <w:r>
        <w:rPr/>
        <w:t>240</w:t>
      </w:r>
      <w:r>
        <w:rPr>
          <w:spacing w:val="-2"/>
        </w:rPr>
        <w:t> </w:t>
      </w:r>
      <w:r>
        <w:rPr/>
        <w:t>respondents blamed the conflicts on the problems of the youths.</w:t>
      </w:r>
    </w:p>
    <w:p>
      <w:pPr>
        <w:pStyle w:val="BodyText"/>
        <w:spacing w:before="5"/>
        <w:ind w:left="0"/>
      </w:pPr>
    </w:p>
    <w:p>
      <w:pPr>
        <w:pStyle w:val="Heading2"/>
        <w:numPr>
          <w:ilvl w:val="3"/>
          <w:numId w:val="28"/>
        </w:numPr>
        <w:tabs>
          <w:tab w:pos="2464" w:val="left" w:leader="none"/>
        </w:tabs>
        <w:spacing w:line="360" w:lineRule="auto" w:before="0" w:after="0"/>
        <w:ind w:left="1440" w:right="1261" w:firstLine="0"/>
        <w:jc w:val="left"/>
      </w:pPr>
      <w:r>
        <w:rPr/>
        <w:t>RQ22f:</w:t>
      </w:r>
      <w:r>
        <w:rPr>
          <w:spacing w:val="40"/>
        </w:rPr>
        <w:t> </w:t>
      </w:r>
      <w:r>
        <w:rPr/>
        <w:t>The</w:t>
      </w:r>
      <w:r>
        <w:rPr>
          <w:spacing w:val="-4"/>
        </w:rPr>
        <w:t> </w:t>
      </w:r>
      <w:r>
        <w:rPr/>
        <w:t>Roles</w:t>
      </w:r>
      <w:r>
        <w:rPr>
          <w:spacing w:val="-2"/>
        </w:rPr>
        <w:t> </w:t>
      </w:r>
      <w:r>
        <w:rPr/>
        <w:t>of</w:t>
      </w:r>
      <w:r>
        <w:rPr>
          <w:spacing w:val="-1"/>
        </w:rPr>
        <w:t> </w:t>
      </w:r>
      <w:r>
        <w:rPr/>
        <w:t>the</w:t>
      </w:r>
      <w:r>
        <w:rPr>
          <w:spacing w:val="-2"/>
        </w:rPr>
        <w:t> </w:t>
      </w:r>
      <w:r>
        <w:rPr/>
        <w:t>Niger</w:t>
      </w:r>
      <w:r>
        <w:rPr>
          <w:spacing w:val="-2"/>
        </w:rPr>
        <w:t> </w:t>
      </w:r>
      <w:r>
        <w:rPr/>
        <w:t>Delta</w:t>
      </w:r>
      <w:r>
        <w:rPr>
          <w:spacing w:val="-2"/>
        </w:rPr>
        <w:t> </w:t>
      </w:r>
      <w:r>
        <w:rPr/>
        <w:t>Communities</w:t>
      </w:r>
      <w:r>
        <w:rPr>
          <w:spacing w:val="-2"/>
        </w:rPr>
        <w:t> </w:t>
      </w:r>
      <w:r>
        <w:rPr/>
        <w:t>in</w:t>
      </w:r>
      <w:r>
        <w:rPr>
          <w:spacing w:val="-1"/>
        </w:rPr>
        <w:t> </w:t>
      </w:r>
      <w:r>
        <w:rPr/>
        <w:t>the</w:t>
      </w:r>
      <w:r>
        <w:rPr>
          <w:spacing w:val="-2"/>
        </w:rPr>
        <w:t> </w:t>
      </w:r>
      <w:r>
        <w:rPr/>
        <w:t>Resolution</w:t>
      </w:r>
      <w:r>
        <w:rPr>
          <w:spacing w:val="-2"/>
        </w:rPr>
        <w:t> </w:t>
      </w:r>
      <w:r>
        <w:rPr/>
        <w:t>of the Niger Delta Conflict</w:t>
      </w:r>
    </w:p>
    <w:p>
      <w:pPr>
        <w:pStyle w:val="BodyText"/>
        <w:spacing w:line="360" w:lineRule="auto"/>
        <w:ind w:right="1260" w:firstLine="720"/>
      </w:pPr>
      <w:r>
        <w:rPr/>
        <w:t>The perception on the roles of the Niger Delta Communities in the resolution of the Niger Delta conflict is presented on Table 32.</w:t>
      </w:r>
    </w:p>
    <w:p>
      <w:pPr>
        <w:pStyle w:val="Heading2"/>
        <w:spacing w:line="360" w:lineRule="auto" w:before="1"/>
        <w:ind w:right="1260"/>
      </w:pPr>
      <w:r>
        <w:rPr/>
        <w:t>Table</w:t>
      </w:r>
      <w:r>
        <w:rPr>
          <w:spacing w:val="36"/>
        </w:rPr>
        <w:t> </w:t>
      </w:r>
      <w:r>
        <w:rPr/>
        <w:t>32:</w:t>
      </w:r>
      <w:r>
        <w:rPr>
          <w:spacing w:val="35"/>
        </w:rPr>
        <w:t> </w:t>
      </w:r>
      <w:r>
        <w:rPr/>
        <w:t>The</w:t>
      </w:r>
      <w:r>
        <w:rPr>
          <w:spacing w:val="35"/>
        </w:rPr>
        <w:t> </w:t>
      </w:r>
      <w:r>
        <w:rPr/>
        <w:t>Roles</w:t>
      </w:r>
      <w:r>
        <w:rPr>
          <w:spacing w:val="36"/>
        </w:rPr>
        <w:t> </w:t>
      </w:r>
      <w:r>
        <w:rPr/>
        <w:t>of</w:t>
      </w:r>
      <w:r>
        <w:rPr>
          <w:spacing w:val="38"/>
        </w:rPr>
        <w:t> </w:t>
      </w:r>
      <w:r>
        <w:rPr/>
        <w:t>the</w:t>
      </w:r>
      <w:r>
        <w:rPr>
          <w:spacing w:val="35"/>
        </w:rPr>
        <w:t> </w:t>
      </w:r>
      <w:r>
        <w:rPr/>
        <w:t>Niger</w:t>
      </w:r>
      <w:r>
        <w:rPr>
          <w:spacing w:val="35"/>
        </w:rPr>
        <w:t> </w:t>
      </w:r>
      <w:r>
        <w:rPr/>
        <w:t>Delta</w:t>
      </w:r>
      <w:r>
        <w:rPr>
          <w:spacing w:val="36"/>
        </w:rPr>
        <w:t> </w:t>
      </w:r>
      <w:r>
        <w:rPr/>
        <w:t>Communities</w:t>
      </w:r>
      <w:r>
        <w:rPr>
          <w:spacing w:val="36"/>
        </w:rPr>
        <w:t> </w:t>
      </w:r>
      <w:r>
        <w:rPr/>
        <w:t>in</w:t>
      </w:r>
      <w:r>
        <w:rPr>
          <w:spacing w:val="37"/>
        </w:rPr>
        <w:t> </w:t>
      </w:r>
      <w:r>
        <w:rPr/>
        <w:t>the</w:t>
      </w:r>
      <w:r>
        <w:rPr>
          <w:spacing w:val="35"/>
        </w:rPr>
        <w:t> </w:t>
      </w:r>
      <w:r>
        <w:rPr/>
        <w:t>Resolution</w:t>
      </w:r>
      <w:r>
        <w:rPr>
          <w:spacing w:val="37"/>
        </w:rPr>
        <w:t> </w:t>
      </w:r>
      <w:r>
        <w:rPr/>
        <w:t>of</w:t>
      </w:r>
      <w:r>
        <w:rPr>
          <w:spacing w:val="35"/>
        </w:rPr>
        <w:t> </w:t>
      </w:r>
      <w:r>
        <w:rPr/>
        <w:t>the Niger Delta Conflict.</w:t>
      </w: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6"/>
        <w:gridCol w:w="2977"/>
        <w:gridCol w:w="966"/>
        <w:gridCol w:w="1090"/>
        <w:gridCol w:w="804"/>
        <w:gridCol w:w="2161"/>
      </w:tblGrid>
      <w:tr>
        <w:trPr>
          <w:trHeight w:val="417" w:hRule="atLeast"/>
        </w:trPr>
        <w:tc>
          <w:tcPr>
            <w:tcW w:w="826" w:type="dxa"/>
          </w:tcPr>
          <w:p>
            <w:pPr>
              <w:pStyle w:val="TableParagraph"/>
              <w:rPr>
                <w:sz w:val="24"/>
              </w:rPr>
            </w:pPr>
          </w:p>
        </w:tc>
        <w:tc>
          <w:tcPr>
            <w:tcW w:w="2977" w:type="dxa"/>
          </w:tcPr>
          <w:p>
            <w:pPr>
              <w:pStyle w:val="TableParagraph"/>
              <w:rPr>
                <w:sz w:val="24"/>
              </w:rPr>
            </w:pPr>
          </w:p>
        </w:tc>
        <w:tc>
          <w:tcPr>
            <w:tcW w:w="966" w:type="dxa"/>
          </w:tcPr>
          <w:p>
            <w:pPr>
              <w:pStyle w:val="TableParagraph"/>
              <w:spacing w:before="1"/>
              <w:ind w:left="7"/>
              <w:jc w:val="center"/>
              <w:rPr>
                <w:b/>
                <w:sz w:val="24"/>
              </w:rPr>
            </w:pPr>
            <w:r>
              <w:rPr>
                <w:b/>
                <w:spacing w:val="-10"/>
                <w:sz w:val="24"/>
              </w:rPr>
              <w:t>N</w:t>
            </w:r>
          </w:p>
        </w:tc>
        <w:tc>
          <w:tcPr>
            <w:tcW w:w="1090" w:type="dxa"/>
          </w:tcPr>
          <w:p>
            <w:pPr>
              <w:pStyle w:val="TableParagraph"/>
              <w:spacing w:before="1"/>
              <w:ind w:left="5"/>
              <w:jc w:val="center"/>
              <w:rPr>
                <w:b/>
                <w:sz w:val="24"/>
              </w:rPr>
            </w:pPr>
            <w:r>
              <w:rPr>
                <w:b/>
                <w:spacing w:val="-4"/>
                <w:sz w:val="24"/>
              </w:rPr>
              <w:t>Mean</w:t>
            </w:r>
          </w:p>
        </w:tc>
        <w:tc>
          <w:tcPr>
            <w:tcW w:w="804" w:type="dxa"/>
          </w:tcPr>
          <w:p>
            <w:pPr>
              <w:pStyle w:val="TableParagraph"/>
              <w:spacing w:before="1"/>
              <w:ind w:left="5" w:right="1"/>
              <w:jc w:val="center"/>
              <w:rPr>
                <w:b/>
                <w:sz w:val="24"/>
              </w:rPr>
            </w:pPr>
            <w:r>
              <w:rPr>
                <w:b/>
                <w:spacing w:val="-5"/>
                <w:sz w:val="24"/>
              </w:rPr>
              <w:t>SD</w:t>
            </w:r>
          </w:p>
        </w:tc>
        <w:tc>
          <w:tcPr>
            <w:tcW w:w="2161" w:type="dxa"/>
          </w:tcPr>
          <w:p>
            <w:pPr>
              <w:pStyle w:val="TableParagraph"/>
              <w:spacing w:before="1"/>
              <w:ind w:left="12" w:right="12"/>
              <w:jc w:val="center"/>
              <w:rPr>
                <w:b/>
                <w:sz w:val="24"/>
              </w:rPr>
            </w:pPr>
            <w:r>
              <w:rPr>
                <w:b/>
                <w:sz w:val="24"/>
              </w:rPr>
              <w:t>Level</w:t>
            </w:r>
            <w:r>
              <w:rPr>
                <w:b/>
                <w:spacing w:val="-3"/>
                <w:sz w:val="24"/>
              </w:rPr>
              <w:t> </w:t>
            </w:r>
            <w:r>
              <w:rPr>
                <w:b/>
                <w:sz w:val="24"/>
              </w:rPr>
              <w:t>of </w:t>
            </w:r>
            <w:r>
              <w:rPr>
                <w:b/>
                <w:spacing w:val="-2"/>
                <w:sz w:val="24"/>
              </w:rPr>
              <w:t>Agreement</w:t>
            </w:r>
          </w:p>
        </w:tc>
      </w:tr>
      <w:tr>
        <w:trPr>
          <w:trHeight w:val="839" w:hRule="atLeast"/>
        </w:trPr>
        <w:tc>
          <w:tcPr>
            <w:tcW w:w="826" w:type="dxa"/>
          </w:tcPr>
          <w:p>
            <w:pPr>
              <w:pStyle w:val="TableParagraph"/>
              <w:spacing w:before="8"/>
              <w:ind w:left="9"/>
              <w:rPr>
                <w:sz w:val="24"/>
              </w:rPr>
            </w:pPr>
            <w:r>
              <w:rPr>
                <w:spacing w:val="-4"/>
                <w:sz w:val="24"/>
              </w:rPr>
              <w:t>B106</w:t>
            </w:r>
          </w:p>
        </w:tc>
        <w:tc>
          <w:tcPr>
            <w:tcW w:w="2977" w:type="dxa"/>
          </w:tcPr>
          <w:p>
            <w:pPr>
              <w:pStyle w:val="TableParagraph"/>
              <w:spacing w:before="8"/>
              <w:ind w:left="9"/>
              <w:rPr>
                <w:sz w:val="24"/>
              </w:rPr>
            </w:pPr>
            <w:r>
              <w:rPr>
                <w:sz w:val="24"/>
              </w:rPr>
              <w:t>Fence</w:t>
            </w:r>
            <w:r>
              <w:rPr>
                <w:spacing w:val="-3"/>
                <w:sz w:val="24"/>
              </w:rPr>
              <w:t> </w:t>
            </w:r>
            <w:r>
              <w:rPr>
                <w:spacing w:val="-2"/>
                <w:sz w:val="24"/>
              </w:rPr>
              <w:t>mending</w:t>
            </w:r>
          </w:p>
          <w:p>
            <w:pPr>
              <w:pStyle w:val="TableParagraph"/>
              <w:spacing w:before="151"/>
              <w:ind w:left="9"/>
              <w:rPr>
                <w:sz w:val="24"/>
              </w:rPr>
            </w:pPr>
            <w:r>
              <w:rPr>
                <w:sz w:val="24"/>
              </w:rPr>
              <w:t>(Peacemaking</w:t>
            </w:r>
            <w:r>
              <w:rPr>
                <w:spacing w:val="-3"/>
                <w:sz w:val="24"/>
              </w:rPr>
              <w:t> </w:t>
            </w:r>
            <w:r>
              <w:rPr>
                <w:spacing w:val="-2"/>
                <w:sz w:val="24"/>
              </w:rPr>
              <w:t>efforts).</w:t>
            </w:r>
          </w:p>
        </w:tc>
        <w:tc>
          <w:tcPr>
            <w:tcW w:w="966" w:type="dxa"/>
          </w:tcPr>
          <w:p>
            <w:pPr>
              <w:pStyle w:val="TableParagraph"/>
              <w:spacing w:before="159"/>
              <w:rPr>
                <w:b/>
                <w:sz w:val="24"/>
              </w:rPr>
            </w:pPr>
          </w:p>
          <w:p>
            <w:pPr>
              <w:pStyle w:val="TableParagraph"/>
              <w:ind w:left="7" w:right="1"/>
              <w:jc w:val="center"/>
              <w:rPr>
                <w:sz w:val="24"/>
              </w:rPr>
            </w:pPr>
            <w:r>
              <w:rPr>
                <w:spacing w:val="-5"/>
                <w:sz w:val="24"/>
              </w:rPr>
              <w:t>230</w:t>
            </w:r>
          </w:p>
        </w:tc>
        <w:tc>
          <w:tcPr>
            <w:tcW w:w="1090" w:type="dxa"/>
          </w:tcPr>
          <w:p>
            <w:pPr>
              <w:pStyle w:val="TableParagraph"/>
              <w:spacing w:before="159"/>
              <w:rPr>
                <w:b/>
                <w:sz w:val="24"/>
              </w:rPr>
            </w:pPr>
          </w:p>
          <w:p>
            <w:pPr>
              <w:pStyle w:val="TableParagraph"/>
              <w:ind w:left="5" w:right="2"/>
              <w:jc w:val="center"/>
              <w:rPr>
                <w:sz w:val="24"/>
              </w:rPr>
            </w:pPr>
            <w:r>
              <w:rPr>
                <w:spacing w:val="-4"/>
                <w:sz w:val="24"/>
              </w:rPr>
              <w:t>2.63</w:t>
            </w:r>
          </w:p>
        </w:tc>
        <w:tc>
          <w:tcPr>
            <w:tcW w:w="804" w:type="dxa"/>
          </w:tcPr>
          <w:p>
            <w:pPr>
              <w:pStyle w:val="TableParagraph"/>
              <w:spacing w:before="159"/>
              <w:rPr>
                <w:b/>
                <w:sz w:val="24"/>
              </w:rPr>
            </w:pPr>
          </w:p>
          <w:p>
            <w:pPr>
              <w:pStyle w:val="TableParagraph"/>
              <w:ind w:left="5"/>
              <w:jc w:val="center"/>
              <w:rPr>
                <w:sz w:val="24"/>
              </w:rPr>
            </w:pPr>
            <w:r>
              <w:rPr>
                <w:spacing w:val="-4"/>
                <w:sz w:val="24"/>
              </w:rPr>
              <w:t>.966</w:t>
            </w:r>
          </w:p>
        </w:tc>
        <w:tc>
          <w:tcPr>
            <w:tcW w:w="2161" w:type="dxa"/>
          </w:tcPr>
          <w:p>
            <w:pPr>
              <w:pStyle w:val="TableParagraph"/>
              <w:spacing w:before="159"/>
              <w:rPr>
                <w:b/>
                <w:sz w:val="24"/>
              </w:rPr>
            </w:pPr>
          </w:p>
          <w:p>
            <w:pPr>
              <w:pStyle w:val="TableParagraph"/>
              <w:ind w:left="12" w:right="6"/>
              <w:jc w:val="center"/>
              <w:rPr>
                <w:sz w:val="24"/>
              </w:rPr>
            </w:pPr>
            <w:r>
              <w:rPr>
                <w:spacing w:val="-10"/>
                <w:sz w:val="24"/>
              </w:rPr>
              <w:t>A</w:t>
            </w:r>
          </w:p>
        </w:tc>
      </w:tr>
      <w:tr>
        <w:trPr>
          <w:trHeight w:val="412" w:hRule="atLeast"/>
        </w:trPr>
        <w:tc>
          <w:tcPr>
            <w:tcW w:w="826" w:type="dxa"/>
          </w:tcPr>
          <w:p>
            <w:pPr>
              <w:pStyle w:val="TableParagraph"/>
              <w:spacing w:line="270" w:lineRule="exact"/>
              <w:ind w:left="9"/>
              <w:rPr>
                <w:sz w:val="24"/>
              </w:rPr>
            </w:pPr>
            <w:r>
              <w:rPr>
                <w:spacing w:val="-4"/>
                <w:sz w:val="24"/>
              </w:rPr>
              <w:t>B107</w:t>
            </w:r>
          </w:p>
        </w:tc>
        <w:tc>
          <w:tcPr>
            <w:tcW w:w="2977" w:type="dxa"/>
          </w:tcPr>
          <w:p>
            <w:pPr>
              <w:pStyle w:val="TableParagraph"/>
              <w:spacing w:line="270" w:lineRule="exact"/>
              <w:ind w:left="9"/>
              <w:rPr>
                <w:sz w:val="24"/>
              </w:rPr>
            </w:pPr>
            <w:r>
              <w:rPr>
                <w:sz w:val="24"/>
              </w:rPr>
              <w:t>Fuelling</w:t>
            </w:r>
            <w:r>
              <w:rPr>
                <w:spacing w:val="-3"/>
                <w:sz w:val="24"/>
              </w:rPr>
              <w:t> </w:t>
            </w:r>
            <w:r>
              <w:rPr>
                <w:spacing w:val="-2"/>
                <w:sz w:val="24"/>
              </w:rPr>
              <w:t>crisis.</w:t>
            </w:r>
          </w:p>
        </w:tc>
        <w:tc>
          <w:tcPr>
            <w:tcW w:w="966" w:type="dxa"/>
          </w:tcPr>
          <w:p>
            <w:pPr>
              <w:pStyle w:val="TableParagraph"/>
              <w:spacing w:line="270" w:lineRule="exact"/>
              <w:ind w:left="7" w:right="3"/>
              <w:jc w:val="center"/>
              <w:rPr>
                <w:sz w:val="24"/>
              </w:rPr>
            </w:pPr>
            <w:r>
              <w:rPr>
                <w:spacing w:val="-4"/>
                <w:sz w:val="24"/>
              </w:rPr>
              <w:t>23.1</w:t>
            </w:r>
          </w:p>
        </w:tc>
        <w:tc>
          <w:tcPr>
            <w:tcW w:w="1090" w:type="dxa"/>
          </w:tcPr>
          <w:p>
            <w:pPr>
              <w:pStyle w:val="TableParagraph"/>
              <w:spacing w:line="270" w:lineRule="exact"/>
              <w:ind w:left="5" w:right="2"/>
              <w:jc w:val="center"/>
              <w:rPr>
                <w:sz w:val="24"/>
              </w:rPr>
            </w:pPr>
            <w:r>
              <w:rPr>
                <w:spacing w:val="-4"/>
                <w:sz w:val="24"/>
              </w:rPr>
              <w:t>2.50</w:t>
            </w:r>
          </w:p>
        </w:tc>
        <w:tc>
          <w:tcPr>
            <w:tcW w:w="804" w:type="dxa"/>
          </w:tcPr>
          <w:p>
            <w:pPr>
              <w:pStyle w:val="TableParagraph"/>
              <w:spacing w:line="270" w:lineRule="exact"/>
              <w:ind w:left="5"/>
              <w:jc w:val="center"/>
              <w:rPr>
                <w:sz w:val="24"/>
              </w:rPr>
            </w:pPr>
            <w:r>
              <w:rPr>
                <w:spacing w:val="-4"/>
                <w:sz w:val="24"/>
              </w:rPr>
              <w:t>.982</w:t>
            </w:r>
          </w:p>
        </w:tc>
        <w:tc>
          <w:tcPr>
            <w:tcW w:w="2161" w:type="dxa"/>
          </w:tcPr>
          <w:p>
            <w:pPr>
              <w:pStyle w:val="TableParagraph"/>
              <w:spacing w:line="270" w:lineRule="exact"/>
              <w:ind w:left="12" w:right="6"/>
              <w:jc w:val="center"/>
              <w:rPr>
                <w:sz w:val="24"/>
              </w:rPr>
            </w:pPr>
            <w:r>
              <w:rPr>
                <w:spacing w:val="-10"/>
                <w:sz w:val="24"/>
              </w:rPr>
              <w:t>A</w:t>
            </w:r>
          </w:p>
        </w:tc>
      </w:tr>
      <w:tr>
        <w:trPr>
          <w:trHeight w:val="417" w:hRule="atLeast"/>
        </w:trPr>
        <w:tc>
          <w:tcPr>
            <w:tcW w:w="826" w:type="dxa"/>
          </w:tcPr>
          <w:p>
            <w:pPr>
              <w:pStyle w:val="TableParagraph"/>
              <w:spacing w:line="273" w:lineRule="exact"/>
              <w:ind w:left="9"/>
              <w:rPr>
                <w:sz w:val="24"/>
              </w:rPr>
            </w:pPr>
            <w:r>
              <w:rPr>
                <w:spacing w:val="-4"/>
                <w:sz w:val="24"/>
              </w:rPr>
              <w:t>B108</w:t>
            </w:r>
          </w:p>
        </w:tc>
        <w:tc>
          <w:tcPr>
            <w:tcW w:w="2977" w:type="dxa"/>
          </w:tcPr>
          <w:p>
            <w:pPr>
              <w:pStyle w:val="TableParagraph"/>
              <w:spacing w:line="273" w:lineRule="exact"/>
              <w:ind w:left="9"/>
              <w:rPr>
                <w:sz w:val="24"/>
              </w:rPr>
            </w:pPr>
            <w:r>
              <w:rPr>
                <w:sz w:val="24"/>
              </w:rPr>
              <w:t>Reducing</w:t>
            </w:r>
            <w:r>
              <w:rPr>
                <w:spacing w:val="-2"/>
                <w:sz w:val="24"/>
              </w:rPr>
              <w:t> conflict.</w:t>
            </w:r>
          </w:p>
        </w:tc>
        <w:tc>
          <w:tcPr>
            <w:tcW w:w="966" w:type="dxa"/>
          </w:tcPr>
          <w:p>
            <w:pPr>
              <w:pStyle w:val="TableParagraph"/>
              <w:spacing w:line="273" w:lineRule="exact"/>
              <w:ind w:left="7" w:right="1"/>
              <w:jc w:val="center"/>
              <w:rPr>
                <w:sz w:val="24"/>
              </w:rPr>
            </w:pPr>
            <w:r>
              <w:rPr>
                <w:spacing w:val="-5"/>
                <w:sz w:val="24"/>
              </w:rPr>
              <w:t>230</w:t>
            </w:r>
          </w:p>
        </w:tc>
        <w:tc>
          <w:tcPr>
            <w:tcW w:w="1090" w:type="dxa"/>
          </w:tcPr>
          <w:p>
            <w:pPr>
              <w:pStyle w:val="TableParagraph"/>
              <w:spacing w:line="273" w:lineRule="exact"/>
              <w:ind w:left="5" w:right="2"/>
              <w:jc w:val="center"/>
              <w:rPr>
                <w:sz w:val="24"/>
              </w:rPr>
            </w:pPr>
            <w:r>
              <w:rPr>
                <w:spacing w:val="-4"/>
                <w:sz w:val="24"/>
              </w:rPr>
              <w:t>2.43</w:t>
            </w:r>
          </w:p>
        </w:tc>
        <w:tc>
          <w:tcPr>
            <w:tcW w:w="804" w:type="dxa"/>
          </w:tcPr>
          <w:p>
            <w:pPr>
              <w:pStyle w:val="TableParagraph"/>
              <w:spacing w:line="273" w:lineRule="exact"/>
              <w:ind w:left="5"/>
              <w:jc w:val="center"/>
              <w:rPr>
                <w:sz w:val="24"/>
              </w:rPr>
            </w:pPr>
            <w:r>
              <w:rPr>
                <w:spacing w:val="-4"/>
                <w:sz w:val="24"/>
              </w:rPr>
              <w:t>.949</w:t>
            </w:r>
          </w:p>
        </w:tc>
        <w:tc>
          <w:tcPr>
            <w:tcW w:w="2161" w:type="dxa"/>
          </w:tcPr>
          <w:p>
            <w:pPr>
              <w:pStyle w:val="TableParagraph"/>
              <w:spacing w:line="273" w:lineRule="exact"/>
              <w:ind w:left="12" w:right="6"/>
              <w:jc w:val="center"/>
              <w:rPr>
                <w:sz w:val="24"/>
              </w:rPr>
            </w:pPr>
            <w:r>
              <w:rPr>
                <w:spacing w:val="-10"/>
                <w:sz w:val="24"/>
              </w:rPr>
              <w:t>D</w:t>
            </w:r>
          </w:p>
        </w:tc>
      </w:tr>
      <w:tr>
        <w:trPr>
          <w:trHeight w:val="832" w:hRule="atLeast"/>
        </w:trPr>
        <w:tc>
          <w:tcPr>
            <w:tcW w:w="826" w:type="dxa"/>
          </w:tcPr>
          <w:p>
            <w:pPr>
              <w:pStyle w:val="TableParagraph"/>
              <w:spacing w:line="270" w:lineRule="exact"/>
              <w:ind w:left="9"/>
              <w:rPr>
                <w:sz w:val="24"/>
              </w:rPr>
            </w:pPr>
            <w:r>
              <w:rPr>
                <w:spacing w:val="-4"/>
                <w:sz w:val="24"/>
              </w:rPr>
              <w:t>B109</w:t>
            </w:r>
          </w:p>
        </w:tc>
        <w:tc>
          <w:tcPr>
            <w:tcW w:w="2977" w:type="dxa"/>
          </w:tcPr>
          <w:p>
            <w:pPr>
              <w:pStyle w:val="TableParagraph"/>
              <w:spacing w:line="270" w:lineRule="exact"/>
              <w:ind w:left="9"/>
              <w:rPr>
                <w:sz w:val="24"/>
              </w:rPr>
            </w:pPr>
            <w:r>
              <w:rPr>
                <w:spacing w:val="-2"/>
                <w:sz w:val="24"/>
              </w:rPr>
              <w:t>Indifference</w:t>
            </w:r>
          </w:p>
          <w:p>
            <w:pPr>
              <w:pStyle w:val="TableParagraph"/>
              <w:spacing w:before="137"/>
              <w:ind w:left="9"/>
              <w:rPr>
                <w:sz w:val="24"/>
              </w:rPr>
            </w:pPr>
            <w:r>
              <w:rPr>
                <w:spacing w:val="-2"/>
                <w:sz w:val="24"/>
              </w:rPr>
              <w:t>(Complacency).</w:t>
            </w:r>
          </w:p>
        </w:tc>
        <w:tc>
          <w:tcPr>
            <w:tcW w:w="966" w:type="dxa"/>
          </w:tcPr>
          <w:p>
            <w:pPr>
              <w:pStyle w:val="TableParagraph"/>
              <w:spacing w:before="130"/>
              <w:rPr>
                <w:b/>
                <w:sz w:val="24"/>
              </w:rPr>
            </w:pPr>
          </w:p>
          <w:p>
            <w:pPr>
              <w:pStyle w:val="TableParagraph"/>
              <w:spacing w:before="1"/>
              <w:ind w:left="7" w:right="1"/>
              <w:jc w:val="center"/>
              <w:rPr>
                <w:sz w:val="24"/>
              </w:rPr>
            </w:pPr>
            <w:r>
              <w:rPr>
                <w:spacing w:val="-5"/>
                <w:sz w:val="24"/>
              </w:rPr>
              <w:t>224</w:t>
            </w:r>
          </w:p>
        </w:tc>
        <w:tc>
          <w:tcPr>
            <w:tcW w:w="1090" w:type="dxa"/>
          </w:tcPr>
          <w:p>
            <w:pPr>
              <w:pStyle w:val="TableParagraph"/>
              <w:spacing w:before="130"/>
              <w:rPr>
                <w:b/>
                <w:sz w:val="24"/>
              </w:rPr>
            </w:pPr>
          </w:p>
          <w:p>
            <w:pPr>
              <w:pStyle w:val="TableParagraph"/>
              <w:spacing w:before="1"/>
              <w:ind w:left="5" w:right="2"/>
              <w:jc w:val="center"/>
              <w:rPr>
                <w:sz w:val="24"/>
              </w:rPr>
            </w:pPr>
            <w:r>
              <w:rPr>
                <w:spacing w:val="-4"/>
                <w:sz w:val="24"/>
              </w:rPr>
              <w:t>2.43</w:t>
            </w:r>
          </w:p>
        </w:tc>
        <w:tc>
          <w:tcPr>
            <w:tcW w:w="804" w:type="dxa"/>
          </w:tcPr>
          <w:p>
            <w:pPr>
              <w:pStyle w:val="TableParagraph"/>
              <w:spacing w:before="130"/>
              <w:rPr>
                <w:b/>
                <w:sz w:val="24"/>
              </w:rPr>
            </w:pPr>
          </w:p>
          <w:p>
            <w:pPr>
              <w:pStyle w:val="TableParagraph"/>
              <w:spacing w:before="1"/>
              <w:ind w:left="5"/>
              <w:jc w:val="center"/>
              <w:rPr>
                <w:sz w:val="24"/>
              </w:rPr>
            </w:pPr>
            <w:r>
              <w:rPr>
                <w:spacing w:val="-4"/>
                <w:sz w:val="24"/>
              </w:rPr>
              <w:t>.921</w:t>
            </w:r>
          </w:p>
        </w:tc>
        <w:tc>
          <w:tcPr>
            <w:tcW w:w="2161" w:type="dxa"/>
          </w:tcPr>
          <w:p>
            <w:pPr>
              <w:pStyle w:val="TableParagraph"/>
              <w:spacing w:before="130"/>
              <w:rPr>
                <w:b/>
                <w:sz w:val="24"/>
              </w:rPr>
            </w:pPr>
          </w:p>
          <w:p>
            <w:pPr>
              <w:pStyle w:val="TableParagraph"/>
              <w:spacing w:before="1"/>
              <w:ind w:left="12" w:right="6"/>
              <w:jc w:val="center"/>
              <w:rPr>
                <w:sz w:val="24"/>
              </w:rPr>
            </w:pPr>
            <w:r>
              <w:rPr>
                <w:spacing w:val="-10"/>
                <w:sz w:val="24"/>
              </w:rPr>
              <w:t>D</w:t>
            </w:r>
          </w:p>
        </w:tc>
      </w:tr>
    </w:tbl>
    <w:p>
      <w:pPr>
        <w:pStyle w:val="BodyText"/>
        <w:spacing w:before="135"/>
        <w:ind w:left="0"/>
        <w:rPr>
          <w:b/>
        </w:rPr>
      </w:pPr>
    </w:p>
    <w:p>
      <w:pPr>
        <w:pStyle w:val="BodyText"/>
        <w:spacing w:line="360" w:lineRule="auto"/>
        <w:ind w:right="1257" w:firstLine="724"/>
        <w:jc w:val="both"/>
      </w:pPr>
      <w:r>
        <w:rPr/>
        <w:t>From</w:t>
      </w:r>
      <w:r>
        <w:rPr>
          <w:spacing w:val="-1"/>
        </w:rPr>
        <w:t> </w:t>
      </w:r>
      <w:r>
        <w:rPr/>
        <w:t>the data presented on Table</w:t>
      </w:r>
      <w:r>
        <w:rPr>
          <w:spacing w:val="-1"/>
        </w:rPr>
        <w:t> </w:t>
      </w:r>
      <w:r>
        <w:rPr/>
        <w:t>32, there</w:t>
      </w:r>
      <w:r>
        <w:rPr>
          <w:spacing w:val="-1"/>
        </w:rPr>
        <w:t> </w:t>
      </w:r>
      <w:r>
        <w:rPr/>
        <w:t>is a</w:t>
      </w:r>
      <w:r>
        <w:rPr>
          <w:spacing w:val="-1"/>
        </w:rPr>
        <w:t> </w:t>
      </w:r>
      <w:r>
        <w:rPr/>
        <w:t>divided</w:t>
      </w:r>
      <w:r>
        <w:rPr>
          <w:spacing w:val="-1"/>
        </w:rPr>
        <w:t> </w:t>
      </w:r>
      <w:r>
        <w:rPr/>
        <w:t>perception on the</w:t>
      </w:r>
      <w:r>
        <w:rPr>
          <w:spacing w:val="-1"/>
        </w:rPr>
        <w:t> </w:t>
      </w:r>
      <w:r>
        <w:rPr/>
        <w:t>roles of the Niger Delta communities in the resolution of the Niger Delta conflict. It was generally agreed that the communities in the region play a significant role in peacemaking efforts in the Niger Delta region. Equally, the respondents generally agree that most of the Niger Delta communities are seriously involved in fuelling the crisis in the region.</w:t>
      </w:r>
      <w:r>
        <w:rPr>
          <w:spacing w:val="40"/>
        </w:rPr>
        <w:t> </w:t>
      </w:r>
      <w:r>
        <w:rPr/>
        <w:t>These are ethnicity, economic disequilibrium, poverty, poor community response mechanism and party politics.</w:t>
      </w:r>
    </w:p>
    <w:p>
      <w:pPr>
        <w:spacing w:after="0" w:line="360" w:lineRule="auto"/>
        <w:jc w:val="both"/>
        <w:sectPr>
          <w:pgSz w:w="11910" w:h="16840"/>
          <w:pgMar w:header="0" w:footer="1561" w:top="1360" w:bottom="1760" w:left="720" w:right="180"/>
        </w:sectPr>
      </w:pPr>
    </w:p>
    <w:p>
      <w:pPr>
        <w:pStyle w:val="Heading2"/>
        <w:numPr>
          <w:ilvl w:val="3"/>
          <w:numId w:val="28"/>
        </w:numPr>
        <w:tabs>
          <w:tab w:pos="2400" w:val="left" w:leader="none"/>
        </w:tabs>
        <w:spacing w:line="360" w:lineRule="auto" w:before="65" w:after="0"/>
        <w:ind w:left="1440" w:right="3275" w:firstLine="0"/>
        <w:jc w:val="both"/>
      </w:pPr>
      <w:r>
        <w:rPr/>
        <mc:AlternateContent>
          <mc:Choice Requires="wps">
            <w:drawing>
              <wp:anchor distT="0" distB="0" distL="0" distR="0" allowOverlap="1" layoutInCell="1" locked="0" behindDoc="1" simplePos="0" relativeHeight="480684032">
                <wp:simplePos x="0" y="0"/>
                <wp:positionH relativeFrom="page">
                  <wp:posOffset>-1537026</wp:posOffset>
                </wp:positionH>
                <wp:positionV relativeFrom="page">
                  <wp:posOffset>4900424</wp:posOffset>
                </wp:positionV>
                <wp:extent cx="10669905" cy="914400"/>
                <wp:effectExtent l="0" t="0" r="0" b="0"/>
                <wp:wrapNone/>
                <wp:docPr id="327" name="Textbox 327"/>
                <wp:cNvGraphicFramePr>
                  <a:graphicFrameLocks/>
                </wp:cNvGraphicFramePr>
                <a:graphic>
                  <a:graphicData uri="http://schemas.microsoft.com/office/word/2010/wordprocessingShape">
                    <wps:wsp>
                      <wps:cNvPr id="327" name="Textbox 327"/>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32448;rotation:306" type="#_x0000_t136" fillcolor="#ff5400" stroked="f">
                <o:extrusion v:ext="view" autorotationcenter="t"/>
                <v:textpath style="font-family:&quot;Arial MT&quot;;font-size:72pt;v-text-kern:t;mso-text-shadow:auto" string="UNIVERSITY OF IBADAN"/>
                <w10:wrap type="none"/>
              </v:shape>
            </w:pict>
          </mc:Fallback>
        </mc:AlternateContent>
      </w:r>
      <w:r>
        <w:rPr/>
        <w:t>RQ22g:</w:t>
      </w:r>
      <w:r>
        <w:rPr>
          <w:spacing w:val="-6"/>
        </w:rPr>
        <w:t> </w:t>
      </w:r>
      <w:r>
        <w:rPr/>
        <w:t>The</w:t>
      </w:r>
      <w:r>
        <w:rPr>
          <w:spacing w:val="-6"/>
        </w:rPr>
        <w:t> </w:t>
      </w:r>
      <w:r>
        <w:rPr/>
        <w:t>Roles</w:t>
      </w:r>
      <w:r>
        <w:rPr>
          <w:spacing w:val="-5"/>
        </w:rPr>
        <w:t> </w:t>
      </w:r>
      <w:r>
        <w:rPr/>
        <w:t>of</w:t>
      </w:r>
      <w:r>
        <w:rPr>
          <w:spacing w:val="-4"/>
        </w:rPr>
        <w:t> </w:t>
      </w:r>
      <w:r>
        <w:rPr/>
        <w:t>the</w:t>
      </w:r>
      <w:r>
        <w:rPr>
          <w:spacing w:val="-6"/>
        </w:rPr>
        <w:t> </w:t>
      </w:r>
      <w:r>
        <w:rPr/>
        <w:t>Community</w:t>
      </w:r>
      <w:r>
        <w:rPr>
          <w:spacing w:val="-4"/>
        </w:rPr>
        <w:t> </w:t>
      </w:r>
      <w:r>
        <w:rPr/>
        <w:t>Leaders</w:t>
      </w:r>
      <w:r>
        <w:rPr>
          <w:spacing w:val="-5"/>
        </w:rPr>
        <w:t> </w:t>
      </w:r>
      <w:r>
        <w:rPr/>
        <w:t>in</w:t>
      </w:r>
      <w:r>
        <w:rPr>
          <w:spacing w:val="-4"/>
        </w:rPr>
        <w:t> </w:t>
      </w:r>
      <w:r>
        <w:rPr/>
        <w:t>the Resolution of the Niger Delta Conflict.</w:t>
      </w:r>
    </w:p>
    <w:p>
      <w:pPr>
        <w:pStyle w:val="BodyText"/>
        <w:spacing w:line="360" w:lineRule="auto"/>
        <w:ind w:right="1254" w:firstLine="715"/>
        <w:jc w:val="both"/>
      </w:pPr>
      <w:r>
        <w:rPr/>
        <w:t>Respondents were asked to comment on the roles of the community leaders in the resolution of the Niger Delta conflict. The summary of views of respondents is given on Table 33.</w:t>
      </w:r>
    </w:p>
    <w:p>
      <w:pPr>
        <w:pStyle w:val="Heading2"/>
        <w:spacing w:line="360" w:lineRule="auto"/>
        <w:ind w:right="1262"/>
        <w:jc w:val="both"/>
      </w:pPr>
      <w:r>
        <w:rPr/>
        <w:t>Table</w:t>
      </w:r>
      <w:r>
        <w:rPr>
          <w:spacing w:val="-3"/>
        </w:rPr>
        <w:t> </w:t>
      </w:r>
      <w:r>
        <w:rPr/>
        <w:t>33.</w:t>
      </w:r>
      <w:r>
        <w:rPr>
          <w:spacing w:val="-2"/>
        </w:rPr>
        <w:t> </w:t>
      </w:r>
      <w:r>
        <w:rPr/>
        <w:t>Perception</w:t>
      </w:r>
      <w:r>
        <w:rPr>
          <w:spacing w:val="-2"/>
        </w:rPr>
        <w:t> </w:t>
      </w:r>
      <w:r>
        <w:rPr/>
        <w:t>on</w:t>
      </w:r>
      <w:r>
        <w:rPr>
          <w:spacing w:val="-2"/>
        </w:rPr>
        <w:t> </w:t>
      </w:r>
      <w:r>
        <w:rPr/>
        <w:t>the</w:t>
      </w:r>
      <w:r>
        <w:rPr>
          <w:spacing w:val="-3"/>
        </w:rPr>
        <w:t> </w:t>
      </w:r>
      <w:r>
        <w:rPr/>
        <w:t>Roles</w:t>
      </w:r>
      <w:r>
        <w:rPr>
          <w:spacing w:val="-2"/>
        </w:rPr>
        <w:t> </w:t>
      </w:r>
      <w:r>
        <w:rPr/>
        <w:t>of</w:t>
      </w:r>
      <w:r>
        <w:rPr>
          <w:spacing w:val="-1"/>
        </w:rPr>
        <w:t> </w:t>
      </w:r>
      <w:r>
        <w:rPr/>
        <w:t>the</w:t>
      </w:r>
      <w:r>
        <w:rPr>
          <w:spacing w:val="-3"/>
        </w:rPr>
        <w:t> </w:t>
      </w:r>
      <w:r>
        <w:rPr/>
        <w:t>Community</w:t>
      </w:r>
      <w:r>
        <w:rPr>
          <w:spacing w:val="-3"/>
        </w:rPr>
        <w:t> </w:t>
      </w:r>
      <w:r>
        <w:rPr/>
        <w:t>Leaders</w:t>
      </w:r>
      <w:r>
        <w:rPr>
          <w:spacing w:val="-2"/>
        </w:rPr>
        <w:t> </w:t>
      </w:r>
      <w:r>
        <w:rPr/>
        <w:t>in</w:t>
      </w:r>
      <w:r>
        <w:rPr>
          <w:spacing w:val="-2"/>
        </w:rPr>
        <w:t> </w:t>
      </w:r>
      <w:r>
        <w:rPr/>
        <w:t>the</w:t>
      </w:r>
      <w:r>
        <w:rPr>
          <w:spacing w:val="-3"/>
        </w:rPr>
        <w:t> </w:t>
      </w:r>
      <w:r>
        <w:rPr/>
        <w:t>Resolution</w:t>
      </w:r>
      <w:r>
        <w:rPr>
          <w:spacing w:val="-4"/>
        </w:rPr>
        <w:t> </w:t>
      </w:r>
      <w:r>
        <w:rPr/>
        <w:t>of the Niger Delta Conflict</w:t>
      </w: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4"/>
        <w:gridCol w:w="2451"/>
        <w:gridCol w:w="636"/>
        <w:gridCol w:w="720"/>
        <w:gridCol w:w="900"/>
        <w:gridCol w:w="2701"/>
      </w:tblGrid>
      <w:tr>
        <w:trPr>
          <w:trHeight w:val="830" w:hRule="atLeast"/>
        </w:trPr>
        <w:tc>
          <w:tcPr>
            <w:tcW w:w="1414" w:type="dxa"/>
          </w:tcPr>
          <w:p>
            <w:pPr>
              <w:pStyle w:val="TableParagraph"/>
              <w:rPr>
                <w:sz w:val="24"/>
              </w:rPr>
            </w:pPr>
          </w:p>
        </w:tc>
        <w:tc>
          <w:tcPr>
            <w:tcW w:w="2451" w:type="dxa"/>
          </w:tcPr>
          <w:p>
            <w:pPr>
              <w:pStyle w:val="TableParagraph"/>
              <w:rPr>
                <w:sz w:val="24"/>
              </w:rPr>
            </w:pPr>
          </w:p>
        </w:tc>
        <w:tc>
          <w:tcPr>
            <w:tcW w:w="636" w:type="dxa"/>
          </w:tcPr>
          <w:p>
            <w:pPr>
              <w:pStyle w:val="TableParagraph"/>
              <w:spacing w:before="1"/>
              <w:ind w:left="6"/>
              <w:jc w:val="center"/>
              <w:rPr>
                <w:b/>
                <w:sz w:val="24"/>
              </w:rPr>
            </w:pPr>
            <w:r>
              <w:rPr>
                <w:b/>
                <w:spacing w:val="-10"/>
                <w:sz w:val="24"/>
              </w:rPr>
              <w:t>N</w:t>
            </w:r>
          </w:p>
        </w:tc>
        <w:tc>
          <w:tcPr>
            <w:tcW w:w="720" w:type="dxa"/>
          </w:tcPr>
          <w:p>
            <w:pPr>
              <w:pStyle w:val="TableParagraph"/>
              <w:spacing w:before="1"/>
              <w:ind w:left="21" w:right="18"/>
              <w:jc w:val="center"/>
              <w:rPr>
                <w:b/>
                <w:sz w:val="24"/>
              </w:rPr>
            </w:pPr>
            <w:r>
              <w:rPr>
                <w:b/>
                <w:spacing w:val="-5"/>
                <w:sz w:val="24"/>
              </w:rPr>
              <w:t>Mea</w:t>
            </w:r>
          </w:p>
          <w:p>
            <w:pPr>
              <w:pStyle w:val="TableParagraph"/>
              <w:spacing w:before="137"/>
              <w:ind w:left="21" w:right="13"/>
              <w:jc w:val="center"/>
              <w:rPr>
                <w:b/>
                <w:sz w:val="24"/>
              </w:rPr>
            </w:pPr>
            <w:r>
              <w:rPr>
                <w:b/>
                <w:spacing w:val="-10"/>
                <w:sz w:val="24"/>
              </w:rPr>
              <w:t>n</w:t>
            </w:r>
          </w:p>
        </w:tc>
        <w:tc>
          <w:tcPr>
            <w:tcW w:w="900" w:type="dxa"/>
          </w:tcPr>
          <w:p>
            <w:pPr>
              <w:pStyle w:val="TableParagraph"/>
              <w:spacing w:before="1"/>
              <w:ind w:left="11" w:right="3"/>
              <w:jc w:val="center"/>
              <w:rPr>
                <w:b/>
                <w:sz w:val="24"/>
              </w:rPr>
            </w:pPr>
            <w:r>
              <w:rPr>
                <w:b/>
                <w:spacing w:val="-5"/>
                <w:sz w:val="24"/>
              </w:rPr>
              <w:t>SD</w:t>
            </w:r>
          </w:p>
        </w:tc>
        <w:tc>
          <w:tcPr>
            <w:tcW w:w="2701" w:type="dxa"/>
          </w:tcPr>
          <w:p>
            <w:pPr>
              <w:pStyle w:val="TableParagraph"/>
              <w:spacing w:before="1"/>
              <w:ind w:left="7" w:right="2"/>
              <w:jc w:val="center"/>
              <w:rPr>
                <w:b/>
                <w:sz w:val="24"/>
              </w:rPr>
            </w:pPr>
            <w:r>
              <w:rPr>
                <w:b/>
                <w:sz w:val="24"/>
              </w:rPr>
              <w:t>Level</w:t>
            </w:r>
            <w:r>
              <w:rPr>
                <w:b/>
                <w:spacing w:val="-3"/>
                <w:sz w:val="24"/>
              </w:rPr>
              <w:t> </w:t>
            </w:r>
            <w:r>
              <w:rPr>
                <w:b/>
                <w:sz w:val="24"/>
              </w:rPr>
              <w:t>of </w:t>
            </w:r>
            <w:r>
              <w:rPr>
                <w:b/>
                <w:spacing w:val="-2"/>
                <w:sz w:val="24"/>
              </w:rPr>
              <w:t>Agreement</w:t>
            </w:r>
          </w:p>
        </w:tc>
      </w:tr>
      <w:tr>
        <w:trPr>
          <w:trHeight w:val="828" w:hRule="atLeast"/>
        </w:trPr>
        <w:tc>
          <w:tcPr>
            <w:tcW w:w="1414" w:type="dxa"/>
          </w:tcPr>
          <w:p>
            <w:pPr>
              <w:pStyle w:val="TableParagraph"/>
              <w:spacing w:line="270" w:lineRule="exact"/>
              <w:ind w:left="107"/>
              <w:rPr>
                <w:sz w:val="24"/>
              </w:rPr>
            </w:pPr>
            <w:r>
              <w:rPr>
                <w:spacing w:val="-4"/>
                <w:sz w:val="24"/>
              </w:rPr>
              <w:t>B109</w:t>
            </w:r>
          </w:p>
        </w:tc>
        <w:tc>
          <w:tcPr>
            <w:tcW w:w="2451" w:type="dxa"/>
          </w:tcPr>
          <w:p>
            <w:pPr>
              <w:pStyle w:val="TableParagraph"/>
              <w:spacing w:line="270" w:lineRule="exact"/>
              <w:ind w:left="107"/>
              <w:rPr>
                <w:sz w:val="24"/>
              </w:rPr>
            </w:pPr>
            <w:r>
              <w:rPr>
                <w:sz w:val="24"/>
              </w:rPr>
              <w:t>Fence</w:t>
            </w:r>
            <w:r>
              <w:rPr>
                <w:spacing w:val="-3"/>
                <w:sz w:val="24"/>
              </w:rPr>
              <w:t> </w:t>
            </w:r>
            <w:r>
              <w:rPr>
                <w:spacing w:val="-2"/>
                <w:sz w:val="24"/>
              </w:rPr>
              <w:t>mending.</w:t>
            </w:r>
          </w:p>
          <w:p>
            <w:pPr>
              <w:pStyle w:val="TableParagraph"/>
              <w:spacing w:before="137"/>
              <w:ind w:left="107"/>
              <w:rPr>
                <w:sz w:val="24"/>
              </w:rPr>
            </w:pPr>
            <w:r>
              <w:rPr>
                <w:sz w:val="24"/>
              </w:rPr>
              <w:t>(Peacemaking</w:t>
            </w:r>
            <w:r>
              <w:rPr>
                <w:spacing w:val="-3"/>
                <w:sz w:val="24"/>
              </w:rPr>
              <w:t> </w:t>
            </w:r>
            <w:r>
              <w:rPr>
                <w:spacing w:val="-2"/>
                <w:sz w:val="24"/>
              </w:rPr>
              <w:t>efforts).</w:t>
            </w:r>
          </w:p>
        </w:tc>
        <w:tc>
          <w:tcPr>
            <w:tcW w:w="636" w:type="dxa"/>
          </w:tcPr>
          <w:p>
            <w:pPr>
              <w:pStyle w:val="TableParagraph"/>
              <w:spacing w:line="270" w:lineRule="exact"/>
              <w:ind w:left="6"/>
              <w:jc w:val="center"/>
              <w:rPr>
                <w:sz w:val="24"/>
              </w:rPr>
            </w:pPr>
            <w:r>
              <w:rPr>
                <w:spacing w:val="-5"/>
                <w:sz w:val="24"/>
              </w:rPr>
              <w:t>230</w:t>
            </w:r>
          </w:p>
        </w:tc>
        <w:tc>
          <w:tcPr>
            <w:tcW w:w="720" w:type="dxa"/>
          </w:tcPr>
          <w:p>
            <w:pPr>
              <w:pStyle w:val="TableParagraph"/>
              <w:spacing w:line="270" w:lineRule="exact"/>
              <w:ind w:left="21" w:right="14"/>
              <w:jc w:val="center"/>
              <w:rPr>
                <w:sz w:val="24"/>
              </w:rPr>
            </w:pPr>
            <w:r>
              <w:rPr>
                <w:spacing w:val="-4"/>
                <w:sz w:val="24"/>
              </w:rPr>
              <w:t>2.62</w:t>
            </w:r>
          </w:p>
        </w:tc>
        <w:tc>
          <w:tcPr>
            <w:tcW w:w="900" w:type="dxa"/>
          </w:tcPr>
          <w:p>
            <w:pPr>
              <w:pStyle w:val="TableParagraph"/>
              <w:spacing w:line="270" w:lineRule="exact"/>
              <w:ind w:left="11" w:right="2"/>
              <w:jc w:val="center"/>
              <w:rPr>
                <w:sz w:val="24"/>
              </w:rPr>
            </w:pPr>
            <w:r>
              <w:rPr>
                <w:spacing w:val="-4"/>
                <w:sz w:val="24"/>
              </w:rPr>
              <w:t>.940</w:t>
            </w:r>
          </w:p>
        </w:tc>
        <w:tc>
          <w:tcPr>
            <w:tcW w:w="2701" w:type="dxa"/>
          </w:tcPr>
          <w:p>
            <w:pPr>
              <w:pStyle w:val="TableParagraph"/>
              <w:spacing w:line="270" w:lineRule="exact"/>
              <w:ind w:left="7"/>
              <w:jc w:val="center"/>
              <w:rPr>
                <w:sz w:val="24"/>
              </w:rPr>
            </w:pPr>
            <w:r>
              <w:rPr>
                <w:spacing w:val="-10"/>
                <w:sz w:val="24"/>
              </w:rPr>
              <w:t>A</w:t>
            </w:r>
          </w:p>
        </w:tc>
      </w:tr>
      <w:tr>
        <w:trPr>
          <w:trHeight w:val="412" w:hRule="atLeast"/>
        </w:trPr>
        <w:tc>
          <w:tcPr>
            <w:tcW w:w="1414" w:type="dxa"/>
          </w:tcPr>
          <w:p>
            <w:pPr>
              <w:pStyle w:val="TableParagraph"/>
              <w:spacing w:line="270" w:lineRule="exact"/>
              <w:ind w:left="107"/>
              <w:rPr>
                <w:sz w:val="24"/>
              </w:rPr>
            </w:pPr>
            <w:r>
              <w:rPr>
                <w:spacing w:val="-4"/>
                <w:sz w:val="24"/>
              </w:rPr>
              <w:t>B110</w:t>
            </w:r>
          </w:p>
        </w:tc>
        <w:tc>
          <w:tcPr>
            <w:tcW w:w="2451" w:type="dxa"/>
          </w:tcPr>
          <w:p>
            <w:pPr>
              <w:pStyle w:val="TableParagraph"/>
              <w:spacing w:line="270" w:lineRule="exact"/>
              <w:ind w:left="107"/>
              <w:rPr>
                <w:sz w:val="24"/>
              </w:rPr>
            </w:pPr>
            <w:r>
              <w:rPr>
                <w:sz w:val="24"/>
              </w:rPr>
              <w:t>Fuelling</w:t>
            </w:r>
            <w:r>
              <w:rPr>
                <w:spacing w:val="-3"/>
                <w:sz w:val="24"/>
              </w:rPr>
              <w:t> </w:t>
            </w:r>
            <w:r>
              <w:rPr>
                <w:spacing w:val="-2"/>
                <w:sz w:val="24"/>
              </w:rPr>
              <w:t>crisis.</w:t>
            </w:r>
          </w:p>
        </w:tc>
        <w:tc>
          <w:tcPr>
            <w:tcW w:w="636" w:type="dxa"/>
          </w:tcPr>
          <w:p>
            <w:pPr>
              <w:pStyle w:val="TableParagraph"/>
              <w:spacing w:line="270" w:lineRule="exact"/>
              <w:ind w:left="6"/>
              <w:jc w:val="center"/>
              <w:rPr>
                <w:sz w:val="24"/>
              </w:rPr>
            </w:pPr>
            <w:r>
              <w:rPr>
                <w:spacing w:val="-5"/>
                <w:sz w:val="24"/>
              </w:rPr>
              <w:t>231</w:t>
            </w:r>
          </w:p>
        </w:tc>
        <w:tc>
          <w:tcPr>
            <w:tcW w:w="720" w:type="dxa"/>
          </w:tcPr>
          <w:p>
            <w:pPr>
              <w:pStyle w:val="TableParagraph"/>
              <w:spacing w:line="270" w:lineRule="exact"/>
              <w:ind w:left="21" w:right="14"/>
              <w:jc w:val="center"/>
              <w:rPr>
                <w:sz w:val="24"/>
              </w:rPr>
            </w:pPr>
            <w:r>
              <w:rPr>
                <w:spacing w:val="-4"/>
                <w:sz w:val="24"/>
              </w:rPr>
              <w:t>2.51</w:t>
            </w:r>
          </w:p>
        </w:tc>
        <w:tc>
          <w:tcPr>
            <w:tcW w:w="900" w:type="dxa"/>
          </w:tcPr>
          <w:p>
            <w:pPr>
              <w:pStyle w:val="TableParagraph"/>
              <w:spacing w:line="270" w:lineRule="exact"/>
              <w:ind w:left="11" w:right="2"/>
              <w:jc w:val="center"/>
              <w:rPr>
                <w:sz w:val="24"/>
              </w:rPr>
            </w:pPr>
            <w:r>
              <w:rPr>
                <w:spacing w:val="-2"/>
                <w:sz w:val="24"/>
              </w:rPr>
              <w:t>1.008</w:t>
            </w:r>
          </w:p>
        </w:tc>
        <w:tc>
          <w:tcPr>
            <w:tcW w:w="2701" w:type="dxa"/>
          </w:tcPr>
          <w:p>
            <w:pPr>
              <w:pStyle w:val="TableParagraph"/>
              <w:spacing w:line="270" w:lineRule="exact"/>
              <w:ind w:left="7"/>
              <w:jc w:val="center"/>
              <w:rPr>
                <w:sz w:val="24"/>
              </w:rPr>
            </w:pPr>
            <w:r>
              <w:rPr>
                <w:spacing w:val="-10"/>
                <w:sz w:val="24"/>
              </w:rPr>
              <w:t>A</w:t>
            </w:r>
          </w:p>
        </w:tc>
      </w:tr>
      <w:tr>
        <w:trPr>
          <w:trHeight w:val="414" w:hRule="atLeast"/>
        </w:trPr>
        <w:tc>
          <w:tcPr>
            <w:tcW w:w="1414" w:type="dxa"/>
          </w:tcPr>
          <w:p>
            <w:pPr>
              <w:pStyle w:val="TableParagraph"/>
              <w:spacing w:line="270" w:lineRule="exact"/>
              <w:ind w:left="107"/>
              <w:rPr>
                <w:sz w:val="24"/>
              </w:rPr>
            </w:pPr>
            <w:r>
              <w:rPr>
                <w:spacing w:val="-4"/>
                <w:sz w:val="24"/>
              </w:rPr>
              <w:t>B111</w:t>
            </w:r>
          </w:p>
        </w:tc>
        <w:tc>
          <w:tcPr>
            <w:tcW w:w="2451" w:type="dxa"/>
          </w:tcPr>
          <w:p>
            <w:pPr>
              <w:pStyle w:val="TableParagraph"/>
              <w:spacing w:line="270" w:lineRule="exact"/>
              <w:ind w:left="107"/>
              <w:rPr>
                <w:sz w:val="24"/>
              </w:rPr>
            </w:pPr>
            <w:r>
              <w:rPr>
                <w:sz w:val="24"/>
              </w:rPr>
              <w:t>Reducing</w:t>
            </w:r>
            <w:r>
              <w:rPr>
                <w:spacing w:val="-4"/>
                <w:sz w:val="24"/>
              </w:rPr>
              <w:t> </w:t>
            </w:r>
            <w:r>
              <w:rPr>
                <w:spacing w:val="-2"/>
                <w:sz w:val="24"/>
              </w:rPr>
              <w:t>Conflict.</w:t>
            </w:r>
          </w:p>
        </w:tc>
        <w:tc>
          <w:tcPr>
            <w:tcW w:w="636" w:type="dxa"/>
          </w:tcPr>
          <w:p>
            <w:pPr>
              <w:pStyle w:val="TableParagraph"/>
              <w:spacing w:line="270" w:lineRule="exact"/>
              <w:ind w:left="6"/>
              <w:jc w:val="center"/>
              <w:rPr>
                <w:sz w:val="24"/>
              </w:rPr>
            </w:pPr>
            <w:r>
              <w:rPr>
                <w:spacing w:val="-5"/>
                <w:sz w:val="24"/>
              </w:rPr>
              <w:t>232</w:t>
            </w:r>
          </w:p>
        </w:tc>
        <w:tc>
          <w:tcPr>
            <w:tcW w:w="720" w:type="dxa"/>
          </w:tcPr>
          <w:p>
            <w:pPr>
              <w:pStyle w:val="TableParagraph"/>
              <w:spacing w:line="270" w:lineRule="exact"/>
              <w:ind w:left="21" w:right="14"/>
              <w:jc w:val="center"/>
              <w:rPr>
                <w:sz w:val="24"/>
              </w:rPr>
            </w:pPr>
            <w:r>
              <w:rPr>
                <w:spacing w:val="-4"/>
                <w:sz w:val="24"/>
              </w:rPr>
              <w:t>2.45</w:t>
            </w:r>
          </w:p>
        </w:tc>
        <w:tc>
          <w:tcPr>
            <w:tcW w:w="900" w:type="dxa"/>
          </w:tcPr>
          <w:p>
            <w:pPr>
              <w:pStyle w:val="TableParagraph"/>
              <w:spacing w:line="270" w:lineRule="exact"/>
              <w:ind w:left="11" w:right="2"/>
              <w:jc w:val="center"/>
              <w:rPr>
                <w:sz w:val="24"/>
              </w:rPr>
            </w:pPr>
            <w:r>
              <w:rPr>
                <w:spacing w:val="-4"/>
                <w:sz w:val="24"/>
              </w:rPr>
              <w:t>.910</w:t>
            </w:r>
          </w:p>
        </w:tc>
        <w:tc>
          <w:tcPr>
            <w:tcW w:w="2701" w:type="dxa"/>
          </w:tcPr>
          <w:p>
            <w:pPr>
              <w:pStyle w:val="TableParagraph"/>
              <w:spacing w:line="270" w:lineRule="exact"/>
              <w:ind w:left="7"/>
              <w:jc w:val="center"/>
              <w:rPr>
                <w:sz w:val="24"/>
              </w:rPr>
            </w:pPr>
            <w:r>
              <w:rPr>
                <w:spacing w:val="-10"/>
                <w:sz w:val="24"/>
              </w:rPr>
              <w:t>D</w:t>
            </w:r>
          </w:p>
        </w:tc>
      </w:tr>
      <w:tr>
        <w:trPr>
          <w:trHeight w:val="827" w:hRule="atLeast"/>
        </w:trPr>
        <w:tc>
          <w:tcPr>
            <w:tcW w:w="1414" w:type="dxa"/>
          </w:tcPr>
          <w:p>
            <w:pPr>
              <w:pStyle w:val="TableParagraph"/>
              <w:spacing w:line="270" w:lineRule="exact"/>
              <w:ind w:left="107"/>
              <w:rPr>
                <w:sz w:val="24"/>
              </w:rPr>
            </w:pPr>
            <w:r>
              <w:rPr>
                <w:spacing w:val="-4"/>
                <w:sz w:val="24"/>
              </w:rPr>
              <w:t>B112</w:t>
            </w:r>
          </w:p>
        </w:tc>
        <w:tc>
          <w:tcPr>
            <w:tcW w:w="2451" w:type="dxa"/>
          </w:tcPr>
          <w:p>
            <w:pPr>
              <w:pStyle w:val="TableParagraph"/>
              <w:spacing w:line="270" w:lineRule="exact"/>
              <w:ind w:left="107"/>
              <w:rPr>
                <w:sz w:val="24"/>
              </w:rPr>
            </w:pPr>
            <w:r>
              <w:rPr>
                <w:spacing w:val="-2"/>
                <w:sz w:val="24"/>
              </w:rPr>
              <w:t>Indifference</w:t>
            </w:r>
          </w:p>
          <w:p>
            <w:pPr>
              <w:pStyle w:val="TableParagraph"/>
              <w:spacing w:before="139"/>
              <w:ind w:left="107"/>
              <w:rPr>
                <w:sz w:val="24"/>
              </w:rPr>
            </w:pPr>
            <w:r>
              <w:rPr>
                <w:spacing w:val="-2"/>
                <w:sz w:val="24"/>
              </w:rPr>
              <w:t>(Complacency).</w:t>
            </w:r>
          </w:p>
        </w:tc>
        <w:tc>
          <w:tcPr>
            <w:tcW w:w="636" w:type="dxa"/>
          </w:tcPr>
          <w:p>
            <w:pPr>
              <w:pStyle w:val="TableParagraph"/>
              <w:spacing w:line="270" w:lineRule="exact"/>
              <w:ind w:left="6"/>
              <w:jc w:val="center"/>
              <w:rPr>
                <w:sz w:val="24"/>
              </w:rPr>
            </w:pPr>
            <w:r>
              <w:rPr>
                <w:spacing w:val="-5"/>
                <w:sz w:val="24"/>
              </w:rPr>
              <w:t>224</w:t>
            </w:r>
          </w:p>
        </w:tc>
        <w:tc>
          <w:tcPr>
            <w:tcW w:w="720" w:type="dxa"/>
          </w:tcPr>
          <w:p>
            <w:pPr>
              <w:pStyle w:val="TableParagraph"/>
              <w:spacing w:line="270" w:lineRule="exact"/>
              <w:ind w:left="21" w:right="14"/>
              <w:jc w:val="center"/>
              <w:rPr>
                <w:sz w:val="24"/>
              </w:rPr>
            </w:pPr>
            <w:r>
              <w:rPr>
                <w:spacing w:val="-4"/>
                <w:sz w:val="24"/>
              </w:rPr>
              <w:t>2.45</w:t>
            </w:r>
          </w:p>
        </w:tc>
        <w:tc>
          <w:tcPr>
            <w:tcW w:w="900" w:type="dxa"/>
          </w:tcPr>
          <w:p>
            <w:pPr>
              <w:pStyle w:val="TableParagraph"/>
              <w:spacing w:line="270" w:lineRule="exact"/>
              <w:ind w:left="11" w:right="2"/>
              <w:jc w:val="center"/>
              <w:rPr>
                <w:sz w:val="24"/>
              </w:rPr>
            </w:pPr>
            <w:r>
              <w:rPr>
                <w:spacing w:val="-4"/>
                <w:sz w:val="24"/>
              </w:rPr>
              <w:t>.936</w:t>
            </w:r>
          </w:p>
        </w:tc>
        <w:tc>
          <w:tcPr>
            <w:tcW w:w="2701" w:type="dxa"/>
          </w:tcPr>
          <w:p>
            <w:pPr>
              <w:pStyle w:val="TableParagraph"/>
              <w:spacing w:line="270" w:lineRule="exact"/>
              <w:ind w:left="7"/>
              <w:jc w:val="center"/>
              <w:rPr>
                <w:sz w:val="24"/>
              </w:rPr>
            </w:pPr>
            <w:r>
              <w:rPr>
                <w:spacing w:val="-10"/>
                <w:sz w:val="24"/>
              </w:rPr>
              <w:t>D</w:t>
            </w:r>
          </w:p>
        </w:tc>
      </w:tr>
    </w:tbl>
    <w:p>
      <w:pPr>
        <w:pStyle w:val="BodyText"/>
        <w:spacing w:before="135"/>
        <w:ind w:left="0"/>
        <w:rPr>
          <w:b/>
        </w:rPr>
      </w:pPr>
    </w:p>
    <w:p>
      <w:pPr>
        <w:pStyle w:val="BodyText"/>
        <w:spacing w:line="360" w:lineRule="auto"/>
        <w:ind w:right="1251" w:firstLine="720"/>
        <w:jc w:val="both"/>
      </w:pPr>
      <w:r>
        <w:rPr/>
        <w:t>From the data presented on Table 33, there are divergent views on the roles of community leaders in the resolution of the conflict in the Niger delta. Most respondents agree that most community leaders are involved in peacemaking efforts and on the other hand being culpable in fuelling violent conflicts in the Niger Delta region. Likewise, respondents generally disagree on the notion that community</w:t>
      </w:r>
      <w:r>
        <w:rPr>
          <w:spacing w:val="40"/>
        </w:rPr>
        <w:t> </w:t>
      </w:r>
      <w:r>
        <w:rPr/>
        <w:t>leaders</w:t>
      </w:r>
      <w:r>
        <w:rPr>
          <w:spacing w:val="-1"/>
        </w:rPr>
        <w:t> </w:t>
      </w:r>
      <w:r>
        <w:rPr/>
        <w:t>in the</w:t>
      </w:r>
      <w:r>
        <w:rPr>
          <w:spacing w:val="-1"/>
        </w:rPr>
        <w:t> </w:t>
      </w:r>
      <w:r>
        <w:rPr/>
        <w:t>region are</w:t>
      </w:r>
      <w:r>
        <w:rPr>
          <w:spacing w:val="-1"/>
        </w:rPr>
        <w:t> </w:t>
      </w:r>
      <w:r>
        <w:rPr/>
        <w:t>involved in reducing</w:t>
      </w:r>
      <w:r>
        <w:rPr>
          <w:spacing w:val="-3"/>
        </w:rPr>
        <w:t> </w:t>
      </w:r>
      <w:r>
        <w:rPr/>
        <w:t>conflicts as well as feeling</w:t>
      </w:r>
      <w:r>
        <w:rPr>
          <w:spacing w:val="-3"/>
        </w:rPr>
        <w:t> </w:t>
      </w:r>
      <w:r>
        <w:rPr/>
        <w:t>indifferent to the issues of conflict mitigation. This rendition attests to what is reported in literature that attempts to involve community</w:t>
      </w:r>
      <w:r>
        <w:rPr>
          <w:spacing w:val="-3"/>
        </w:rPr>
        <w:t> </w:t>
      </w:r>
      <w:r>
        <w:rPr/>
        <w:t>leaders in conflict resolution and/or prevention of community</w:t>
      </w:r>
      <w:r>
        <w:rPr>
          <w:spacing w:val="-6"/>
        </w:rPr>
        <w:t> </w:t>
      </w:r>
      <w:r>
        <w:rPr/>
        <w:t>development initiatives have been largely</w:t>
      </w:r>
      <w:r>
        <w:rPr>
          <w:spacing w:val="-4"/>
        </w:rPr>
        <w:t> </w:t>
      </w:r>
      <w:r>
        <w:rPr/>
        <w:t>unsuccessful, as local chiefs are accused of diverting money intended for community projects for personal gains.</w:t>
      </w:r>
    </w:p>
    <w:p>
      <w:pPr>
        <w:pStyle w:val="BodyText"/>
        <w:spacing w:line="360" w:lineRule="auto" w:before="1"/>
        <w:ind w:right="1262" w:firstLine="662"/>
        <w:jc w:val="both"/>
      </w:pPr>
      <w:r>
        <w:rPr/>
        <w:t>The roles of the Niger Delta communities in the resolution of the Niger Delta conflict brought out some emerging</w:t>
      </w:r>
      <w:r>
        <w:rPr>
          <w:spacing w:val="-1"/>
        </w:rPr>
        <w:t> </w:t>
      </w:r>
      <w:r>
        <w:rPr/>
        <w:t>issues in the</w:t>
      </w:r>
      <w:r>
        <w:rPr>
          <w:spacing w:val="-1"/>
        </w:rPr>
        <w:t> </w:t>
      </w:r>
      <w:r>
        <w:rPr/>
        <w:t>region. The Niger Delta in Nigeria‟s political economy, the rise of ethnic minority consciousness in the political agitation (resource control), the emerging consequences with its attendants increase in spate of violence and circle of violence in the region were widely reported. Likewise, the issues</w:t>
      </w:r>
      <w:r>
        <w:rPr>
          <w:spacing w:val="54"/>
          <w:w w:val="150"/>
        </w:rPr>
        <w:t> </w:t>
      </w:r>
      <w:r>
        <w:rPr/>
        <w:t>of</w:t>
      </w:r>
      <w:r>
        <w:rPr>
          <w:spacing w:val="54"/>
          <w:w w:val="150"/>
        </w:rPr>
        <w:t> </w:t>
      </w:r>
      <w:r>
        <w:rPr/>
        <w:t>environmental</w:t>
      </w:r>
      <w:r>
        <w:rPr>
          <w:spacing w:val="56"/>
          <w:w w:val="150"/>
        </w:rPr>
        <w:t> </w:t>
      </w:r>
      <w:r>
        <w:rPr/>
        <w:t>problems,</w:t>
      </w:r>
      <w:r>
        <w:rPr>
          <w:spacing w:val="55"/>
          <w:w w:val="150"/>
        </w:rPr>
        <w:t> </w:t>
      </w:r>
      <w:r>
        <w:rPr/>
        <w:t>poverty,</w:t>
      </w:r>
      <w:r>
        <w:rPr>
          <w:spacing w:val="56"/>
          <w:w w:val="150"/>
        </w:rPr>
        <w:t> </w:t>
      </w:r>
      <w:r>
        <w:rPr/>
        <w:t>good</w:t>
      </w:r>
      <w:r>
        <w:rPr>
          <w:spacing w:val="55"/>
          <w:w w:val="150"/>
        </w:rPr>
        <w:t> </w:t>
      </w:r>
      <w:r>
        <w:rPr/>
        <w:t>governance,</w:t>
      </w:r>
      <w:r>
        <w:rPr>
          <w:spacing w:val="54"/>
          <w:w w:val="150"/>
        </w:rPr>
        <w:t> </w:t>
      </w:r>
      <w:r>
        <w:rPr/>
        <w:t>development</w:t>
      </w:r>
      <w:r>
        <w:rPr>
          <w:spacing w:val="55"/>
          <w:w w:val="150"/>
        </w:rPr>
        <w:t> </w:t>
      </w:r>
      <w:r>
        <w:rPr>
          <w:spacing w:val="-5"/>
        </w:rPr>
        <w:t>and</w:t>
      </w:r>
    </w:p>
    <w:p>
      <w:pPr>
        <w:spacing w:after="0" w:line="360" w:lineRule="auto"/>
        <w:jc w:val="both"/>
        <w:sectPr>
          <w:pgSz w:w="11910" w:h="16840"/>
          <w:pgMar w:header="0" w:footer="1561" w:top="1360" w:bottom="1760" w:left="720" w:right="180"/>
        </w:sectPr>
      </w:pPr>
    </w:p>
    <w:p>
      <w:pPr>
        <w:pStyle w:val="BodyText"/>
        <w:spacing w:line="360" w:lineRule="auto" w:before="60"/>
        <w:ind w:right="1263"/>
        <w:jc w:val="both"/>
      </w:pPr>
      <w:r>
        <w:rPr/>
        <mc:AlternateContent>
          <mc:Choice Requires="wps">
            <w:drawing>
              <wp:anchor distT="0" distB="0" distL="0" distR="0" allowOverlap="1" layoutInCell="1" locked="0" behindDoc="1" simplePos="0" relativeHeight="480684544">
                <wp:simplePos x="0" y="0"/>
                <wp:positionH relativeFrom="page">
                  <wp:posOffset>-1537026</wp:posOffset>
                </wp:positionH>
                <wp:positionV relativeFrom="page">
                  <wp:posOffset>4900424</wp:posOffset>
                </wp:positionV>
                <wp:extent cx="10669905" cy="914400"/>
                <wp:effectExtent l="0" t="0" r="0" b="0"/>
                <wp:wrapNone/>
                <wp:docPr id="328" name="Textbox 328"/>
                <wp:cNvGraphicFramePr>
                  <a:graphicFrameLocks/>
                </wp:cNvGraphicFramePr>
                <a:graphic>
                  <a:graphicData uri="http://schemas.microsoft.com/office/word/2010/wordprocessingShape">
                    <wps:wsp>
                      <wps:cNvPr id="328" name="Textbox 328"/>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31936;rotation:306" type="#_x0000_t136" fillcolor="#ff5400" stroked="f">
                <o:extrusion v:ext="view" autorotationcenter="t"/>
                <v:textpath style="font-family:&quot;Arial MT&quot;;font-size:72pt;v-text-kern:t;mso-text-shadow:auto" string="UNIVERSITY OF IBADAN"/>
                <w10:wrap type="none"/>
              </v:shape>
            </w:pict>
          </mc:Fallback>
        </mc:AlternateContent>
      </w:r>
      <w:r>
        <w:rPr/>
        <w:t>endemic violence were analysed and discussed by various media and stakeholders. Towards this, there have been persistent calls for government to evolve an integrated approach to conflict management for sustainable peace and development in the Niger </w:t>
      </w:r>
      <w:r>
        <w:rPr>
          <w:spacing w:val="-2"/>
        </w:rPr>
        <w:t>Delta.</w:t>
      </w:r>
    </w:p>
    <w:p>
      <w:pPr>
        <w:pStyle w:val="BodyText"/>
        <w:spacing w:before="6"/>
        <w:ind w:left="0"/>
      </w:pPr>
    </w:p>
    <w:p>
      <w:pPr>
        <w:pStyle w:val="Heading2"/>
        <w:numPr>
          <w:ilvl w:val="3"/>
          <w:numId w:val="28"/>
        </w:numPr>
        <w:tabs>
          <w:tab w:pos="2880" w:val="left" w:leader="none"/>
        </w:tabs>
        <w:spacing w:line="360" w:lineRule="auto" w:before="0" w:after="0"/>
        <w:ind w:left="1440" w:right="1263" w:firstLine="0"/>
        <w:jc w:val="left"/>
      </w:pPr>
      <w:r>
        <w:rPr/>
        <w:t>Perception</w:t>
      </w:r>
      <w:r>
        <w:rPr>
          <w:spacing w:val="80"/>
        </w:rPr>
        <w:t> </w:t>
      </w:r>
      <w:r>
        <w:rPr/>
        <w:t>on</w:t>
      </w:r>
      <w:r>
        <w:rPr>
          <w:spacing w:val="80"/>
        </w:rPr>
        <w:t> </w:t>
      </w:r>
      <w:r>
        <w:rPr/>
        <w:t>the</w:t>
      </w:r>
      <w:r>
        <w:rPr>
          <w:spacing w:val="80"/>
        </w:rPr>
        <w:t> </w:t>
      </w:r>
      <w:r>
        <w:rPr/>
        <w:t>Roles</w:t>
      </w:r>
      <w:r>
        <w:rPr>
          <w:spacing w:val="80"/>
        </w:rPr>
        <w:t> </w:t>
      </w:r>
      <w:r>
        <w:rPr/>
        <w:t>of</w:t>
      </w:r>
      <w:r>
        <w:rPr>
          <w:spacing w:val="80"/>
        </w:rPr>
        <w:t> </w:t>
      </w:r>
      <w:r>
        <w:rPr/>
        <w:t>Joint</w:t>
      </w:r>
      <w:r>
        <w:rPr>
          <w:spacing w:val="80"/>
        </w:rPr>
        <w:t> </w:t>
      </w:r>
      <w:r>
        <w:rPr/>
        <w:t>Task</w:t>
      </w:r>
      <w:r>
        <w:rPr>
          <w:spacing w:val="80"/>
        </w:rPr>
        <w:t> </w:t>
      </w:r>
      <w:r>
        <w:rPr/>
        <w:t>Force</w:t>
      </w:r>
      <w:r>
        <w:rPr>
          <w:spacing w:val="80"/>
        </w:rPr>
        <w:t> </w:t>
      </w:r>
      <w:r>
        <w:rPr/>
        <w:t>(JTF)</w:t>
      </w:r>
      <w:r>
        <w:rPr>
          <w:spacing w:val="80"/>
        </w:rPr>
        <w:t> </w:t>
      </w:r>
      <w:r>
        <w:rPr/>
        <w:t>in</w:t>
      </w:r>
      <w:r>
        <w:rPr>
          <w:spacing w:val="80"/>
        </w:rPr>
        <w:t> </w:t>
      </w:r>
      <w:r>
        <w:rPr/>
        <w:t>the</w:t>
      </w:r>
      <w:r>
        <w:rPr>
          <w:spacing w:val="80"/>
        </w:rPr>
        <w:t> </w:t>
      </w:r>
      <w:r>
        <w:rPr/>
        <w:t>Resolution of the Niger Delta Conflict</w:t>
      </w:r>
    </w:p>
    <w:p>
      <w:pPr>
        <w:pStyle w:val="BodyText"/>
        <w:spacing w:line="360" w:lineRule="auto"/>
        <w:ind w:right="1260"/>
      </w:pPr>
      <w:r>
        <w:rPr/>
        <w:t>The perception on the Roles of Joint Task Force (JTF) in the Resolution of the Niger Delta Conflict is shown on Table 34.</w:t>
      </w:r>
    </w:p>
    <w:p>
      <w:pPr>
        <w:pStyle w:val="Heading2"/>
        <w:spacing w:line="360" w:lineRule="auto"/>
        <w:ind w:right="1260"/>
      </w:pPr>
      <w:r>
        <w:rPr/>
        <w:t>Table</w:t>
      </w:r>
      <w:r>
        <w:rPr>
          <w:spacing w:val="-3"/>
        </w:rPr>
        <w:t> </w:t>
      </w:r>
      <w:r>
        <w:rPr/>
        <w:t>34:</w:t>
      </w:r>
      <w:r>
        <w:rPr>
          <w:spacing w:val="-5"/>
        </w:rPr>
        <w:t> </w:t>
      </w:r>
      <w:r>
        <w:rPr/>
        <w:t>Perception</w:t>
      </w:r>
      <w:r>
        <w:rPr>
          <w:spacing w:val="-3"/>
        </w:rPr>
        <w:t> </w:t>
      </w:r>
      <w:r>
        <w:rPr/>
        <w:t>on</w:t>
      </w:r>
      <w:r>
        <w:rPr>
          <w:spacing w:val="-3"/>
        </w:rPr>
        <w:t> </w:t>
      </w:r>
      <w:r>
        <w:rPr/>
        <w:t>the</w:t>
      </w:r>
      <w:r>
        <w:rPr>
          <w:spacing w:val="-4"/>
        </w:rPr>
        <w:t> </w:t>
      </w:r>
      <w:r>
        <w:rPr/>
        <w:t>Roles</w:t>
      </w:r>
      <w:r>
        <w:rPr>
          <w:spacing w:val="-3"/>
        </w:rPr>
        <w:t> </w:t>
      </w:r>
      <w:r>
        <w:rPr/>
        <w:t>of</w:t>
      </w:r>
      <w:r>
        <w:rPr>
          <w:spacing w:val="-2"/>
        </w:rPr>
        <w:t> </w:t>
      </w:r>
      <w:r>
        <w:rPr/>
        <w:t>Joint</w:t>
      </w:r>
      <w:r>
        <w:rPr>
          <w:spacing w:val="-3"/>
        </w:rPr>
        <w:t> </w:t>
      </w:r>
      <w:r>
        <w:rPr/>
        <w:t>Military</w:t>
      </w:r>
      <w:r>
        <w:rPr>
          <w:spacing w:val="-3"/>
        </w:rPr>
        <w:t> </w:t>
      </w:r>
      <w:r>
        <w:rPr/>
        <w:t>Task</w:t>
      </w:r>
      <w:r>
        <w:rPr>
          <w:spacing w:val="-3"/>
        </w:rPr>
        <w:t> </w:t>
      </w:r>
      <w:r>
        <w:rPr/>
        <w:t>Force</w:t>
      </w:r>
      <w:r>
        <w:rPr>
          <w:spacing w:val="-4"/>
        </w:rPr>
        <w:t> </w:t>
      </w:r>
      <w:r>
        <w:rPr/>
        <w:t>(JTF)</w:t>
      </w:r>
      <w:r>
        <w:rPr>
          <w:spacing w:val="-3"/>
        </w:rPr>
        <w:t> </w:t>
      </w:r>
      <w:r>
        <w:rPr/>
        <w:t>in</w:t>
      </w:r>
      <w:r>
        <w:rPr>
          <w:spacing w:val="-3"/>
        </w:rPr>
        <w:t> </w:t>
      </w:r>
      <w:r>
        <w:rPr/>
        <w:t>the Resolution of the Niger Delta Conflict.</w:t>
      </w: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5"/>
        <w:gridCol w:w="2833"/>
        <w:gridCol w:w="970"/>
        <w:gridCol w:w="814"/>
        <w:gridCol w:w="819"/>
        <w:gridCol w:w="2603"/>
      </w:tblGrid>
      <w:tr>
        <w:trPr>
          <w:trHeight w:val="414" w:hRule="atLeast"/>
        </w:trPr>
        <w:tc>
          <w:tcPr>
            <w:tcW w:w="965" w:type="dxa"/>
          </w:tcPr>
          <w:p>
            <w:pPr>
              <w:pStyle w:val="TableParagraph"/>
              <w:rPr>
                <w:sz w:val="24"/>
              </w:rPr>
            </w:pPr>
          </w:p>
        </w:tc>
        <w:tc>
          <w:tcPr>
            <w:tcW w:w="2833" w:type="dxa"/>
          </w:tcPr>
          <w:p>
            <w:pPr>
              <w:pStyle w:val="TableParagraph"/>
              <w:rPr>
                <w:sz w:val="24"/>
              </w:rPr>
            </w:pPr>
          </w:p>
        </w:tc>
        <w:tc>
          <w:tcPr>
            <w:tcW w:w="970" w:type="dxa"/>
          </w:tcPr>
          <w:p>
            <w:pPr>
              <w:pStyle w:val="TableParagraph"/>
              <w:spacing w:line="275" w:lineRule="exact"/>
              <w:ind w:left="8"/>
              <w:jc w:val="center"/>
              <w:rPr>
                <w:b/>
                <w:sz w:val="24"/>
              </w:rPr>
            </w:pPr>
            <w:r>
              <w:rPr>
                <w:b/>
                <w:spacing w:val="-10"/>
                <w:sz w:val="24"/>
              </w:rPr>
              <w:t>N</w:t>
            </w:r>
          </w:p>
        </w:tc>
        <w:tc>
          <w:tcPr>
            <w:tcW w:w="814" w:type="dxa"/>
          </w:tcPr>
          <w:p>
            <w:pPr>
              <w:pStyle w:val="TableParagraph"/>
              <w:spacing w:line="275" w:lineRule="exact"/>
              <w:ind w:left="8" w:right="4"/>
              <w:jc w:val="center"/>
              <w:rPr>
                <w:b/>
                <w:sz w:val="24"/>
              </w:rPr>
            </w:pPr>
            <w:r>
              <w:rPr>
                <w:b/>
                <w:spacing w:val="-4"/>
                <w:sz w:val="24"/>
              </w:rPr>
              <w:t>Mean</w:t>
            </w:r>
          </w:p>
        </w:tc>
        <w:tc>
          <w:tcPr>
            <w:tcW w:w="819" w:type="dxa"/>
          </w:tcPr>
          <w:p>
            <w:pPr>
              <w:pStyle w:val="TableParagraph"/>
              <w:spacing w:line="275" w:lineRule="exact"/>
              <w:ind w:left="7" w:right="3"/>
              <w:jc w:val="center"/>
              <w:rPr>
                <w:b/>
                <w:sz w:val="24"/>
              </w:rPr>
            </w:pPr>
            <w:r>
              <w:rPr>
                <w:b/>
                <w:spacing w:val="-5"/>
                <w:sz w:val="24"/>
              </w:rPr>
              <w:t>SD</w:t>
            </w:r>
          </w:p>
        </w:tc>
        <w:tc>
          <w:tcPr>
            <w:tcW w:w="2603" w:type="dxa"/>
          </w:tcPr>
          <w:p>
            <w:pPr>
              <w:pStyle w:val="TableParagraph"/>
              <w:spacing w:line="275" w:lineRule="exact"/>
              <w:ind w:left="16" w:right="16"/>
              <w:jc w:val="center"/>
              <w:rPr>
                <w:b/>
                <w:sz w:val="24"/>
              </w:rPr>
            </w:pPr>
            <w:r>
              <w:rPr>
                <w:b/>
                <w:sz w:val="24"/>
              </w:rPr>
              <w:t>Level</w:t>
            </w:r>
            <w:r>
              <w:rPr>
                <w:b/>
                <w:spacing w:val="-3"/>
                <w:sz w:val="24"/>
              </w:rPr>
              <w:t> </w:t>
            </w:r>
            <w:r>
              <w:rPr>
                <w:b/>
                <w:sz w:val="24"/>
              </w:rPr>
              <w:t>of </w:t>
            </w:r>
            <w:r>
              <w:rPr>
                <w:b/>
                <w:spacing w:val="-2"/>
                <w:sz w:val="24"/>
              </w:rPr>
              <w:t>Agreement</w:t>
            </w:r>
          </w:p>
        </w:tc>
      </w:tr>
      <w:tr>
        <w:trPr>
          <w:trHeight w:val="767" w:hRule="atLeast"/>
        </w:trPr>
        <w:tc>
          <w:tcPr>
            <w:tcW w:w="965" w:type="dxa"/>
          </w:tcPr>
          <w:p>
            <w:pPr>
              <w:pStyle w:val="TableParagraph"/>
              <w:spacing w:line="273" w:lineRule="exact"/>
              <w:ind w:left="9"/>
              <w:rPr>
                <w:sz w:val="24"/>
              </w:rPr>
            </w:pPr>
            <w:r>
              <w:rPr>
                <w:spacing w:val="-4"/>
                <w:sz w:val="24"/>
              </w:rPr>
              <w:t>B113</w:t>
            </w:r>
          </w:p>
        </w:tc>
        <w:tc>
          <w:tcPr>
            <w:tcW w:w="2833" w:type="dxa"/>
          </w:tcPr>
          <w:p>
            <w:pPr>
              <w:pStyle w:val="TableParagraph"/>
              <w:spacing w:line="273" w:lineRule="exact"/>
              <w:ind w:left="9"/>
              <w:rPr>
                <w:sz w:val="24"/>
              </w:rPr>
            </w:pPr>
            <w:r>
              <w:rPr>
                <w:sz w:val="24"/>
              </w:rPr>
              <w:t>Fence</w:t>
            </w:r>
            <w:r>
              <w:rPr>
                <w:spacing w:val="-3"/>
                <w:sz w:val="24"/>
              </w:rPr>
              <w:t> </w:t>
            </w:r>
            <w:r>
              <w:rPr>
                <w:spacing w:val="-2"/>
                <w:sz w:val="24"/>
              </w:rPr>
              <w:t>mending</w:t>
            </w:r>
          </w:p>
          <w:p>
            <w:pPr>
              <w:pStyle w:val="TableParagraph"/>
              <w:spacing w:before="125"/>
              <w:ind w:left="9"/>
              <w:rPr>
                <w:sz w:val="24"/>
              </w:rPr>
            </w:pPr>
            <w:r>
              <w:rPr>
                <w:sz w:val="24"/>
              </w:rPr>
              <w:t>(Peacemaking</w:t>
            </w:r>
            <w:r>
              <w:rPr>
                <w:spacing w:val="-3"/>
                <w:sz w:val="24"/>
              </w:rPr>
              <w:t> </w:t>
            </w:r>
            <w:r>
              <w:rPr>
                <w:spacing w:val="-2"/>
                <w:sz w:val="24"/>
              </w:rPr>
              <w:t>efforts).</w:t>
            </w:r>
          </w:p>
        </w:tc>
        <w:tc>
          <w:tcPr>
            <w:tcW w:w="970" w:type="dxa"/>
          </w:tcPr>
          <w:p>
            <w:pPr>
              <w:pStyle w:val="TableParagraph"/>
              <w:spacing w:before="121"/>
              <w:rPr>
                <w:b/>
                <w:sz w:val="24"/>
              </w:rPr>
            </w:pPr>
          </w:p>
          <w:p>
            <w:pPr>
              <w:pStyle w:val="TableParagraph"/>
              <w:ind w:left="8"/>
              <w:jc w:val="center"/>
              <w:rPr>
                <w:sz w:val="24"/>
              </w:rPr>
            </w:pPr>
            <w:r>
              <w:rPr>
                <w:spacing w:val="-5"/>
                <w:sz w:val="24"/>
              </w:rPr>
              <w:t>229</w:t>
            </w:r>
          </w:p>
        </w:tc>
        <w:tc>
          <w:tcPr>
            <w:tcW w:w="814" w:type="dxa"/>
          </w:tcPr>
          <w:p>
            <w:pPr>
              <w:pStyle w:val="TableParagraph"/>
              <w:spacing w:before="121"/>
              <w:rPr>
                <w:b/>
                <w:sz w:val="24"/>
              </w:rPr>
            </w:pPr>
          </w:p>
          <w:p>
            <w:pPr>
              <w:pStyle w:val="TableParagraph"/>
              <w:ind w:left="8"/>
              <w:jc w:val="center"/>
              <w:rPr>
                <w:sz w:val="24"/>
              </w:rPr>
            </w:pPr>
            <w:r>
              <w:rPr>
                <w:spacing w:val="-4"/>
                <w:sz w:val="24"/>
              </w:rPr>
              <w:t>2.86</w:t>
            </w:r>
          </w:p>
        </w:tc>
        <w:tc>
          <w:tcPr>
            <w:tcW w:w="819" w:type="dxa"/>
          </w:tcPr>
          <w:p>
            <w:pPr>
              <w:pStyle w:val="TableParagraph"/>
              <w:spacing w:before="121"/>
              <w:rPr>
                <w:b/>
                <w:sz w:val="24"/>
              </w:rPr>
            </w:pPr>
          </w:p>
          <w:p>
            <w:pPr>
              <w:pStyle w:val="TableParagraph"/>
              <w:ind w:left="7"/>
              <w:jc w:val="center"/>
              <w:rPr>
                <w:sz w:val="24"/>
              </w:rPr>
            </w:pPr>
            <w:r>
              <w:rPr>
                <w:spacing w:val="-2"/>
                <w:sz w:val="24"/>
              </w:rPr>
              <w:t>1.028</w:t>
            </w:r>
          </w:p>
        </w:tc>
        <w:tc>
          <w:tcPr>
            <w:tcW w:w="2603" w:type="dxa"/>
          </w:tcPr>
          <w:p>
            <w:pPr>
              <w:pStyle w:val="TableParagraph"/>
              <w:spacing w:before="121"/>
              <w:rPr>
                <w:b/>
                <w:sz w:val="24"/>
              </w:rPr>
            </w:pPr>
          </w:p>
          <w:p>
            <w:pPr>
              <w:pStyle w:val="TableParagraph"/>
              <w:ind w:left="16" w:right="15"/>
              <w:jc w:val="center"/>
              <w:rPr>
                <w:sz w:val="24"/>
              </w:rPr>
            </w:pPr>
            <w:r>
              <w:rPr>
                <w:spacing w:val="-10"/>
                <w:sz w:val="24"/>
              </w:rPr>
              <w:t>A</w:t>
            </w:r>
          </w:p>
        </w:tc>
      </w:tr>
      <w:tr>
        <w:trPr>
          <w:trHeight w:val="388" w:hRule="atLeast"/>
        </w:trPr>
        <w:tc>
          <w:tcPr>
            <w:tcW w:w="965" w:type="dxa"/>
          </w:tcPr>
          <w:p>
            <w:pPr>
              <w:pStyle w:val="TableParagraph"/>
              <w:spacing w:line="270" w:lineRule="exact"/>
              <w:ind w:left="9"/>
              <w:rPr>
                <w:sz w:val="24"/>
              </w:rPr>
            </w:pPr>
            <w:r>
              <w:rPr>
                <w:spacing w:val="-4"/>
                <w:sz w:val="24"/>
              </w:rPr>
              <w:t>B114</w:t>
            </w:r>
          </w:p>
        </w:tc>
        <w:tc>
          <w:tcPr>
            <w:tcW w:w="2833" w:type="dxa"/>
          </w:tcPr>
          <w:p>
            <w:pPr>
              <w:pStyle w:val="TableParagraph"/>
              <w:spacing w:line="270" w:lineRule="exact"/>
              <w:ind w:left="9"/>
              <w:rPr>
                <w:sz w:val="24"/>
              </w:rPr>
            </w:pPr>
            <w:r>
              <w:rPr>
                <w:sz w:val="24"/>
              </w:rPr>
              <w:t>Fuelling</w:t>
            </w:r>
            <w:r>
              <w:rPr>
                <w:spacing w:val="-3"/>
                <w:sz w:val="24"/>
              </w:rPr>
              <w:t> </w:t>
            </w:r>
            <w:r>
              <w:rPr>
                <w:spacing w:val="-2"/>
                <w:sz w:val="24"/>
              </w:rPr>
              <w:t>crisis.</w:t>
            </w:r>
          </w:p>
        </w:tc>
        <w:tc>
          <w:tcPr>
            <w:tcW w:w="970" w:type="dxa"/>
          </w:tcPr>
          <w:p>
            <w:pPr>
              <w:pStyle w:val="TableParagraph"/>
              <w:spacing w:line="270" w:lineRule="exact"/>
              <w:ind w:left="8"/>
              <w:jc w:val="center"/>
              <w:rPr>
                <w:sz w:val="24"/>
              </w:rPr>
            </w:pPr>
            <w:r>
              <w:rPr>
                <w:spacing w:val="-5"/>
                <w:sz w:val="24"/>
              </w:rPr>
              <w:t>231</w:t>
            </w:r>
          </w:p>
        </w:tc>
        <w:tc>
          <w:tcPr>
            <w:tcW w:w="814" w:type="dxa"/>
          </w:tcPr>
          <w:p>
            <w:pPr>
              <w:pStyle w:val="TableParagraph"/>
              <w:spacing w:line="270" w:lineRule="exact"/>
              <w:ind w:left="8"/>
              <w:jc w:val="center"/>
              <w:rPr>
                <w:sz w:val="24"/>
              </w:rPr>
            </w:pPr>
            <w:r>
              <w:rPr>
                <w:spacing w:val="-4"/>
                <w:sz w:val="24"/>
              </w:rPr>
              <w:t>2.15</w:t>
            </w:r>
          </w:p>
        </w:tc>
        <w:tc>
          <w:tcPr>
            <w:tcW w:w="819" w:type="dxa"/>
          </w:tcPr>
          <w:p>
            <w:pPr>
              <w:pStyle w:val="TableParagraph"/>
              <w:spacing w:line="270" w:lineRule="exact"/>
              <w:ind w:left="7"/>
              <w:jc w:val="center"/>
              <w:rPr>
                <w:sz w:val="24"/>
              </w:rPr>
            </w:pPr>
            <w:r>
              <w:rPr>
                <w:spacing w:val="-2"/>
                <w:sz w:val="24"/>
              </w:rPr>
              <w:t>1.042</w:t>
            </w:r>
          </w:p>
        </w:tc>
        <w:tc>
          <w:tcPr>
            <w:tcW w:w="2603" w:type="dxa"/>
          </w:tcPr>
          <w:p>
            <w:pPr>
              <w:pStyle w:val="TableParagraph"/>
              <w:spacing w:line="270" w:lineRule="exact"/>
              <w:ind w:left="16" w:right="15"/>
              <w:jc w:val="center"/>
              <w:rPr>
                <w:sz w:val="24"/>
              </w:rPr>
            </w:pPr>
            <w:r>
              <w:rPr>
                <w:spacing w:val="-10"/>
                <w:sz w:val="24"/>
              </w:rPr>
              <w:t>D</w:t>
            </w:r>
          </w:p>
        </w:tc>
      </w:tr>
      <w:tr>
        <w:trPr>
          <w:trHeight w:val="386" w:hRule="atLeast"/>
        </w:trPr>
        <w:tc>
          <w:tcPr>
            <w:tcW w:w="965" w:type="dxa"/>
          </w:tcPr>
          <w:p>
            <w:pPr>
              <w:pStyle w:val="TableParagraph"/>
              <w:spacing w:line="270" w:lineRule="exact"/>
              <w:ind w:left="9"/>
              <w:rPr>
                <w:sz w:val="24"/>
              </w:rPr>
            </w:pPr>
            <w:r>
              <w:rPr>
                <w:spacing w:val="-4"/>
                <w:sz w:val="24"/>
              </w:rPr>
              <w:t>B115</w:t>
            </w:r>
          </w:p>
        </w:tc>
        <w:tc>
          <w:tcPr>
            <w:tcW w:w="2833" w:type="dxa"/>
          </w:tcPr>
          <w:p>
            <w:pPr>
              <w:pStyle w:val="TableParagraph"/>
              <w:spacing w:line="270" w:lineRule="exact"/>
              <w:ind w:left="9"/>
              <w:rPr>
                <w:sz w:val="24"/>
              </w:rPr>
            </w:pPr>
            <w:r>
              <w:rPr>
                <w:sz w:val="24"/>
              </w:rPr>
              <w:t>Reducing</w:t>
            </w:r>
            <w:r>
              <w:rPr>
                <w:spacing w:val="-4"/>
                <w:sz w:val="24"/>
              </w:rPr>
              <w:t> </w:t>
            </w:r>
            <w:r>
              <w:rPr>
                <w:spacing w:val="-2"/>
                <w:sz w:val="24"/>
              </w:rPr>
              <w:t>Conflict.</w:t>
            </w:r>
          </w:p>
        </w:tc>
        <w:tc>
          <w:tcPr>
            <w:tcW w:w="970" w:type="dxa"/>
          </w:tcPr>
          <w:p>
            <w:pPr>
              <w:pStyle w:val="TableParagraph"/>
              <w:spacing w:line="270" w:lineRule="exact"/>
              <w:ind w:left="8"/>
              <w:jc w:val="center"/>
              <w:rPr>
                <w:sz w:val="24"/>
              </w:rPr>
            </w:pPr>
            <w:r>
              <w:rPr>
                <w:spacing w:val="-5"/>
                <w:sz w:val="24"/>
              </w:rPr>
              <w:t>231</w:t>
            </w:r>
          </w:p>
        </w:tc>
        <w:tc>
          <w:tcPr>
            <w:tcW w:w="814" w:type="dxa"/>
          </w:tcPr>
          <w:p>
            <w:pPr>
              <w:pStyle w:val="TableParagraph"/>
              <w:spacing w:line="270" w:lineRule="exact"/>
              <w:ind w:left="8"/>
              <w:jc w:val="center"/>
              <w:rPr>
                <w:sz w:val="24"/>
              </w:rPr>
            </w:pPr>
            <w:r>
              <w:rPr>
                <w:spacing w:val="-4"/>
                <w:sz w:val="24"/>
              </w:rPr>
              <w:t>2.72</w:t>
            </w:r>
          </w:p>
        </w:tc>
        <w:tc>
          <w:tcPr>
            <w:tcW w:w="819" w:type="dxa"/>
          </w:tcPr>
          <w:p>
            <w:pPr>
              <w:pStyle w:val="TableParagraph"/>
              <w:spacing w:line="270" w:lineRule="exact"/>
              <w:ind w:left="7"/>
              <w:jc w:val="center"/>
              <w:rPr>
                <w:sz w:val="24"/>
              </w:rPr>
            </w:pPr>
            <w:r>
              <w:rPr>
                <w:spacing w:val="-4"/>
                <w:sz w:val="24"/>
              </w:rPr>
              <w:t>.997</w:t>
            </w:r>
          </w:p>
        </w:tc>
        <w:tc>
          <w:tcPr>
            <w:tcW w:w="2603" w:type="dxa"/>
          </w:tcPr>
          <w:p>
            <w:pPr>
              <w:pStyle w:val="TableParagraph"/>
              <w:spacing w:line="270" w:lineRule="exact"/>
              <w:ind w:left="16"/>
              <w:jc w:val="center"/>
              <w:rPr>
                <w:sz w:val="24"/>
              </w:rPr>
            </w:pPr>
            <w:r>
              <w:rPr>
                <w:spacing w:val="-10"/>
                <w:sz w:val="24"/>
              </w:rPr>
              <w:t>A</w:t>
            </w:r>
          </w:p>
        </w:tc>
      </w:tr>
      <w:tr>
        <w:trPr>
          <w:trHeight w:val="772" w:hRule="atLeast"/>
        </w:trPr>
        <w:tc>
          <w:tcPr>
            <w:tcW w:w="965" w:type="dxa"/>
          </w:tcPr>
          <w:p>
            <w:pPr>
              <w:pStyle w:val="TableParagraph"/>
              <w:spacing w:line="273" w:lineRule="exact"/>
              <w:ind w:left="9"/>
              <w:rPr>
                <w:sz w:val="24"/>
              </w:rPr>
            </w:pPr>
            <w:r>
              <w:rPr>
                <w:spacing w:val="-4"/>
                <w:sz w:val="24"/>
              </w:rPr>
              <w:t>B116</w:t>
            </w:r>
          </w:p>
        </w:tc>
        <w:tc>
          <w:tcPr>
            <w:tcW w:w="2833" w:type="dxa"/>
          </w:tcPr>
          <w:p>
            <w:pPr>
              <w:pStyle w:val="TableParagraph"/>
              <w:spacing w:line="273" w:lineRule="exact"/>
              <w:ind w:left="9"/>
              <w:rPr>
                <w:sz w:val="24"/>
              </w:rPr>
            </w:pPr>
            <w:r>
              <w:rPr>
                <w:spacing w:val="-2"/>
                <w:sz w:val="24"/>
              </w:rPr>
              <w:t>Indifference</w:t>
            </w:r>
          </w:p>
          <w:p>
            <w:pPr>
              <w:pStyle w:val="TableParagraph"/>
              <w:spacing w:before="101"/>
              <w:ind w:left="9"/>
              <w:rPr>
                <w:sz w:val="24"/>
              </w:rPr>
            </w:pPr>
            <w:r>
              <w:rPr>
                <w:spacing w:val="-2"/>
                <w:sz w:val="24"/>
              </w:rPr>
              <w:t>(Complacency).</w:t>
            </w:r>
          </w:p>
        </w:tc>
        <w:tc>
          <w:tcPr>
            <w:tcW w:w="970" w:type="dxa"/>
          </w:tcPr>
          <w:p>
            <w:pPr>
              <w:pStyle w:val="TableParagraph"/>
              <w:spacing w:before="97"/>
              <w:rPr>
                <w:b/>
                <w:sz w:val="24"/>
              </w:rPr>
            </w:pPr>
          </w:p>
          <w:p>
            <w:pPr>
              <w:pStyle w:val="TableParagraph"/>
              <w:ind w:left="8"/>
              <w:jc w:val="center"/>
              <w:rPr>
                <w:sz w:val="24"/>
              </w:rPr>
            </w:pPr>
            <w:r>
              <w:rPr>
                <w:spacing w:val="-5"/>
                <w:sz w:val="24"/>
              </w:rPr>
              <w:t>223</w:t>
            </w:r>
          </w:p>
        </w:tc>
        <w:tc>
          <w:tcPr>
            <w:tcW w:w="814" w:type="dxa"/>
          </w:tcPr>
          <w:p>
            <w:pPr>
              <w:pStyle w:val="TableParagraph"/>
              <w:spacing w:before="97"/>
              <w:rPr>
                <w:b/>
                <w:sz w:val="24"/>
              </w:rPr>
            </w:pPr>
          </w:p>
          <w:p>
            <w:pPr>
              <w:pStyle w:val="TableParagraph"/>
              <w:ind w:left="8"/>
              <w:jc w:val="center"/>
              <w:rPr>
                <w:sz w:val="24"/>
              </w:rPr>
            </w:pPr>
            <w:r>
              <w:rPr>
                <w:spacing w:val="-4"/>
                <w:sz w:val="24"/>
              </w:rPr>
              <w:t>2.08</w:t>
            </w:r>
          </w:p>
        </w:tc>
        <w:tc>
          <w:tcPr>
            <w:tcW w:w="819" w:type="dxa"/>
          </w:tcPr>
          <w:p>
            <w:pPr>
              <w:pStyle w:val="TableParagraph"/>
              <w:spacing w:before="97"/>
              <w:rPr>
                <w:b/>
                <w:sz w:val="24"/>
              </w:rPr>
            </w:pPr>
          </w:p>
          <w:p>
            <w:pPr>
              <w:pStyle w:val="TableParagraph"/>
              <w:ind w:left="7"/>
              <w:jc w:val="center"/>
              <w:rPr>
                <w:sz w:val="24"/>
              </w:rPr>
            </w:pPr>
            <w:r>
              <w:rPr>
                <w:spacing w:val="-4"/>
                <w:sz w:val="24"/>
              </w:rPr>
              <w:t>.900</w:t>
            </w:r>
          </w:p>
        </w:tc>
        <w:tc>
          <w:tcPr>
            <w:tcW w:w="2603" w:type="dxa"/>
          </w:tcPr>
          <w:p>
            <w:pPr>
              <w:pStyle w:val="TableParagraph"/>
              <w:spacing w:before="97"/>
              <w:rPr>
                <w:b/>
                <w:sz w:val="24"/>
              </w:rPr>
            </w:pPr>
          </w:p>
          <w:p>
            <w:pPr>
              <w:pStyle w:val="TableParagraph"/>
              <w:ind w:left="16" w:right="15"/>
              <w:jc w:val="center"/>
              <w:rPr>
                <w:sz w:val="24"/>
              </w:rPr>
            </w:pPr>
            <w:r>
              <w:rPr>
                <w:spacing w:val="-10"/>
                <w:sz w:val="24"/>
              </w:rPr>
              <w:t>D</w:t>
            </w:r>
          </w:p>
        </w:tc>
      </w:tr>
    </w:tbl>
    <w:p>
      <w:pPr>
        <w:pStyle w:val="BodyText"/>
        <w:spacing w:before="133"/>
        <w:ind w:left="0"/>
        <w:rPr>
          <w:b/>
        </w:rPr>
      </w:pPr>
    </w:p>
    <w:p>
      <w:pPr>
        <w:pStyle w:val="BodyText"/>
        <w:spacing w:line="360" w:lineRule="auto"/>
        <w:ind w:right="1256" w:firstLine="720"/>
        <w:jc w:val="both"/>
      </w:pPr>
      <w:r>
        <w:rPr/>
        <w:t>From the data presented on Table 34, there is a general agreement that the JTF has been involved in peacemaking efforts in the Niger Delta conflict transformation process. Likewise, from the views expressed by the respondents, there is a general agreement that the involvement of the JTF operations has considerably helped in conflict reduction in the Niger Delta. The preponderance of opinion by respondents indicates</w:t>
      </w:r>
      <w:r>
        <w:rPr>
          <w:spacing w:val="-2"/>
        </w:rPr>
        <w:t> </w:t>
      </w:r>
      <w:r>
        <w:rPr/>
        <w:t>that</w:t>
      </w:r>
      <w:r>
        <w:rPr>
          <w:spacing w:val="-2"/>
        </w:rPr>
        <w:t> </w:t>
      </w:r>
      <w:r>
        <w:rPr/>
        <w:t>the</w:t>
      </w:r>
      <w:r>
        <w:rPr>
          <w:spacing w:val="-1"/>
        </w:rPr>
        <w:t> </w:t>
      </w:r>
      <w:r>
        <w:rPr/>
        <w:t>conduct of</w:t>
      </w:r>
      <w:r>
        <w:rPr>
          <w:spacing w:val="-2"/>
        </w:rPr>
        <w:t> </w:t>
      </w:r>
      <w:r>
        <w:rPr/>
        <w:t>JTF</w:t>
      </w:r>
      <w:r>
        <w:rPr>
          <w:spacing w:val="-4"/>
        </w:rPr>
        <w:t> </w:t>
      </w:r>
      <w:r>
        <w:rPr/>
        <w:t>operations</w:t>
      </w:r>
      <w:r>
        <w:rPr>
          <w:spacing w:val="-2"/>
        </w:rPr>
        <w:t> </w:t>
      </w:r>
      <w:r>
        <w:rPr/>
        <w:t>in</w:t>
      </w:r>
      <w:r>
        <w:rPr>
          <w:spacing w:val="-2"/>
        </w:rPr>
        <w:t> </w:t>
      </w:r>
      <w:r>
        <w:rPr/>
        <w:t>the</w:t>
      </w:r>
      <w:r>
        <w:rPr>
          <w:spacing w:val="-1"/>
        </w:rPr>
        <w:t> </w:t>
      </w:r>
      <w:r>
        <w:rPr/>
        <w:t>Niger</w:t>
      </w:r>
      <w:r>
        <w:rPr>
          <w:spacing w:val="-2"/>
        </w:rPr>
        <w:t> </w:t>
      </w:r>
      <w:r>
        <w:rPr/>
        <w:t>Delta</w:t>
      </w:r>
      <w:r>
        <w:rPr>
          <w:spacing w:val="-3"/>
        </w:rPr>
        <w:t> </w:t>
      </w:r>
      <w:r>
        <w:rPr/>
        <w:t>region</w:t>
      </w:r>
      <w:r>
        <w:rPr>
          <w:spacing w:val="-2"/>
        </w:rPr>
        <w:t> </w:t>
      </w:r>
      <w:r>
        <w:rPr/>
        <w:t>is</w:t>
      </w:r>
      <w:r>
        <w:rPr>
          <w:spacing w:val="-2"/>
        </w:rPr>
        <w:t> </w:t>
      </w:r>
      <w:r>
        <w:rPr/>
        <w:t>perceived</w:t>
      </w:r>
      <w:r>
        <w:rPr>
          <w:spacing w:val="-1"/>
        </w:rPr>
        <w:t> </w:t>
      </w:r>
      <w:r>
        <w:rPr/>
        <w:t>as a necessary peace mechanism.</w:t>
      </w:r>
    </w:p>
    <w:p>
      <w:pPr>
        <w:pStyle w:val="BodyText"/>
        <w:spacing w:line="360" w:lineRule="auto" w:before="2"/>
        <w:ind w:right="1257" w:firstLine="720"/>
        <w:jc w:val="both"/>
      </w:pPr>
      <w:r>
        <w:rPr/>
        <w:t>Most of the interviewees attest to the reduction in violent conflicts in the region due to the JTF operations. As reported; "the fallout of the military approach to conflict management has resulted into arrests of</w:t>
      </w:r>
      <w:r>
        <w:rPr>
          <w:spacing w:val="-3"/>
        </w:rPr>
        <w:t> </w:t>
      </w:r>
      <w:r>
        <w:rPr/>
        <w:t>militant youths and vandals known to be involved in the criminal activities that range from theft, assault,</w:t>
      </w:r>
      <w:r>
        <w:rPr>
          <w:spacing w:val="40"/>
        </w:rPr>
        <w:t> </w:t>
      </w:r>
      <w:r>
        <w:rPr/>
        <w:t>kidnapping/hostage taking, robbery, arson to illegal oil bunkering among others".</w:t>
      </w:r>
    </w:p>
    <w:p>
      <w:pPr>
        <w:pStyle w:val="BodyText"/>
        <w:spacing w:line="360" w:lineRule="auto"/>
        <w:ind w:right="1261" w:firstLine="720"/>
        <w:jc w:val="both"/>
      </w:pPr>
      <w:r>
        <w:rPr/>
        <w:t>Although the JTF has achieved a measure of success to a reasonable extent,</w:t>
      </w:r>
      <w:r>
        <w:rPr>
          <w:spacing w:val="40"/>
        </w:rPr>
        <w:t> </w:t>
      </w:r>
      <w:r>
        <w:rPr/>
        <w:t>the</w:t>
      </w:r>
      <w:r>
        <w:rPr>
          <w:spacing w:val="3"/>
        </w:rPr>
        <w:t> </w:t>
      </w:r>
      <w:r>
        <w:rPr/>
        <w:t>fact</w:t>
      </w:r>
      <w:r>
        <w:rPr>
          <w:spacing w:val="7"/>
        </w:rPr>
        <w:t> </w:t>
      </w:r>
      <w:r>
        <w:rPr/>
        <w:t>remains</w:t>
      </w:r>
      <w:r>
        <w:rPr>
          <w:spacing w:val="7"/>
        </w:rPr>
        <w:t> </w:t>
      </w:r>
      <w:r>
        <w:rPr/>
        <w:t>that</w:t>
      </w:r>
      <w:r>
        <w:rPr>
          <w:spacing w:val="5"/>
        </w:rPr>
        <w:t> </w:t>
      </w:r>
      <w:r>
        <w:rPr/>
        <w:t>the</w:t>
      </w:r>
      <w:r>
        <w:rPr>
          <w:spacing w:val="6"/>
        </w:rPr>
        <w:t> </w:t>
      </w:r>
      <w:r>
        <w:rPr/>
        <w:t>JTF</w:t>
      </w:r>
      <w:r>
        <w:rPr>
          <w:spacing w:val="5"/>
        </w:rPr>
        <w:t> </w:t>
      </w:r>
      <w:r>
        <w:rPr/>
        <w:t>has</w:t>
      </w:r>
      <w:r>
        <w:rPr>
          <w:spacing w:val="6"/>
        </w:rPr>
        <w:t> </w:t>
      </w:r>
      <w:r>
        <w:rPr/>
        <w:t>not</w:t>
      </w:r>
      <w:r>
        <w:rPr>
          <w:spacing w:val="7"/>
        </w:rPr>
        <w:t> </w:t>
      </w:r>
      <w:r>
        <w:rPr/>
        <w:t>been</w:t>
      </w:r>
      <w:r>
        <w:rPr>
          <w:spacing w:val="10"/>
        </w:rPr>
        <w:t> </w:t>
      </w:r>
      <w:r>
        <w:rPr/>
        <w:t>able</w:t>
      </w:r>
      <w:r>
        <w:rPr>
          <w:spacing w:val="5"/>
        </w:rPr>
        <w:t> </w:t>
      </w:r>
      <w:r>
        <w:rPr/>
        <w:t>to</w:t>
      </w:r>
      <w:r>
        <w:rPr>
          <w:spacing w:val="7"/>
        </w:rPr>
        <w:t> </w:t>
      </w:r>
      <w:r>
        <w:rPr/>
        <w:t>solve</w:t>
      </w:r>
      <w:r>
        <w:rPr>
          <w:spacing w:val="6"/>
        </w:rPr>
        <w:t> </w:t>
      </w:r>
      <w:r>
        <w:rPr/>
        <w:t>the</w:t>
      </w:r>
      <w:r>
        <w:rPr>
          <w:spacing w:val="5"/>
        </w:rPr>
        <w:t> </w:t>
      </w:r>
      <w:r>
        <w:rPr/>
        <w:t>insecurity</w:t>
      </w:r>
      <w:r>
        <w:rPr>
          <w:spacing w:val="2"/>
        </w:rPr>
        <w:t> </w:t>
      </w:r>
      <w:r>
        <w:rPr/>
        <w:t>problems</w:t>
      </w:r>
      <w:r>
        <w:rPr>
          <w:spacing w:val="7"/>
        </w:rPr>
        <w:t> </w:t>
      </w:r>
      <w:r>
        <w:rPr/>
        <w:t>of</w:t>
      </w:r>
      <w:r>
        <w:rPr>
          <w:spacing w:val="6"/>
        </w:rPr>
        <w:t> </w:t>
      </w:r>
      <w:r>
        <w:rPr>
          <w:spacing w:val="-5"/>
        </w:rPr>
        <w:t>the</w:t>
      </w:r>
    </w:p>
    <w:p>
      <w:pPr>
        <w:spacing w:after="0" w:line="360" w:lineRule="auto"/>
        <w:jc w:val="both"/>
        <w:sectPr>
          <w:pgSz w:w="11910" w:h="16840"/>
          <w:pgMar w:header="0" w:footer="1561" w:top="1360" w:bottom="1760" w:left="720" w:right="180"/>
        </w:sectPr>
      </w:pPr>
    </w:p>
    <w:p>
      <w:pPr>
        <w:pStyle w:val="BodyText"/>
        <w:spacing w:line="360" w:lineRule="auto" w:before="60"/>
        <w:ind w:right="1257"/>
        <w:jc w:val="both"/>
      </w:pPr>
      <w:r>
        <w:rPr/>
        <mc:AlternateContent>
          <mc:Choice Requires="wps">
            <w:drawing>
              <wp:anchor distT="0" distB="0" distL="0" distR="0" allowOverlap="1" layoutInCell="1" locked="0" behindDoc="1" simplePos="0" relativeHeight="480685056">
                <wp:simplePos x="0" y="0"/>
                <wp:positionH relativeFrom="page">
                  <wp:posOffset>-1537026</wp:posOffset>
                </wp:positionH>
                <wp:positionV relativeFrom="page">
                  <wp:posOffset>4900424</wp:posOffset>
                </wp:positionV>
                <wp:extent cx="10669905" cy="914400"/>
                <wp:effectExtent l="0" t="0" r="0" b="0"/>
                <wp:wrapNone/>
                <wp:docPr id="329" name="Textbox 329"/>
                <wp:cNvGraphicFramePr>
                  <a:graphicFrameLocks/>
                </wp:cNvGraphicFramePr>
                <a:graphic>
                  <a:graphicData uri="http://schemas.microsoft.com/office/word/2010/wordprocessingShape">
                    <wps:wsp>
                      <wps:cNvPr id="329" name="Textbox 329"/>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31424;rotation:306" type="#_x0000_t136" fillcolor="#ff5400" stroked="f">
                <o:extrusion v:ext="view" autorotationcenter="t"/>
                <v:textpath style="font-family:&quot;Arial MT&quot;;font-size:72pt;v-text-kern:t;mso-text-shadow:auto" string="UNIVERSITY OF IBADAN"/>
                <w10:wrap type="none"/>
              </v:shape>
            </w:pict>
          </mc:Fallback>
        </mc:AlternateContent>
      </w:r>
      <w:r>
        <w:rPr/>
        <w:t>Niger Delta. Aside, the logistics and related challenges faced by the JTF, the lack of political will by</w:t>
      </w:r>
      <w:r>
        <w:rPr>
          <w:spacing w:val="-5"/>
        </w:rPr>
        <w:t> </w:t>
      </w:r>
      <w:r>
        <w:rPr/>
        <w:t>the FG</w:t>
      </w:r>
      <w:r>
        <w:rPr>
          <w:spacing w:val="-1"/>
        </w:rPr>
        <w:t> </w:t>
      </w:r>
      <w:r>
        <w:rPr/>
        <w:t>to deal with the conflict constitutes</w:t>
      </w:r>
      <w:r>
        <w:rPr>
          <w:spacing w:val="-1"/>
        </w:rPr>
        <w:t> </w:t>
      </w:r>
      <w:r>
        <w:rPr/>
        <w:t>serious challenges. Hence, the escalation of violent conflict in the region. It could be inferred therefore that, the military operations have not been able to holistically resolve the Niger Delta conflict. However, the military line of action could be strengthened to complement other political measures aimed at ensuring sustainable developments, enduring peace and security in the Niger Delta.</w:t>
      </w:r>
    </w:p>
    <w:p>
      <w:pPr>
        <w:pStyle w:val="BodyText"/>
        <w:spacing w:line="360" w:lineRule="auto"/>
        <w:ind w:right="1254" w:firstLine="782"/>
        <w:jc w:val="both"/>
      </w:pPr>
      <w:r>
        <w:rPr/>
        <w:t>Likewise, there is another dimension to these views. As observed, insecurity has become a major concern in the Niger Delta due to the presence of heavy security forces, network of informal security groups maintained by oil and gas companies, criminal gangsters thriving on political elitist support, illegal oil bunkerers and proliferation of SALW. Some interviewees have therefore called for the demilitarization</w:t>
      </w:r>
      <w:r>
        <w:rPr>
          <w:spacing w:val="-1"/>
        </w:rPr>
        <w:t> </w:t>
      </w:r>
      <w:r>
        <w:rPr/>
        <w:t>of</w:t>
      </w:r>
      <w:r>
        <w:rPr>
          <w:spacing w:val="-2"/>
        </w:rPr>
        <w:t> </w:t>
      </w:r>
      <w:r>
        <w:rPr/>
        <w:t>the</w:t>
      </w:r>
      <w:r>
        <w:rPr>
          <w:spacing w:val="-2"/>
        </w:rPr>
        <w:t> </w:t>
      </w:r>
      <w:r>
        <w:rPr/>
        <w:t>entire</w:t>
      </w:r>
      <w:r>
        <w:rPr>
          <w:spacing w:val="-3"/>
        </w:rPr>
        <w:t> </w:t>
      </w:r>
      <w:r>
        <w:rPr/>
        <w:t>Niger</w:t>
      </w:r>
      <w:r>
        <w:rPr>
          <w:spacing w:val="-2"/>
        </w:rPr>
        <w:t> </w:t>
      </w:r>
      <w:r>
        <w:rPr/>
        <w:t>Delta</w:t>
      </w:r>
      <w:r>
        <w:rPr>
          <w:spacing w:val="-2"/>
        </w:rPr>
        <w:t> </w:t>
      </w:r>
      <w:r>
        <w:rPr/>
        <w:t>region</w:t>
      </w:r>
      <w:r>
        <w:rPr>
          <w:spacing w:val="-1"/>
        </w:rPr>
        <w:t> </w:t>
      </w:r>
      <w:r>
        <w:rPr/>
        <w:t>which</w:t>
      </w:r>
      <w:r>
        <w:rPr>
          <w:spacing w:val="-2"/>
        </w:rPr>
        <w:t> </w:t>
      </w:r>
      <w:r>
        <w:rPr/>
        <w:t>was</w:t>
      </w:r>
      <w:r>
        <w:rPr>
          <w:spacing w:val="-1"/>
        </w:rPr>
        <w:t> </w:t>
      </w:r>
      <w:r>
        <w:rPr/>
        <w:t>observed</w:t>
      </w:r>
      <w:r>
        <w:rPr>
          <w:spacing w:val="-1"/>
        </w:rPr>
        <w:t> </w:t>
      </w:r>
      <w:r>
        <w:rPr/>
        <w:t>to</w:t>
      </w:r>
      <w:r>
        <w:rPr>
          <w:spacing w:val="-1"/>
        </w:rPr>
        <w:t> </w:t>
      </w:r>
      <w:r>
        <w:rPr/>
        <w:t>be</w:t>
      </w:r>
      <w:r>
        <w:rPr>
          <w:spacing w:val="-2"/>
        </w:rPr>
        <w:t> </w:t>
      </w:r>
      <w:r>
        <w:rPr/>
        <w:t>responsible for the general insecurity in the region.</w:t>
      </w:r>
    </w:p>
    <w:p>
      <w:pPr>
        <w:pStyle w:val="BodyText"/>
        <w:spacing w:before="7"/>
        <w:ind w:left="0"/>
      </w:pPr>
    </w:p>
    <w:p>
      <w:pPr>
        <w:pStyle w:val="Heading1"/>
        <w:numPr>
          <w:ilvl w:val="1"/>
          <w:numId w:val="19"/>
        </w:numPr>
        <w:tabs>
          <w:tab w:pos="2160" w:val="left" w:leader="none"/>
        </w:tabs>
        <w:spacing w:line="240" w:lineRule="auto" w:before="0" w:after="0"/>
        <w:ind w:left="2160" w:right="0" w:hanging="720"/>
        <w:jc w:val="left"/>
      </w:pPr>
      <w:bookmarkStart w:name="_TOC_250003" w:id="39"/>
      <w:r>
        <w:rPr/>
        <w:t>DISCUSSION OF</w:t>
      </w:r>
      <w:bookmarkEnd w:id="39"/>
      <w:r>
        <w:rPr>
          <w:spacing w:val="-2"/>
        </w:rPr>
        <w:t> FINDINGS</w:t>
      </w:r>
    </w:p>
    <w:p>
      <w:pPr>
        <w:pStyle w:val="Heading2"/>
        <w:numPr>
          <w:ilvl w:val="2"/>
          <w:numId w:val="19"/>
        </w:numPr>
        <w:tabs>
          <w:tab w:pos="2160" w:val="left" w:leader="none"/>
        </w:tabs>
        <w:spacing w:line="360" w:lineRule="auto" w:before="137" w:after="0"/>
        <w:ind w:left="2160" w:right="1332" w:hanging="720"/>
        <w:jc w:val="left"/>
      </w:pPr>
      <w:r>
        <w:rPr/>
        <w:t>The</w:t>
      </w:r>
      <w:r>
        <w:rPr>
          <w:spacing w:val="-5"/>
        </w:rPr>
        <w:t> </w:t>
      </w:r>
      <w:r>
        <w:rPr/>
        <w:t>JTF</w:t>
      </w:r>
      <w:r>
        <w:rPr>
          <w:spacing w:val="-6"/>
        </w:rPr>
        <w:t> </w:t>
      </w:r>
      <w:r>
        <w:rPr/>
        <w:t>Mandate</w:t>
      </w:r>
      <w:r>
        <w:rPr>
          <w:spacing w:val="-5"/>
        </w:rPr>
        <w:t> </w:t>
      </w:r>
      <w:r>
        <w:rPr/>
        <w:t>and</w:t>
      </w:r>
      <w:r>
        <w:rPr>
          <w:spacing w:val="-4"/>
        </w:rPr>
        <w:t> </w:t>
      </w:r>
      <w:r>
        <w:rPr/>
        <w:t>Its</w:t>
      </w:r>
      <w:r>
        <w:rPr>
          <w:spacing w:val="-4"/>
        </w:rPr>
        <w:t> </w:t>
      </w:r>
      <w:r>
        <w:rPr/>
        <w:t>Appropriateness</w:t>
      </w:r>
      <w:r>
        <w:rPr>
          <w:spacing w:val="-4"/>
        </w:rPr>
        <w:t> </w:t>
      </w:r>
      <w:r>
        <w:rPr/>
        <w:t>for</w:t>
      </w:r>
      <w:r>
        <w:rPr>
          <w:spacing w:val="-5"/>
        </w:rPr>
        <w:t> </w:t>
      </w:r>
      <w:r>
        <w:rPr/>
        <w:t>Attainment</w:t>
      </w:r>
      <w:r>
        <w:rPr>
          <w:spacing w:val="-4"/>
        </w:rPr>
        <w:t> </w:t>
      </w:r>
      <w:r>
        <w:rPr/>
        <w:t>of</w:t>
      </w:r>
      <w:r>
        <w:rPr>
          <w:spacing w:val="-4"/>
        </w:rPr>
        <w:t> </w:t>
      </w:r>
      <w:r>
        <w:rPr/>
        <w:t>Sustainable Peace in the Niger Delta.</w:t>
      </w:r>
    </w:p>
    <w:p>
      <w:pPr>
        <w:pStyle w:val="BodyText"/>
        <w:spacing w:line="360" w:lineRule="auto"/>
        <w:ind w:right="1257" w:firstLine="720"/>
        <w:jc w:val="both"/>
      </w:pPr>
      <w:r>
        <w:rPr/>
        <w:t>The mandate of the JTF Operation RESTORE HOPE at inception on 19 August 2003 was to contain criminal activities of militant groups in the Niger Delta, restore, law and order, ensure a secure enabling environment for socio-economic activities to thrive.</w:t>
      </w:r>
      <w:r>
        <w:rPr>
          <w:spacing w:val="40"/>
        </w:rPr>
        <w:t> </w:t>
      </w:r>
      <w:r>
        <w:rPr/>
        <w:t>The time frame for the operation was 90 days and has not been formally revalidated.</w:t>
      </w:r>
      <w:r>
        <w:rPr>
          <w:spacing w:val="40"/>
        </w:rPr>
        <w:t> </w:t>
      </w:r>
      <w:r>
        <w:rPr/>
        <w:t>As a result, the JTF operational activities which should have lasted for 90 days operates now without a time limit.</w:t>
      </w:r>
    </w:p>
    <w:p>
      <w:pPr>
        <w:pStyle w:val="BodyText"/>
        <w:spacing w:line="360" w:lineRule="auto"/>
        <w:ind w:right="1258" w:firstLine="420"/>
        <w:jc w:val="both"/>
      </w:pPr>
      <w:r>
        <w:rPr/>
        <w:t>The JTF</w:t>
      </w:r>
      <w:r>
        <w:rPr>
          <w:spacing w:val="-1"/>
        </w:rPr>
        <w:t> </w:t>
      </w:r>
      <w:r>
        <w:rPr/>
        <w:t>carries out some implied tasks during</w:t>
      </w:r>
      <w:r>
        <w:rPr>
          <w:spacing w:val="-1"/>
        </w:rPr>
        <w:t> </w:t>
      </w:r>
      <w:r>
        <w:rPr/>
        <w:t>its operations.</w:t>
      </w:r>
      <w:r>
        <w:rPr>
          <w:spacing w:val="40"/>
        </w:rPr>
        <w:t> </w:t>
      </w:r>
      <w:r>
        <w:rPr/>
        <w:t>These are; arrest of illegal oil bunkerers, escort duties and oil pipeline surveillance.</w:t>
      </w:r>
      <w:r>
        <w:rPr>
          <w:spacing w:val="40"/>
        </w:rPr>
        <w:t> </w:t>
      </w:r>
      <w:r>
        <w:rPr/>
        <w:t>Others also include maritime air patrols, blockade of creeks and re-entrants, protection of onshore and offshore oil facilities and putting a stop to hostage taking and kidnappings. During planning, the mission analysis for the JTF did not adequately reveal the real nature (scope) and tasks of operations.</w:t>
      </w:r>
      <w:r>
        <w:rPr>
          <w:spacing w:val="80"/>
        </w:rPr>
        <w:t> </w:t>
      </w:r>
      <w:r>
        <w:rPr/>
        <w:t>This resulted into a mismatch between the operational readiness of the military operating in the Niger Delta and the tasks of the mission. Consequently, efforts to minimise the gap between these variables have been too slow to create the requisite level of effectiveness.</w:t>
      </w:r>
    </w:p>
    <w:p>
      <w:pPr>
        <w:spacing w:after="0" w:line="360" w:lineRule="auto"/>
        <w:jc w:val="both"/>
        <w:sectPr>
          <w:pgSz w:w="11910" w:h="16840"/>
          <w:pgMar w:header="0" w:footer="1561" w:top="1360" w:bottom="1760" w:left="720" w:right="180"/>
        </w:sectPr>
      </w:pPr>
    </w:p>
    <w:p>
      <w:pPr>
        <w:pStyle w:val="BodyText"/>
        <w:spacing w:line="360" w:lineRule="auto" w:before="60"/>
        <w:ind w:right="1257" w:firstLine="540"/>
        <w:jc w:val="both"/>
      </w:pPr>
      <w:r>
        <w:rPr/>
        <mc:AlternateContent>
          <mc:Choice Requires="wps">
            <w:drawing>
              <wp:anchor distT="0" distB="0" distL="0" distR="0" allowOverlap="1" layoutInCell="1" locked="0" behindDoc="1" simplePos="0" relativeHeight="480685568">
                <wp:simplePos x="0" y="0"/>
                <wp:positionH relativeFrom="page">
                  <wp:posOffset>-1537026</wp:posOffset>
                </wp:positionH>
                <wp:positionV relativeFrom="page">
                  <wp:posOffset>4900424</wp:posOffset>
                </wp:positionV>
                <wp:extent cx="10669905" cy="914400"/>
                <wp:effectExtent l="0" t="0" r="0" b="0"/>
                <wp:wrapNone/>
                <wp:docPr id="330" name="Textbox 330"/>
                <wp:cNvGraphicFramePr>
                  <a:graphicFrameLocks/>
                </wp:cNvGraphicFramePr>
                <a:graphic>
                  <a:graphicData uri="http://schemas.microsoft.com/office/word/2010/wordprocessingShape">
                    <wps:wsp>
                      <wps:cNvPr id="330" name="Textbox 330"/>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30912;rotation:306" type="#_x0000_t136" fillcolor="#ff5400" stroked="f">
                <o:extrusion v:ext="view" autorotationcenter="t"/>
                <v:textpath style="font-family:&quot;Arial MT&quot;;font-size:72pt;v-text-kern:t;mso-text-shadow:auto" string="UNIVERSITY OF IBADAN"/>
                <w10:wrap type="none"/>
              </v:shape>
            </w:pict>
          </mc:Fallback>
        </mc:AlternateContent>
      </w:r>
      <w:r>
        <w:rPr/>
        <w:t>The ROE at inception allows for the application of minimum force in self- defence when under attack and when opposed in course of operational duty.</w:t>
      </w:r>
      <w:r>
        <w:rPr>
          <w:spacing w:val="40"/>
        </w:rPr>
        <w:t> </w:t>
      </w:r>
      <w:r>
        <w:rPr/>
        <w:t>The JTF was reactionary rather than proactive.</w:t>
      </w:r>
      <w:r>
        <w:rPr>
          <w:spacing w:val="40"/>
        </w:rPr>
        <w:t> </w:t>
      </w:r>
      <w:r>
        <w:rPr/>
        <w:t>There was however an exception in May 2009 and November 2010 following the militants attacks on the JTF troops and the expiration of</w:t>
      </w:r>
      <w:r>
        <w:rPr>
          <w:spacing w:val="-1"/>
        </w:rPr>
        <w:t> </w:t>
      </w:r>
      <w:r>
        <w:rPr/>
        <w:t>the</w:t>
      </w:r>
      <w:r>
        <w:rPr>
          <w:spacing w:val="-1"/>
        </w:rPr>
        <w:t> </w:t>
      </w:r>
      <w:r>
        <w:rPr/>
        <w:t>Post-amnesty</w:t>
      </w:r>
      <w:r>
        <w:rPr>
          <w:spacing w:val="-5"/>
        </w:rPr>
        <w:t> </w:t>
      </w:r>
      <w:r>
        <w:rPr/>
        <w:t>period</w:t>
      </w:r>
      <w:r>
        <w:rPr>
          <w:spacing w:val="-1"/>
        </w:rPr>
        <w:t> </w:t>
      </w:r>
      <w:r>
        <w:rPr/>
        <w:t>respectively.</w:t>
      </w:r>
      <w:r>
        <w:rPr>
          <w:spacing w:val="40"/>
        </w:rPr>
        <w:t> </w:t>
      </w:r>
      <w:r>
        <w:rPr/>
        <w:t>Thus, after</w:t>
      </w:r>
      <w:r>
        <w:rPr>
          <w:spacing w:val="-1"/>
        </w:rPr>
        <w:t> </w:t>
      </w:r>
      <w:r>
        <w:rPr/>
        <w:t>the amnesty, offensive actions are justified on militant‟s camps.</w:t>
      </w:r>
      <w:r>
        <w:rPr>
          <w:spacing w:val="40"/>
        </w:rPr>
        <w:t> </w:t>
      </w:r>
      <w:r>
        <w:rPr/>
        <w:t>Till date (May</w:t>
      </w:r>
      <w:r>
        <w:rPr>
          <w:spacing w:val="-4"/>
        </w:rPr>
        <w:t> </w:t>
      </w:r>
      <w:r>
        <w:rPr/>
        <w:t>2011), the ROE has not been reviewed to permit offensive action in consonance with existing militancy.</w:t>
      </w:r>
    </w:p>
    <w:p>
      <w:pPr>
        <w:pStyle w:val="BodyText"/>
        <w:spacing w:line="360" w:lineRule="auto"/>
        <w:ind w:right="1258" w:firstLine="600"/>
        <w:jc w:val="both"/>
      </w:pPr>
      <w:r>
        <w:rPr/>
        <w:t>A tabular summary of the JTF tasks vis-a-vis the level of achievement and associated sustainability issues are presented at Table 35.</w:t>
      </w:r>
      <w:r>
        <w:rPr>
          <w:spacing w:val="40"/>
        </w:rPr>
        <w:t> </w:t>
      </w:r>
      <w:r>
        <w:rPr/>
        <w:t>Also highlighted on the Table are strategies that worked or did not work and reasons for failure.</w:t>
      </w:r>
    </w:p>
    <w:p>
      <w:pPr>
        <w:spacing w:after="0" w:line="360" w:lineRule="auto"/>
        <w:jc w:val="both"/>
        <w:sectPr>
          <w:pgSz w:w="11910" w:h="16840"/>
          <w:pgMar w:header="0" w:footer="1561" w:top="1360" w:bottom="1760" w:left="720" w:right="180"/>
        </w:sectPr>
      </w:pPr>
    </w:p>
    <w:p>
      <w:pPr>
        <w:pStyle w:val="Heading2"/>
        <w:spacing w:before="63" w:after="3"/>
      </w:pPr>
      <w:r>
        <w:rPr/>
        <mc:AlternateContent>
          <mc:Choice Requires="wps">
            <w:drawing>
              <wp:anchor distT="0" distB="0" distL="0" distR="0" allowOverlap="1" layoutInCell="1" locked="0" behindDoc="1" simplePos="0" relativeHeight="480686080">
                <wp:simplePos x="0" y="0"/>
                <wp:positionH relativeFrom="page">
                  <wp:posOffset>-1537026</wp:posOffset>
                </wp:positionH>
                <wp:positionV relativeFrom="page">
                  <wp:posOffset>4900424</wp:posOffset>
                </wp:positionV>
                <wp:extent cx="10669905" cy="914400"/>
                <wp:effectExtent l="0" t="0" r="0" b="0"/>
                <wp:wrapNone/>
                <wp:docPr id="331" name="Textbox 331"/>
                <wp:cNvGraphicFramePr>
                  <a:graphicFrameLocks/>
                </wp:cNvGraphicFramePr>
                <a:graphic>
                  <a:graphicData uri="http://schemas.microsoft.com/office/word/2010/wordprocessingShape">
                    <wps:wsp>
                      <wps:cNvPr id="331" name="Textbox 331"/>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30400;rotation:306" type="#_x0000_t136" fillcolor="#ff5400" stroked="f">
                <o:extrusion v:ext="view" autorotationcenter="t"/>
                <v:textpath style="font-family:&quot;Arial MT&quot;;font-size:72pt;v-text-kern:t;mso-text-shadow:auto" string="UNIVERSITY OF IBADAN"/>
                <w10:wrap type="none"/>
              </v:shape>
            </w:pict>
          </mc:Fallback>
        </mc:AlternateContent>
      </w:r>
      <w:r>
        <w:rPr/>
        <w:t>Table</w:t>
      </w:r>
      <w:r>
        <w:rPr>
          <w:spacing w:val="-1"/>
        </w:rPr>
        <w:t> </w:t>
      </w:r>
      <w:r>
        <w:rPr/>
        <w:t>35</w:t>
      </w:r>
      <w:r>
        <w:rPr>
          <w:spacing w:val="-1"/>
        </w:rPr>
        <w:t> </w:t>
      </w:r>
      <w:r>
        <w:rPr/>
        <w:t>-</w:t>
      </w:r>
      <w:r>
        <w:rPr>
          <w:spacing w:val="-2"/>
        </w:rPr>
        <w:t> </w:t>
      </w:r>
      <w:r>
        <w:rPr/>
        <w:t>Systemic</w:t>
      </w:r>
      <w:r>
        <w:rPr>
          <w:spacing w:val="-2"/>
        </w:rPr>
        <w:t> </w:t>
      </w:r>
      <w:r>
        <w:rPr/>
        <w:t>Analysis of JTF</w:t>
      </w:r>
      <w:r>
        <w:rPr>
          <w:spacing w:val="-4"/>
        </w:rPr>
        <w:t> </w:t>
      </w:r>
      <w:r>
        <w:rPr/>
        <w:t>Tasks</w:t>
      </w:r>
      <w:r>
        <w:rPr>
          <w:spacing w:val="-1"/>
        </w:rPr>
        <w:t> </w:t>
      </w:r>
      <w:r>
        <w:rPr/>
        <w:t>and</w:t>
      </w:r>
      <w:r>
        <w:rPr>
          <w:spacing w:val="-2"/>
        </w:rPr>
        <w:t> Strategies</w:t>
      </w:r>
    </w:p>
    <w:tbl>
      <w:tblPr>
        <w:tblW w:w="0" w:type="auto"/>
        <w:jc w:val="left"/>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964"/>
        <w:gridCol w:w="296"/>
        <w:gridCol w:w="108"/>
        <w:gridCol w:w="1270"/>
        <w:gridCol w:w="790"/>
        <w:gridCol w:w="737"/>
        <w:gridCol w:w="840"/>
        <w:gridCol w:w="947"/>
        <w:gridCol w:w="582"/>
        <w:gridCol w:w="1587"/>
        <w:gridCol w:w="521"/>
      </w:tblGrid>
      <w:tr>
        <w:trPr>
          <w:trHeight w:val="367" w:hRule="atLeast"/>
        </w:trPr>
        <w:tc>
          <w:tcPr>
            <w:tcW w:w="540" w:type="dxa"/>
          </w:tcPr>
          <w:p>
            <w:pPr>
              <w:pStyle w:val="TableParagraph"/>
              <w:spacing w:line="181" w:lineRule="exact"/>
              <w:ind w:left="107"/>
              <w:rPr>
                <w:b/>
                <w:sz w:val="16"/>
              </w:rPr>
            </w:pPr>
            <w:r>
              <w:rPr>
                <w:b/>
                <w:spacing w:val="-4"/>
                <w:sz w:val="16"/>
              </w:rPr>
              <w:t>S/No</w:t>
            </w:r>
          </w:p>
        </w:tc>
        <w:tc>
          <w:tcPr>
            <w:tcW w:w="1368" w:type="dxa"/>
            <w:gridSpan w:val="3"/>
          </w:tcPr>
          <w:p>
            <w:pPr>
              <w:pStyle w:val="TableParagraph"/>
              <w:spacing w:line="181" w:lineRule="exact"/>
              <w:ind w:left="124"/>
              <w:rPr>
                <w:b/>
                <w:sz w:val="16"/>
              </w:rPr>
            </w:pPr>
            <w:r>
              <w:rPr>
                <w:b/>
                <w:spacing w:val="-2"/>
                <w:sz w:val="16"/>
              </w:rPr>
              <w:t>Period</w:t>
            </w:r>
          </w:p>
        </w:tc>
        <w:tc>
          <w:tcPr>
            <w:tcW w:w="1270" w:type="dxa"/>
          </w:tcPr>
          <w:p>
            <w:pPr>
              <w:pStyle w:val="TableParagraph"/>
              <w:spacing w:line="181" w:lineRule="exact"/>
              <w:ind w:left="107"/>
              <w:rPr>
                <w:b/>
                <w:sz w:val="16"/>
              </w:rPr>
            </w:pPr>
            <w:r>
              <w:rPr>
                <w:b/>
                <w:spacing w:val="-2"/>
                <w:sz w:val="16"/>
              </w:rPr>
              <w:t>Tasks</w:t>
            </w:r>
          </w:p>
        </w:tc>
        <w:tc>
          <w:tcPr>
            <w:tcW w:w="1527" w:type="dxa"/>
            <w:gridSpan w:val="2"/>
          </w:tcPr>
          <w:p>
            <w:pPr>
              <w:pStyle w:val="TableParagraph"/>
              <w:tabs>
                <w:tab w:pos="1261" w:val="left" w:leader="none"/>
              </w:tabs>
              <w:spacing w:line="181" w:lineRule="exact"/>
              <w:ind w:left="98"/>
              <w:rPr>
                <w:b/>
                <w:sz w:val="16"/>
              </w:rPr>
            </w:pPr>
            <w:r>
              <w:rPr>
                <w:b/>
                <w:spacing w:val="-2"/>
                <w:sz w:val="16"/>
              </w:rPr>
              <w:t>Level</w:t>
            </w:r>
            <w:r>
              <w:rPr>
                <w:b/>
                <w:sz w:val="16"/>
              </w:rPr>
              <w:tab/>
            </w:r>
            <w:r>
              <w:rPr>
                <w:b/>
                <w:spacing w:val="-5"/>
                <w:sz w:val="16"/>
              </w:rPr>
              <w:t>of</w:t>
            </w:r>
          </w:p>
          <w:p>
            <w:pPr>
              <w:pStyle w:val="TableParagraph"/>
              <w:spacing w:line="165" w:lineRule="exact" w:before="1"/>
              <w:ind w:left="98"/>
              <w:rPr>
                <w:b/>
                <w:sz w:val="16"/>
              </w:rPr>
            </w:pPr>
            <w:r>
              <w:rPr>
                <w:b/>
                <w:spacing w:val="-2"/>
                <w:sz w:val="16"/>
              </w:rPr>
              <w:t>Achievement</w:t>
            </w:r>
          </w:p>
        </w:tc>
        <w:tc>
          <w:tcPr>
            <w:tcW w:w="840" w:type="dxa"/>
          </w:tcPr>
          <w:p>
            <w:pPr>
              <w:pStyle w:val="TableParagraph"/>
              <w:spacing w:line="181" w:lineRule="exact"/>
              <w:ind w:left="83"/>
              <w:rPr>
                <w:b/>
                <w:sz w:val="16"/>
              </w:rPr>
            </w:pPr>
            <w:r>
              <w:rPr>
                <w:b/>
                <w:spacing w:val="-4"/>
                <w:sz w:val="16"/>
              </w:rPr>
              <w:t>What</w:t>
            </w:r>
          </w:p>
          <w:p>
            <w:pPr>
              <w:pStyle w:val="TableParagraph"/>
              <w:spacing w:line="165" w:lineRule="exact" w:before="1"/>
              <w:ind w:left="83"/>
              <w:rPr>
                <w:b/>
                <w:sz w:val="16"/>
              </w:rPr>
            </w:pPr>
            <w:r>
              <w:rPr>
                <w:b/>
                <w:spacing w:val="-2"/>
                <w:sz w:val="16"/>
              </w:rPr>
              <w:t>worked</w:t>
            </w:r>
          </w:p>
        </w:tc>
        <w:tc>
          <w:tcPr>
            <w:tcW w:w="947" w:type="dxa"/>
            <w:tcBorders>
              <w:right w:val="nil"/>
            </w:tcBorders>
          </w:tcPr>
          <w:p>
            <w:pPr>
              <w:pStyle w:val="TableParagraph"/>
              <w:spacing w:line="181" w:lineRule="exact"/>
              <w:ind w:left="143"/>
              <w:rPr>
                <w:b/>
                <w:sz w:val="16"/>
              </w:rPr>
            </w:pPr>
            <w:r>
              <w:rPr>
                <w:b/>
                <w:spacing w:val="-4"/>
                <w:sz w:val="16"/>
              </w:rPr>
              <w:t>What</w:t>
            </w:r>
          </w:p>
          <w:p>
            <w:pPr>
              <w:pStyle w:val="TableParagraph"/>
              <w:spacing w:line="165" w:lineRule="exact" w:before="1"/>
              <w:ind w:left="143"/>
              <w:rPr>
                <w:b/>
                <w:sz w:val="16"/>
              </w:rPr>
            </w:pPr>
            <w:r>
              <w:rPr>
                <w:b/>
                <w:spacing w:val="-4"/>
                <w:sz w:val="16"/>
              </w:rPr>
              <w:t>work</w:t>
            </w:r>
          </w:p>
        </w:tc>
        <w:tc>
          <w:tcPr>
            <w:tcW w:w="582" w:type="dxa"/>
            <w:tcBorders>
              <w:left w:val="nil"/>
            </w:tcBorders>
          </w:tcPr>
          <w:p>
            <w:pPr>
              <w:pStyle w:val="TableParagraph"/>
              <w:spacing w:line="181" w:lineRule="exact"/>
              <w:ind w:left="7"/>
              <w:rPr>
                <w:b/>
                <w:sz w:val="16"/>
              </w:rPr>
            </w:pPr>
            <w:r>
              <w:rPr>
                <w:b/>
                <w:spacing w:val="-2"/>
                <w:sz w:val="16"/>
              </w:rPr>
              <w:t>didn’t</w:t>
            </w:r>
          </w:p>
        </w:tc>
        <w:tc>
          <w:tcPr>
            <w:tcW w:w="2108" w:type="dxa"/>
            <w:gridSpan w:val="2"/>
          </w:tcPr>
          <w:p>
            <w:pPr>
              <w:pStyle w:val="TableParagraph"/>
              <w:spacing w:line="181" w:lineRule="exact"/>
              <w:ind w:left="54"/>
              <w:rPr>
                <w:b/>
                <w:sz w:val="16"/>
              </w:rPr>
            </w:pPr>
            <w:r>
              <w:rPr>
                <w:b/>
                <w:sz w:val="16"/>
              </w:rPr>
              <w:t>Reasons</w:t>
            </w:r>
            <w:r>
              <w:rPr>
                <w:b/>
                <w:spacing w:val="-7"/>
                <w:sz w:val="16"/>
              </w:rPr>
              <w:t> </w:t>
            </w:r>
            <w:r>
              <w:rPr>
                <w:b/>
                <w:sz w:val="16"/>
              </w:rPr>
              <w:t>for</w:t>
            </w:r>
            <w:r>
              <w:rPr>
                <w:b/>
                <w:spacing w:val="-5"/>
                <w:sz w:val="16"/>
              </w:rPr>
              <w:t> </w:t>
            </w:r>
            <w:r>
              <w:rPr>
                <w:b/>
                <w:spacing w:val="-2"/>
                <w:sz w:val="16"/>
              </w:rPr>
              <w:t>failure</w:t>
            </w:r>
          </w:p>
        </w:tc>
      </w:tr>
      <w:tr>
        <w:trPr>
          <w:trHeight w:val="2025" w:hRule="atLeast"/>
        </w:trPr>
        <w:tc>
          <w:tcPr>
            <w:tcW w:w="540" w:type="dxa"/>
          </w:tcPr>
          <w:p>
            <w:pPr>
              <w:pStyle w:val="TableParagraph"/>
              <w:spacing w:line="181" w:lineRule="exact"/>
              <w:ind w:left="107"/>
              <w:rPr>
                <w:sz w:val="16"/>
              </w:rPr>
            </w:pPr>
            <w:r>
              <w:rPr>
                <w:spacing w:val="-10"/>
                <w:sz w:val="16"/>
              </w:rPr>
              <w:t>1</w:t>
            </w:r>
          </w:p>
        </w:tc>
        <w:tc>
          <w:tcPr>
            <w:tcW w:w="1368" w:type="dxa"/>
            <w:gridSpan w:val="3"/>
          </w:tcPr>
          <w:p>
            <w:pPr>
              <w:pStyle w:val="TableParagraph"/>
              <w:spacing w:line="237" w:lineRule="auto"/>
              <w:ind w:left="124" w:right="38"/>
              <w:rPr>
                <w:sz w:val="16"/>
              </w:rPr>
            </w:pPr>
            <w:r>
              <w:rPr>
                <w:sz w:val="16"/>
              </w:rPr>
              <w:t>Initial</w:t>
            </w:r>
            <w:r>
              <w:rPr>
                <w:spacing w:val="80"/>
                <w:w w:val="150"/>
                <w:sz w:val="16"/>
              </w:rPr>
              <w:t> </w:t>
            </w:r>
            <w:r>
              <w:rPr>
                <w:sz w:val="16"/>
              </w:rPr>
              <w:t>Mandate</w:t>
            </w:r>
            <w:r>
              <w:rPr>
                <w:spacing w:val="40"/>
                <w:sz w:val="16"/>
              </w:rPr>
              <w:t> </w:t>
            </w:r>
            <w:r>
              <w:rPr>
                <w:sz w:val="16"/>
              </w:rPr>
              <w:t>as at 2003</w:t>
            </w:r>
          </w:p>
        </w:tc>
        <w:tc>
          <w:tcPr>
            <w:tcW w:w="1270" w:type="dxa"/>
          </w:tcPr>
          <w:p>
            <w:pPr>
              <w:pStyle w:val="TableParagraph"/>
              <w:tabs>
                <w:tab w:pos="704" w:val="left" w:leader="none"/>
                <w:tab w:pos="1019" w:val="left" w:leader="none"/>
              </w:tabs>
              <w:ind w:left="107" w:right="105"/>
              <w:rPr>
                <w:sz w:val="16"/>
              </w:rPr>
            </w:pPr>
            <w:r>
              <w:rPr>
                <w:spacing w:val="-2"/>
                <w:sz w:val="16"/>
              </w:rPr>
              <w:t>Contain</w:t>
            </w:r>
            <w:r>
              <w:rPr>
                <w:spacing w:val="40"/>
                <w:sz w:val="16"/>
              </w:rPr>
              <w:t> </w:t>
            </w:r>
            <w:r>
              <w:rPr>
                <w:spacing w:val="-2"/>
                <w:sz w:val="16"/>
              </w:rPr>
              <w:t>criminal</w:t>
            </w:r>
            <w:r>
              <w:rPr>
                <w:spacing w:val="40"/>
                <w:sz w:val="16"/>
              </w:rPr>
              <w:t> </w:t>
            </w:r>
            <w:r>
              <w:rPr>
                <w:spacing w:val="-2"/>
                <w:sz w:val="16"/>
              </w:rPr>
              <w:t>activities</w:t>
            </w:r>
            <w:r>
              <w:rPr>
                <w:sz w:val="16"/>
              </w:rPr>
              <w:tab/>
              <w:tab/>
            </w:r>
            <w:r>
              <w:rPr>
                <w:spacing w:val="-6"/>
                <w:sz w:val="16"/>
              </w:rPr>
              <w:t>of</w:t>
            </w:r>
            <w:r>
              <w:rPr>
                <w:spacing w:val="40"/>
                <w:sz w:val="16"/>
              </w:rPr>
              <w:t> </w:t>
            </w:r>
            <w:r>
              <w:rPr>
                <w:spacing w:val="-2"/>
                <w:sz w:val="16"/>
              </w:rPr>
              <w:t>militants</w:t>
            </w:r>
            <w:r>
              <w:rPr>
                <w:spacing w:val="40"/>
                <w:sz w:val="16"/>
              </w:rPr>
              <w:t> </w:t>
            </w:r>
            <w:r>
              <w:rPr>
                <w:sz w:val="16"/>
              </w:rPr>
              <w:t>Restore</w:t>
            </w:r>
            <w:r>
              <w:rPr>
                <w:spacing w:val="40"/>
                <w:sz w:val="16"/>
              </w:rPr>
              <w:t> </w:t>
            </w:r>
            <w:r>
              <w:rPr>
                <w:sz w:val="16"/>
              </w:rPr>
              <w:t>law</w:t>
            </w:r>
            <w:r>
              <w:rPr>
                <w:spacing w:val="40"/>
                <w:sz w:val="16"/>
              </w:rPr>
              <w:t> </w:t>
            </w:r>
            <w:r>
              <w:rPr>
                <w:sz w:val="16"/>
              </w:rPr>
              <w:t>&amp;</w:t>
            </w:r>
            <w:r>
              <w:rPr>
                <w:spacing w:val="40"/>
                <w:sz w:val="16"/>
              </w:rPr>
              <w:t> </w:t>
            </w:r>
            <w:r>
              <w:rPr>
                <w:spacing w:val="-2"/>
                <w:sz w:val="16"/>
              </w:rPr>
              <w:t>order</w:t>
            </w:r>
            <w:r>
              <w:rPr>
                <w:sz w:val="16"/>
              </w:rPr>
              <w:tab/>
            </w:r>
            <w:r>
              <w:rPr>
                <w:spacing w:val="-2"/>
                <w:sz w:val="16"/>
              </w:rPr>
              <w:t>Ensure</w:t>
            </w:r>
          </w:p>
          <w:p>
            <w:pPr>
              <w:pStyle w:val="TableParagraph"/>
              <w:tabs>
                <w:tab w:pos="920" w:val="left" w:leader="none"/>
              </w:tabs>
              <w:ind w:left="107" w:right="105"/>
              <w:rPr>
                <w:sz w:val="16"/>
              </w:rPr>
            </w:pPr>
            <w:r>
              <w:rPr>
                <w:spacing w:val="-2"/>
                <w:sz w:val="16"/>
              </w:rPr>
              <w:t>secure</w:t>
            </w:r>
            <w:r>
              <w:rPr>
                <w:sz w:val="16"/>
              </w:rPr>
              <w:tab/>
            </w:r>
            <w:r>
              <w:rPr>
                <w:spacing w:val="-4"/>
                <w:sz w:val="16"/>
              </w:rPr>
              <w:t>and</w:t>
            </w:r>
            <w:r>
              <w:rPr>
                <w:spacing w:val="40"/>
                <w:sz w:val="16"/>
              </w:rPr>
              <w:t> </w:t>
            </w:r>
            <w:r>
              <w:rPr>
                <w:spacing w:val="-2"/>
                <w:sz w:val="16"/>
              </w:rPr>
              <w:t>enabling</w:t>
            </w:r>
            <w:r>
              <w:rPr>
                <w:spacing w:val="40"/>
                <w:sz w:val="16"/>
              </w:rPr>
              <w:t> </w:t>
            </w:r>
            <w:r>
              <w:rPr>
                <w:sz w:val="16"/>
              </w:rPr>
              <w:t>environment</w:t>
            </w:r>
            <w:r>
              <w:rPr>
                <w:spacing w:val="-9"/>
                <w:sz w:val="16"/>
              </w:rPr>
              <w:t> </w:t>
            </w:r>
            <w:r>
              <w:rPr>
                <w:sz w:val="16"/>
              </w:rPr>
              <w:t>for</w:t>
            </w:r>
            <w:r>
              <w:rPr>
                <w:spacing w:val="40"/>
                <w:sz w:val="16"/>
              </w:rPr>
              <w:t> </w:t>
            </w:r>
            <w:r>
              <w:rPr>
                <w:spacing w:val="-2"/>
                <w:sz w:val="16"/>
              </w:rPr>
              <w:t>socio-economic</w:t>
            </w:r>
          </w:p>
          <w:p>
            <w:pPr>
              <w:pStyle w:val="TableParagraph"/>
              <w:spacing w:line="168" w:lineRule="exact"/>
              <w:ind w:left="107"/>
              <w:rPr>
                <w:sz w:val="16"/>
              </w:rPr>
            </w:pPr>
            <w:r>
              <w:rPr>
                <w:spacing w:val="-2"/>
                <w:sz w:val="16"/>
              </w:rPr>
              <w:t>activities</w:t>
            </w:r>
          </w:p>
        </w:tc>
        <w:tc>
          <w:tcPr>
            <w:tcW w:w="790" w:type="dxa"/>
            <w:tcBorders>
              <w:right w:val="nil"/>
            </w:tcBorders>
          </w:tcPr>
          <w:p>
            <w:pPr>
              <w:pStyle w:val="TableParagraph"/>
              <w:spacing w:line="237" w:lineRule="auto"/>
              <w:ind w:left="98" w:right="123"/>
              <w:rPr>
                <w:sz w:val="16"/>
              </w:rPr>
            </w:pPr>
            <w:r>
              <w:rPr>
                <w:spacing w:val="-2"/>
                <w:sz w:val="16"/>
              </w:rPr>
              <w:t>Relative</w:t>
            </w:r>
            <w:r>
              <w:rPr>
                <w:spacing w:val="40"/>
                <w:sz w:val="16"/>
              </w:rPr>
              <w:t> </w:t>
            </w:r>
            <w:r>
              <w:rPr>
                <w:spacing w:val="-2"/>
                <w:sz w:val="16"/>
              </w:rPr>
              <w:t>recorded</w:t>
            </w:r>
          </w:p>
        </w:tc>
        <w:tc>
          <w:tcPr>
            <w:tcW w:w="737" w:type="dxa"/>
            <w:tcBorders>
              <w:left w:val="nil"/>
            </w:tcBorders>
          </w:tcPr>
          <w:p>
            <w:pPr>
              <w:pStyle w:val="TableParagraph"/>
              <w:spacing w:line="181" w:lineRule="exact"/>
              <w:ind w:left="56" w:right="49"/>
              <w:jc w:val="center"/>
              <w:rPr>
                <w:sz w:val="16"/>
              </w:rPr>
            </w:pPr>
            <w:r>
              <w:rPr>
                <w:spacing w:val="-2"/>
                <w:sz w:val="16"/>
              </w:rPr>
              <w:t>success</w:t>
            </w:r>
          </w:p>
        </w:tc>
        <w:tc>
          <w:tcPr>
            <w:tcW w:w="840" w:type="dxa"/>
          </w:tcPr>
          <w:p>
            <w:pPr>
              <w:pStyle w:val="TableParagraph"/>
              <w:ind w:left="83" w:right="57"/>
              <w:rPr>
                <w:sz w:val="16"/>
              </w:rPr>
            </w:pPr>
            <w:r>
              <w:rPr>
                <w:spacing w:val="-2"/>
                <w:sz w:val="16"/>
              </w:rPr>
              <w:t>Relative</w:t>
            </w:r>
            <w:r>
              <w:rPr>
                <w:spacing w:val="40"/>
                <w:sz w:val="16"/>
              </w:rPr>
              <w:t> </w:t>
            </w:r>
            <w:r>
              <w:rPr>
                <w:sz w:val="16"/>
              </w:rPr>
              <w:t>peace</w:t>
            </w:r>
            <w:r>
              <w:rPr>
                <w:spacing w:val="5"/>
                <w:sz w:val="16"/>
              </w:rPr>
              <w:t> </w:t>
            </w:r>
            <w:r>
              <w:rPr>
                <w:sz w:val="16"/>
              </w:rPr>
              <w:t>was</w:t>
            </w:r>
            <w:r>
              <w:rPr>
                <w:spacing w:val="40"/>
                <w:sz w:val="16"/>
              </w:rPr>
              <w:t> </w:t>
            </w:r>
            <w:r>
              <w:rPr>
                <w:sz w:val="16"/>
              </w:rPr>
              <w:t>restored</w:t>
            </w:r>
            <w:r>
              <w:rPr>
                <w:spacing w:val="-10"/>
                <w:sz w:val="16"/>
              </w:rPr>
              <w:t> </w:t>
            </w:r>
            <w:r>
              <w:rPr>
                <w:sz w:val="16"/>
              </w:rPr>
              <w:t>in</w:t>
            </w:r>
            <w:r>
              <w:rPr>
                <w:spacing w:val="40"/>
                <w:sz w:val="16"/>
              </w:rPr>
              <w:t> </w:t>
            </w:r>
            <w:r>
              <w:rPr>
                <w:sz w:val="16"/>
              </w:rPr>
              <w:t>Warri</w:t>
            </w:r>
            <w:r>
              <w:rPr>
                <w:spacing w:val="80"/>
                <w:w w:val="150"/>
                <w:sz w:val="16"/>
              </w:rPr>
              <w:t> </w:t>
            </w:r>
            <w:r>
              <w:rPr>
                <w:sz w:val="16"/>
              </w:rPr>
              <w:t>&amp;</w:t>
            </w:r>
            <w:r>
              <w:rPr>
                <w:spacing w:val="40"/>
                <w:sz w:val="16"/>
              </w:rPr>
              <w:t> </w:t>
            </w:r>
            <w:r>
              <w:rPr>
                <w:spacing w:val="-2"/>
                <w:sz w:val="16"/>
              </w:rPr>
              <w:t>environs</w:t>
            </w:r>
          </w:p>
        </w:tc>
        <w:tc>
          <w:tcPr>
            <w:tcW w:w="1529" w:type="dxa"/>
            <w:gridSpan w:val="2"/>
          </w:tcPr>
          <w:p>
            <w:pPr>
              <w:pStyle w:val="TableParagraph"/>
              <w:tabs>
                <w:tab w:pos="1232" w:val="left" w:leader="none"/>
              </w:tabs>
              <w:ind w:left="143" w:right="151"/>
              <w:rPr>
                <w:sz w:val="16"/>
              </w:rPr>
            </w:pPr>
            <w:r>
              <w:rPr>
                <w:spacing w:val="-2"/>
                <w:sz w:val="16"/>
              </w:rPr>
              <w:t>Emergence</w:t>
            </w:r>
            <w:r>
              <w:rPr>
                <w:sz w:val="16"/>
              </w:rPr>
              <w:tab/>
            </w:r>
            <w:r>
              <w:rPr>
                <w:spacing w:val="-6"/>
                <w:sz w:val="16"/>
              </w:rPr>
              <w:t>of</w:t>
            </w:r>
            <w:r>
              <w:rPr>
                <w:spacing w:val="40"/>
                <w:sz w:val="16"/>
              </w:rPr>
              <w:t> </w:t>
            </w:r>
            <w:r>
              <w:rPr>
                <w:spacing w:val="-2"/>
                <w:sz w:val="16"/>
              </w:rPr>
              <w:t>multifaceted</w:t>
            </w:r>
            <w:r>
              <w:rPr>
                <w:spacing w:val="40"/>
                <w:sz w:val="16"/>
              </w:rPr>
              <w:t> </w:t>
            </w:r>
            <w:r>
              <w:rPr>
                <w:spacing w:val="-2"/>
                <w:sz w:val="16"/>
              </w:rPr>
              <w:t>problems</w:t>
            </w:r>
          </w:p>
        </w:tc>
        <w:tc>
          <w:tcPr>
            <w:tcW w:w="2108" w:type="dxa"/>
            <w:gridSpan w:val="2"/>
          </w:tcPr>
          <w:p>
            <w:pPr>
              <w:pStyle w:val="TableParagraph"/>
              <w:tabs>
                <w:tab w:pos="1464" w:val="left" w:leader="none"/>
              </w:tabs>
              <w:ind w:left="54" w:right="96"/>
              <w:jc w:val="both"/>
              <w:rPr>
                <w:sz w:val="16"/>
              </w:rPr>
            </w:pPr>
            <w:r>
              <w:rPr>
                <w:sz w:val="16"/>
              </w:rPr>
              <w:t>Mandate</w:t>
            </w:r>
            <w:r>
              <w:rPr>
                <w:spacing w:val="-4"/>
                <w:sz w:val="16"/>
              </w:rPr>
              <w:t> </w:t>
            </w:r>
            <w:r>
              <w:rPr>
                <w:sz w:val="16"/>
              </w:rPr>
              <w:t>too</w:t>
            </w:r>
            <w:r>
              <w:rPr>
                <w:spacing w:val="-2"/>
                <w:sz w:val="16"/>
              </w:rPr>
              <w:t> </w:t>
            </w:r>
            <w:r>
              <w:rPr>
                <w:sz w:val="16"/>
              </w:rPr>
              <w:t>ambitious.</w:t>
            </w:r>
            <w:r>
              <w:rPr>
                <w:spacing w:val="37"/>
                <w:sz w:val="16"/>
              </w:rPr>
              <w:t> </w:t>
            </w:r>
            <w:r>
              <w:rPr>
                <w:sz w:val="16"/>
              </w:rPr>
              <w:t>ROE</w:t>
            </w:r>
            <w:r>
              <w:rPr>
                <w:spacing w:val="40"/>
                <w:sz w:val="16"/>
              </w:rPr>
              <w:t> </w:t>
            </w:r>
            <w:r>
              <w:rPr>
                <w:sz w:val="16"/>
              </w:rPr>
              <w:t>too restrictive. Faulty entry</w:t>
            </w:r>
            <w:r>
              <w:rPr>
                <w:spacing w:val="40"/>
                <w:sz w:val="16"/>
              </w:rPr>
              <w:t> </w:t>
            </w:r>
            <w:r>
              <w:rPr>
                <w:sz w:val="16"/>
              </w:rPr>
              <w:t>strategy. Poor level of</w:t>
            </w:r>
            <w:r>
              <w:rPr>
                <w:spacing w:val="40"/>
                <w:sz w:val="16"/>
              </w:rPr>
              <w:t> </w:t>
            </w:r>
            <w:r>
              <w:rPr>
                <w:sz w:val="16"/>
              </w:rPr>
              <w:t>cooperation</w:t>
            </w:r>
            <w:r>
              <w:rPr>
                <w:spacing w:val="-4"/>
                <w:sz w:val="16"/>
              </w:rPr>
              <w:t> </w:t>
            </w:r>
            <w:r>
              <w:rPr>
                <w:sz w:val="16"/>
              </w:rPr>
              <w:t>and</w:t>
            </w:r>
            <w:r>
              <w:rPr>
                <w:spacing w:val="-4"/>
                <w:sz w:val="16"/>
              </w:rPr>
              <w:t> </w:t>
            </w:r>
            <w:r>
              <w:rPr>
                <w:sz w:val="16"/>
              </w:rPr>
              <w:t>coordination.</w:t>
            </w:r>
            <w:r>
              <w:rPr>
                <w:spacing w:val="40"/>
                <w:sz w:val="16"/>
              </w:rPr>
              <w:t> </w:t>
            </w:r>
            <w:r>
              <w:rPr>
                <w:spacing w:val="-2"/>
                <w:sz w:val="16"/>
              </w:rPr>
              <w:t>Mismatch</w:t>
            </w:r>
            <w:r>
              <w:rPr>
                <w:sz w:val="16"/>
              </w:rPr>
              <w:tab/>
            </w:r>
            <w:r>
              <w:rPr>
                <w:spacing w:val="-2"/>
                <w:sz w:val="16"/>
              </w:rPr>
              <w:t>between</w:t>
            </w:r>
            <w:r>
              <w:rPr>
                <w:spacing w:val="40"/>
                <w:sz w:val="16"/>
              </w:rPr>
              <w:t> </w:t>
            </w:r>
            <w:r>
              <w:rPr>
                <w:sz w:val="16"/>
              </w:rPr>
              <w:t>operational readiness of units</w:t>
            </w:r>
            <w:r>
              <w:rPr>
                <w:spacing w:val="40"/>
                <w:sz w:val="16"/>
              </w:rPr>
              <w:t> </w:t>
            </w:r>
            <w:r>
              <w:rPr>
                <w:sz w:val="16"/>
              </w:rPr>
              <w:t>and tasks of mission.</w:t>
            </w:r>
          </w:p>
        </w:tc>
      </w:tr>
      <w:tr>
        <w:trPr>
          <w:trHeight w:val="366" w:hRule="atLeast"/>
        </w:trPr>
        <w:tc>
          <w:tcPr>
            <w:tcW w:w="540" w:type="dxa"/>
          </w:tcPr>
          <w:p>
            <w:pPr>
              <w:pStyle w:val="TableParagraph"/>
              <w:spacing w:line="178" w:lineRule="exact"/>
              <w:ind w:left="107"/>
              <w:rPr>
                <w:sz w:val="16"/>
              </w:rPr>
            </w:pPr>
            <w:r>
              <w:rPr>
                <w:spacing w:val="-10"/>
                <w:sz w:val="16"/>
              </w:rPr>
              <w:t>2</w:t>
            </w:r>
          </w:p>
        </w:tc>
        <w:tc>
          <w:tcPr>
            <w:tcW w:w="1368" w:type="dxa"/>
            <w:gridSpan w:val="3"/>
          </w:tcPr>
          <w:p>
            <w:pPr>
              <w:pStyle w:val="TableParagraph"/>
              <w:spacing w:line="178" w:lineRule="exact"/>
              <w:ind w:left="124"/>
              <w:rPr>
                <w:sz w:val="16"/>
              </w:rPr>
            </w:pPr>
            <w:r>
              <w:rPr>
                <w:sz w:val="16"/>
              </w:rPr>
              <w:t>Subsequent</w:t>
            </w:r>
            <w:r>
              <w:rPr>
                <w:spacing w:val="-10"/>
                <w:sz w:val="16"/>
              </w:rPr>
              <w:t> </w:t>
            </w:r>
            <w:r>
              <w:rPr>
                <w:spacing w:val="-2"/>
                <w:sz w:val="16"/>
              </w:rPr>
              <w:t>tasks</w:t>
            </w:r>
          </w:p>
        </w:tc>
        <w:tc>
          <w:tcPr>
            <w:tcW w:w="1270" w:type="dxa"/>
          </w:tcPr>
          <w:p>
            <w:pPr>
              <w:pStyle w:val="TableParagraph"/>
              <w:rPr>
                <w:sz w:val="16"/>
              </w:rPr>
            </w:pPr>
          </w:p>
        </w:tc>
        <w:tc>
          <w:tcPr>
            <w:tcW w:w="1527" w:type="dxa"/>
            <w:gridSpan w:val="2"/>
          </w:tcPr>
          <w:p>
            <w:pPr>
              <w:pStyle w:val="TableParagraph"/>
              <w:spacing w:line="178" w:lineRule="exact"/>
              <w:ind w:left="98"/>
              <w:rPr>
                <w:sz w:val="16"/>
              </w:rPr>
            </w:pPr>
            <w:r>
              <w:rPr>
                <w:sz w:val="16"/>
              </w:rPr>
              <w:t>Relative</w:t>
            </w:r>
            <w:r>
              <w:rPr>
                <w:spacing w:val="31"/>
                <w:sz w:val="16"/>
              </w:rPr>
              <w:t> </w:t>
            </w:r>
            <w:r>
              <w:rPr>
                <w:sz w:val="16"/>
              </w:rPr>
              <w:t>success</w:t>
            </w:r>
            <w:r>
              <w:rPr>
                <w:spacing w:val="34"/>
                <w:sz w:val="16"/>
              </w:rPr>
              <w:t> </w:t>
            </w:r>
            <w:r>
              <w:rPr>
                <w:spacing w:val="-5"/>
                <w:sz w:val="16"/>
              </w:rPr>
              <w:t>in</w:t>
            </w:r>
          </w:p>
          <w:p>
            <w:pPr>
              <w:pStyle w:val="TableParagraph"/>
              <w:spacing w:line="168" w:lineRule="exact" w:before="1"/>
              <w:ind w:left="98"/>
              <w:rPr>
                <w:sz w:val="16"/>
              </w:rPr>
            </w:pPr>
            <w:r>
              <w:rPr>
                <w:sz w:val="16"/>
              </w:rPr>
              <w:t>reduction</w:t>
            </w:r>
            <w:r>
              <w:rPr>
                <w:spacing w:val="-10"/>
                <w:sz w:val="16"/>
              </w:rPr>
              <w:t> </w:t>
            </w:r>
            <w:r>
              <w:rPr>
                <w:spacing w:val="-5"/>
                <w:sz w:val="16"/>
              </w:rPr>
              <w:t>of</w:t>
            </w:r>
          </w:p>
        </w:tc>
        <w:tc>
          <w:tcPr>
            <w:tcW w:w="840" w:type="dxa"/>
          </w:tcPr>
          <w:p>
            <w:pPr>
              <w:pStyle w:val="TableParagraph"/>
              <w:rPr>
                <w:sz w:val="16"/>
              </w:rPr>
            </w:pPr>
          </w:p>
        </w:tc>
        <w:tc>
          <w:tcPr>
            <w:tcW w:w="1529" w:type="dxa"/>
            <w:gridSpan w:val="2"/>
          </w:tcPr>
          <w:p>
            <w:pPr>
              <w:pStyle w:val="TableParagraph"/>
              <w:tabs>
                <w:tab w:pos="630" w:val="left" w:leader="none"/>
              </w:tabs>
              <w:spacing w:line="178" w:lineRule="exact"/>
              <w:ind w:left="143"/>
              <w:rPr>
                <w:sz w:val="16"/>
              </w:rPr>
            </w:pPr>
            <w:r>
              <w:rPr>
                <w:spacing w:val="-5"/>
                <w:sz w:val="16"/>
              </w:rPr>
              <w:t>Non</w:t>
            </w:r>
            <w:r>
              <w:rPr>
                <w:sz w:val="16"/>
              </w:rPr>
              <w:tab/>
            </w:r>
            <w:r>
              <w:rPr>
                <w:spacing w:val="-2"/>
                <w:sz w:val="16"/>
              </w:rPr>
              <w:t>interdiction</w:t>
            </w:r>
          </w:p>
          <w:p>
            <w:pPr>
              <w:pStyle w:val="TableParagraph"/>
              <w:spacing w:line="168" w:lineRule="exact" w:before="1"/>
              <w:ind w:left="143"/>
              <w:rPr>
                <w:sz w:val="16"/>
              </w:rPr>
            </w:pPr>
            <w:r>
              <w:rPr>
                <w:sz w:val="16"/>
              </w:rPr>
              <w:t>of</w:t>
            </w:r>
            <w:r>
              <w:rPr>
                <w:spacing w:val="-3"/>
                <w:sz w:val="16"/>
              </w:rPr>
              <w:t> </w:t>
            </w:r>
            <w:r>
              <w:rPr>
                <w:spacing w:val="-2"/>
                <w:sz w:val="16"/>
              </w:rPr>
              <w:t>militants</w:t>
            </w:r>
          </w:p>
        </w:tc>
        <w:tc>
          <w:tcPr>
            <w:tcW w:w="1587" w:type="dxa"/>
            <w:tcBorders>
              <w:right w:val="nil"/>
            </w:tcBorders>
          </w:tcPr>
          <w:p>
            <w:pPr>
              <w:pStyle w:val="TableParagraph"/>
              <w:tabs>
                <w:tab w:pos="836" w:val="left" w:leader="none"/>
                <w:tab w:pos="1270" w:val="left" w:leader="none"/>
              </w:tabs>
              <w:spacing w:line="178" w:lineRule="exact"/>
              <w:ind w:left="54"/>
              <w:rPr>
                <w:sz w:val="16"/>
              </w:rPr>
            </w:pPr>
            <w:r>
              <w:rPr>
                <w:spacing w:val="-2"/>
                <w:sz w:val="16"/>
              </w:rPr>
              <w:t>Mandate</w:t>
            </w:r>
            <w:r>
              <w:rPr>
                <w:sz w:val="16"/>
              </w:rPr>
              <w:tab/>
            </w:r>
            <w:r>
              <w:rPr>
                <w:spacing w:val="-5"/>
                <w:sz w:val="16"/>
              </w:rPr>
              <w:t>has</w:t>
            </w:r>
            <w:r>
              <w:rPr>
                <w:sz w:val="16"/>
              </w:rPr>
              <w:tab/>
            </w:r>
            <w:r>
              <w:rPr>
                <w:spacing w:val="-5"/>
                <w:sz w:val="16"/>
              </w:rPr>
              <w:t>not</w:t>
            </w:r>
          </w:p>
          <w:p>
            <w:pPr>
              <w:pStyle w:val="TableParagraph"/>
              <w:spacing w:line="168" w:lineRule="exact" w:before="1"/>
              <w:ind w:left="54"/>
              <w:rPr>
                <w:sz w:val="16"/>
              </w:rPr>
            </w:pPr>
            <w:r>
              <w:rPr>
                <w:sz w:val="16"/>
              </w:rPr>
              <w:t>formally</w:t>
            </w:r>
            <w:r>
              <w:rPr>
                <w:spacing w:val="-9"/>
                <w:sz w:val="16"/>
              </w:rPr>
              <w:t> </w:t>
            </w:r>
            <w:r>
              <w:rPr>
                <w:spacing w:val="-2"/>
                <w:sz w:val="16"/>
              </w:rPr>
              <w:t>revalidated.</w:t>
            </w:r>
          </w:p>
        </w:tc>
        <w:tc>
          <w:tcPr>
            <w:tcW w:w="521" w:type="dxa"/>
            <w:tcBorders>
              <w:left w:val="nil"/>
            </w:tcBorders>
          </w:tcPr>
          <w:p>
            <w:pPr>
              <w:pStyle w:val="TableParagraph"/>
              <w:spacing w:line="178" w:lineRule="exact"/>
              <w:ind w:left="115"/>
              <w:rPr>
                <w:sz w:val="16"/>
              </w:rPr>
            </w:pPr>
            <w:r>
              <w:rPr>
                <w:spacing w:val="-4"/>
                <w:sz w:val="16"/>
              </w:rPr>
              <w:t>been</w:t>
            </w:r>
          </w:p>
        </w:tc>
      </w:tr>
      <w:tr>
        <w:trPr>
          <w:trHeight w:val="4968" w:hRule="atLeast"/>
        </w:trPr>
        <w:tc>
          <w:tcPr>
            <w:tcW w:w="540" w:type="dxa"/>
          </w:tcPr>
          <w:p>
            <w:pPr>
              <w:pStyle w:val="TableParagraph"/>
              <w:rPr>
                <w:sz w:val="16"/>
              </w:rPr>
            </w:pPr>
          </w:p>
        </w:tc>
        <w:tc>
          <w:tcPr>
            <w:tcW w:w="1260" w:type="dxa"/>
            <w:gridSpan w:val="2"/>
          </w:tcPr>
          <w:p>
            <w:pPr>
              <w:pStyle w:val="TableParagraph"/>
              <w:spacing w:line="181" w:lineRule="exact"/>
              <w:ind w:left="107"/>
              <w:rPr>
                <w:sz w:val="16"/>
              </w:rPr>
            </w:pPr>
            <w:r>
              <w:rPr>
                <w:sz w:val="16"/>
              </w:rPr>
              <w:t>(2004</w:t>
            </w:r>
            <w:r>
              <w:rPr>
                <w:spacing w:val="-2"/>
                <w:sz w:val="16"/>
              </w:rPr>
              <w:t> </w:t>
            </w:r>
            <w:r>
              <w:rPr>
                <w:sz w:val="16"/>
              </w:rPr>
              <w:t>–</w:t>
            </w:r>
            <w:r>
              <w:rPr>
                <w:spacing w:val="-2"/>
                <w:sz w:val="16"/>
              </w:rPr>
              <w:t> 2010)</w:t>
            </w:r>
          </w:p>
        </w:tc>
        <w:tc>
          <w:tcPr>
            <w:tcW w:w="1378" w:type="dxa"/>
            <w:gridSpan w:val="2"/>
          </w:tcPr>
          <w:p>
            <w:pPr>
              <w:pStyle w:val="TableParagraph"/>
              <w:ind w:left="107"/>
              <w:rPr>
                <w:sz w:val="16"/>
              </w:rPr>
            </w:pPr>
            <w:r>
              <w:rPr>
                <w:spacing w:val="-2"/>
                <w:sz w:val="16"/>
              </w:rPr>
              <w:t>-Curtailing</w:t>
            </w:r>
            <w:r>
              <w:rPr>
                <w:spacing w:val="40"/>
                <w:sz w:val="16"/>
              </w:rPr>
              <w:t> </w:t>
            </w:r>
            <w:r>
              <w:rPr>
                <w:sz w:val="16"/>
              </w:rPr>
              <w:t>vandalization</w:t>
            </w:r>
            <w:r>
              <w:rPr>
                <w:spacing w:val="80"/>
                <w:sz w:val="16"/>
              </w:rPr>
              <w:t> </w:t>
            </w:r>
            <w:r>
              <w:rPr>
                <w:sz w:val="16"/>
              </w:rPr>
              <w:t>of</w:t>
            </w:r>
            <w:r>
              <w:rPr>
                <w:spacing w:val="40"/>
                <w:sz w:val="16"/>
              </w:rPr>
              <w:t> </w:t>
            </w:r>
            <w:r>
              <w:rPr>
                <w:sz w:val="16"/>
              </w:rPr>
              <w:t>oil/gas</w:t>
            </w:r>
            <w:r>
              <w:rPr>
                <w:spacing w:val="-1"/>
                <w:sz w:val="16"/>
              </w:rPr>
              <w:t> </w:t>
            </w:r>
            <w:r>
              <w:rPr>
                <w:sz w:val="16"/>
              </w:rPr>
              <w:t>facilities</w:t>
            </w:r>
          </w:p>
          <w:p>
            <w:pPr>
              <w:pStyle w:val="TableParagraph"/>
              <w:numPr>
                <w:ilvl w:val="0"/>
                <w:numId w:val="29"/>
              </w:numPr>
              <w:tabs>
                <w:tab w:pos="621" w:val="left" w:leader="none"/>
              </w:tabs>
              <w:spacing w:line="240" w:lineRule="auto" w:before="0" w:after="0"/>
              <w:ind w:left="107" w:right="93" w:firstLine="0"/>
              <w:jc w:val="left"/>
              <w:rPr>
                <w:sz w:val="16"/>
              </w:rPr>
            </w:pPr>
            <w:r>
              <w:rPr>
                <w:spacing w:val="-2"/>
                <w:sz w:val="16"/>
              </w:rPr>
              <w:t>Curtailing</w:t>
            </w:r>
            <w:r>
              <w:rPr>
                <w:spacing w:val="40"/>
                <w:sz w:val="16"/>
              </w:rPr>
              <w:t> </w:t>
            </w:r>
            <w:r>
              <w:rPr>
                <w:spacing w:val="-2"/>
                <w:sz w:val="16"/>
              </w:rPr>
              <w:t>political</w:t>
            </w:r>
            <w:r>
              <w:rPr>
                <w:spacing w:val="80"/>
                <w:sz w:val="16"/>
              </w:rPr>
              <w:t> </w:t>
            </w:r>
            <w:r>
              <w:rPr>
                <w:spacing w:val="-2"/>
                <w:sz w:val="16"/>
              </w:rPr>
              <w:t>insecurity</w:t>
            </w:r>
          </w:p>
          <w:p>
            <w:pPr>
              <w:pStyle w:val="TableParagraph"/>
              <w:numPr>
                <w:ilvl w:val="0"/>
                <w:numId w:val="29"/>
              </w:numPr>
              <w:tabs>
                <w:tab w:pos="224" w:val="left" w:leader="none"/>
                <w:tab w:pos="1038" w:val="left" w:leader="none"/>
              </w:tabs>
              <w:spacing w:line="240" w:lineRule="auto" w:before="0" w:after="0"/>
              <w:ind w:left="107" w:right="95" w:firstLine="0"/>
              <w:jc w:val="both"/>
              <w:rPr>
                <w:sz w:val="16"/>
              </w:rPr>
            </w:pPr>
            <w:r>
              <w:rPr>
                <w:sz w:val="16"/>
              </w:rPr>
              <w:t>Prevent</w:t>
            </w:r>
            <w:r>
              <w:rPr>
                <w:spacing w:val="-9"/>
                <w:sz w:val="16"/>
              </w:rPr>
              <w:t> </w:t>
            </w:r>
            <w:r>
              <w:rPr>
                <w:sz w:val="16"/>
              </w:rPr>
              <w:t>hostage</w:t>
            </w:r>
            <w:r>
              <w:rPr>
                <w:spacing w:val="40"/>
                <w:sz w:val="16"/>
              </w:rPr>
              <w:t> </w:t>
            </w:r>
            <w:r>
              <w:rPr>
                <w:spacing w:val="-2"/>
                <w:sz w:val="16"/>
              </w:rPr>
              <w:t>taking</w:t>
            </w:r>
            <w:r>
              <w:rPr>
                <w:sz w:val="16"/>
              </w:rPr>
              <w:tab/>
            </w:r>
            <w:r>
              <w:rPr>
                <w:spacing w:val="-4"/>
                <w:sz w:val="16"/>
              </w:rPr>
              <w:t>and</w:t>
            </w:r>
            <w:r>
              <w:rPr>
                <w:spacing w:val="40"/>
                <w:sz w:val="16"/>
              </w:rPr>
              <w:t> </w:t>
            </w:r>
            <w:r>
              <w:rPr>
                <w:spacing w:val="-2"/>
                <w:sz w:val="16"/>
              </w:rPr>
              <w:t>kidnapping</w:t>
            </w:r>
          </w:p>
          <w:p>
            <w:pPr>
              <w:pStyle w:val="TableParagraph"/>
              <w:numPr>
                <w:ilvl w:val="0"/>
                <w:numId w:val="29"/>
              </w:numPr>
              <w:tabs>
                <w:tab w:pos="291" w:val="left" w:leader="none"/>
              </w:tabs>
              <w:spacing w:line="240" w:lineRule="auto" w:before="0" w:after="0"/>
              <w:ind w:left="107" w:right="97" w:firstLine="0"/>
              <w:jc w:val="left"/>
              <w:rPr>
                <w:sz w:val="16"/>
              </w:rPr>
            </w:pPr>
            <w:r>
              <w:rPr>
                <w:sz w:val="16"/>
              </w:rPr>
              <w:t>Curtail</w:t>
            </w:r>
            <w:r>
              <w:rPr>
                <w:spacing w:val="55"/>
                <w:sz w:val="16"/>
              </w:rPr>
              <w:t> </w:t>
            </w:r>
            <w:r>
              <w:rPr>
                <w:sz w:val="16"/>
              </w:rPr>
              <w:t>illegal</w:t>
            </w:r>
            <w:r>
              <w:rPr>
                <w:spacing w:val="40"/>
                <w:sz w:val="16"/>
              </w:rPr>
              <w:t> </w:t>
            </w:r>
            <w:r>
              <w:rPr>
                <w:spacing w:val="-2"/>
                <w:sz w:val="16"/>
              </w:rPr>
              <w:t>weapon</w:t>
            </w:r>
            <w:r>
              <w:rPr>
                <w:spacing w:val="40"/>
                <w:sz w:val="16"/>
              </w:rPr>
              <w:t> </w:t>
            </w:r>
            <w:r>
              <w:rPr>
                <w:spacing w:val="-2"/>
                <w:sz w:val="16"/>
              </w:rPr>
              <w:t>proliferation</w:t>
            </w:r>
          </w:p>
          <w:p>
            <w:pPr>
              <w:pStyle w:val="TableParagraph"/>
              <w:numPr>
                <w:ilvl w:val="0"/>
                <w:numId w:val="29"/>
              </w:numPr>
              <w:tabs>
                <w:tab w:pos="408" w:val="left" w:leader="none"/>
                <w:tab w:pos="1067" w:val="left" w:leader="none"/>
              </w:tabs>
              <w:spacing w:line="240" w:lineRule="auto" w:before="0" w:after="0"/>
              <w:ind w:left="107" w:right="95" w:firstLine="0"/>
              <w:jc w:val="left"/>
              <w:rPr>
                <w:sz w:val="16"/>
              </w:rPr>
            </w:pPr>
            <w:r>
              <w:rPr>
                <w:spacing w:val="-2"/>
                <w:sz w:val="16"/>
              </w:rPr>
              <w:t>Check</w:t>
            </w:r>
            <w:r>
              <w:rPr>
                <w:sz w:val="16"/>
              </w:rPr>
              <w:tab/>
            </w:r>
            <w:r>
              <w:rPr>
                <w:spacing w:val="-4"/>
                <w:sz w:val="16"/>
              </w:rPr>
              <w:t>sea</w:t>
            </w:r>
            <w:r>
              <w:rPr>
                <w:spacing w:val="40"/>
                <w:sz w:val="16"/>
              </w:rPr>
              <w:t> </w:t>
            </w:r>
            <w:r>
              <w:rPr>
                <w:spacing w:val="-2"/>
                <w:sz w:val="16"/>
              </w:rPr>
              <w:t>robbery</w:t>
            </w:r>
          </w:p>
          <w:p>
            <w:pPr>
              <w:pStyle w:val="TableParagraph"/>
              <w:numPr>
                <w:ilvl w:val="0"/>
                <w:numId w:val="29"/>
              </w:numPr>
              <w:tabs>
                <w:tab w:pos="200" w:val="left" w:leader="none"/>
              </w:tabs>
              <w:spacing w:line="183" w:lineRule="exact" w:before="0" w:after="0"/>
              <w:ind w:left="200" w:right="0" w:hanging="93"/>
              <w:jc w:val="left"/>
              <w:rPr>
                <w:sz w:val="16"/>
              </w:rPr>
            </w:pPr>
            <w:r>
              <w:rPr>
                <w:sz w:val="16"/>
              </w:rPr>
              <w:t>Check</w:t>
            </w:r>
            <w:r>
              <w:rPr>
                <w:spacing w:val="-5"/>
                <w:sz w:val="16"/>
              </w:rPr>
              <w:t> </w:t>
            </w:r>
            <w:r>
              <w:rPr>
                <w:spacing w:val="-2"/>
                <w:sz w:val="16"/>
              </w:rPr>
              <w:t>terrorism</w:t>
            </w:r>
          </w:p>
          <w:p>
            <w:pPr>
              <w:pStyle w:val="TableParagraph"/>
              <w:numPr>
                <w:ilvl w:val="0"/>
                <w:numId w:val="29"/>
              </w:numPr>
              <w:tabs>
                <w:tab w:pos="780" w:val="left" w:leader="none"/>
              </w:tabs>
              <w:spacing w:line="183" w:lineRule="exact" w:before="0" w:after="0"/>
              <w:ind w:left="780" w:right="0" w:hanging="673"/>
              <w:jc w:val="left"/>
              <w:rPr>
                <w:sz w:val="16"/>
              </w:rPr>
            </w:pPr>
            <w:r>
              <w:rPr>
                <w:spacing w:val="-2"/>
                <w:sz w:val="16"/>
              </w:rPr>
              <w:t>Prevent</w:t>
            </w:r>
          </w:p>
          <w:p>
            <w:pPr>
              <w:pStyle w:val="TableParagraph"/>
              <w:ind w:left="107"/>
              <w:rPr>
                <w:sz w:val="16"/>
              </w:rPr>
            </w:pPr>
            <w:r>
              <w:rPr>
                <w:spacing w:val="-2"/>
                <w:sz w:val="16"/>
              </w:rPr>
              <w:t>sabotage</w:t>
            </w:r>
          </w:p>
          <w:p>
            <w:pPr>
              <w:pStyle w:val="TableParagraph"/>
              <w:numPr>
                <w:ilvl w:val="0"/>
                <w:numId w:val="29"/>
              </w:numPr>
              <w:tabs>
                <w:tab w:pos="469" w:val="left" w:leader="none"/>
              </w:tabs>
              <w:spacing w:line="240" w:lineRule="auto" w:before="0" w:after="0"/>
              <w:ind w:left="107" w:right="93" w:firstLine="0"/>
              <w:jc w:val="both"/>
              <w:rPr>
                <w:sz w:val="16"/>
              </w:rPr>
            </w:pPr>
            <w:r>
              <w:rPr>
                <w:spacing w:val="-2"/>
                <w:sz w:val="16"/>
              </w:rPr>
              <w:t>Surveillance</w:t>
            </w:r>
            <w:r>
              <w:rPr>
                <w:spacing w:val="40"/>
                <w:sz w:val="16"/>
              </w:rPr>
              <w:t> </w:t>
            </w:r>
            <w:r>
              <w:rPr>
                <w:sz w:val="16"/>
              </w:rPr>
              <w:t>guard of oil/gas</w:t>
            </w:r>
            <w:r>
              <w:rPr>
                <w:spacing w:val="40"/>
                <w:sz w:val="16"/>
              </w:rPr>
              <w:t> </w:t>
            </w:r>
            <w:r>
              <w:rPr>
                <w:spacing w:val="-2"/>
                <w:sz w:val="16"/>
              </w:rPr>
              <w:t>facilities</w:t>
            </w:r>
          </w:p>
          <w:p>
            <w:pPr>
              <w:pStyle w:val="TableParagraph"/>
              <w:numPr>
                <w:ilvl w:val="0"/>
                <w:numId w:val="29"/>
              </w:numPr>
              <w:tabs>
                <w:tab w:pos="275" w:val="left" w:leader="none"/>
              </w:tabs>
              <w:spacing w:line="240" w:lineRule="auto" w:before="0" w:after="0"/>
              <w:ind w:left="107" w:right="93" w:firstLine="0"/>
              <w:jc w:val="both"/>
              <w:rPr>
                <w:sz w:val="16"/>
              </w:rPr>
            </w:pPr>
            <w:r>
              <w:rPr>
                <w:sz w:val="16"/>
              </w:rPr>
              <w:t>Destruction of</w:t>
            </w:r>
            <w:r>
              <w:rPr>
                <w:spacing w:val="40"/>
                <w:sz w:val="16"/>
              </w:rPr>
              <w:t> </w:t>
            </w:r>
            <w:r>
              <w:rPr>
                <w:sz w:val="16"/>
              </w:rPr>
              <w:t>militant camp</w:t>
            </w:r>
          </w:p>
        </w:tc>
        <w:tc>
          <w:tcPr>
            <w:tcW w:w="1527" w:type="dxa"/>
            <w:gridSpan w:val="2"/>
          </w:tcPr>
          <w:p>
            <w:pPr>
              <w:pStyle w:val="TableParagraph"/>
              <w:spacing w:line="180" w:lineRule="exact"/>
              <w:ind w:left="107"/>
              <w:jc w:val="both"/>
              <w:rPr>
                <w:sz w:val="16"/>
              </w:rPr>
            </w:pPr>
            <w:r>
              <w:rPr>
                <w:sz w:val="16"/>
              </w:rPr>
              <w:t>Bunkering</w:t>
            </w:r>
            <w:r>
              <w:rPr>
                <w:spacing w:val="72"/>
                <w:w w:val="150"/>
                <w:sz w:val="16"/>
              </w:rPr>
              <w:t>   </w:t>
            </w:r>
            <w:r>
              <w:rPr>
                <w:spacing w:val="-5"/>
                <w:sz w:val="16"/>
              </w:rPr>
              <w:t>and</w:t>
            </w:r>
          </w:p>
          <w:p>
            <w:pPr>
              <w:pStyle w:val="TableParagraph"/>
              <w:tabs>
                <w:tab w:pos="1070" w:val="left" w:leader="none"/>
                <w:tab w:pos="1283" w:val="left" w:leader="none"/>
              </w:tabs>
              <w:ind w:left="107" w:right="94"/>
              <w:jc w:val="both"/>
              <w:rPr>
                <w:sz w:val="16"/>
              </w:rPr>
            </w:pPr>
            <w:r>
              <w:rPr>
                <w:spacing w:val="-2"/>
                <w:sz w:val="16"/>
              </w:rPr>
              <w:t>Emergence</w:t>
            </w:r>
            <w:r>
              <w:rPr>
                <w:sz w:val="16"/>
              </w:rPr>
              <w:tab/>
              <w:tab/>
            </w:r>
            <w:r>
              <w:rPr>
                <w:spacing w:val="-6"/>
                <w:sz w:val="16"/>
              </w:rPr>
              <w:t>of</w:t>
            </w:r>
            <w:r>
              <w:rPr>
                <w:spacing w:val="40"/>
                <w:sz w:val="16"/>
              </w:rPr>
              <w:t> </w:t>
            </w:r>
            <w:r>
              <w:rPr>
                <w:sz w:val="16"/>
              </w:rPr>
              <w:t>illegal oil refineries</w:t>
            </w:r>
            <w:r>
              <w:rPr>
                <w:spacing w:val="40"/>
                <w:sz w:val="16"/>
              </w:rPr>
              <w:t> </w:t>
            </w:r>
            <w:r>
              <w:rPr>
                <w:sz w:val="16"/>
              </w:rPr>
              <w:t>due to the inability</w:t>
            </w:r>
            <w:r>
              <w:rPr>
                <w:spacing w:val="40"/>
                <w:sz w:val="16"/>
              </w:rPr>
              <w:t> </w:t>
            </w:r>
            <w:r>
              <w:rPr>
                <w:sz w:val="16"/>
              </w:rPr>
              <w:t>of bunkerers to</w:t>
            </w:r>
            <w:r>
              <w:rPr>
                <w:spacing w:val="40"/>
                <w:sz w:val="16"/>
              </w:rPr>
              <w:t> </w:t>
            </w:r>
            <w:r>
              <w:rPr>
                <w:sz w:val="16"/>
              </w:rPr>
              <w:t>move stolen crude</w:t>
            </w:r>
            <w:r>
              <w:rPr>
                <w:spacing w:val="40"/>
                <w:sz w:val="16"/>
              </w:rPr>
              <w:t> </w:t>
            </w:r>
            <w:r>
              <w:rPr>
                <w:sz w:val="16"/>
              </w:rPr>
              <w:t>through the water</w:t>
            </w:r>
            <w:r>
              <w:rPr>
                <w:spacing w:val="40"/>
                <w:sz w:val="16"/>
              </w:rPr>
              <w:t> </w:t>
            </w:r>
            <w:r>
              <w:rPr>
                <w:sz w:val="16"/>
              </w:rPr>
              <w:t>ways</w:t>
            </w:r>
            <w:r>
              <w:rPr>
                <w:spacing w:val="-10"/>
                <w:sz w:val="16"/>
              </w:rPr>
              <w:t> </w:t>
            </w:r>
            <w:r>
              <w:rPr>
                <w:sz w:val="16"/>
              </w:rPr>
              <w:t>blocked</w:t>
            </w:r>
            <w:r>
              <w:rPr>
                <w:spacing w:val="-10"/>
                <w:sz w:val="16"/>
              </w:rPr>
              <w:t> </w:t>
            </w:r>
            <w:r>
              <w:rPr>
                <w:sz w:val="16"/>
              </w:rPr>
              <w:t>by</w:t>
            </w:r>
            <w:r>
              <w:rPr>
                <w:spacing w:val="-10"/>
                <w:sz w:val="16"/>
              </w:rPr>
              <w:t> </w:t>
            </w:r>
            <w:r>
              <w:rPr>
                <w:sz w:val="16"/>
              </w:rPr>
              <w:t>the</w:t>
            </w:r>
            <w:r>
              <w:rPr>
                <w:spacing w:val="40"/>
                <w:sz w:val="16"/>
              </w:rPr>
              <w:t> </w:t>
            </w:r>
            <w:r>
              <w:rPr>
                <w:spacing w:val="-5"/>
                <w:sz w:val="16"/>
              </w:rPr>
              <w:t>JTF</w:t>
            </w:r>
            <w:r>
              <w:rPr>
                <w:sz w:val="16"/>
              </w:rPr>
              <w:tab/>
            </w:r>
            <w:r>
              <w:rPr>
                <w:spacing w:val="-2"/>
                <w:sz w:val="16"/>
              </w:rPr>
              <w:t>naval</w:t>
            </w:r>
          </w:p>
          <w:p>
            <w:pPr>
              <w:pStyle w:val="TableParagraph"/>
              <w:spacing w:before="1"/>
              <w:ind w:left="107"/>
              <w:rPr>
                <w:sz w:val="16"/>
              </w:rPr>
            </w:pPr>
            <w:r>
              <w:rPr>
                <w:spacing w:val="-2"/>
                <w:sz w:val="16"/>
              </w:rPr>
              <w:t>formations</w:t>
            </w:r>
          </w:p>
        </w:tc>
        <w:tc>
          <w:tcPr>
            <w:tcW w:w="840" w:type="dxa"/>
          </w:tcPr>
          <w:p>
            <w:pPr>
              <w:pStyle w:val="TableParagraph"/>
              <w:rPr>
                <w:sz w:val="16"/>
              </w:rPr>
            </w:pPr>
          </w:p>
        </w:tc>
        <w:tc>
          <w:tcPr>
            <w:tcW w:w="1529" w:type="dxa"/>
            <w:gridSpan w:val="2"/>
          </w:tcPr>
          <w:p>
            <w:pPr>
              <w:pStyle w:val="TableParagraph"/>
              <w:tabs>
                <w:tab w:pos="513" w:val="left" w:leader="none"/>
                <w:tab w:pos="1289" w:val="left" w:leader="none"/>
              </w:tabs>
              <w:ind w:left="107" w:right="100"/>
              <w:rPr>
                <w:sz w:val="16"/>
              </w:rPr>
            </w:pPr>
            <w:r>
              <w:rPr>
                <w:sz w:val="16"/>
              </w:rPr>
              <w:t>Arms</w:t>
            </w:r>
            <w:r>
              <w:rPr>
                <w:spacing w:val="23"/>
                <w:sz w:val="16"/>
              </w:rPr>
              <w:t> </w:t>
            </w:r>
            <w:r>
              <w:rPr>
                <w:sz w:val="16"/>
              </w:rPr>
              <w:t>supply.</w:t>
            </w:r>
            <w:r>
              <w:rPr>
                <w:spacing w:val="26"/>
                <w:sz w:val="16"/>
              </w:rPr>
              <w:t> </w:t>
            </w:r>
            <w:r>
              <w:rPr>
                <w:sz w:val="16"/>
              </w:rPr>
              <w:t>Lack</w:t>
            </w:r>
            <w:r>
              <w:rPr>
                <w:spacing w:val="40"/>
                <w:sz w:val="16"/>
              </w:rPr>
              <w:t> </w:t>
            </w:r>
            <w:r>
              <w:rPr>
                <w:spacing w:val="-6"/>
                <w:sz w:val="16"/>
              </w:rPr>
              <w:t>of</w:t>
            </w:r>
            <w:r>
              <w:rPr>
                <w:sz w:val="16"/>
              </w:rPr>
              <w:tab/>
            </w:r>
            <w:r>
              <w:rPr>
                <w:spacing w:val="-2"/>
                <w:sz w:val="16"/>
              </w:rPr>
              <w:t>synergy</w:t>
            </w:r>
            <w:r>
              <w:rPr>
                <w:sz w:val="16"/>
              </w:rPr>
              <w:tab/>
            </w:r>
            <w:r>
              <w:rPr>
                <w:spacing w:val="-6"/>
                <w:sz w:val="16"/>
              </w:rPr>
              <w:t>in</w:t>
            </w:r>
            <w:r>
              <w:rPr>
                <w:spacing w:val="40"/>
                <w:sz w:val="16"/>
              </w:rPr>
              <w:t> </w:t>
            </w:r>
            <w:r>
              <w:rPr>
                <w:spacing w:val="-2"/>
                <w:sz w:val="16"/>
              </w:rPr>
              <w:t>intelligence</w:t>
            </w:r>
            <w:r>
              <w:rPr>
                <w:spacing w:val="40"/>
                <w:sz w:val="16"/>
              </w:rPr>
              <w:t> </w:t>
            </w:r>
            <w:r>
              <w:rPr>
                <w:sz w:val="16"/>
              </w:rPr>
              <w:t>gathering</w:t>
            </w:r>
            <w:r>
              <w:rPr>
                <w:spacing w:val="80"/>
                <w:sz w:val="16"/>
              </w:rPr>
              <w:t> </w:t>
            </w:r>
            <w:r>
              <w:rPr>
                <w:sz w:val="16"/>
              </w:rPr>
              <w:t>between</w:t>
            </w:r>
            <w:r>
              <w:rPr>
                <w:spacing w:val="40"/>
                <w:sz w:val="16"/>
              </w:rPr>
              <w:t> </w:t>
            </w:r>
            <w:r>
              <w:rPr>
                <w:sz w:val="16"/>
              </w:rPr>
              <w:t>agencies</w:t>
            </w:r>
            <w:r>
              <w:rPr>
                <w:spacing w:val="-8"/>
                <w:sz w:val="16"/>
              </w:rPr>
              <w:t> </w:t>
            </w:r>
            <w:r>
              <w:rPr>
                <w:sz w:val="16"/>
              </w:rPr>
              <w:t>within</w:t>
            </w:r>
            <w:r>
              <w:rPr>
                <w:spacing w:val="-7"/>
                <w:sz w:val="16"/>
              </w:rPr>
              <w:t> </w:t>
            </w:r>
            <w:r>
              <w:rPr>
                <w:sz w:val="16"/>
              </w:rPr>
              <w:t>JTF</w:t>
            </w:r>
            <w:r>
              <w:rPr>
                <w:spacing w:val="40"/>
                <w:sz w:val="16"/>
              </w:rPr>
              <w:t> </w:t>
            </w:r>
            <w:r>
              <w:rPr>
                <w:spacing w:val="-2"/>
                <w:sz w:val="16"/>
              </w:rPr>
              <w:t>operations</w:t>
            </w:r>
          </w:p>
        </w:tc>
        <w:tc>
          <w:tcPr>
            <w:tcW w:w="2108" w:type="dxa"/>
            <w:gridSpan w:val="2"/>
          </w:tcPr>
          <w:p>
            <w:pPr>
              <w:pStyle w:val="TableParagraph"/>
              <w:spacing w:line="237" w:lineRule="auto"/>
              <w:ind w:left="107" w:right="94"/>
              <w:jc w:val="both"/>
              <w:rPr>
                <w:sz w:val="16"/>
              </w:rPr>
            </w:pPr>
            <w:r>
              <w:rPr>
                <w:sz w:val="16"/>
              </w:rPr>
              <w:t>Non – prosecution of</w:t>
            </w:r>
            <w:r>
              <w:rPr>
                <w:spacing w:val="40"/>
                <w:sz w:val="16"/>
              </w:rPr>
              <w:t> </w:t>
            </w:r>
            <w:r>
              <w:rPr>
                <w:spacing w:val="-2"/>
                <w:sz w:val="16"/>
              </w:rPr>
              <w:t>offenders</w:t>
            </w:r>
          </w:p>
          <w:p>
            <w:pPr>
              <w:pStyle w:val="TableParagraph"/>
              <w:numPr>
                <w:ilvl w:val="0"/>
                <w:numId w:val="30"/>
              </w:numPr>
              <w:tabs>
                <w:tab w:pos="222" w:val="left" w:leader="none"/>
              </w:tabs>
              <w:spacing w:line="240" w:lineRule="auto" w:before="0" w:after="0"/>
              <w:ind w:left="107" w:right="97" w:firstLine="0"/>
              <w:jc w:val="both"/>
              <w:rPr>
                <w:sz w:val="16"/>
              </w:rPr>
            </w:pPr>
            <w:r>
              <w:rPr>
                <w:sz w:val="16"/>
              </w:rPr>
              <w:t>Absence of law against all</w:t>
            </w:r>
            <w:r>
              <w:rPr>
                <w:spacing w:val="40"/>
                <w:sz w:val="16"/>
              </w:rPr>
              <w:t> </w:t>
            </w:r>
            <w:r>
              <w:rPr>
                <w:sz w:val="16"/>
              </w:rPr>
              <w:t>these criminal activities and</w:t>
            </w:r>
            <w:r>
              <w:rPr>
                <w:spacing w:val="40"/>
                <w:sz w:val="16"/>
              </w:rPr>
              <w:t> </w:t>
            </w:r>
            <w:r>
              <w:rPr>
                <w:spacing w:val="-2"/>
                <w:sz w:val="16"/>
              </w:rPr>
              <w:t>illegalities.</w:t>
            </w: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83"/>
              <w:rPr>
                <w:b/>
                <w:sz w:val="16"/>
              </w:rPr>
            </w:pPr>
          </w:p>
          <w:p>
            <w:pPr>
              <w:pStyle w:val="TableParagraph"/>
              <w:ind w:left="107"/>
              <w:jc w:val="both"/>
              <w:rPr>
                <w:sz w:val="16"/>
              </w:rPr>
            </w:pPr>
            <w:r>
              <w:rPr>
                <w:sz w:val="16"/>
              </w:rPr>
              <w:t>l</w:t>
            </w:r>
            <w:r>
              <w:rPr>
                <w:spacing w:val="-1"/>
                <w:sz w:val="16"/>
              </w:rPr>
              <w:t> </w:t>
            </w:r>
            <w:r>
              <w:rPr>
                <w:spacing w:val="-2"/>
                <w:sz w:val="16"/>
              </w:rPr>
              <w:t>bunkering</w:t>
            </w:r>
          </w:p>
          <w:p>
            <w:pPr>
              <w:pStyle w:val="TableParagraph"/>
              <w:numPr>
                <w:ilvl w:val="0"/>
                <w:numId w:val="30"/>
              </w:numPr>
              <w:tabs>
                <w:tab w:pos="215" w:val="left" w:leader="none"/>
              </w:tabs>
              <w:spacing w:line="240" w:lineRule="auto" w:before="1" w:after="0"/>
              <w:ind w:left="107" w:right="98" w:firstLine="0"/>
              <w:jc w:val="both"/>
              <w:rPr>
                <w:sz w:val="16"/>
              </w:rPr>
            </w:pPr>
            <w:r>
              <w:rPr>
                <w:sz w:val="16"/>
              </w:rPr>
              <w:t>Lack of prompt disposal of</w:t>
            </w:r>
            <w:r>
              <w:rPr>
                <w:spacing w:val="40"/>
                <w:sz w:val="16"/>
              </w:rPr>
              <w:t> </w:t>
            </w:r>
            <w:r>
              <w:rPr>
                <w:sz w:val="16"/>
              </w:rPr>
              <w:t>arrested barges/vessels.</w:t>
            </w:r>
          </w:p>
          <w:p>
            <w:pPr>
              <w:pStyle w:val="TableParagraph"/>
              <w:numPr>
                <w:ilvl w:val="0"/>
                <w:numId w:val="30"/>
              </w:numPr>
              <w:tabs>
                <w:tab w:pos="234" w:val="left" w:leader="none"/>
                <w:tab w:pos="951" w:val="left" w:leader="none"/>
                <w:tab w:pos="1529" w:val="left" w:leader="none"/>
              </w:tabs>
              <w:spacing w:line="240" w:lineRule="auto" w:before="0" w:after="0"/>
              <w:ind w:left="107" w:right="94" w:firstLine="0"/>
              <w:jc w:val="both"/>
              <w:rPr>
                <w:sz w:val="16"/>
              </w:rPr>
            </w:pPr>
            <w:r>
              <w:rPr>
                <w:sz w:val="16"/>
              </w:rPr>
              <w:t>Failure of intelligence has</w:t>
            </w:r>
            <w:r>
              <w:rPr>
                <w:spacing w:val="40"/>
                <w:sz w:val="16"/>
              </w:rPr>
              <w:t> </w:t>
            </w:r>
            <w:r>
              <w:rPr>
                <w:sz w:val="16"/>
              </w:rPr>
              <w:t>given militants freedom of</w:t>
            </w:r>
            <w:r>
              <w:rPr>
                <w:spacing w:val="40"/>
                <w:sz w:val="16"/>
              </w:rPr>
              <w:t> </w:t>
            </w:r>
            <w:r>
              <w:rPr>
                <w:spacing w:val="-2"/>
                <w:sz w:val="16"/>
              </w:rPr>
              <w:t>action</w:t>
            </w:r>
            <w:r>
              <w:rPr>
                <w:sz w:val="16"/>
              </w:rPr>
              <w:tab/>
            </w:r>
            <w:r>
              <w:rPr>
                <w:spacing w:val="-5"/>
                <w:sz w:val="16"/>
              </w:rPr>
              <w:t>to</w:t>
            </w:r>
            <w:r>
              <w:rPr>
                <w:sz w:val="16"/>
              </w:rPr>
              <w:tab/>
            </w:r>
            <w:r>
              <w:rPr>
                <w:spacing w:val="-2"/>
                <w:sz w:val="16"/>
              </w:rPr>
              <w:t>acquire</w:t>
            </w:r>
          </w:p>
          <w:p>
            <w:pPr>
              <w:pStyle w:val="TableParagraph"/>
              <w:tabs>
                <w:tab w:pos="1769" w:val="left" w:leader="none"/>
              </w:tabs>
              <w:ind w:left="107" w:right="97"/>
              <w:jc w:val="both"/>
              <w:rPr>
                <w:sz w:val="16"/>
              </w:rPr>
            </w:pPr>
            <w:r>
              <w:rPr>
                <w:spacing w:val="-2"/>
                <w:sz w:val="16"/>
              </w:rPr>
              <w:t>arms/ammunition</w:t>
            </w:r>
            <w:r>
              <w:rPr>
                <w:sz w:val="16"/>
              </w:rPr>
              <w:tab/>
            </w:r>
            <w:r>
              <w:rPr>
                <w:spacing w:val="-4"/>
                <w:sz w:val="16"/>
              </w:rPr>
              <w:t>and</w:t>
            </w:r>
            <w:r>
              <w:rPr>
                <w:spacing w:val="40"/>
                <w:sz w:val="16"/>
              </w:rPr>
              <w:t> </w:t>
            </w:r>
            <w:r>
              <w:rPr>
                <w:sz w:val="16"/>
              </w:rPr>
              <w:t>movement within AOR of</w:t>
            </w:r>
            <w:r>
              <w:rPr>
                <w:spacing w:val="40"/>
                <w:sz w:val="16"/>
              </w:rPr>
              <w:t> </w:t>
            </w:r>
            <w:r>
              <w:rPr>
                <w:spacing w:val="-4"/>
                <w:sz w:val="16"/>
              </w:rPr>
              <w:t>JTF.</w:t>
            </w:r>
          </w:p>
          <w:p>
            <w:pPr>
              <w:pStyle w:val="TableParagraph"/>
              <w:numPr>
                <w:ilvl w:val="0"/>
                <w:numId w:val="30"/>
              </w:numPr>
              <w:tabs>
                <w:tab w:pos="203" w:val="left" w:leader="none"/>
                <w:tab w:pos="1769" w:val="left" w:leader="none"/>
              </w:tabs>
              <w:spacing w:line="240" w:lineRule="auto" w:before="0" w:after="0"/>
              <w:ind w:left="107" w:right="97" w:firstLine="0"/>
              <w:jc w:val="both"/>
              <w:rPr>
                <w:sz w:val="16"/>
              </w:rPr>
            </w:pPr>
            <w:r>
              <w:rPr>
                <w:sz w:val="16"/>
              </w:rPr>
              <w:t>ROE</w:t>
            </w:r>
            <w:r>
              <w:rPr>
                <w:spacing w:val="-9"/>
                <w:sz w:val="16"/>
              </w:rPr>
              <w:t> </w:t>
            </w:r>
            <w:r>
              <w:rPr>
                <w:sz w:val="16"/>
              </w:rPr>
              <w:t>has</w:t>
            </w:r>
            <w:r>
              <w:rPr>
                <w:spacing w:val="-9"/>
                <w:sz w:val="16"/>
              </w:rPr>
              <w:t> </w:t>
            </w:r>
            <w:r>
              <w:rPr>
                <w:sz w:val="16"/>
              </w:rPr>
              <w:t>not</w:t>
            </w:r>
            <w:r>
              <w:rPr>
                <w:spacing w:val="-8"/>
                <w:sz w:val="16"/>
              </w:rPr>
              <w:t> </w:t>
            </w:r>
            <w:r>
              <w:rPr>
                <w:sz w:val="16"/>
              </w:rPr>
              <w:t>been</w:t>
            </w:r>
            <w:r>
              <w:rPr>
                <w:spacing w:val="-5"/>
                <w:sz w:val="16"/>
              </w:rPr>
              <w:t> </w:t>
            </w:r>
            <w:r>
              <w:rPr>
                <w:sz w:val="16"/>
              </w:rPr>
              <w:t>reviewed</w:t>
            </w:r>
            <w:r>
              <w:rPr>
                <w:spacing w:val="40"/>
                <w:sz w:val="16"/>
              </w:rPr>
              <w:t> </w:t>
            </w:r>
            <w:r>
              <w:rPr>
                <w:sz w:val="16"/>
              </w:rPr>
              <w:t>to permit offensive action</w:t>
            </w:r>
            <w:r>
              <w:rPr>
                <w:spacing w:val="40"/>
                <w:sz w:val="16"/>
              </w:rPr>
              <w:t> </w:t>
            </w:r>
            <w:r>
              <w:rPr>
                <w:sz w:val="16"/>
              </w:rPr>
              <w:t>exigent on new realities of</w:t>
            </w:r>
            <w:r>
              <w:rPr>
                <w:spacing w:val="40"/>
                <w:sz w:val="16"/>
              </w:rPr>
              <w:t> </w:t>
            </w:r>
            <w:r>
              <w:rPr>
                <w:sz w:val="16"/>
              </w:rPr>
              <w:t>militant</w:t>
            </w:r>
            <w:r>
              <w:rPr>
                <w:spacing w:val="74"/>
                <w:sz w:val="16"/>
              </w:rPr>
              <w:t>  </w:t>
            </w:r>
            <w:r>
              <w:rPr>
                <w:spacing w:val="-2"/>
                <w:sz w:val="16"/>
              </w:rPr>
              <w:t>actions</w:t>
            </w:r>
            <w:r>
              <w:rPr>
                <w:sz w:val="16"/>
              </w:rPr>
              <w:tab/>
            </w:r>
            <w:r>
              <w:rPr>
                <w:spacing w:val="-5"/>
                <w:sz w:val="16"/>
              </w:rPr>
              <w:t>and</w:t>
            </w:r>
          </w:p>
          <w:p>
            <w:pPr>
              <w:pStyle w:val="TableParagraph"/>
              <w:spacing w:line="168" w:lineRule="exact" w:before="1"/>
              <w:ind w:left="107"/>
              <w:rPr>
                <w:sz w:val="16"/>
              </w:rPr>
            </w:pPr>
            <w:r>
              <w:rPr>
                <w:spacing w:val="-2"/>
                <w:sz w:val="16"/>
              </w:rPr>
              <w:t>capabilities</w:t>
            </w:r>
          </w:p>
        </w:tc>
      </w:tr>
      <w:tr>
        <w:trPr>
          <w:trHeight w:val="1106" w:hRule="atLeast"/>
        </w:trPr>
        <w:tc>
          <w:tcPr>
            <w:tcW w:w="540" w:type="dxa"/>
          </w:tcPr>
          <w:p>
            <w:pPr>
              <w:pStyle w:val="TableParagraph"/>
              <w:spacing w:line="181" w:lineRule="exact"/>
              <w:ind w:left="107"/>
              <w:rPr>
                <w:sz w:val="16"/>
              </w:rPr>
            </w:pPr>
            <w:r>
              <w:rPr>
                <w:spacing w:val="-10"/>
                <w:sz w:val="16"/>
              </w:rPr>
              <w:t>3</w:t>
            </w:r>
          </w:p>
        </w:tc>
        <w:tc>
          <w:tcPr>
            <w:tcW w:w="964" w:type="dxa"/>
            <w:tcBorders>
              <w:right w:val="nil"/>
            </w:tcBorders>
          </w:tcPr>
          <w:p>
            <w:pPr>
              <w:pStyle w:val="TableParagraph"/>
              <w:ind w:left="107"/>
              <w:rPr>
                <w:sz w:val="16"/>
              </w:rPr>
            </w:pPr>
            <w:r>
              <w:rPr>
                <w:spacing w:val="-2"/>
                <w:sz w:val="16"/>
              </w:rPr>
              <w:t>Rules</w:t>
            </w:r>
            <w:r>
              <w:rPr>
                <w:spacing w:val="40"/>
                <w:sz w:val="16"/>
              </w:rPr>
              <w:t> </w:t>
            </w:r>
            <w:r>
              <w:rPr>
                <w:spacing w:val="-2"/>
                <w:sz w:val="16"/>
              </w:rPr>
              <w:t>Engagement</w:t>
            </w:r>
            <w:r>
              <w:rPr>
                <w:spacing w:val="40"/>
                <w:sz w:val="16"/>
              </w:rPr>
              <w:t> </w:t>
            </w:r>
            <w:r>
              <w:rPr>
                <w:spacing w:val="-2"/>
                <w:sz w:val="16"/>
              </w:rPr>
              <w:t>(ROE)</w:t>
            </w:r>
          </w:p>
          <w:p>
            <w:pPr>
              <w:pStyle w:val="TableParagraph"/>
              <w:ind w:left="107"/>
              <w:rPr>
                <w:sz w:val="16"/>
              </w:rPr>
            </w:pPr>
            <w:r>
              <w:rPr>
                <w:spacing w:val="-2"/>
                <w:sz w:val="16"/>
              </w:rPr>
              <w:t>inception</w:t>
            </w:r>
            <w:r>
              <w:rPr>
                <w:spacing w:val="40"/>
                <w:sz w:val="16"/>
              </w:rPr>
              <w:t> </w:t>
            </w:r>
            <w:r>
              <w:rPr>
                <w:spacing w:val="-4"/>
                <w:sz w:val="16"/>
              </w:rPr>
              <w:t>2003</w:t>
            </w:r>
          </w:p>
        </w:tc>
        <w:tc>
          <w:tcPr>
            <w:tcW w:w="296" w:type="dxa"/>
            <w:tcBorders>
              <w:left w:val="nil"/>
            </w:tcBorders>
          </w:tcPr>
          <w:p>
            <w:pPr>
              <w:pStyle w:val="TableParagraph"/>
              <w:spacing w:line="181" w:lineRule="exact"/>
              <w:ind w:left="60"/>
              <w:rPr>
                <w:sz w:val="16"/>
              </w:rPr>
            </w:pPr>
            <w:r>
              <w:rPr>
                <w:spacing w:val="-5"/>
                <w:sz w:val="16"/>
              </w:rPr>
              <w:t>of</w:t>
            </w:r>
          </w:p>
          <w:p>
            <w:pPr>
              <w:pStyle w:val="TableParagraph"/>
              <w:spacing w:before="183"/>
              <w:ind w:left="70" w:right="86" w:firstLine="6"/>
              <w:rPr>
                <w:sz w:val="16"/>
              </w:rPr>
            </w:pPr>
            <w:r>
              <w:rPr>
                <w:spacing w:val="-6"/>
                <w:sz w:val="16"/>
              </w:rPr>
              <w:t>at</w:t>
            </w:r>
            <w:r>
              <w:rPr>
                <w:spacing w:val="40"/>
                <w:sz w:val="16"/>
              </w:rPr>
              <w:t> </w:t>
            </w:r>
            <w:r>
              <w:rPr>
                <w:spacing w:val="-5"/>
                <w:sz w:val="16"/>
              </w:rPr>
              <w:t>in</w:t>
            </w:r>
          </w:p>
        </w:tc>
        <w:tc>
          <w:tcPr>
            <w:tcW w:w="1378" w:type="dxa"/>
            <w:gridSpan w:val="2"/>
          </w:tcPr>
          <w:p>
            <w:pPr>
              <w:pStyle w:val="TableParagraph"/>
              <w:tabs>
                <w:tab w:pos="1138" w:val="left" w:leader="none"/>
              </w:tabs>
              <w:ind w:left="107" w:right="94"/>
              <w:rPr>
                <w:sz w:val="16"/>
              </w:rPr>
            </w:pPr>
            <w:r>
              <w:rPr>
                <w:spacing w:val="-2"/>
                <w:sz w:val="16"/>
              </w:rPr>
              <w:t>Application</w:t>
            </w:r>
            <w:r>
              <w:rPr>
                <w:sz w:val="16"/>
              </w:rPr>
              <w:tab/>
            </w:r>
            <w:r>
              <w:rPr>
                <w:spacing w:val="-6"/>
                <w:sz w:val="16"/>
              </w:rPr>
              <w:t>of</w:t>
            </w:r>
            <w:r>
              <w:rPr>
                <w:spacing w:val="40"/>
                <w:sz w:val="16"/>
              </w:rPr>
              <w:t> </w:t>
            </w:r>
            <w:r>
              <w:rPr>
                <w:sz w:val="16"/>
              </w:rPr>
              <w:t>minimum</w:t>
            </w:r>
            <w:r>
              <w:rPr>
                <w:spacing w:val="-10"/>
                <w:sz w:val="16"/>
              </w:rPr>
              <w:t> </w:t>
            </w:r>
            <w:r>
              <w:rPr>
                <w:sz w:val="16"/>
              </w:rPr>
              <w:t>force</w:t>
            </w:r>
            <w:r>
              <w:rPr>
                <w:spacing w:val="-10"/>
                <w:sz w:val="16"/>
              </w:rPr>
              <w:t> </w:t>
            </w:r>
            <w:r>
              <w:rPr>
                <w:sz w:val="16"/>
              </w:rPr>
              <w:t>in</w:t>
            </w:r>
            <w:r>
              <w:rPr>
                <w:spacing w:val="40"/>
                <w:sz w:val="16"/>
              </w:rPr>
              <w:t> </w:t>
            </w:r>
            <w:r>
              <w:rPr>
                <w:spacing w:val="-2"/>
                <w:sz w:val="16"/>
              </w:rPr>
              <w:t>self-defence</w:t>
            </w:r>
            <w:r>
              <w:rPr>
                <w:spacing w:val="40"/>
                <w:sz w:val="16"/>
              </w:rPr>
              <w:t> </w:t>
            </w:r>
            <w:r>
              <w:rPr>
                <w:spacing w:val="-2"/>
                <w:sz w:val="16"/>
              </w:rPr>
              <w:t>(2003)</w:t>
            </w:r>
          </w:p>
        </w:tc>
        <w:tc>
          <w:tcPr>
            <w:tcW w:w="790" w:type="dxa"/>
            <w:tcBorders>
              <w:right w:val="nil"/>
            </w:tcBorders>
          </w:tcPr>
          <w:p>
            <w:pPr>
              <w:pStyle w:val="TableParagraph"/>
              <w:spacing w:line="237" w:lineRule="auto"/>
              <w:ind w:left="107" w:right="114"/>
              <w:rPr>
                <w:sz w:val="16"/>
              </w:rPr>
            </w:pPr>
            <w:r>
              <w:rPr>
                <w:spacing w:val="-2"/>
                <w:sz w:val="16"/>
              </w:rPr>
              <w:t>Relative</w:t>
            </w:r>
            <w:r>
              <w:rPr>
                <w:spacing w:val="40"/>
                <w:sz w:val="16"/>
              </w:rPr>
              <w:t> </w:t>
            </w:r>
            <w:r>
              <w:rPr>
                <w:spacing w:val="-2"/>
                <w:sz w:val="16"/>
              </w:rPr>
              <w:t>recorded</w:t>
            </w:r>
          </w:p>
        </w:tc>
        <w:tc>
          <w:tcPr>
            <w:tcW w:w="737" w:type="dxa"/>
            <w:tcBorders>
              <w:left w:val="nil"/>
            </w:tcBorders>
          </w:tcPr>
          <w:p>
            <w:pPr>
              <w:pStyle w:val="TableParagraph"/>
              <w:spacing w:line="181" w:lineRule="exact"/>
              <w:ind w:left="56"/>
              <w:jc w:val="center"/>
              <w:rPr>
                <w:sz w:val="16"/>
              </w:rPr>
            </w:pPr>
            <w:r>
              <w:rPr>
                <w:spacing w:val="-2"/>
                <w:sz w:val="16"/>
              </w:rPr>
              <w:t>success</w:t>
            </w:r>
          </w:p>
        </w:tc>
        <w:tc>
          <w:tcPr>
            <w:tcW w:w="840" w:type="dxa"/>
          </w:tcPr>
          <w:p>
            <w:pPr>
              <w:pStyle w:val="TableParagraph"/>
              <w:rPr>
                <w:sz w:val="16"/>
              </w:rPr>
            </w:pPr>
          </w:p>
        </w:tc>
        <w:tc>
          <w:tcPr>
            <w:tcW w:w="1529" w:type="dxa"/>
            <w:gridSpan w:val="2"/>
          </w:tcPr>
          <w:p>
            <w:pPr>
              <w:pStyle w:val="TableParagraph"/>
              <w:tabs>
                <w:tab w:pos="981" w:val="left" w:leader="none"/>
                <w:tab w:pos="1189" w:val="left" w:leader="none"/>
              </w:tabs>
              <w:ind w:left="107" w:right="98"/>
              <w:rPr>
                <w:sz w:val="16"/>
              </w:rPr>
            </w:pPr>
            <w:r>
              <w:rPr>
                <w:spacing w:val="-4"/>
                <w:sz w:val="16"/>
              </w:rPr>
              <w:t>JTF</w:t>
            </w:r>
            <w:r>
              <w:rPr>
                <w:sz w:val="16"/>
              </w:rPr>
              <w:tab/>
            </w:r>
            <w:r>
              <w:rPr>
                <w:spacing w:val="-2"/>
                <w:sz w:val="16"/>
              </w:rPr>
              <w:t>suffers</w:t>
            </w:r>
            <w:r>
              <w:rPr>
                <w:spacing w:val="40"/>
                <w:sz w:val="16"/>
              </w:rPr>
              <w:t> </w:t>
            </w:r>
            <w:r>
              <w:rPr>
                <w:spacing w:val="-2"/>
                <w:sz w:val="16"/>
              </w:rPr>
              <w:t>equipment</w:t>
            </w:r>
            <w:r>
              <w:rPr>
                <w:sz w:val="16"/>
              </w:rPr>
              <w:tab/>
              <w:tab/>
            </w:r>
            <w:r>
              <w:rPr>
                <w:spacing w:val="-4"/>
                <w:sz w:val="16"/>
              </w:rPr>
              <w:t>and</w:t>
            </w:r>
            <w:r>
              <w:rPr>
                <w:spacing w:val="40"/>
                <w:sz w:val="16"/>
              </w:rPr>
              <w:t> </w:t>
            </w:r>
            <w:r>
              <w:rPr>
                <w:spacing w:val="-2"/>
                <w:sz w:val="16"/>
              </w:rPr>
              <w:t>personnel</w:t>
            </w:r>
            <w:r>
              <w:rPr>
                <w:spacing w:val="80"/>
                <w:sz w:val="16"/>
              </w:rPr>
              <w:t> </w:t>
            </w:r>
            <w:r>
              <w:rPr>
                <w:spacing w:val="-2"/>
                <w:sz w:val="16"/>
              </w:rPr>
              <w:t>causalities</w:t>
            </w:r>
          </w:p>
        </w:tc>
        <w:tc>
          <w:tcPr>
            <w:tcW w:w="2108" w:type="dxa"/>
            <w:gridSpan w:val="2"/>
          </w:tcPr>
          <w:p>
            <w:pPr>
              <w:pStyle w:val="TableParagraph"/>
              <w:ind w:left="107" w:right="93"/>
              <w:jc w:val="both"/>
              <w:rPr>
                <w:sz w:val="16"/>
              </w:rPr>
            </w:pPr>
            <w:r>
              <w:rPr>
                <w:sz w:val="16"/>
              </w:rPr>
              <w:t>ROE too restrictive. The</w:t>
            </w:r>
            <w:r>
              <w:rPr>
                <w:spacing w:val="40"/>
                <w:sz w:val="16"/>
              </w:rPr>
              <w:t> </w:t>
            </w:r>
            <w:r>
              <w:rPr>
                <w:sz w:val="16"/>
              </w:rPr>
              <w:t>ROE has not been reviewed</w:t>
            </w:r>
            <w:r>
              <w:rPr>
                <w:spacing w:val="40"/>
                <w:sz w:val="16"/>
              </w:rPr>
              <w:t> </w:t>
            </w:r>
            <w:r>
              <w:rPr>
                <w:sz w:val="16"/>
              </w:rPr>
              <w:t>to</w:t>
            </w:r>
            <w:r>
              <w:rPr>
                <w:spacing w:val="-7"/>
                <w:sz w:val="16"/>
              </w:rPr>
              <w:t> </w:t>
            </w:r>
            <w:r>
              <w:rPr>
                <w:sz w:val="16"/>
              </w:rPr>
              <w:t>permit</w:t>
            </w:r>
            <w:r>
              <w:rPr>
                <w:spacing w:val="-7"/>
                <w:sz w:val="16"/>
              </w:rPr>
              <w:t> </w:t>
            </w:r>
            <w:r>
              <w:rPr>
                <w:sz w:val="16"/>
              </w:rPr>
              <w:t>the</w:t>
            </w:r>
            <w:r>
              <w:rPr>
                <w:spacing w:val="-7"/>
                <w:sz w:val="16"/>
              </w:rPr>
              <w:t> </w:t>
            </w:r>
            <w:r>
              <w:rPr>
                <w:sz w:val="16"/>
              </w:rPr>
              <w:t>offensive</w:t>
            </w:r>
            <w:r>
              <w:rPr>
                <w:spacing w:val="-7"/>
                <w:sz w:val="16"/>
              </w:rPr>
              <w:t> </w:t>
            </w:r>
            <w:r>
              <w:rPr>
                <w:sz w:val="16"/>
              </w:rPr>
              <w:t>action</w:t>
            </w:r>
            <w:r>
              <w:rPr>
                <w:spacing w:val="40"/>
                <w:sz w:val="16"/>
              </w:rPr>
              <w:t> </w:t>
            </w:r>
            <w:r>
              <w:rPr>
                <w:sz w:val="16"/>
              </w:rPr>
              <w:t>in line commensurate with</w:t>
            </w:r>
            <w:r>
              <w:rPr>
                <w:spacing w:val="40"/>
                <w:sz w:val="16"/>
              </w:rPr>
              <w:t> </w:t>
            </w:r>
            <w:r>
              <w:rPr>
                <w:sz w:val="16"/>
              </w:rPr>
              <w:t>the</w:t>
            </w:r>
            <w:r>
              <w:rPr>
                <w:spacing w:val="47"/>
                <w:sz w:val="16"/>
              </w:rPr>
              <w:t>  </w:t>
            </w:r>
            <w:r>
              <w:rPr>
                <w:sz w:val="16"/>
              </w:rPr>
              <w:t>strength</w:t>
            </w:r>
            <w:r>
              <w:rPr>
                <w:spacing w:val="50"/>
                <w:sz w:val="16"/>
              </w:rPr>
              <w:t>  </w:t>
            </w:r>
            <w:r>
              <w:rPr>
                <w:sz w:val="16"/>
              </w:rPr>
              <w:t>of</w:t>
            </w:r>
            <w:r>
              <w:rPr>
                <w:spacing w:val="48"/>
                <w:sz w:val="16"/>
              </w:rPr>
              <w:t>  </w:t>
            </w:r>
            <w:r>
              <w:rPr>
                <w:spacing w:val="-2"/>
                <w:sz w:val="16"/>
              </w:rPr>
              <w:t>existing</w:t>
            </w:r>
          </w:p>
          <w:p>
            <w:pPr>
              <w:pStyle w:val="TableParagraph"/>
              <w:spacing w:line="169" w:lineRule="exact"/>
              <w:ind w:left="107"/>
              <w:rPr>
                <w:sz w:val="16"/>
              </w:rPr>
            </w:pPr>
            <w:r>
              <w:rPr>
                <w:spacing w:val="-2"/>
                <w:sz w:val="16"/>
              </w:rPr>
              <w:t>militancy</w:t>
            </w:r>
          </w:p>
        </w:tc>
      </w:tr>
      <w:tr>
        <w:trPr>
          <w:trHeight w:val="1103" w:hRule="atLeast"/>
        </w:trPr>
        <w:tc>
          <w:tcPr>
            <w:tcW w:w="540" w:type="dxa"/>
          </w:tcPr>
          <w:p>
            <w:pPr>
              <w:pStyle w:val="TableParagraph"/>
              <w:spacing w:line="178" w:lineRule="exact"/>
              <w:ind w:left="107"/>
              <w:rPr>
                <w:sz w:val="16"/>
              </w:rPr>
            </w:pPr>
            <w:r>
              <w:rPr>
                <w:spacing w:val="-10"/>
                <w:sz w:val="16"/>
              </w:rPr>
              <w:t>4</w:t>
            </w:r>
          </w:p>
        </w:tc>
        <w:tc>
          <w:tcPr>
            <w:tcW w:w="1260" w:type="dxa"/>
            <w:gridSpan w:val="2"/>
          </w:tcPr>
          <w:p>
            <w:pPr>
              <w:pStyle w:val="TableParagraph"/>
              <w:spacing w:line="178" w:lineRule="exact"/>
              <w:ind w:left="107"/>
              <w:rPr>
                <w:sz w:val="16"/>
              </w:rPr>
            </w:pPr>
            <w:r>
              <w:rPr>
                <w:sz w:val="16"/>
              </w:rPr>
              <w:t>ROE</w:t>
            </w:r>
            <w:r>
              <w:rPr>
                <w:spacing w:val="-2"/>
                <w:sz w:val="16"/>
              </w:rPr>
              <w:t> </w:t>
            </w:r>
            <w:r>
              <w:rPr>
                <w:sz w:val="16"/>
              </w:rPr>
              <w:t>as</w:t>
            </w:r>
            <w:r>
              <w:rPr>
                <w:spacing w:val="-2"/>
                <w:sz w:val="16"/>
              </w:rPr>
              <w:t> </w:t>
            </w:r>
            <w:r>
              <w:rPr>
                <w:sz w:val="16"/>
              </w:rPr>
              <w:t>at</w:t>
            </w:r>
            <w:r>
              <w:rPr>
                <w:spacing w:val="-2"/>
                <w:sz w:val="16"/>
              </w:rPr>
              <w:t> </w:t>
            </w:r>
            <w:r>
              <w:rPr>
                <w:spacing w:val="-4"/>
                <w:sz w:val="16"/>
              </w:rPr>
              <w:t>2010</w:t>
            </w:r>
          </w:p>
        </w:tc>
        <w:tc>
          <w:tcPr>
            <w:tcW w:w="1378" w:type="dxa"/>
            <w:gridSpan w:val="2"/>
          </w:tcPr>
          <w:p>
            <w:pPr>
              <w:pStyle w:val="TableParagraph"/>
              <w:ind w:left="107" w:right="95"/>
              <w:jc w:val="both"/>
              <w:rPr>
                <w:sz w:val="16"/>
              </w:rPr>
            </w:pPr>
            <w:r>
              <w:rPr>
                <w:sz w:val="16"/>
              </w:rPr>
              <w:t>After </w:t>
            </w:r>
            <w:r>
              <w:rPr>
                <w:sz w:val="16"/>
              </w:rPr>
              <w:t>amnesty</w:t>
            </w:r>
            <w:r>
              <w:rPr>
                <w:spacing w:val="40"/>
                <w:sz w:val="16"/>
              </w:rPr>
              <w:t> </w:t>
            </w:r>
            <w:r>
              <w:rPr>
                <w:sz w:val="16"/>
              </w:rPr>
              <w:t>offensive actions</w:t>
            </w:r>
            <w:r>
              <w:rPr>
                <w:spacing w:val="40"/>
                <w:sz w:val="16"/>
              </w:rPr>
              <w:t> </w:t>
            </w:r>
            <w:r>
              <w:rPr>
                <w:sz w:val="16"/>
              </w:rPr>
              <w:t>are</w:t>
            </w:r>
            <w:r>
              <w:rPr>
                <w:spacing w:val="-5"/>
                <w:sz w:val="16"/>
              </w:rPr>
              <w:t> </w:t>
            </w:r>
            <w:r>
              <w:rPr>
                <w:sz w:val="16"/>
              </w:rPr>
              <w:t>permissible</w:t>
            </w:r>
          </w:p>
        </w:tc>
        <w:tc>
          <w:tcPr>
            <w:tcW w:w="1527" w:type="dxa"/>
            <w:gridSpan w:val="2"/>
          </w:tcPr>
          <w:p>
            <w:pPr>
              <w:pStyle w:val="TableParagraph"/>
              <w:tabs>
                <w:tab w:pos="1287" w:val="left" w:leader="none"/>
              </w:tabs>
              <w:spacing w:line="237" w:lineRule="auto"/>
              <w:ind w:left="107" w:right="94"/>
              <w:rPr>
                <w:sz w:val="16"/>
              </w:rPr>
            </w:pPr>
            <w:r>
              <w:rPr>
                <w:spacing w:val="-2"/>
                <w:sz w:val="16"/>
              </w:rPr>
              <w:t>Destruction</w:t>
            </w:r>
            <w:r>
              <w:rPr>
                <w:sz w:val="16"/>
              </w:rPr>
              <w:tab/>
            </w:r>
            <w:r>
              <w:rPr>
                <w:spacing w:val="-6"/>
                <w:sz w:val="16"/>
              </w:rPr>
              <w:t>of</w:t>
            </w:r>
            <w:r>
              <w:rPr>
                <w:spacing w:val="40"/>
                <w:sz w:val="16"/>
              </w:rPr>
              <w:t> </w:t>
            </w:r>
            <w:r>
              <w:rPr>
                <w:sz w:val="16"/>
              </w:rPr>
              <w:t>militant camps</w:t>
            </w:r>
          </w:p>
        </w:tc>
        <w:tc>
          <w:tcPr>
            <w:tcW w:w="840" w:type="dxa"/>
          </w:tcPr>
          <w:p>
            <w:pPr>
              <w:pStyle w:val="TableParagraph"/>
              <w:ind w:left="107" w:right="177"/>
              <w:rPr>
                <w:sz w:val="16"/>
              </w:rPr>
            </w:pPr>
            <w:r>
              <w:rPr>
                <w:spacing w:val="-2"/>
                <w:sz w:val="16"/>
              </w:rPr>
              <w:t>Sizeable</w:t>
            </w:r>
            <w:r>
              <w:rPr>
                <w:spacing w:val="40"/>
                <w:sz w:val="16"/>
              </w:rPr>
              <w:t> </w:t>
            </w:r>
            <w:r>
              <w:rPr>
                <w:spacing w:val="-2"/>
                <w:sz w:val="16"/>
              </w:rPr>
              <w:t>number</w:t>
            </w:r>
            <w:r>
              <w:rPr>
                <w:spacing w:val="40"/>
                <w:sz w:val="16"/>
              </w:rPr>
              <w:t> </w:t>
            </w:r>
            <w:r>
              <w:rPr>
                <w:spacing w:val="-6"/>
                <w:sz w:val="16"/>
              </w:rPr>
              <w:t>of</w:t>
            </w:r>
            <w:r>
              <w:rPr>
                <w:spacing w:val="40"/>
                <w:sz w:val="16"/>
              </w:rPr>
              <w:t> </w:t>
            </w:r>
            <w:r>
              <w:rPr>
                <w:spacing w:val="-2"/>
                <w:sz w:val="16"/>
              </w:rPr>
              <w:t>militant</w:t>
            </w:r>
            <w:r>
              <w:rPr>
                <w:spacing w:val="40"/>
                <w:sz w:val="16"/>
              </w:rPr>
              <w:t> </w:t>
            </w:r>
            <w:r>
              <w:rPr>
                <w:spacing w:val="-2"/>
                <w:sz w:val="16"/>
              </w:rPr>
              <w:t>camps</w:t>
            </w:r>
          </w:p>
          <w:p>
            <w:pPr>
              <w:pStyle w:val="TableParagraph"/>
              <w:spacing w:line="169" w:lineRule="exact"/>
              <w:ind w:left="107"/>
              <w:rPr>
                <w:sz w:val="16"/>
              </w:rPr>
            </w:pPr>
            <w:r>
              <w:rPr>
                <w:spacing w:val="-2"/>
                <w:sz w:val="16"/>
              </w:rPr>
              <w:t>destroyed</w:t>
            </w:r>
          </w:p>
        </w:tc>
        <w:tc>
          <w:tcPr>
            <w:tcW w:w="1529" w:type="dxa"/>
            <w:gridSpan w:val="2"/>
          </w:tcPr>
          <w:p>
            <w:pPr>
              <w:pStyle w:val="TableParagraph"/>
              <w:rPr>
                <w:sz w:val="16"/>
              </w:rPr>
            </w:pPr>
          </w:p>
        </w:tc>
        <w:tc>
          <w:tcPr>
            <w:tcW w:w="2108" w:type="dxa"/>
            <w:gridSpan w:val="2"/>
          </w:tcPr>
          <w:p>
            <w:pPr>
              <w:pStyle w:val="TableParagraph"/>
              <w:spacing w:line="237" w:lineRule="auto"/>
              <w:ind w:left="107"/>
              <w:rPr>
                <w:sz w:val="16"/>
              </w:rPr>
            </w:pPr>
            <w:r>
              <w:rPr>
                <w:sz w:val="16"/>
              </w:rPr>
              <w:t>Collateral</w:t>
            </w:r>
            <w:r>
              <w:rPr>
                <w:spacing w:val="40"/>
                <w:sz w:val="16"/>
              </w:rPr>
              <w:t> </w:t>
            </w:r>
            <w:r>
              <w:rPr>
                <w:sz w:val="16"/>
              </w:rPr>
              <w:t>damages</w:t>
            </w:r>
            <w:r>
              <w:rPr>
                <w:spacing w:val="40"/>
                <w:sz w:val="16"/>
              </w:rPr>
              <w:t> </w:t>
            </w:r>
            <w:r>
              <w:rPr>
                <w:sz w:val="16"/>
              </w:rPr>
              <w:t>due</w:t>
            </w:r>
            <w:r>
              <w:rPr>
                <w:spacing w:val="40"/>
                <w:sz w:val="16"/>
              </w:rPr>
              <w:t> </w:t>
            </w:r>
            <w:r>
              <w:rPr>
                <w:sz w:val="16"/>
              </w:rPr>
              <w:t>to</w:t>
            </w:r>
            <w:r>
              <w:rPr>
                <w:spacing w:val="40"/>
                <w:sz w:val="16"/>
              </w:rPr>
              <w:t> </w:t>
            </w:r>
            <w:r>
              <w:rPr>
                <w:sz w:val="16"/>
              </w:rPr>
              <w:t>lack of adequate intelligence</w:t>
            </w:r>
          </w:p>
        </w:tc>
      </w:tr>
    </w:tbl>
    <w:p>
      <w:pPr>
        <w:pStyle w:val="BodyText"/>
        <w:spacing w:before="137"/>
        <w:ind w:left="0"/>
        <w:rPr>
          <w:b/>
        </w:rPr>
      </w:pPr>
    </w:p>
    <w:p>
      <w:pPr>
        <w:pStyle w:val="ListParagraph"/>
        <w:numPr>
          <w:ilvl w:val="2"/>
          <w:numId w:val="19"/>
        </w:numPr>
        <w:tabs>
          <w:tab w:pos="2100" w:val="left" w:leader="none"/>
          <w:tab w:pos="2400" w:val="left" w:leader="none"/>
        </w:tabs>
        <w:spacing w:line="362" w:lineRule="auto" w:before="1" w:after="0"/>
        <w:ind w:left="2400" w:right="1826" w:hanging="960"/>
        <w:jc w:val="both"/>
        <w:rPr>
          <w:b/>
          <w:sz w:val="24"/>
        </w:rPr>
      </w:pPr>
      <w:r>
        <w:rPr>
          <w:b/>
          <w:sz w:val="24"/>
        </w:rPr>
        <w:t>Community</w:t>
      </w:r>
      <w:r>
        <w:rPr>
          <w:b/>
          <w:spacing w:val="-5"/>
          <w:sz w:val="24"/>
        </w:rPr>
        <w:t> </w:t>
      </w:r>
      <w:r>
        <w:rPr>
          <w:b/>
          <w:sz w:val="24"/>
        </w:rPr>
        <w:t>Perception</w:t>
      </w:r>
      <w:r>
        <w:rPr>
          <w:b/>
          <w:spacing w:val="-5"/>
          <w:sz w:val="24"/>
        </w:rPr>
        <w:t> </w:t>
      </w:r>
      <w:r>
        <w:rPr>
          <w:b/>
          <w:sz w:val="24"/>
        </w:rPr>
        <w:t>of</w:t>
      </w:r>
      <w:r>
        <w:rPr>
          <w:b/>
          <w:spacing w:val="-4"/>
          <w:sz w:val="24"/>
        </w:rPr>
        <w:t> </w:t>
      </w:r>
      <w:r>
        <w:rPr>
          <w:b/>
          <w:sz w:val="24"/>
        </w:rPr>
        <w:t>JTF</w:t>
      </w:r>
      <w:r>
        <w:rPr>
          <w:b/>
          <w:spacing w:val="-7"/>
          <w:sz w:val="24"/>
        </w:rPr>
        <w:t> </w:t>
      </w:r>
      <w:r>
        <w:rPr>
          <w:b/>
          <w:sz w:val="24"/>
        </w:rPr>
        <w:t>Operations</w:t>
      </w:r>
      <w:r>
        <w:rPr>
          <w:b/>
          <w:spacing w:val="-5"/>
          <w:sz w:val="24"/>
        </w:rPr>
        <w:t> </w:t>
      </w:r>
      <w:r>
        <w:rPr>
          <w:b/>
          <w:sz w:val="24"/>
        </w:rPr>
        <w:t>and</w:t>
      </w:r>
      <w:r>
        <w:rPr>
          <w:b/>
          <w:spacing w:val="-5"/>
          <w:sz w:val="24"/>
        </w:rPr>
        <w:t> </w:t>
      </w:r>
      <w:r>
        <w:rPr>
          <w:b/>
          <w:sz w:val="24"/>
        </w:rPr>
        <w:t>Activities</w:t>
      </w:r>
      <w:r>
        <w:rPr>
          <w:b/>
          <w:spacing w:val="-5"/>
          <w:sz w:val="24"/>
        </w:rPr>
        <w:t> </w:t>
      </w:r>
      <w:r>
        <w:rPr>
          <w:b/>
          <w:sz w:val="24"/>
        </w:rPr>
        <w:t>in</w:t>
      </w:r>
      <w:r>
        <w:rPr>
          <w:b/>
          <w:spacing w:val="-4"/>
          <w:sz w:val="24"/>
        </w:rPr>
        <w:t> </w:t>
      </w:r>
      <w:r>
        <w:rPr>
          <w:b/>
          <w:sz w:val="24"/>
        </w:rPr>
        <w:t>the</w:t>
      </w:r>
      <w:r>
        <w:rPr>
          <w:b/>
          <w:spacing w:val="-8"/>
          <w:sz w:val="24"/>
        </w:rPr>
        <w:t> </w:t>
      </w:r>
      <w:r>
        <w:rPr>
          <w:b/>
          <w:sz w:val="24"/>
        </w:rPr>
        <w:t>Niger </w:t>
      </w:r>
      <w:r>
        <w:rPr>
          <w:b/>
          <w:spacing w:val="-2"/>
          <w:sz w:val="24"/>
        </w:rPr>
        <w:t>Delta</w:t>
      </w:r>
    </w:p>
    <w:p>
      <w:pPr>
        <w:pStyle w:val="BodyText"/>
        <w:spacing w:line="360" w:lineRule="auto"/>
        <w:ind w:right="1256" w:firstLine="556"/>
        <w:jc w:val="both"/>
      </w:pPr>
      <w:r>
        <w:rPr/>
        <w:t>Generally, the Niger Delta communities disagree with the perception that good governance</w:t>
      </w:r>
      <w:r>
        <w:rPr>
          <w:spacing w:val="-1"/>
        </w:rPr>
        <w:t> </w:t>
      </w:r>
      <w:r>
        <w:rPr/>
        <w:t>cannot be</w:t>
      </w:r>
      <w:r>
        <w:rPr>
          <w:spacing w:val="-1"/>
        </w:rPr>
        <w:t> </w:t>
      </w:r>
      <w:r>
        <w:rPr/>
        <w:t>achieved in Nigeria.</w:t>
      </w:r>
      <w:r>
        <w:rPr>
          <w:spacing w:val="40"/>
        </w:rPr>
        <w:t> </w:t>
      </w:r>
      <w:r>
        <w:rPr/>
        <w:t>It was found</w:t>
      </w:r>
      <w:r>
        <w:rPr>
          <w:spacing w:val="-1"/>
        </w:rPr>
        <w:t> </w:t>
      </w:r>
      <w:r>
        <w:rPr/>
        <w:t>out however, that</w:t>
      </w:r>
      <w:r>
        <w:rPr>
          <w:spacing w:val="-2"/>
        </w:rPr>
        <w:t> </w:t>
      </w:r>
      <w:r>
        <w:rPr/>
        <w:t>the youths, traditionalists, those with little or no education agree with the view that good governance cannot be achieved in Nigeria.</w:t>
      </w:r>
    </w:p>
    <w:p>
      <w:pPr>
        <w:pStyle w:val="BodyText"/>
        <w:ind w:left="1877"/>
        <w:jc w:val="both"/>
      </w:pPr>
      <w:r>
        <w:rPr/>
        <w:t>The</w:t>
      </w:r>
      <w:r>
        <w:rPr>
          <w:spacing w:val="19"/>
        </w:rPr>
        <w:t> </w:t>
      </w:r>
      <w:r>
        <w:rPr/>
        <w:t>youth</w:t>
      </w:r>
      <w:r>
        <w:rPr>
          <w:spacing w:val="18"/>
        </w:rPr>
        <w:t> </w:t>
      </w:r>
      <w:r>
        <w:rPr/>
        <w:t>play</w:t>
      </w:r>
      <w:r>
        <w:rPr>
          <w:spacing w:val="13"/>
        </w:rPr>
        <w:t> </w:t>
      </w:r>
      <w:r>
        <w:rPr/>
        <w:t>critical</w:t>
      </w:r>
      <w:r>
        <w:rPr>
          <w:spacing w:val="18"/>
        </w:rPr>
        <w:t> </w:t>
      </w:r>
      <w:r>
        <w:rPr/>
        <w:t>roles</w:t>
      </w:r>
      <w:r>
        <w:rPr>
          <w:spacing w:val="17"/>
        </w:rPr>
        <w:t> </w:t>
      </w:r>
      <w:r>
        <w:rPr/>
        <w:t>in</w:t>
      </w:r>
      <w:r>
        <w:rPr>
          <w:spacing w:val="18"/>
        </w:rPr>
        <w:t> </w:t>
      </w:r>
      <w:r>
        <w:rPr/>
        <w:t>the</w:t>
      </w:r>
      <w:r>
        <w:rPr>
          <w:spacing w:val="18"/>
        </w:rPr>
        <w:t> </w:t>
      </w:r>
      <w:r>
        <w:rPr/>
        <w:t>Niger</w:t>
      </w:r>
      <w:r>
        <w:rPr>
          <w:spacing w:val="17"/>
        </w:rPr>
        <w:t> </w:t>
      </w:r>
      <w:r>
        <w:rPr/>
        <w:t>Delta</w:t>
      </w:r>
      <w:r>
        <w:rPr>
          <w:spacing w:val="17"/>
        </w:rPr>
        <w:t> </w:t>
      </w:r>
      <w:r>
        <w:rPr/>
        <w:t>conflicts.</w:t>
      </w:r>
      <w:r>
        <w:rPr>
          <w:spacing w:val="66"/>
          <w:w w:val="150"/>
        </w:rPr>
        <w:t> </w:t>
      </w:r>
      <w:r>
        <w:rPr/>
        <w:t>This</w:t>
      </w:r>
      <w:r>
        <w:rPr>
          <w:spacing w:val="16"/>
        </w:rPr>
        <w:t> </w:t>
      </w:r>
      <w:r>
        <w:rPr/>
        <w:t>is</w:t>
      </w:r>
      <w:r>
        <w:rPr>
          <w:spacing w:val="18"/>
        </w:rPr>
        <w:t> </w:t>
      </w:r>
      <w:r>
        <w:rPr/>
        <w:t>because</w:t>
      </w:r>
      <w:r>
        <w:rPr>
          <w:spacing w:val="18"/>
        </w:rPr>
        <w:t> </w:t>
      </w:r>
      <w:r>
        <w:rPr>
          <w:spacing w:val="-4"/>
        </w:rPr>
        <w:t>many</w:t>
      </w:r>
    </w:p>
    <w:p>
      <w:pPr>
        <w:spacing w:after="0"/>
        <w:jc w:val="both"/>
        <w:sectPr>
          <w:pgSz w:w="11910" w:h="16840"/>
          <w:pgMar w:header="0" w:footer="1561" w:top="1360" w:bottom="1760" w:left="720" w:right="180"/>
        </w:sectPr>
      </w:pPr>
    </w:p>
    <w:p>
      <w:pPr>
        <w:pStyle w:val="BodyText"/>
        <w:spacing w:line="360" w:lineRule="auto" w:before="60"/>
        <w:ind w:right="1257"/>
        <w:jc w:val="both"/>
      </w:pPr>
      <w:r>
        <w:rPr/>
        <mc:AlternateContent>
          <mc:Choice Requires="wps">
            <w:drawing>
              <wp:anchor distT="0" distB="0" distL="0" distR="0" allowOverlap="1" layoutInCell="1" locked="0" behindDoc="1" simplePos="0" relativeHeight="480686592">
                <wp:simplePos x="0" y="0"/>
                <wp:positionH relativeFrom="page">
                  <wp:posOffset>-1537026</wp:posOffset>
                </wp:positionH>
                <wp:positionV relativeFrom="page">
                  <wp:posOffset>4900424</wp:posOffset>
                </wp:positionV>
                <wp:extent cx="10669905" cy="914400"/>
                <wp:effectExtent l="0" t="0" r="0" b="0"/>
                <wp:wrapNone/>
                <wp:docPr id="332" name="Textbox 332"/>
                <wp:cNvGraphicFramePr>
                  <a:graphicFrameLocks/>
                </wp:cNvGraphicFramePr>
                <a:graphic>
                  <a:graphicData uri="http://schemas.microsoft.com/office/word/2010/wordprocessingShape">
                    <wps:wsp>
                      <wps:cNvPr id="332" name="Textbox 332"/>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29888;rotation:306" type="#_x0000_t136" fillcolor="#ff5400" stroked="f">
                <o:extrusion v:ext="view" autorotationcenter="t"/>
                <v:textpath style="font-family:&quot;Arial MT&quot;;font-size:72pt;v-text-kern:t;mso-text-shadow:auto" string="UNIVERSITY OF IBADAN"/>
                <w10:wrap type="none"/>
              </v:shape>
            </w:pict>
          </mc:Fallback>
        </mc:AlternateContent>
      </w:r>
      <w:r>
        <w:rPr/>
        <w:t>of them are jobless, unemployable and lack basic education.</w:t>
      </w:r>
      <w:r>
        <w:rPr>
          <w:spacing w:val="40"/>
        </w:rPr>
        <w:t> </w:t>
      </w:r>
      <w:r>
        <w:rPr/>
        <w:t>These youths perceive good governance in Nigeria as unattainable.</w:t>
      </w:r>
      <w:r>
        <w:rPr>
          <w:spacing w:val="40"/>
        </w:rPr>
        <w:t> </w:t>
      </w:r>
      <w:r>
        <w:rPr/>
        <w:t>It can be deduced that no development would produce any positive results in the Niger Delta without addressing this</w:t>
      </w:r>
      <w:r>
        <w:rPr>
          <w:spacing w:val="40"/>
        </w:rPr>
        <w:t> </w:t>
      </w:r>
      <w:r>
        <w:rPr/>
        <w:t>problem.</w:t>
      </w:r>
      <w:r>
        <w:rPr>
          <w:spacing w:val="80"/>
        </w:rPr>
        <w:t> </w:t>
      </w:r>
      <w:r>
        <w:rPr/>
        <w:t>This is due to the fact that most of the vices that breed insecurity and</w:t>
      </w:r>
      <w:r>
        <w:rPr>
          <w:spacing w:val="40"/>
        </w:rPr>
        <w:t> </w:t>
      </w:r>
      <w:r>
        <w:rPr/>
        <w:t>violent conflict like cultism, kidnappings, piracy and armed robbery amongst others are associated with this category of the population which accounts for about 16% of the sample.</w:t>
      </w:r>
      <w:r>
        <w:rPr>
          <w:spacing w:val="40"/>
        </w:rPr>
        <w:t> </w:t>
      </w:r>
      <w:r>
        <w:rPr/>
        <w:t>This situation requires devising mechanisms to assist youths in creating their own jobs since there is a limit to the number of people that government and oil companies can employ.</w:t>
      </w:r>
      <w:r>
        <w:rPr>
          <w:spacing w:val="80"/>
        </w:rPr>
        <w:t> </w:t>
      </w:r>
      <w:r>
        <w:rPr/>
        <w:t>It was also found that the level of education in the states of the Niger Delta Region was high (45% had university education).</w:t>
      </w:r>
      <w:r>
        <w:rPr>
          <w:spacing w:val="40"/>
        </w:rPr>
        <w:t> </w:t>
      </w:r>
      <w:r>
        <w:rPr/>
        <w:t>This however, did not translate into job opportunities for the people as the unemployed in the sample</w:t>
      </w:r>
      <w:r>
        <w:rPr>
          <w:spacing w:val="40"/>
        </w:rPr>
        <w:t> </w:t>
      </w:r>
      <w:r>
        <w:rPr/>
        <w:t>was high (16%).</w:t>
      </w:r>
    </w:p>
    <w:p>
      <w:pPr>
        <w:pStyle w:val="Heading2"/>
        <w:numPr>
          <w:ilvl w:val="2"/>
          <w:numId w:val="19"/>
        </w:numPr>
        <w:tabs>
          <w:tab w:pos="2100" w:val="left" w:leader="none"/>
          <w:tab w:pos="2220" w:val="left" w:leader="none"/>
        </w:tabs>
        <w:spacing w:line="360" w:lineRule="auto" w:before="7" w:after="0"/>
        <w:ind w:left="2220" w:right="1867" w:hanging="780"/>
        <w:jc w:val="both"/>
      </w:pPr>
      <w:r>
        <w:rPr/>
        <w:t>Gaps</w:t>
      </w:r>
      <w:r>
        <w:rPr>
          <w:spacing w:val="-3"/>
        </w:rPr>
        <w:t> </w:t>
      </w:r>
      <w:r>
        <w:rPr/>
        <w:t>Occasioned</w:t>
      </w:r>
      <w:r>
        <w:rPr>
          <w:spacing w:val="-3"/>
        </w:rPr>
        <w:t> </w:t>
      </w:r>
      <w:r>
        <w:rPr/>
        <w:t>by</w:t>
      </w:r>
      <w:r>
        <w:rPr>
          <w:spacing w:val="-3"/>
        </w:rPr>
        <w:t> </w:t>
      </w:r>
      <w:r>
        <w:rPr/>
        <w:t>the</w:t>
      </w:r>
      <w:r>
        <w:rPr>
          <w:spacing w:val="-4"/>
        </w:rPr>
        <w:t> </w:t>
      </w:r>
      <w:r>
        <w:rPr/>
        <w:t>Non</w:t>
      </w:r>
      <w:r>
        <w:rPr>
          <w:spacing w:val="-3"/>
        </w:rPr>
        <w:t> </w:t>
      </w:r>
      <w:r>
        <w:rPr/>
        <w:t>inclusion</w:t>
      </w:r>
      <w:r>
        <w:rPr>
          <w:spacing w:val="-3"/>
        </w:rPr>
        <w:t> </w:t>
      </w:r>
      <w:r>
        <w:rPr/>
        <w:t>of</w:t>
      </w:r>
      <w:r>
        <w:rPr>
          <w:spacing w:val="-3"/>
        </w:rPr>
        <w:t> </w:t>
      </w:r>
      <w:r>
        <w:rPr/>
        <w:t>Some</w:t>
      </w:r>
      <w:r>
        <w:rPr>
          <w:spacing w:val="-2"/>
        </w:rPr>
        <w:t> </w:t>
      </w:r>
      <w:r>
        <w:rPr/>
        <w:t>Parties</w:t>
      </w:r>
      <w:r>
        <w:rPr>
          <w:spacing w:val="-3"/>
        </w:rPr>
        <w:t> </w:t>
      </w:r>
      <w:r>
        <w:rPr/>
        <w:t>Who</w:t>
      </w:r>
      <w:r>
        <w:rPr>
          <w:spacing w:val="-3"/>
        </w:rPr>
        <w:t> </w:t>
      </w:r>
      <w:r>
        <w:rPr/>
        <w:t>are</w:t>
      </w:r>
      <w:r>
        <w:rPr>
          <w:spacing w:val="-2"/>
        </w:rPr>
        <w:t> </w:t>
      </w:r>
      <w:r>
        <w:rPr/>
        <w:t>Sine qua non to the Attainment of Sustainable Peace in the Niger Delta.</w:t>
      </w:r>
    </w:p>
    <w:p>
      <w:pPr>
        <w:pStyle w:val="BodyText"/>
        <w:spacing w:line="360" w:lineRule="auto"/>
        <w:ind w:right="1262"/>
        <w:jc w:val="both"/>
      </w:pPr>
      <w:r>
        <w:rPr/>
        <w:t>The parties to the Niger Delta conflicts include: The Federal Government, State Governments and Local Governments, oil and gas companies, NGOs and Civil Society Organisations (CSOs). Other stakeholders include the militants, youth organisations, Niger Delta communities, security operatives and JTF personnel.</w:t>
      </w:r>
    </w:p>
    <w:p>
      <w:pPr>
        <w:pStyle w:val="BodyText"/>
        <w:spacing w:line="360" w:lineRule="auto"/>
        <w:ind w:right="1258" w:firstLine="720"/>
        <w:jc w:val="both"/>
      </w:pPr>
      <w:r>
        <w:rPr/>
        <w:t>Gaps for non-inclusion of some stakeholders in the JTF military approach to conflict management in the Niger Delta have been identified.</w:t>
      </w:r>
      <w:r>
        <w:rPr>
          <w:spacing w:val="40"/>
        </w:rPr>
        <w:t> </w:t>
      </w:r>
      <w:r>
        <w:rPr/>
        <w:t>The JTF ought to have included the NGOs, CSOs, media, militants (ex-militants), NDDC, Ministry of Niger Delta Affairs, oil and gas companies, State/L.G.As and other security agencies</w:t>
      </w:r>
      <w:r>
        <w:rPr>
          <w:spacing w:val="40"/>
        </w:rPr>
        <w:t> </w:t>
      </w:r>
      <w:r>
        <w:rPr/>
        <w:t>(EFCC, ICPC, Customs, Immigration, Civil Defence) and communities for better performance and acceptability.</w:t>
      </w:r>
    </w:p>
    <w:p>
      <w:pPr>
        <w:pStyle w:val="Heading2"/>
        <w:numPr>
          <w:ilvl w:val="2"/>
          <w:numId w:val="19"/>
        </w:numPr>
        <w:tabs>
          <w:tab w:pos="2040" w:val="left" w:leader="none"/>
        </w:tabs>
        <w:spacing w:line="360" w:lineRule="auto" w:before="0" w:after="0"/>
        <w:ind w:left="1440" w:right="2076" w:firstLine="0"/>
        <w:jc w:val="both"/>
      </w:pPr>
      <w:r>
        <w:rPr/>
        <w:t>Risk</w:t>
      </w:r>
      <w:r>
        <w:rPr>
          <w:spacing w:val="-4"/>
        </w:rPr>
        <w:t> </w:t>
      </w:r>
      <w:r>
        <w:rPr/>
        <w:t>Factors</w:t>
      </w:r>
      <w:r>
        <w:rPr>
          <w:spacing w:val="-4"/>
        </w:rPr>
        <w:t> </w:t>
      </w:r>
      <w:r>
        <w:rPr/>
        <w:t>That</w:t>
      </w:r>
      <w:r>
        <w:rPr>
          <w:spacing w:val="-5"/>
        </w:rPr>
        <w:t> </w:t>
      </w:r>
      <w:r>
        <w:rPr/>
        <w:t>are</w:t>
      </w:r>
      <w:r>
        <w:rPr>
          <w:spacing w:val="-3"/>
        </w:rPr>
        <w:t> </w:t>
      </w:r>
      <w:r>
        <w:rPr/>
        <w:t>Germane</w:t>
      </w:r>
      <w:r>
        <w:rPr>
          <w:spacing w:val="-5"/>
        </w:rPr>
        <w:t> </w:t>
      </w:r>
      <w:r>
        <w:rPr/>
        <w:t>to</w:t>
      </w:r>
      <w:r>
        <w:rPr>
          <w:spacing w:val="-4"/>
        </w:rPr>
        <w:t> </w:t>
      </w:r>
      <w:r>
        <w:rPr/>
        <w:t>the</w:t>
      </w:r>
      <w:r>
        <w:rPr>
          <w:spacing w:val="-5"/>
        </w:rPr>
        <w:t> </w:t>
      </w:r>
      <w:r>
        <w:rPr/>
        <w:t>Successful</w:t>
      </w:r>
      <w:r>
        <w:rPr>
          <w:spacing w:val="-4"/>
        </w:rPr>
        <w:t> </w:t>
      </w:r>
      <w:r>
        <w:rPr/>
        <w:t>Attainment</w:t>
      </w:r>
      <w:r>
        <w:rPr>
          <w:spacing w:val="-4"/>
        </w:rPr>
        <w:t> </w:t>
      </w:r>
      <w:r>
        <w:rPr/>
        <w:t>of</w:t>
      </w:r>
      <w:r>
        <w:rPr>
          <w:spacing w:val="-4"/>
        </w:rPr>
        <w:t> </w:t>
      </w:r>
      <w:r>
        <w:rPr/>
        <w:t>the JTF Mandate</w:t>
      </w:r>
    </w:p>
    <w:p>
      <w:pPr>
        <w:pStyle w:val="BodyText"/>
        <w:spacing w:line="360" w:lineRule="auto"/>
        <w:ind w:right="1258" w:firstLine="720"/>
        <w:jc w:val="both"/>
      </w:pPr>
      <w:r>
        <w:rPr/>
        <w:t>The identified multi-dimensional risk factors that are germane to the</w:t>
      </w:r>
      <w:r>
        <w:rPr>
          <w:spacing w:val="40"/>
        </w:rPr>
        <w:t> </w:t>
      </w:r>
      <w:r>
        <w:rPr/>
        <w:t>successful attainment of the JTF mandate include personal, political, economic, environmental and diplomatic risks. The JTF operation is basically a MOOTW in a riverine environment and in some cases in the built-up areas.</w:t>
      </w:r>
      <w:r>
        <w:rPr>
          <w:spacing w:val="40"/>
        </w:rPr>
        <w:t> </w:t>
      </w:r>
      <w:r>
        <w:rPr/>
        <w:t>The geography and terrain of</w:t>
      </w:r>
      <w:r>
        <w:rPr>
          <w:spacing w:val="-1"/>
        </w:rPr>
        <w:t> </w:t>
      </w:r>
      <w:r>
        <w:rPr/>
        <w:t>the</w:t>
      </w:r>
      <w:r>
        <w:rPr>
          <w:spacing w:val="-1"/>
        </w:rPr>
        <w:t> </w:t>
      </w:r>
      <w:r>
        <w:rPr/>
        <w:t>JTF</w:t>
      </w:r>
      <w:r>
        <w:rPr>
          <w:spacing w:val="-2"/>
        </w:rPr>
        <w:t> </w:t>
      </w:r>
      <w:r>
        <w:rPr/>
        <w:t>Area</w:t>
      </w:r>
      <w:r>
        <w:rPr>
          <w:spacing w:val="-1"/>
        </w:rPr>
        <w:t> </w:t>
      </w:r>
      <w:r>
        <w:rPr/>
        <w:t>of</w:t>
      </w:r>
      <w:r>
        <w:rPr>
          <w:spacing w:val="-1"/>
        </w:rPr>
        <w:t> </w:t>
      </w:r>
      <w:r>
        <w:rPr/>
        <w:t>Responsibility</w:t>
      </w:r>
      <w:r>
        <w:rPr>
          <w:spacing w:val="-8"/>
        </w:rPr>
        <w:t> </w:t>
      </w:r>
      <w:r>
        <w:rPr/>
        <w:t>(AOR)</w:t>
      </w:r>
      <w:r>
        <w:rPr>
          <w:spacing w:val="-1"/>
        </w:rPr>
        <w:t> </w:t>
      </w:r>
      <w:r>
        <w:rPr/>
        <w:t>constitute</w:t>
      </w:r>
      <w:r>
        <w:rPr>
          <w:spacing w:val="-1"/>
        </w:rPr>
        <w:t> </w:t>
      </w:r>
      <w:r>
        <w:rPr/>
        <w:t>special problems and risks. The militants know and understand the nuances of the waters and the creeks more</w:t>
      </w:r>
      <w:r>
        <w:rPr>
          <w:spacing w:val="40"/>
        </w:rPr>
        <w:t> </w:t>
      </w:r>
      <w:r>
        <w:rPr/>
        <w:t>than</w:t>
      </w:r>
      <w:r>
        <w:rPr>
          <w:spacing w:val="10"/>
        </w:rPr>
        <w:t> </w:t>
      </w:r>
      <w:r>
        <w:rPr/>
        <w:t>the</w:t>
      </w:r>
      <w:r>
        <w:rPr>
          <w:spacing w:val="13"/>
        </w:rPr>
        <w:t> </w:t>
      </w:r>
      <w:r>
        <w:rPr/>
        <w:t>JTF</w:t>
      </w:r>
      <w:r>
        <w:rPr>
          <w:spacing w:val="12"/>
        </w:rPr>
        <w:t> </w:t>
      </w:r>
      <w:r>
        <w:rPr/>
        <w:t>troops.</w:t>
      </w:r>
      <w:r>
        <w:rPr>
          <w:spacing w:val="58"/>
          <w:w w:val="150"/>
        </w:rPr>
        <w:t> </w:t>
      </w:r>
      <w:r>
        <w:rPr/>
        <w:t>This</w:t>
      </w:r>
      <w:r>
        <w:rPr>
          <w:spacing w:val="14"/>
        </w:rPr>
        <w:t> </w:t>
      </w:r>
      <w:r>
        <w:rPr/>
        <w:t>is</w:t>
      </w:r>
      <w:r>
        <w:rPr>
          <w:spacing w:val="14"/>
        </w:rPr>
        <w:t> </w:t>
      </w:r>
      <w:r>
        <w:rPr/>
        <w:t>against</w:t>
      </w:r>
      <w:r>
        <w:rPr>
          <w:spacing w:val="15"/>
        </w:rPr>
        <w:t> </w:t>
      </w:r>
      <w:r>
        <w:rPr/>
        <w:t>the</w:t>
      </w:r>
      <w:r>
        <w:rPr>
          <w:spacing w:val="13"/>
        </w:rPr>
        <w:t> </w:t>
      </w:r>
      <w:r>
        <w:rPr/>
        <w:t>backdrop</w:t>
      </w:r>
      <w:r>
        <w:rPr>
          <w:spacing w:val="15"/>
        </w:rPr>
        <w:t> </w:t>
      </w:r>
      <w:r>
        <w:rPr/>
        <w:t>of</w:t>
      </w:r>
      <w:r>
        <w:rPr>
          <w:spacing w:val="13"/>
        </w:rPr>
        <w:t> </w:t>
      </w:r>
      <w:r>
        <w:rPr/>
        <w:t>the</w:t>
      </w:r>
      <w:r>
        <w:rPr>
          <w:spacing w:val="13"/>
        </w:rPr>
        <w:t> </w:t>
      </w:r>
      <w:r>
        <w:rPr/>
        <w:t>JTF</w:t>
      </w:r>
      <w:r>
        <w:rPr>
          <w:spacing w:val="12"/>
        </w:rPr>
        <w:t> </w:t>
      </w:r>
      <w:r>
        <w:rPr/>
        <w:t>troops'</w:t>
      </w:r>
      <w:r>
        <w:rPr>
          <w:spacing w:val="11"/>
        </w:rPr>
        <w:t> </w:t>
      </w:r>
      <w:r>
        <w:rPr/>
        <w:t>poor</w:t>
      </w:r>
      <w:r>
        <w:rPr>
          <w:spacing w:val="15"/>
        </w:rPr>
        <w:t> </w:t>
      </w:r>
      <w:r>
        <w:rPr>
          <w:spacing w:val="-2"/>
        </w:rPr>
        <w:t>knowledge</w:t>
      </w:r>
    </w:p>
    <w:p>
      <w:pPr>
        <w:spacing w:after="0" w:line="360" w:lineRule="auto"/>
        <w:jc w:val="both"/>
        <w:sectPr>
          <w:pgSz w:w="11910" w:h="16840"/>
          <w:pgMar w:header="0" w:footer="1561" w:top="1360" w:bottom="1760" w:left="720" w:right="180"/>
        </w:sectPr>
      </w:pPr>
    </w:p>
    <w:p>
      <w:pPr>
        <w:pStyle w:val="BodyText"/>
        <w:spacing w:before="60"/>
        <w:jc w:val="both"/>
      </w:pPr>
      <w:r>
        <w:rPr/>
        <mc:AlternateContent>
          <mc:Choice Requires="wps">
            <w:drawing>
              <wp:anchor distT="0" distB="0" distL="0" distR="0" allowOverlap="1" layoutInCell="1" locked="0" behindDoc="1" simplePos="0" relativeHeight="480687104">
                <wp:simplePos x="0" y="0"/>
                <wp:positionH relativeFrom="page">
                  <wp:posOffset>-1537026</wp:posOffset>
                </wp:positionH>
                <wp:positionV relativeFrom="page">
                  <wp:posOffset>4900424</wp:posOffset>
                </wp:positionV>
                <wp:extent cx="10669905" cy="914400"/>
                <wp:effectExtent l="0" t="0" r="0" b="0"/>
                <wp:wrapNone/>
                <wp:docPr id="333" name="Textbox 333"/>
                <wp:cNvGraphicFramePr>
                  <a:graphicFrameLocks/>
                </wp:cNvGraphicFramePr>
                <a:graphic>
                  <a:graphicData uri="http://schemas.microsoft.com/office/word/2010/wordprocessingShape">
                    <wps:wsp>
                      <wps:cNvPr id="333" name="Textbox 333"/>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29376;rotation:306" type="#_x0000_t136" fillcolor="#ff5400" stroked="f">
                <o:extrusion v:ext="view" autorotationcenter="t"/>
                <v:textpath style="font-family:&quot;Arial MT&quot;;font-size:72pt;v-text-kern:t;mso-text-shadow:auto" string="UNIVERSITY OF IBADAN"/>
                <w10:wrap type="none"/>
              </v:shape>
            </w:pict>
          </mc:Fallback>
        </mc:AlternateContent>
      </w:r>
      <w:r>
        <w:rPr/>
        <w:t>of</w:t>
      </w:r>
      <w:r>
        <w:rPr>
          <w:spacing w:val="-4"/>
        </w:rPr>
        <w:t> </w:t>
      </w:r>
      <w:r>
        <w:rPr/>
        <w:t>the</w:t>
      </w:r>
      <w:r>
        <w:rPr>
          <w:spacing w:val="-1"/>
        </w:rPr>
        <w:t> </w:t>
      </w:r>
      <w:r>
        <w:rPr/>
        <w:t>Niger</w:t>
      </w:r>
      <w:r>
        <w:rPr>
          <w:spacing w:val="-1"/>
        </w:rPr>
        <w:t> </w:t>
      </w:r>
      <w:r>
        <w:rPr/>
        <w:t>Delta</w:t>
      </w:r>
      <w:r>
        <w:rPr>
          <w:spacing w:val="-2"/>
        </w:rPr>
        <w:t> </w:t>
      </w:r>
      <w:r>
        <w:rPr/>
        <w:t>terrain and</w:t>
      </w:r>
      <w:r>
        <w:rPr>
          <w:spacing w:val="-1"/>
        </w:rPr>
        <w:t> </w:t>
      </w:r>
      <w:r>
        <w:rPr/>
        <w:t>absence</w:t>
      </w:r>
      <w:r>
        <w:rPr>
          <w:spacing w:val="-2"/>
        </w:rPr>
        <w:t> </w:t>
      </w:r>
      <w:r>
        <w:rPr/>
        <w:t>of</w:t>
      </w:r>
      <w:r>
        <w:rPr>
          <w:spacing w:val="-1"/>
        </w:rPr>
        <w:t> </w:t>
      </w:r>
      <w:r>
        <w:rPr/>
        <w:t>riverine</w:t>
      </w:r>
      <w:r>
        <w:rPr>
          <w:spacing w:val="-2"/>
        </w:rPr>
        <w:t> training.</w:t>
      </w:r>
    </w:p>
    <w:p>
      <w:pPr>
        <w:pStyle w:val="BodyText"/>
        <w:spacing w:line="360" w:lineRule="auto" w:before="138"/>
        <w:ind w:right="1254" w:firstLine="360"/>
        <w:jc w:val="both"/>
      </w:pPr>
      <w:r>
        <w:rPr/>
        <w:t>There is also the issue of intelligence failure.</w:t>
      </w:r>
      <w:r>
        <w:rPr>
          <w:spacing w:val="40"/>
        </w:rPr>
        <w:t> </w:t>
      </w:r>
      <w:r>
        <w:rPr/>
        <w:t>Poor intelligence gathering restricts the JTF to respond mostly to militia attacks rather than being proactive.</w:t>
      </w:r>
      <w:r>
        <w:rPr>
          <w:spacing w:val="40"/>
        </w:rPr>
        <w:t> </w:t>
      </w:r>
      <w:r>
        <w:rPr/>
        <w:t>This partly accounts for some casualties and collateral damages recorded by</w:t>
      </w:r>
      <w:r>
        <w:rPr>
          <w:spacing w:val="-2"/>
        </w:rPr>
        <w:t> </w:t>
      </w:r>
      <w:r>
        <w:rPr/>
        <w:t>the JTF troops while conducting its operations.</w:t>
      </w:r>
    </w:p>
    <w:p>
      <w:pPr>
        <w:pStyle w:val="BodyText"/>
        <w:spacing w:line="360" w:lineRule="auto"/>
        <w:ind w:right="1264" w:firstLine="360"/>
        <w:jc w:val="both"/>
      </w:pPr>
      <w:r>
        <w:rPr/>
        <w:t>The Niger Delta region, most especially Rivers, Bayelsa and Delta states, have remained a</w:t>
      </w:r>
      <w:r>
        <w:rPr>
          <w:spacing w:val="-1"/>
        </w:rPr>
        <w:t> </w:t>
      </w:r>
      <w:r>
        <w:rPr/>
        <w:t>key</w:t>
      </w:r>
      <w:r>
        <w:rPr>
          <w:spacing w:val="-4"/>
        </w:rPr>
        <w:t> </w:t>
      </w:r>
      <w:r>
        <w:rPr/>
        <w:t>flashpoint in political and criminal violence</w:t>
      </w:r>
      <w:r>
        <w:rPr>
          <w:spacing w:val="-1"/>
        </w:rPr>
        <w:t> </w:t>
      </w:r>
      <w:r>
        <w:rPr/>
        <w:t>in Nigeria. Militant gangs proliferate at an alarming rate in the area.</w:t>
      </w:r>
      <w:r>
        <w:rPr>
          <w:spacing w:val="40"/>
        </w:rPr>
        <w:t> </w:t>
      </w:r>
      <w:r>
        <w:rPr/>
        <w:t>They blow up oil installations, kidnap oil workers, and also provide security for oil bunkerers.</w:t>
      </w:r>
    </w:p>
    <w:p>
      <w:pPr>
        <w:pStyle w:val="BodyText"/>
        <w:spacing w:line="360" w:lineRule="auto"/>
        <w:ind w:right="1262" w:firstLine="300"/>
        <w:jc w:val="both"/>
      </w:pPr>
      <w:r>
        <w:rPr/>
        <w:t>Tainted public perception of the Niger Delta crisis as well as the inability of the JTF to factor in stakeholders‟ needs, fears, prejudices and nuances in their operations accounted for the little success of the Force.</w:t>
      </w:r>
    </w:p>
    <w:p>
      <w:pPr>
        <w:pStyle w:val="Heading2"/>
        <w:numPr>
          <w:ilvl w:val="2"/>
          <w:numId w:val="19"/>
        </w:numPr>
        <w:tabs>
          <w:tab w:pos="1980" w:val="left" w:leader="none"/>
          <w:tab w:pos="2160" w:val="left" w:leader="none"/>
        </w:tabs>
        <w:spacing w:line="360" w:lineRule="auto" w:before="7" w:after="0"/>
        <w:ind w:left="2160" w:right="1463" w:hanging="720"/>
        <w:jc w:val="both"/>
      </w:pPr>
      <w:r>
        <w:rPr/>
        <w:t>Correlation</w:t>
      </w:r>
      <w:r>
        <w:rPr>
          <w:spacing w:val="-4"/>
        </w:rPr>
        <w:t> </w:t>
      </w:r>
      <w:r>
        <w:rPr/>
        <w:t>Between</w:t>
      </w:r>
      <w:r>
        <w:rPr>
          <w:spacing w:val="-4"/>
        </w:rPr>
        <w:t> </w:t>
      </w:r>
      <w:r>
        <w:rPr/>
        <w:t>the</w:t>
      </w:r>
      <w:r>
        <w:rPr>
          <w:spacing w:val="-5"/>
        </w:rPr>
        <w:t> </w:t>
      </w:r>
      <w:r>
        <w:rPr/>
        <w:t>Adopted</w:t>
      </w:r>
      <w:r>
        <w:rPr>
          <w:spacing w:val="-4"/>
        </w:rPr>
        <w:t> </w:t>
      </w:r>
      <w:r>
        <w:rPr/>
        <w:t>JTF</w:t>
      </w:r>
      <w:r>
        <w:rPr>
          <w:spacing w:val="-6"/>
        </w:rPr>
        <w:t> </w:t>
      </w:r>
      <w:r>
        <w:rPr/>
        <w:t>Strategies</w:t>
      </w:r>
      <w:r>
        <w:rPr>
          <w:spacing w:val="-4"/>
        </w:rPr>
        <w:t> </w:t>
      </w:r>
      <w:r>
        <w:rPr/>
        <w:t>and</w:t>
      </w:r>
      <w:r>
        <w:rPr>
          <w:spacing w:val="-4"/>
        </w:rPr>
        <w:t> </w:t>
      </w:r>
      <w:r>
        <w:rPr/>
        <w:t>the</w:t>
      </w:r>
      <w:r>
        <w:rPr>
          <w:spacing w:val="-5"/>
        </w:rPr>
        <w:t> </w:t>
      </w:r>
      <w:r>
        <w:rPr/>
        <w:t>Ensuing</w:t>
      </w:r>
      <w:r>
        <w:rPr>
          <w:spacing w:val="-7"/>
        </w:rPr>
        <w:t> </w:t>
      </w:r>
      <w:r>
        <w:rPr/>
        <w:t>Actions Adopted by the JTF Towards the Desirable Results or Otherwise.</w:t>
      </w:r>
    </w:p>
    <w:p>
      <w:pPr>
        <w:pStyle w:val="BodyText"/>
        <w:spacing w:line="360" w:lineRule="auto"/>
        <w:ind w:right="1260" w:firstLine="420"/>
        <w:jc w:val="both"/>
      </w:pPr>
      <w:r>
        <w:rPr/>
        <w:t>What obtained in Figure 5 ought to have been the outcome of the JTF actions towards the transformation of the Niger Delta conflicts. The correlation between the adopted JTF strategies and the ensuing actions adopted by the JTF towards the desirable results or otherwise is presented in Table 36.</w:t>
      </w:r>
    </w:p>
    <w:p>
      <w:pPr>
        <w:spacing w:after="0" w:line="360" w:lineRule="auto"/>
        <w:jc w:val="both"/>
        <w:sectPr>
          <w:pgSz w:w="11910" w:h="16840"/>
          <w:pgMar w:header="0" w:footer="1561" w:top="1360" w:bottom="1760" w:left="720" w:right="180"/>
        </w:sectPr>
      </w:pPr>
    </w:p>
    <w:p>
      <w:pPr>
        <w:pStyle w:val="Heading2"/>
        <w:spacing w:line="360" w:lineRule="auto" w:before="65"/>
        <w:ind w:right="1260"/>
      </w:pPr>
      <w:r>
        <w:rPr/>
        <mc:AlternateContent>
          <mc:Choice Requires="wps">
            <w:drawing>
              <wp:anchor distT="0" distB="0" distL="0" distR="0" allowOverlap="1" layoutInCell="1" locked="0" behindDoc="1" simplePos="0" relativeHeight="480687616">
                <wp:simplePos x="0" y="0"/>
                <wp:positionH relativeFrom="page">
                  <wp:posOffset>-1537026</wp:posOffset>
                </wp:positionH>
                <wp:positionV relativeFrom="page">
                  <wp:posOffset>4900424</wp:posOffset>
                </wp:positionV>
                <wp:extent cx="10669905" cy="914400"/>
                <wp:effectExtent l="0" t="0" r="0" b="0"/>
                <wp:wrapNone/>
                <wp:docPr id="334" name="Textbox 334"/>
                <wp:cNvGraphicFramePr>
                  <a:graphicFrameLocks/>
                </wp:cNvGraphicFramePr>
                <a:graphic>
                  <a:graphicData uri="http://schemas.microsoft.com/office/word/2010/wordprocessingShape">
                    <wps:wsp>
                      <wps:cNvPr id="334" name="Textbox 334"/>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28864;rotation:306" type="#_x0000_t136" fillcolor="#ff5400" stroked="f">
                <o:extrusion v:ext="view" autorotationcenter="t"/>
                <v:textpath style="font-family:&quot;Arial MT&quot;;font-size:72pt;v-text-kern:t;mso-text-shadow:auto" string="UNIVERSITY OF IBADAN"/>
                <w10:wrap type="none"/>
              </v:shape>
            </w:pict>
          </mc:Fallback>
        </mc:AlternateContent>
      </w:r>
      <w:r>
        <w:rPr/>
        <w:t>Table 36: Correlation Between the Adopted JTF</w:t>
      </w:r>
      <w:r>
        <w:rPr>
          <w:spacing w:val="-2"/>
        </w:rPr>
        <w:t> </w:t>
      </w:r>
      <w:r>
        <w:rPr/>
        <w:t>Strategies and Actions Adopted by the JTF</w:t>
      </w: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54"/>
        <w:gridCol w:w="1374"/>
        <w:gridCol w:w="1450"/>
        <w:gridCol w:w="1964"/>
        <w:gridCol w:w="1170"/>
        <w:gridCol w:w="1217"/>
      </w:tblGrid>
      <w:tr>
        <w:trPr>
          <w:trHeight w:val="414" w:hRule="atLeast"/>
        </w:trPr>
        <w:tc>
          <w:tcPr>
            <w:tcW w:w="1354" w:type="dxa"/>
          </w:tcPr>
          <w:p>
            <w:pPr>
              <w:pStyle w:val="TableParagraph"/>
              <w:rPr>
                <w:sz w:val="24"/>
              </w:rPr>
            </w:pPr>
          </w:p>
        </w:tc>
        <w:tc>
          <w:tcPr>
            <w:tcW w:w="7175" w:type="dxa"/>
            <w:gridSpan w:val="5"/>
          </w:tcPr>
          <w:p>
            <w:pPr>
              <w:pStyle w:val="TableParagraph"/>
              <w:spacing w:line="270" w:lineRule="exact"/>
              <w:ind w:left="1487"/>
              <w:rPr>
                <w:sz w:val="24"/>
              </w:rPr>
            </w:pPr>
            <w:r>
              <w:rPr>
                <w:sz w:val="24"/>
              </w:rPr>
              <w:t>Ensuing</w:t>
            </w:r>
            <w:r>
              <w:rPr>
                <w:spacing w:val="-2"/>
                <w:sz w:val="24"/>
              </w:rPr>
              <w:t> Actions</w:t>
            </w:r>
          </w:p>
        </w:tc>
      </w:tr>
      <w:tr>
        <w:trPr>
          <w:trHeight w:val="1240" w:hRule="atLeast"/>
        </w:trPr>
        <w:tc>
          <w:tcPr>
            <w:tcW w:w="1354" w:type="dxa"/>
          </w:tcPr>
          <w:p>
            <w:pPr>
              <w:pStyle w:val="TableParagraph"/>
              <w:spacing w:line="270" w:lineRule="exact"/>
              <w:ind w:left="107"/>
              <w:rPr>
                <w:sz w:val="24"/>
              </w:rPr>
            </w:pPr>
            <w:r>
              <w:rPr>
                <w:spacing w:val="-2"/>
                <w:sz w:val="24"/>
              </w:rPr>
              <w:t>Strategies</w:t>
            </w:r>
          </w:p>
        </w:tc>
        <w:tc>
          <w:tcPr>
            <w:tcW w:w="1374" w:type="dxa"/>
          </w:tcPr>
          <w:p>
            <w:pPr>
              <w:pStyle w:val="TableParagraph"/>
              <w:tabs>
                <w:tab w:pos="1008" w:val="left" w:leader="none"/>
              </w:tabs>
              <w:spacing w:line="360" w:lineRule="auto"/>
              <w:ind w:left="107" w:right="99"/>
              <w:rPr>
                <w:sz w:val="24"/>
              </w:rPr>
            </w:pPr>
            <w:r>
              <w:rPr>
                <w:spacing w:val="-2"/>
                <w:sz w:val="24"/>
              </w:rPr>
              <w:t>Prevent illegal</w:t>
            </w:r>
            <w:r>
              <w:rPr>
                <w:sz w:val="24"/>
              </w:rPr>
              <w:tab/>
            </w:r>
            <w:r>
              <w:rPr>
                <w:spacing w:val="-4"/>
                <w:sz w:val="24"/>
              </w:rPr>
              <w:t>oil</w:t>
            </w:r>
          </w:p>
          <w:p>
            <w:pPr>
              <w:pStyle w:val="TableParagraph"/>
              <w:ind w:left="107"/>
              <w:rPr>
                <w:sz w:val="24"/>
              </w:rPr>
            </w:pPr>
            <w:r>
              <w:rPr>
                <w:spacing w:val="-2"/>
                <w:sz w:val="24"/>
              </w:rPr>
              <w:t>bunkering</w:t>
            </w:r>
          </w:p>
        </w:tc>
        <w:tc>
          <w:tcPr>
            <w:tcW w:w="1450" w:type="dxa"/>
          </w:tcPr>
          <w:p>
            <w:pPr>
              <w:pStyle w:val="TableParagraph"/>
              <w:tabs>
                <w:tab w:pos="1217" w:val="left" w:leader="none"/>
              </w:tabs>
              <w:spacing w:line="360" w:lineRule="auto"/>
              <w:ind w:left="106" w:right="100"/>
              <w:rPr>
                <w:sz w:val="24"/>
              </w:rPr>
            </w:pPr>
            <w:r>
              <w:rPr>
                <w:spacing w:val="-2"/>
                <w:sz w:val="24"/>
              </w:rPr>
              <w:t>Hostage taking</w:t>
            </w:r>
            <w:r>
              <w:rPr>
                <w:sz w:val="24"/>
              </w:rPr>
              <w:tab/>
            </w:r>
            <w:r>
              <w:rPr>
                <w:spacing w:val="-10"/>
                <w:sz w:val="24"/>
              </w:rPr>
              <w:t>*</w:t>
            </w:r>
          </w:p>
          <w:p>
            <w:pPr>
              <w:pStyle w:val="TableParagraph"/>
              <w:ind w:left="106"/>
              <w:rPr>
                <w:sz w:val="24"/>
              </w:rPr>
            </w:pPr>
            <w:r>
              <w:rPr>
                <w:spacing w:val="-2"/>
                <w:sz w:val="24"/>
              </w:rPr>
              <w:t>kidnapping</w:t>
            </w:r>
          </w:p>
        </w:tc>
        <w:tc>
          <w:tcPr>
            <w:tcW w:w="1964" w:type="dxa"/>
          </w:tcPr>
          <w:p>
            <w:pPr>
              <w:pStyle w:val="TableParagraph"/>
              <w:tabs>
                <w:tab w:pos="1651" w:val="left" w:leader="none"/>
              </w:tabs>
              <w:spacing w:line="360" w:lineRule="auto"/>
              <w:ind w:left="106" w:right="100"/>
              <w:rPr>
                <w:sz w:val="24"/>
              </w:rPr>
            </w:pPr>
            <w:r>
              <w:rPr>
                <w:spacing w:val="-2"/>
                <w:sz w:val="24"/>
              </w:rPr>
              <w:t>Protection</w:t>
            </w:r>
            <w:r>
              <w:rPr>
                <w:sz w:val="24"/>
              </w:rPr>
              <w:tab/>
            </w:r>
            <w:r>
              <w:rPr>
                <w:spacing w:val="-6"/>
                <w:sz w:val="24"/>
              </w:rPr>
              <w:t>of </w:t>
            </w:r>
            <w:r>
              <w:rPr>
                <w:spacing w:val="-2"/>
                <w:sz w:val="24"/>
              </w:rPr>
              <w:t>onshore/offshore</w:t>
            </w:r>
          </w:p>
          <w:p>
            <w:pPr>
              <w:pStyle w:val="TableParagraph"/>
              <w:ind w:left="106"/>
              <w:rPr>
                <w:sz w:val="24"/>
              </w:rPr>
            </w:pPr>
            <w:r>
              <w:rPr>
                <w:sz w:val="24"/>
              </w:rPr>
              <w:t>oil </w:t>
            </w:r>
            <w:r>
              <w:rPr>
                <w:spacing w:val="-2"/>
                <w:sz w:val="24"/>
              </w:rPr>
              <w:t>facilities</w:t>
            </w:r>
          </w:p>
        </w:tc>
        <w:tc>
          <w:tcPr>
            <w:tcW w:w="1170" w:type="dxa"/>
          </w:tcPr>
          <w:p>
            <w:pPr>
              <w:pStyle w:val="TableParagraph"/>
              <w:tabs>
                <w:tab w:pos="804" w:val="left" w:leader="none"/>
              </w:tabs>
              <w:spacing w:line="360" w:lineRule="auto"/>
              <w:ind w:left="106" w:right="101"/>
              <w:rPr>
                <w:sz w:val="24"/>
              </w:rPr>
            </w:pPr>
            <w:r>
              <w:rPr>
                <w:spacing w:val="-2"/>
                <w:sz w:val="24"/>
              </w:rPr>
              <w:t>Marine </w:t>
            </w:r>
            <w:r>
              <w:rPr>
                <w:spacing w:val="-4"/>
                <w:sz w:val="24"/>
              </w:rPr>
              <w:t>and</w:t>
            </w:r>
            <w:r>
              <w:rPr>
                <w:sz w:val="24"/>
              </w:rPr>
              <w:tab/>
            </w:r>
            <w:r>
              <w:rPr>
                <w:spacing w:val="-4"/>
                <w:sz w:val="24"/>
              </w:rPr>
              <w:t>air</w:t>
            </w:r>
          </w:p>
          <w:p>
            <w:pPr>
              <w:pStyle w:val="TableParagraph"/>
              <w:ind w:left="106"/>
              <w:rPr>
                <w:sz w:val="24"/>
              </w:rPr>
            </w:pPr>
            <w:r>
              <w:rPr>
                <w:spacing w:val="-2"/>
                <w:sz w:val="24"/>
              </w:rPr>
              <w:t>patrol</w:t>
            </w:r>
          </w:p>
        </w:tc>
        <w:tc>
          <w:tcPr>
            <w:tcW w:w="1217" w:type="dxa"/>
          </w:tcPr>
          <w:p>
            <w:pPr>
              <w:pStyle w:val="TableParagraph"/>
              <w:spacing w:line="360" w:lineRule="auto"/>
              <w:ind w:left="105" w:right="336"/>
              <w:rPr>
                <w:sz w:val="24"/>
              </w:rPr>
            </w:pPr>
            <w:r>
              <w:rPr>
                <w:spacing w:val="-2"/>
                <w:sz w:val="24"/>
              </w:rPr>
              <w:t>Contain militant</w:t>
            </w:r>
          </w:p>
          <w:p>
            <w:pPr>
              <w:pStyle w:val="TableParagraph"/>
              <w:ind w:left="105"/>
              <w:rPr>
                <w:sz w:val="24"/>
              </w:rPr>
            </w:pPr>
            <w:r>
              <w:rPr>
                <w:spacing w:val="-2"/>
                <w:sz w:val="24"/>
              </w:rPr>
              <w:t>groups</w:t>
            </w:r>
          </w:p>
        </w:tc>
      </w:tr>
      <w:tr>
        <w:trPr>
          <w:trHeight w:val="414" w:hRule="atLeast"/>
        </w:trPr>
        <w:tc>
          <w:tcPr>
            <w:tcW w:w="1354" w:type="dxa"/>
          </w:tcPr>
          <w:p>
            <w:pPr>
              <w:pStyle w:val="TableParagraph"/>
              <w:spacing w:line="270" w:lineRule="exact"/>
              <w:ind w:left="107"/>
              <w:rPr>
                <w:sz w:val="24"/>
              </w:rPr>
            </w:pPr>
            <w:r>
              <w:rPr>
                <w:spacing w:val="-2"/>
                <w:sz w:val="24"/>
              </w:rPr>
              <w:t>Dialogue</w:t>
            </w:r>
          </w:p>
        </w:tc>
        <w:tc>
          <w:tcPr>
            <w:tcW w:w="1374" w:type="dxa"/>
          </w:tcPr>
          <w:p>
            <w:pPr>
              <w:pStyle w:val="TableParagraph"/>
              <w:rPr>
                <w:sz w:val="24"/>
              </w:rPr>
            </w:pPr>
          </w:p>
        </w:tc>
        <w:tc>
          <w:tcPr>
            <w:tcW w:w="1450" w:type="dxa"/>
          </w:tcPr>
          <w:p>
            <w:pPr>
              <w:pStyle w:val="TableParagraph"/>
              <w:spacing w:line="270" w:lineRule="exact"/>
              <w:ind w:left="106"/>
              <w:rPr>
                <w:sz w:val="24"/>
              </w:rPr>
            </w:pPr>
            <w:r>
              <w:rPr>
                <w:spacing w:val="-10"/>
                <w:sz w:val="24"/>
              </w:rPr>
              <w:t>X</w:t>
            </w:r>
          </w:p>
        </w:tc>
        <w:tc>
          <w:tcPr>
            <w:tcW w:w="1964" w:type="dxa"/>
          </w:tcPr>
          <w:p>
            <w:pPr>
              <w:pStyle w:val="TableParagraph"/>
              <w:rPr>
                <w:sz w:val="24"/>
              </w:rPr>
            </w:pPr>
          </w:p>
        </w:tc>
        <w:tc>
          <w:tcPr>
            <w:tcW w:w="1170" w:type="dxa"/>
          </w:tcPr>
          <w:p>
            <w:pPr>
              <w:pStyle w:val="TableParagraph"/>
              <w:rPr>
                <w:sz w:val="24"/>
              </w:rPr>
            </w:pPr>
          </w:p>
        </w:tc>
        <w:tc>
          <w:tcPr>
            <w:tcW w:w="1217" w:type="dxa"/>
          </w:tcPr>
          <w:p>
            <w:pPr>
              <w:pStyle w:val="TableParagraph"/>
              <w:spacing w:line="270" w:lineRule="exact"/>
              <w:ind w:left="105"/>
              <w:rPr>
                <w:sz w:val="24"/>
              </w:rPr>
            </w:pPr>
            <w:r>
              <w:rPr>
                <w:spacing w:val="-5"/>
                <w:sz w:val="24"/>
              </w:rPr>
              <w:t>XX</w:t>
            </w:r>
          </w:p>
        </w:tc>
      </w:tr>
      <w:tr>
        <w:trPr>
          <w:trHeight w:val="414" w:hRule="atLeast"/>
        </w:trPr>
        <w:tc>
          <w:tcPr>
            <w:tcW w:w="1354" w:type="dxa"/>
          </w:tcPr>
          <w:p>
            <w:pPr>
              <w:pStyle w:val="TableParagraph"/>
              <w:spacing w:line="270" w:lineRule="exact"/>
              <w:ind w:left="107"/>
              <w:rPr>
                <w:sz w:val="24"/>
              </w:rPr>
            </w:pPr>
            <w:r>
              <w:rPr>
                <w:spacing w:val="-2"/>
                <w:sz w:val="24"/>
              </w:rPr>
              <w:t>Patrols</w:t>
            </w:r>
          </w:p>
        </w:tc>
        <w:tc>
          <w:tcPr>
            <w:tcW w:w="1374" w:type="dxa"/>
          </w:tcPr>
          <w:p>
            <w:pPr>
              <w:pStyle w:val="TableParagraph"/>
              <w:spacing w:line="270" w:lineRule="exact"/>
              <w:ind w:left="107"/>
              <w:rPr>
                <w:sz w:val="24"/>
              </w:rPr>
            </w:pPr>
            <w:r>
              <w:rPr>
                <w:spacing w:val="-5"/>
                <w:sz w:val="24"/>
              </w:rPr>
              <w:t>XXX</w:t>
            </w:r>
          </w:p>
        </w:tc>
        <w:tc>
          <w:tcPr>
            <w:tcW w:w="1450" w:type="dxa"/>
          </w:tcPr>
          <w:p>
            <w:pPr>
              <w:pStyle w:val="TableParagraph"/>
              <w:spacing w:line="270" w:lineRule="exact"/>
              <w:ind w:left="106"/>
              <w:rPr>
                <w:sz w:val="24"/>
              </w:rPr>
            </w:pPr>
            <w:r>
              <w:rPr>
                <w:spacing w:val="-5"/>
                <w:sz w:val="24"/>
              </w:rPr>
              <w:t>XXX</w:t>
            </w:r>
          </w:p>
        </w:tc>
        <w:tc>
          <w:tcPr>
            <w:tcW w:w="1964" w:type="dxa"/>
          </w:tcPr>
          <w:p>
            <w:pPr>
              <w:pStyle w:val="TableParagraph"/>
              <w:spacing w:line="270" w:lineRule="exact"/>
              <w:ind w:left="106"/>
              <w:rPr>
                <w:sz w:val="24"/>
              </w:rPr>
            </w:pPr>
            <w:r>
              <w:rPr>
                <w:spacing w:val="-5"/>
                <w:sz w:val="24"/>
              </w:rPr>
              <w:t>XXX</w:t>
            </w:r>
          </w:p>
        </w:tc>
        <w:tc>
          <w:tcPr>
            <w:tcW w:w="1170" w:type="dxa"/>
          </w:tcPr>
          <w:p>
            <w:pPr>
              <w:pStyle w:val="TableParagraph"/>
              <w:spacing w:line="270" w:lineRule="exact"/>
              <w:ind w:left="106"/>
              <w:rPr>
                <w:sz w:val="24"/>
              </w:rPr>
            </w:pPr>
            <w:r>
              <w:rPr>
                <w:spacing w:val="-5"/>
                <w:sz w:val="24"/>
              </w:rPr>
              <w:t>XXX</w:t>
            </w:r>
          </w:p>
        </w:tc>
        <w:tc>
          <w:tcPr>
            <w:tcW w:w="1217" w:type="dxa"/>
          </w:tcPr>
          <w:p>
            <w:pPr>
              <w:pStyle w:val="TableParagraph"/>
              <w:spacing w:line="270" w:lineRule="exact"/>
              <w:ind w:left="105"/>
              <w:rPr>
                <w:sz w:val="24"/>
              </w:rPr>
            </w:pPr>
            <w:r>
              <w:rPr>
                <w:spacing w:val="-5"/>
                <w:sz w:val="24"/>
              </w:rPr>
              <w:t>XXX</w:t>
            </w:r>
          </w:p>
        </w:tc>
      </w:tr>
      <w:tr>
        <w:trPr>
          <w:trHeight w:val="828" w:hRule="atLeast"/>
        </w:trPr>
        <w:tc>
          <w:tcPr>
            <w:tcW w:w="1354" w:type="dxa"/>
          </w:tcPr>
          <w:p>
            <w:pPr>
              <w:pStyle w:val="TableParagraph"/>
              <w:spacing w:line="270" w:lineRule="exact"/>
              <w:ind w:left="107"/>
              <w:rPr>
                <w:sz w:val="24"/>
              </w:rPr>
            </w:pPr>
            <w:r>
              <w:rPr>
                <w:spacing w:val="-2"/>
                <w:sz w:val="24"/>
              </w:rPr>
              <w:t>Static</w:t>
            </w:r>
          </w:p>
          <w:p>
            <w:pPr>
              <w:pStyle w:val="TableParagraph"/>
              <w:spacing w:before="137"/>
              <w:ind w:left="107"/>
              <w:rPr>
                <w:sz w:val="24"/>
              </w:rPr>
            </w:pPr>
            <w:r>
              <w:rPr>
                <w:spacing w:val="-2"/>
                <w:sz w:val="24"/>
              </w:rPr>
              <w:t>guarding</w:t>
            </w:r>
          </w:p>
        </w:tc>
        <w:tc>
          <w:tcPr>
            <w:tcW w:w="1374" w:type="dxa"/>
          </w:tcPr>
          <w:p>
            <w:pPr>
              <w:pStyle w:val="TableParagraph"/>
              <w:spacing w:line="270" w:lineRule="exact"/>
              <w:ind w:left="107"/>
              <w:rPr>
                <w:sz w:val="24"/>
              </w:rPr>
            </w:pPr>
            <w:r>
              <w:rPr>
                <w:spacing w:val="-5"/>
                <w:sz w:val="24"/>
              </w:rPr>
              <w:t>XXX</w:t>
            </w:r>
          </w:p>
        </w:tc>
        <w:tc>
          <w:tcPr>
            <w:tcW w:w="1450" w:type="dxa"/>
          </w:tcPr>
          <w:p>
            <w:pPr>
              <w:pStyle w:val="TableParagraph"/>
              <w:rPr>
                <w:sz w:val="24"/>
              </w:rPr>
            </w:pPr>
          </w:p>
        </w:tc>
        <w:tc>
          <w:tcPr>
            <w:tcW w:w="1964" w:type="dxa"/>
          </w:tcPr>
          <w:p>
            <w:pPr>
              <w:pStyle w:val="TableParagraph"/>
              <w:spacing w:line="270" w:lineRule="exact"/>
              <w:ind w:left="106"/>
              <w:rPr>
                <w:sz w:val="24"/>
              </w:rPr>
            </w:pPr>
            <w:r>
              <w:rPr>
                <w:spacing w:val="-5"/>
                <w:sz w:val="24"/>
              </w:rPr>
              <w:t>XXX</w:t>
            </w:r>
          </w:p>
        </w:tc>
        <w:tc>
          <w:tcPr>
            <w:tcW w:w="1170" w:type="dxa"/>
          </w:tcPr>
          <w:p>
            <w:pPr>
              <w:pStyle w:val="TableParagraph"/>
              <w:rPr>
                <w:sz w:val="24"/>
              </w:rPr>
            </w:pPr>
          </w:p>
        </w:tc>
        <w:tc>
          <w:tcPr>
            <w:tcW w:w="1217" w:type="dxa"/>
          </w:tcPr>
          <w:p>
            <w:pPr>
              <w:pStyle w:val="TableParagraph"/>
              <w:rPr>
                <w:sz w:val="24"/>
              </w:rPr>
            </w:pPr>
          </w:p>
        </w:tc>
      </w:tr>
      <w:tr>
        <w:trPr>
          <w:trHeight w:val="827" w:hRule="atLeast"/>
        </w:trPr>
        <w:tc>
          <w:tcPr>
            <w:tcW w:w="1354" w:type="dxa"/>
          </w:tcPr>
          <w:p>
            <w:pPr>
              <w:pStyle w:val="TableParagraph"/>
              <w:spacing w:line="270" w:lineRule="exact"/>
              <w:ind w:left="107"/>
              <w:rPr>
                <w:sz w:val="24"/>
              </w:rPr>
            </w:pPr>
            <w:r>
              <w:rPr>
                <w:spacing w:val="-2"/>
                <w:sz w:val="24"/>
              </w:rPr>
              <w:t>Escort</w:t>
            </w:r>
          </w:p>
          <w:p>
            <w:pPr>
              <w:pStyle w:val="TableParagraph"/>
              <w:spacing w:before="137"/>
              <w:ind w:left="107"/>
              <w:rPr>
                <w:sz w:val="24"/>
              </w:rPr>
            </w:pPr>
            <w:r>
              <w:rPr>
                <w:spacing w:val="-2"/>
                <w:sz w:val="24"/>
              </w:rPr>
              <w:t>duties</w:t>
            </w:r>
          </w:p>
        </w:tc>
        <w:tc>
          <w:tcPr>
            <w:tcW w:w="1374" w:type="dxa"/>
          </w:tcPr>
          <w:p>
            <w:pPr>
              <w:pStyle w:val="TableParagraph"/>
              <w:rPr>
                <w:sz w:val="24"/>
              </w:rPr>
            </w:pPr>
          </w:p>
        </w:tc>
        <w:tc>
          <w:tcPr>
            <w:tcW w:w="1450" w:type="dxa"/>
          </w:tcPr>
          <w:p>
            <w:pPr>
              <w:pStyle w:val="TableParagraph"/>
              <w:spacing w:line="270" w:lineRule="exact"/>
              <w:ind w:left="106"/>
              <w:rPr>
                <w:sz w:val="24"/>
              </w:rPr>
            </w:pPr>
            <w:r>
              <w:rPr>
                <w:spacing w:val="-10"/>
                <w:sz w:val="24"/>
              </w:rPr>
              <w:t>X</w:t>
            </w:r>
          </w:p>
        </w:tc>
        <w:tc>
          <w:tcPr>
            <w:tcW w:w="1964" w:type="dxa"/>
          </w:tcPr>
          <w:p>
            <w:pPr>
              <w:pStyle w:val="TableParagraph"/>
              <w:rPr>
                <w:sz w:val="24"/>
              </w:rPr>
            </w:pPr>
          </w:p>
        </w:tc>
        <w:tc>
          <w:tcPr>
            <w:tcW w:w="1170" w:type="dxa"/>
          </w:tcPr>
          <w:p>
            <w:pPr>
              <w:pStyle w:val="TableParagraph"/>
              <w:rPr>
                <w:sz w:val="24"/>
              </w:rPr>
            </w:pPr>
          </w:p>
        </w:tc>
        <w:tc>
          <w:tcPr>
            <w:tcW w:w="1217" w:type="dxa"/>
          </w:tcPr>
          <w:p>
            <w:pPr>
              <w:pStyle w:val="TableParagraph"/>
              <w:rPr>
                <w:sz w:val="24"/>
              </w:rPr>
            </w:pPr>
          </w:p>
        </w:tc>
      </w:tr>
      <w:tr>
        <w:trPr>
          <w:trHeight w:val="827" w:hRule="atLeast"/>
        </w:trPr>
        <w:tc>
          <w:tcPr>
            <w:tcW w:w="1354" w:type="dxa"/>
          </w:tcPr>
          <w:p>
            <w:pPr>
              <w:pStyle w:val="TableParagraph"/>
              <w:spacing w:line="270" w:lineRule="exact"/>
              <w:ind w:left="107"/>
              <w:rPr>
                <w:sz w:val="24"/>
              </w:rPr>
            </w:pPr>
            <w:r>
              <w:rPr>
                <w:spacing w:val="-2"/>
                <w:sz w:val="24"/>
              </w:rPr>
              <w:t>Minimal</w:t>
            </w:r>
          </w:p>
          <w:p>
            <w:pPr>
              <w:pStyle w:val="TableParagraph"/>
              <w:spacing w:before="137"/>
              <w:ind w:left="107"/>
              <w:rPr>
                <w:sz w:val="24"/>
              </w:rPr>
            </w:pPr>
            <w:r>
              <w:rPr>
                <w:sz w:val="24"/>
              </w:rPr>
              <w:t>use</w:t>
            </w:r>
            <w:r>
              <w:rPr>
                <w:spacing w:val="-3"/>
                <w:sz w:val="24"/>
              </w:rPr>
              <w:t> </w:t>
            </w:r>
            <w:r>
              <w:rPr>
                <w:sz w:val="24"/>
              </w:rPr>
              <w:t>of </w:t>
            </w:r>
            <w:r>
              <w:rPr>
                <w:spacing w:val="-2"/>
                <w:sz w:val="24"/>
              </w:rPr>
              <w:t>force</w:t>
            </w:r>
          </w:p>
        </w:tc>
        <w:tc>
          <w:tcPr>
            <w:tcW w:w="1374" w:type="dxa"/>
          </w:tcPr>
          <w:p>
            <w:pPr>
              <w:pStyle w:val="TableParagraph"/>
              <w:rPr>
                <w:sz w:val="24"/>
              </w:rPr>
            </w:pPr>
          </w:p>
        </w:tc>
        <w:tc>
          <w:tcPr>
            <w:tcW w:w="1450" w:type="dxa"/>
          </w:tcPr>
          <w:p>
            <w:pPr>
              <w:pStyle w:val="TableParagraph"/>
              <w:spacing w:line="270" w:lineRule="exact"/>
              <w:ind w:left="106"/>
              <w:rPr>
                <w:sz w:val="24"/>
              </w:rPr>
            </w:pPr>
            <w:r>
              <w:rPr>
                <w:spacing w:val="-10"/>
                <w:sz w:val="24"/>
              </w:rPr>
              <w:t>X</w:t>
            </w:r>
          </w:p>
        </w:tc>
        <w:tc>
          <w:tcPr>
            <w:tcW w:w="1964" w:type="dxa"/>
          </w:tcPr>
          <w:p>
            <w:pPr>
              <w:pStyle w:val="TableParagraph"/>
              <w:rPr>
                <w:sz w:val="24"/>
              </w:rPr>
            </w:pPr>
          </w:p>
        </w:tc>
        <w:tc>
          <w:tcPr>
            <w:tcW w:w="1170" w:type="dxa"/>
          </w:tcPr>
          <w:p>
            <w:pPr>
              <w:pStyle w:val="TableParagraph"/>
              <w:rPr>
                <w:sz w:val="24"/>
              </w:rPr>
            </w:pPr>
          </w:p>
        </w:tc>
        <w:tc>
          <w:tcPr>
            <w:tcW w:w="1217" w:type="dxa"/>
          </w:tcPr>
          <w:p>
            <w:pPr>
              <w:pStyle w:val="TableParagraph"/>
              <w:rPr>
                <w:sz w:val="24"/>
              </w:rPr>
            </w:pPr>
          </w:p>
        </w:tc>
      </w:tr>
      <w:tr>
        <w:trPr>
          <w:trHeight w:val="827" w:hRule="atLeast"/>
        </w:trPr>
        <w:tc>
          <w:tcPr>
            <w:tcW w:w="1354" w:type="dxa"/>
          </w:tcPr>
          <w:p>
            <w:pPr>
              <w:pStyle w:val="TableParagraph"/>
              <w:spacing w:line="270" w:lineRule="exact"/>
              <w:ind w:left="107"/>
              <w:rPr>
                <w:sz w:val="24"/>
              </w:rPr>
            </w:pPr>
            <w:r>
              <w:rPr>
                <w:spacing w:val="-2"/>
                <w:sz w:val="24"/>
              </w:rPr>
              <w:t>Offensive</w:t>
            </w:r>
          </w:p>
          <w:p>
            <w:pPr>
              <w:pStyle w:val="TableParagraph"/>
              <w:spacing w:before="139"/>
              <w:ind w:left="107"/>
              <w:rPr>
                <w:sz w:val="24"/>
              </w:rPr>
            </w:pPr>
            <w:r>
              <w:rPr>
                <w:spacing w:val="-2"/>
                <w:sz w:val="24"/>
              </w:rPr>
              <w:t>action</w:t>
            </w:r>
          </w:p>
        </w:tc>
        <w:tc>
          <w:tcPr>
            <w:tcW w:w="1374" w:type="dxa"/>
          </w:tcPr>
          <w:p>
            <w:pPr>
              <w:pStyle w:val="TableParagraph"/>
              <w:rPr>
                <w:sz w:val="24"/>
              </w:rPr>
            </w:pPr>
          </w:p>
        </w:tc>
        <w:tc>
          <w:tcPr>
            <w:tcW w:w="1450" w:type="dxa"/>
          </w:tcPr>
          <w:p>
            <w:pPr>
              <w:pStyle w:val="TableParagraph"/>
              <w:rPr>
                <w:sz w:val="24"/>
              </w:rPr>
            </w:pPr>
          </w:p>
        </w:tc>
        <w:tc>
          <w:tcPr>
            <w:tcW w:w="1964" w:type="dxa"/>
          </w:tcPr>
          <w:p>
            <w:pPr>
              <w:pStyle w:val="TableParagraph"/>
              <w:rPr>
                <w:sz w:val="24"/>
              </w:rPr>
            </w:pPr>
          </w:p>
        </w:tc>
        <w:tc>
          <w:tcPr>
            <w:tcW w:w="1170" w:type="dxa"/>
          </w:tcPr>
          <w:p>
            <w:pPr>
              <w:pStyle w:val="TableParagraph"/>
              <w:rPr>
                <w:sz w:val="24"/>
              </w:rPr>
            </w:pPr>
          </w:p>
        </w:tc>
        <w:tc>
          <w:tcPr>
            <w:tcW w:w="1217" w:type="dxa"/>
          </w:tcPr>
          <w:p>
            <w:pPr>
              <w:pStyle w:val="TableParagraph"/>
              <w:spacing w:line="270" w:lineRule="exact"/>
              <w:ind w:left="105"/>
              <w:rPr>
                <w:sz w:val="24"/>
              </w:rPr>
            </w:pPr>
            <w:r>
              <w:rPr>
                <w:spacing w:val="-10"/>
                <w:sz w:val="24"/>
              </w:rPr>
              <w:t>X</w:t>
            </w:r>
          </w:p>
        </w:tc>
      </w:tr>
    </w:tbl>
    <w:p>
      <w:pPr>
        <w:spacing w:before="3"/>
        <w:ind w:left="1440" w:right="0" w:firstLine="0"/>
        <w:jc w:val="left"/>
        <w:rPr>
          <w:b/>
          <w:sz w:val="24"/>
        </w:rPr>
      </w:pPr>
      <w:r>
        <w:rPr>
          <w:b/>
          <w:spacing w:val="-5"/>
          <w:sz w:val="24"/>
          <w:u w:val="single"/>
        </w:rPr>
        <w:t>Key</w:t>
      </w:r>
    </w:p>
    <w:p>
      <w:pPr>
        <w:pStyle w:val="BodyText"/>
        <w:spacing w:line="360" w:lineRule="auto" w:before="135"/>
        <w:ind w:right="7075"/>
      </w:pPr>
      <w:r>
        <w:rPr/>
        <w:t>XXX</w:t>
      </w:r>
      <w:r>
        <w:rPr>
          <w:spacing w:val="-8"/>
        </w:rPr>
        <w:t> </w:t>
      </w:r>
      <w:r>
        <w:rPr/>
        <w:t>–</w:t>
      </w:r>
      <w:r>
        <w:rPr>
          <w:spacing w:val="-7"/>
        </w:rPr>
        <w:t> </w:t>
      </w:r>
      <w:r>
        <w:rPr/>
        <w:t>To</w:t>
      </w:r>
      <w:r>
        <w:rPr>
          <w:spacing w:val="-8"/>
        </w:rPr>
        <w:t> </w:t>
      </w:r>
      <w:r>
        <w:rPr/>
        <w:t>a</w:t>
      </w:r>
      <w:r>
        <w:rPr>
          <w:spacing w:val="-8"/>
        </w:rPr>
        <w:t> </w:t>
      </w:r>
      <w:r>
        <w:rPr/>
        <w:t>high</w:t>
      </w:r>
      <w:r>
        <w:rPr>
          <w:spacing w:val="-7"/>
        </w:rPr>
        <w:t> </w:t>
      </w:r>
      <w:r>
        <w:rPr/>
        <w:t>leve</w:t>
      </w:r>
      <w:r>
        <w:rPr/>
        <w:t>l XX – Moderately</w:t>
      </w:r>
    </w:p>
    <w:p>
      <w:pPr>
        <w:pStyle w:val="BodyText"/>
      </w:pPr>
      <w:r>
        <w:rPr/>
        <w:t>X</w:t>
      </w:r>
      <w:r>
        <w:rPr>
          <w:spacing w:val="-1"/>
        </w:rPr>
        <w:t> </w:t>
      </w:r>
      <w:r>
        <w:rPr/>
        <w:t>– </w:t>
      </w:r>
      <w:r>
        <w:rPr>
          <w:spacing w:val="-2"/>
        </w:rPr>
        <w:t>Minimally</w:t>
      </w:r>
    </w:p>
    <w:p>
      <w:pPr>
        <w:spacing w:after="0"/>
        <w:sectPr>
          <w:pgSz w:w="11910" w:h="16840"/>
          <w:pgMar w:header="0" w:footer="1561" w:top="1360" w:bottom="1760" w:left="720" w:right="180"/>
        </w:sectPr>
      </w:pPr>
    </w:p>
    <w:p>
      <w:pPr>
        <w:pStyle w:val="BodyText"/>
        <w:spacing w:before="2"/>
        <w:ind w:left="0"/>
        <w:rPr>
          <w:sz w:val="2"/>
        </w:rPr>
      </w:pPr>
      <w:r>
        <w:rPr/>
        <mc:AlternateContent>
          <mc:Choice Requires="wps">
            <w:drawing>
              <wp:anchor distT="0" distB="0" distL="0" distR="0" allowOverlap="1" layoutInCell="1" locked="0" behindDoc="1" simplePos="0" relativeHeight="480688128">
                <wp:simplePos x="0" y="0"/>
                <wp:positionH relativeFrom="page">
                  <wp:posOffset>-1537026</wp:posOffset>
                </wp:positionH>
                <wp:positionV relativeFrom="page">
                  <wp:posOffset>4900424</wp:posOffset>
                </wp:positionV>
                <wp:extent cx="10669905" cy="914400"/>
                <wp:effectExtent l="0" t="0" r="0" b="0"/>
                <wp:wrapNone/>
                <wp:docPr id="335" name="Textbox 335"/>
                <wp:cNvGraphicFramePr>
                  <a:graphicFrameLocks/>
                </wp:cNvGraphicFramePr>
                <a:graphic>
                  <a:graphicData uri="http://schemas.microsoft.com/office/word/2010/wordprocessingShape">
                    <wps:wsp>
                      <wps:cNvPr id="335" name="Textbox 335"/>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28352;rotation:306" type="#_x0000_t136" fillcolor="#ff5400" stroked="f">
                <o:extrusion v:ext="view" autorotationcenter="t"/>
                <v:textpath style="font-family:&quot;Arial MT&quot;;font-size:72pt;v-text-kern:t;mso-text-shadow:auto" string="UNIVERSITY OF IBADAN"/>
                <w10:wrap type="none"/>
              </v:shape>
            </w:pict>
          </mc:Fallback>
        </mc:AlternateContent>
      </w:r>
    </w:p>
    <w:tbl>
      <w:tblPr>
        <w:tblW w:w="0" w:type="auto"/>
        <w:jc w:val="left"/>
        <w:tblInd w:w="1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91"/>
        <w:gridCol w:w="6871"/>
      </w:tblGrid>
      <w:tr>
        <w:trPr>
          <w:trHeight w:val="594" w:hRule="atLeast"/>
        </w:trPr>
        <w:tc>
          <w:tcPr>
            <w:tcW w:w="1191" w:type="dxa"/>
          </w:tcPr>
          <w:p>
            <w:pPr>
              <w:pStyle w:val="TableParagraph"/>
              <w:spacing w:before="40"/>
              <w:ind w:right="127"/>
              <w:jc w:val="center"/>
              <w:rPr>
                <w:b/>
                <w:sz w:val="24"/>
              </w:rPr>
            </w:pPr>
            <w:r>
              <w:rPr>
                <w:b/>
                <w:spacing w:val="-2"/>
                <w:sz w:val="24"/>
                <w:u w:val="single"/>
              </w:rPr>
              <w:t>Endnotes</w:t>
            </w:r>
          </w:p>
        </w:tc>
        <w:tc>
          <w:tcPr>
            <w:tcW w:w="6871" w:type="dxa"/>
          </w:tcPr>
          <w:p>
            <w:pPr>
              <w:pStyle w:val="TableParagraph"/>
              <w:rPr>
                <w:sz w:val="24"/>
              </w:rPr>
            </w:pPr>
          </w:p>
        </w:tc>
      </w:tr>
      <w:tr>
        <w:trPr>
          <w:trHeight w:val="618" w:hRule="atLeast"/>
        </w:trPr>
        <w:tc>
          <w:tcPr>
            <w:tcW w:w="1191" w:type="dxa"/>
          </w:tcPr>
          <w:p>
            <w:pPr>
              <w:pStyle w:val="TableParagraph"/>
              <w:spacing w:before="268"/>
              <w:ind w:right="190"/>
              <w:jc w:val="center"/>
              <w:rPr>
                <w:sz w:val="24"/>
              </w:rPr>
            </w:pPr>
            <w:r>
              <w:rPr>
                <w:spacing w:val="-5"/>
                <w:sz w:val="24"/>
              </w:rPr>
              <w:t>1.</w:t>
            </w:r>
          </w:p>
        </w:tc>
        <w:tc>
          <w:tcPr>
            <w:tcW w:w="6871" w:type="dxa"/>
          </w:tcPr>
          <w:p>
            <w:pPr>
              <w:pStyle w:val="TableParagraph"/>
              <w:spacing w:before="268"/>
              <w:ind w:left="181"/>
              <w:rPr>
                <w:sz w:val="24"/>
              </w:rPr>
            </w:pPr>
            <w:r>
              <w:rPr>
                <w:sz w:val="24"/>
              </w:rPr>
              <w:t>Interviewed</w:t>
            </w:r>
            <w:r>
              <w:rPr>
                <w:spacing w:val="-2"/>
                <w:sz w:val="24"/>
              </w:rPr>
              <w:t> </w:t>
            </w:r>
            <w:r>
              <w:rPr>
                <w:sz w:val="24"/>
              </w:rPr>
              <w:t>at</w:t>
            </w:r>
            <w:r>
              <w:rPr>
                <w:spacing w:val="-1"/>
                <w:sz w:val="24"/>
              </w:rPr>
              <w:t> </w:t>
            </w:r>
            <w:r>
              <w:rPr>
                <w:sz w:val="24"/>
              </w:rPr>
              <w:t>Port</w:t>
            </w:r>
            <w:r>
              <w:rPr>
                <w:spacing w:val="-1"/>
                <w:sz w:val="24"/>
              </w:rPr>
              <w:t> </w:t>
            </w:r>
            <w:r>
              <w:rPr>
                <w:sz w:val="24"/>
              </w:rPr>
              <w:t>Harcourt</w:t>
            </w:r>
            <w:r>
              <w:rPr>
                <w:spacing w:val="-2"/>
                <w:sz w:val="24"/>
              </w:rPr>
              <w:t> </w:t>
            </w:r>
            <w:r>
              <w:rPr>
                <w:sz w:val="24"/>
              </w:rPr>
              <w:t>on</w:t>
            </w:r>
            <w:r>
              <w:rPr>
                <w:spacing w:val="-1"/>
                <w:sz w:val="24"/>
              </w:rPr>
              <w:t> </w:t>
            </w:r>
            <w:r>
              <w:rPr>
                <w:sz w:val="24"/>
              </w:rPr>
              <w:t>December</w:t>
            </w:r>
            <w:r>
              <w:rPr>
                <w:spacing w:val="-3"/>
                <w:sz w:val="24"/>
              </w:rPr>
              <w:t> </w:t>
            </w:r>
            <w:r>
              <w:rPr>
                <w:sz w:val="24"/>
              </w:rPr>
              <w:t>27,</w:t>
            </w:r>
            <w:r>
              <w:rPr>
                <w:spacing w:val="-1"/>
                <w:sz w:val="24"/>
              </w:rPr>
              <w:t> </w:t>
            </w:r>
            <w:r>
              <w:rPr>
                <w:spacing w:val="-2"/>
                <w:sz w:val="24"/>
              </w:rPr>
              <w:t>2008.</w:t>
            </w:r>
          </w:p>
        </w:tc>
      </w:tr>
      <w:tr>
        <w:trPr>
          <w:trHeight w:val="413" w:hRule="atLeast"/>
        </w:trPr>
        <w:tc>
          <w:tcPr>
            <w:tcW w:w="1191" w:type="dxa"/>
          </w:tcPr>
          <w:p>
            <w:pPr>
              <w:pStyle w:val="TableParagraph"/>
              <w:spacing w:before="63"/>
              <w:ind w:right="190"/>
              <w:jc w:val="center"/>
              <w:rPr>
                <w:sz w:val="24"/>
              </w:rPr>
            </w:pPr>
            <w:r>
              <w:rPr>
                <w:spacing w:val="-5"/>
                <w:sz w:val="24"/>
              </w:rPr>
              <w:t>2.</w:t>
            </w:r>
          </w:p>
        </w:tc>
        <w:tc>
          <w:tcPr>
            <w:tcW w:w="6871" w:type="dxa"/>
          </w:tcPr>
          <w:p>
            <w:pPr>
              <w:pStyle w:val="TableParagraph"/>
              <w:spacing w:before="63"/>
              <w:ind w:left="181"/>
              <w:rPr>
                <w:sz w:val="24"/>
              </w:rPr>
            </w:pPr>
            <w:r>
              <w:rPr>
                <w:sz w:val="24"/>
              </w:rPr>
              <w:t>Interviewed</w:t>
            </w:r>
            <w:r>
              <w:rPr>
                <w:spacing w:val="-2"/>
                <w:sz w:val="24"/>
              </w:rPr>
              <w:t> </w:t>
            </w:r>
            <w:r>
              <w:rPr>
                <w:sz w:val="24"/>
              </w:rPr>
              <w:t>at</w:t>
            </w:r>
            <w:r>
              <w:rPr>
                <w:spacing w:val="-1"/>
                <w:sz w:val="24"/>
              </w:rPr>
              <w:t> </w:t>
            </w:r>
            <w:r>
              <w:rPr>
                <w:sz w:val="24"/>
              </w:rPr>
              <w:t>Port</w:t>
            </w:r>
            <w:r>
              <w:rPr>
                <w:spacing w:val="-1"/>
                <w:sz w:val="24"/>
              </w:rPr>
              <w:t> </w:t>
            </w:r>
            <w:r>
              <w:rPr>
                <w:sz w:val="24"/>
              </w:rPr>
              <w:t>Harcourt</w:t>
            </w:r>
            <w:r>
              <w:rPr>
                <w:spacing w:val="-2"/>
                <w:sz w:val="24"/>
              </w:rPr>
              <w:t> </w:t>
            </w:r>
            <w:r>
              <w:rPr>
                <w:sz w:val="24"/>
              </w:rPr>
              <w:t>on</w:t>
            </w:r>
            <w:r>
              <w:rPr>
                <w:spacing w:val="-1"/>
                <w:sz w:val="24"/>
              </w:rPr>
              <w:t> </w:t>
            </w:r>
            <w:r>
              <w:rPr>
                <w:sz w:val="24"/>
              </w:rPr>
              <w:t>December</w:t>
            </w:r>
            <w:r>
              <w:rPr>
                <w:spacing w:val="-3"/>
                <w:sz w:val="24"/>
              </w:rPr>
              <w:t> </w:t>
            </w:r>
            <w:r>
              <w:rPr>
                <w:sz w:val="24"/>
              </w:rPr>
              <w:t>27,</w:t>
            </w:r>
            <w:r>
              <w:rPr>
                <w:spacing w:val="-1"/>
                <w:sz w:val="24"/>
              </w:rPr>
              <w:t> </w:t>
            </w:r>
            <w:r>
              <w:rPr>
                <w:spacing w:val="-2"/>
                <w:sz w:val="24"/>
              </w:rPr>
              <w:t>2008.</w:t>
            </w:r>
          </w:p>
        </w:tc>
      </w:tr>
      <w:tr>
        <w:trPr>
          <w:trHeight w:val="414" w:hRule="atLeast"/>
        </w:trPr>
        <w:tc>
          <w:tcPr>
            <w:tcW w:w="1191" w:type="dxa"/>
          </w:tcPr>
          <w:p>
            <w:pPr>
              <w:pStyle w:val="TableParagraph"/>
              <w:spacing w:before="64"/>
              <w:ind w:right="190"/>
              <w:jc w:val="center"/>
              <w:rPr>
                <w:sz w:val="24"/>
              </w:rPr>
            </w:pPr>
            <w:r>
              <w:rPr>
                <w:spacing w:val="-5"/>
                <w:sz w:val="24"/>
              </w:rPr>
              <w:t>3.</w:t>
            </w:r>
          </w:p>
        </w:tc>
        <w:tc>
          <w:tcPr>
            <w:tcW w:w="6871" w:type="dxa"/>
          </w:tcPr>
          <w:p>
            <w:pPr>
              <w:pStyle w:val="TableParagraph"/>
              <w:spacing w:before="64"/>
              <w:ind w:left="179"/>
              <w:rPr>
                <w:sz w:val="24"/>
              </w:rPr>
            </w:pPr>
            <w:r>
              <w:rPr>
                <w:sz w:val="24"/>
              </w:rPr>
              <w:t>Unstructured</w:t>
            </w:r>
            <w:r>
              <w:rPr>
                <w:spacing w:val="-2"/>
                <w:sz w:val="24"/>
              </w:rPr>
              <w:t> </w:t>
            </w:r>
            <w:r>
              <w:rPr>
                <w:sz w:val="24"/>
              </w:rPr>
              <w:t>Interview</w:t>
            </w:r>
            <w:r>
              <w:rPr>
                <w:spacing w:val="-2"/>
                <w:sz w:val="24"/>
              </w:rPr>
              <w:t> </w:t>
            </w:r>
            <w:r>
              <w:rPr>
                <w:sz w:val="24"/>
              </w:rPr>
              <w:t>at</w:t>
            </w:r>
            <w:r>
              <w:rPr>
                <w:spacing w:val="-2"/>
                <w:sz w:val="24"/>
              </w:rPr>
              <w:t> </w:t>
            </w:r>
            <w:r>
              <w:rPr>
                <w:sz w:val="24"/>
              </w:rPr>
              <w:t>Port</w:t>
            </w:r>
            <w:r>
              <w:rPr>
                <w:spacing w:val="-1"/>
                <w:sz w:val="24"/>
              </w:rPr>
              <w:t> </w:t>
            </w:r>
            <w:r>
              <w:rPr>
                <w:sz w:val="24"/>
              </w:rPr>
              <w:t>Harcourt</w:t>
            </w:r>
            <w:r>
              <w:rPr>
                <w:spacing w:val="-1"/>
                <w:sz w:val="24"/>
              </w:rPr>
              <w:t> </w:t>
            </w:r>
            <w:r>
              <w:rPr>
                <w:sz w:val="24"/>
              </w:rPr>
              <w:t>on</w:t>
            </w:r>
            <w:r>
              <w:rPr>
                <w:spacing w:val="-1"/>
                <w:sz w:val="24"/>
              </w:rPr>
              <w:t> </w:t>
            </w:r>
            <w:r>
              <w:rPr>
                <w:sz w:val="24"/>
              </w:rPr>
              <w:t>December</w:t>
            </w:r>
            <w:r>
              <w:rPr>
                <w:spacing w:val="-1"/>
                <w:sz w:val="24"/>
              </w:rPr>
              <w:t> </w:t>
            </w:r>
            <w:r>
              <w:rPr>
                <w:sz w:val="24"/>
              </w:rPr>
              <w:t>27,</w:t>
            </w:r>
            <w:r>
              <w:rPr>
                <w:spacing w:val="-2"/>
                <w:sz w:val="24"/>
              </w:rPr>
              <w:t> 2008.</w:t>
            </w:r>
          </w:p>
        </w:tc>
      </w:tr>
      <w:tr>
        <w:trPr>
          <w:trHeight w:val="414" w:hRule="atLeast"/>
        </w:trPr>
        <w:tc>
          <w:tcPr>
            <w:tcW w:w="1191" w:type="dxa"/>
          </w:tcPr>
          <w:p>
            <w:pPr>
              <w:pStyle w:val="TableParagraph"/>
              <w:spacing w:before="63"/>
              <w:ind w:right="190"/>
              <w:jc w:val="center"/>
              <w:rPr>
                <w:sz w:val="24"/>
              </w:rPr>
            </w:pPr>
            <w:r>
              <w:rPr>
                <w:spacing w:val="-5"/>
                <w:sz w:val="24"/>
              </w:rPr>
              <w:t>4.</w:t>
            </w:r>
          </w:p>
        </w:tc>
        <w:tc>
          <w:tcPr>
            <w:tcW w:w="6871" w:type="dxa"/>
          </w:tcPr>
          <w:p>
            <w:pPr>
              <w:pStyle w:val="TableParagraph"/>
              <w:spacing w:before="63"/>
              <w:ind w:left="181"/>
              <w:rPr>
                <w:sz w:val="24"/>
              </w:rPr>
            </w:pPr>
            <w:r>
              <w:rPr>
                <w:sz w:val="24"/>
              </w:rPr>
              <w:t>Interviewed</w:t>
            </w:r>
            <w:r>
              <w:rPr>
                <w:spacing w:val="-2"/>
                <w:sz w:val="24"/>
              </w:rPr>
              <w:t> </w:t>
            </w:r>
            <w:r>
              <w:rPr>
                <w:sz w:val="24"/>
              </w:rPr>
              <w:t>at</w:t>
            </w:r>
            <w:r>
              <w:rPr>
                <w:spacing w:val="-1"/>
                <w:sz w:val="24"/>
              </w:rPr>
              <w:t> </w:t>
            </w:r>
            <w:r>
              <w:rPr>
                <w:sz w:val="24"/>
              </w:rPr>
              <w:t>Port</w:t>
            </w:r>
            <w:r>
              <w:rPr>
                <w:spacing w:val="-1"/>
                <w:sz w:val="24"/>
              </w:rPr>
              <w:t> </w:t>
            </w:r>
            <w:r>
              <w:rPr>
                <w:sz w:val="24"/>
              </w:rPr>
              <w:t>Harcourt</w:t>
            </w:r>
            <w:r>
              <w:rPr>
                <w:spacing w:val="-2"/>
                <w:sz w:val="24"/>
              </w:rPr>
              <w:t> </w:t>
            </w:r>
            <w:r>
              <w:rPr>
                <w:sz w:val="24"/>
              </w:rPr>
              <w:t>on</w:t>
            </w:r>
            <w:r>
              <w:rPr>
                <w:spacing w:val="-1"/>
                <w:sz w:val="24"/>
              </w:rPr>
              <w:t> </w:t>
            </w:r>
            <w:r>
              <w:rPr>
                <w:sz w:val="24"/>
              </w:rPr>
              <w:t>December</w:t>
            </w:r>
            <w:r>
              <w:rPr>
                <w:spacing w:val="-3"/>
                <w:sz w:val="24"/>
              </w:rPr>
              <w:t> </w:t>
            </w:r>
            <w:r>
              <w:rPr>
                <w:sz w:val="24"/>
              </w:rPr>
              <w:t>27,</w:t>
            </w:r>
            <w:r>
              <w:rPr>
                <w:spacing w:val="-1"/>
                <w:sz w:val="24"/>
              </w:rPr>
              <w:t> </w:t>
            </w:r>
            <w:r>
              <w:rPr>
                <w:spacing w:val="-2"/>
                <w:sz w:val="24"/>
              </w:rPr>
              <w:t>2008.</w:t>
            </w:r>
          </w:p>
        </w:tc>
      </w:tr>
      <w:tr>
        <w:trPr>
          <w:trHeight w:val="413" w:hRule="atLeast"/>
        </w:trPr>
        <w:tc>
          <w:tcPr>
            <w:tcW w:w="1191" w:type="dxa"/>
          </w:tcPr>
          <w:p>
            <w:pPr>
              <w:pStyle w:val="TableParagraph"/>
              <w:spacing w:before="64"/>
              <w:ind w:right="190"/>
              <w:jc w:val="center"/>
              <w:rPr>
                <w:sz w:val="24"/>
              </w:rPr>
            </w:pPr>
            <w:r>
              <w:rPr>
                <w:spacing w:val="-5"/>
                <w:sz w:val="24"/>
              </w:rPr>
              <w:t>5.</w:t>
            </w:r>
          </w:p>
        </w:tc>
        <w:tc>
          <w:tcPr>
            <w:tcW w:w="6871" w:type="dxa"/>
          </w:tcPr>
          <w:p>
            <w:pPr>
              <w:pStyle w:val="TableParagraph"/>
              <w:spacing w:before="64"/>
              <w:ind w:left="181"/>
              <w:rPr>
                <w:sz w:val="24"/>
              </w:rPr>
            </w:pPr>
            <w:r>
              <w:rPr>
                <w:sz w:val="24"/>
              </w:rPr>
              <w:t>Interviewed</w:t>
            </w:r>
            <w:r>
              <w:rPr>
                <w:spacing w:val="-3"/>
                <w:sz w:val="24"/>
              </w:rPr>
              <w:t> </w:t>
            </w:r>
            <w:r>
              <w:rPr>
                <w:sz w:val="24"/>
              </w:rPr>
              <w:t>at</w:t>
            </w:r>
            <w:r>
              <w:rPr>
                <w:spacing w:val="-1"/>
                <w:sz w:val="24"/>
              </w:rPr>
              <w:t> </w:t>
            </w:r>
            <w:r>
              <w:rPr>
                <w:sz w:val="24"/>
              </w:rPr>
              <w:t>Warri</w:t>
            </w:r>
            <w:r>
              <w:rPr>
                <w:spacing w:val="-1"/>
                <w:sz w:val="24"/>
              </w:rPr>
              <w:t> </w:t>
            </w:r>
            <w:r>
              <w:rPr>
                <w:sz w:val="24"/>
              </w:rPr>
              <w:t>on</w:t>
            </w:r>
            <w:r>
              <w:rPr>
                <w:spacing w:val="-1"/>
                <w:sz w:val="24"/>
              </w:rPr>
              <w:t> </w:t>
            </w:r>
            <w:r>
              <w:rPr>
                <w:sz w:val="24"/>
              </w:rPr>
              <w:t>June</w:t>
            </w:r>
            <w:r>
              <w:rPr>
                <w:spacing w:val="-2"/>
                <w:sz w:val="24"/>
              </w:rPr>
              <w:t> </w:t>
            </w:r>
            <w:r>
              <w:rPr>
                <w:sz w:val="24"/>
              </w:rPr>
              <w:t>28, </w:t>
            </w:r>
            <w:r>
              <w:rPr>
                <w:spacing w:val="-2"/>
                <w:sz w:val="24"/>
              </w:rPr>
              <w:t>2009.</w:t>
            </w:r>
          </w:p>
        </w:tc>
      </w:tr>
      <w:tr>
        <w:trPr>
          <w:trHeight w:val="414" w:hRule="atLeast"/>
        </w:trPr>
        <w:tc>
          <w:tcPr>
            <w:tcW w:w="1191" w:type="dxa"/>
          </w:tcPr>
          <w:p>
            <w:pPr>
              <w:pStyle w:val="TableParagraph"/>
              <w:spacing w:before="63"/>
              <w:ind w:right="190"/>
              <w:jc w:val="center"/>
              <w:rPr>
                <w:sz w:val="24"/>
              </w:rPr>
            </w:pPr>
            <w:r>
              <w:rPr>
                <w:spacing w:val="-5"/>
                <w:sz w:val="24"/>
              </w:rPr>
              <w:t>6.</w:t>
            </w:r>
          </w:p>
        </w:tc>
        <w:tc>
          <w:tcPr>
            <w:tcW w:w="6871" w:type="dxa"/>
          </w:tcPr>
          <w:p>
            <w:pPr>
              <w:pStyle w:val="TableParagraph"/>
              <w:spacing w:before="63"/>
              <w:ind w:left="181"/>
              <w:rPr>
                <w:sz w:val="24"/>
              </w:rPr>
            </w:pPr>
            <w:r>
              <w:rPr>
                <w:sz w:val="24"/>
              </w:rPr>
              <w:t>Interviewed</w:t>
            </w:r>
            <w:r>
              <w:rPr>
                <w:spacing w:val="-3"/>
                <w:sz w:val="24"/>
              </w:rPr>
              <w:t> </w:t>
            </w:r>
            <w:r>
              <w:rPr>
                <w:sz w:val="24"/>
              </w:rPr>
              <w:t>at</w:t>
            </w:r>
            <w:r>
              <w:rPr>
                <w:spacing w:val="-1"/>
                <w:sz w:val="24"/>
              </w:rPr>
              <w:t> </w:t>
            </w:r>
            <w:r>
              <w:rPr>
                <w:sz w:val="24"/>
              </w:rPr>
              <w:t>Warri</w:t>
            </w:r>
            <w:r>
              <w:rPr>
                <w:spacing w:val="-1"/>
                <w:sz w:val="24"/>
              </w:rPr>
              <w:t> </w:t>
            </w:r>
            <w:r>
              <w:rPr>
                <w:sz w:val="24"/>
              </w:rPr>
              <w:t>on</w:t>
            </w:r>
            <w:r>
              <w:rPr>
                <w:spacing w:val="-1"/>
                <w:sz w:val="24"/>
              </w:rPr>
              <w:t> </w:t>
            </w:r>
            <w:r>
              <w:rPr>
                <w:sz w:val="24"/>
              </w:rPr>
              <w:t>June</w:t>
            </w:r>
            <w:r>
              <w:rPr>
                <w:spacing w:val="-2"/>
                <w:sz w:val="24"/>
              </w:rPr>
              <w:t> </w:t>
            </w:r>
            <w:r>
              <w:rPr>
                <w:sz w:val="24"/>
              </w:rPr>
              <w:t>28, </w:t>
            </w:r>
            <w:r>
              <w:rPr>
                <w:spacing w:val="-2"/>
                <w:sz w:val="24"/>
              </w:rPr>
              <w:t>2009.</w:t>
            </w:r>
          </w:p>
        </w:tc>
      </w:tr>
      <w:tr>
        <w:trPr>
          <w:trHeight w:val="414" w:hRule="atLeast"/>
        </w:trPr>
        <w:tc>
          <w:tcPr>
            <w:tcW w:w="1191" w:type="dxa"/>
          </w:tcPr>
          <w:p>
            <w:pPr>
              <w:pStyle w:val="TableParagraph"/>
              <w:spacing w:before="64"/>
              <w:ind w:right="190"/>
              <w:jc w:val="center"/>
              <w:rPr>
                <w:sz w:val="24"/>
              </w:rPr>
            </w:pPr>
            <w:r>
              <w:rPr>
                <w:spacing w:val="-5"/>
                <w:sz w:val="24"/>
              </w:rPr>
              <w:t>7.</w:t>
            </w:r>
          </w:p>
        </w:tc>
        <w:tc>
          <w:tcPr>
            <w:tcW w:w="6871" w:type="dxa"/>
          </w:tcPr>
          <w:p>
            <w:pPr>
              <w:pStyle w:val="TableParagraph"/>
              <w:spacing w:before="64"/>
              <w:ind w:left="179"/>
              <w:rPr>
                <w:sz w:val="24"/>
              </w:rPr>
            </w:pPr>
            <w:r>
              <w:rPr>
                <w:sz w:val="24"/>
              </w:rPr>
              <w:t>GSM</w:t>
            </w:r>
            <w:r>
              <w:rPr>
                <w:spacing w:val="-1"/>
                <w:sz w:val="24"/>
              </w:rPr>
              <w:t> </w:t>
            </w:r>
            <w:r>
              <w:rPr>
                <w:sz w:val="24"/>
              </w:rPr>
              <w:t>interview</w:t>
            </w:r>
            <w:r>
              <w:rPr>
                <w:spacing w:val="-1"/>
                <w:sz w:val="24"/>
              </w:rPr>
              <w:t> </w:t>
            </w:r>
            <w:r>
              <w:rPr>
                <w:sz w:val="24"/>
              </w:rPr>
              <w:t>with</w:t>
            </w:r>
            <w:r>
              <w:rPr>
                <w:spacing w:val="-1"/>
                <w:sz w:val="24"/>
              </w:rPr>
              <w:t> </w:t>
            </w:r>
            <w:r>
              <w:rPr>
                <w:sz w:val="24"/>
              </w:rPr>
              <w:t>JTF</w:t>
            </w:r>
            <w:r>
              <w:rPr>
                <w:spacing w:val="-2"/>
                <w:sz w:val="24"/>
              </w:rPr>
              <w:t> </w:t>
            </w:r>
            <w:r>
              <w:rPr>
                <w:sz w:val="24"/>
              </w:rPr>
              <w:t>Media</w:t>
            </w:r>
            <w:r>
              <w:rPr>
                <w:spacing w:val="-1"/>
                <w:sz w:val="24"/>
              </w:rPr>
              <w:t> </w:t>
            </w:r>
            <w:r>
              <w:rPr>
                <w:sz w:val="24"/>
              </w:rPr>
              <w:t>Coordinator on</w:t>
            </w:r>
            <w:r>
              <w:rPr>
                <w:spacing w:val="-1"/>
                <w:sz w:val="24"/>
              </w:rPr>
              <w:t> </w:t>
            </w:r>
            <w:r>
              <w:rPr>
                <w:sz w:val="24"/>
              </w:rPr>
              <w:t>September</w:t>
            </w:r>
            <w:r>
              <w:rPr>
                <w:spacing w:val="-1"/>
                <w:sz w:val="24"/>
              </w:rPr>
              <w:t> </w:t>
            </w:r>
            <w:r>
              <w:rPr>
                <w:sz w:val="24"/>
              </w:rPr>
              <w:t>29,</w:t>
            </w:r>
            <w:r>
              <w:rPr>
                <w:spacing w:val="-1"/>
                <w:sz w:val="24"/>
              </w:rPr>
              <w:t> </w:t>
            </w:r>
            <w:r>
              <w:rPr>
                <w:spacing w:val="-2"/>
                <w:sz w:val="24"/>
              </w:rPr>
              <w:t>2009.</w:t>
            </w:r>
          </w:p>
        </w:tc>
      </w:tr>
      <w:tr>
        <w:trPr>
          <w:trHeight w:val="414" w:hRule="atLeast"/>
        </w:trPr>
        <w:tc>
          <w:tcPr>
            <w:tcW w:w="1191" w:type="dxa"/>
          </w:tcPr>
          <w:p>
            <w:pPr>
              <w:pStyle w:val="TableParagraph"/>
              <w:spacing w:before="63"/>
              <w:ind w:right="190"/>
              <w:jc w:val="center"/>
              <w:rPr>
                <w:sz w:val="24"/>
              </w:rPr>
            </w:pPr>
            <w:r>
              <w:rPr>
                <w:spacing w:val="-5"/>
                <w:sz w:val="24"/>
              </w:rPr>
              <w:t>8.</w:t>
            </w:r>
          </w:p>
        </w:tc>
        <w:tc>
          <w:tcPr>
            <w:tcW w:w="6871" w:type="dxa"/>
          </w:tcPr>
          <w:p>
            <w:pPr>
              <w:pStyle w:val="TableParagraph"/>
              <w:spacing w:before="63"/>
              <w:ind w:left="241"/>
              <w:rPr>
                <w:sz w:val="24"/>
              </w:rPr>
            </w:pPr>
            <w:r>
              <w:rPr>
                <w:sz w:val="24"/>
              </w:rPr>
              <w:t>Interviewed</w:t>
            </w:r>
            <w:r>
              <w:rPr>
                <w:spacing w:val="-4"/>
                <w:sz w:val="24"/>
              </w:rPr>
              <w:t> </w:t>
            </w:r>
            <w:r>
              <w:rPr>
                <w:sz w:val="24"/>
              </w:rPr>
              <w:t>at</w:t>
            </w:r>
            <w:r>
              <w:rPr>
                <w:spacing w:val="-2"/>
                <w:sz w:val="24"/>
              </w:rPr>
              <w:t> </w:t>
            </w:r>
            <w:r>
              <w:rPr>
                <w:sz w:val="24"/>
              </w:rPr>
              <w:t>Yenagoa</w:t>
            </w:r>
            <w:r>
              <w:rPr>
                <w:spacing w:val="-3"/>
                <w:sz w:val="24"/>
              </w:rPr>
              <w:t> </w:t>
            </w:r>
            <w:r>
              <w:rPr>
                <w:sz w:val="24"/>
              </w:rPr>
              <w:t>on</w:t>
            </w:r>
            <w:r>
              <w:rPr>
                <w:spacing w:val="-2"/>
                <w:sz w:val="24"/>
              </w:rPr>
              <w:t> </w:t>
            </w:r>
            <w:r>
              <w:rPr>
                <w:sz w:val="24"/>
              </w:rPr>
              <w:t>September</w:t>
            </w:r>
            <w:r>
              <w:rPr>
                <w:spacing w:val="-2"/>
                <w:sz w:val="24"/>
              </w:rPr>
              <w:t> </w:t>
            </w:r>
            <w:r>
              <w:rPr>
                <w:sz w:val="24"/>
              </w:rPr>
              <w:t>30, </w:t>
            </w:r>
            <w:r>
              <w:rPr>
                <w:spacing w:val="-2"/>
                <w:sz w:val="24"/>
              </w:rPr>
              <w:t>2010.</w:t>
            </w:r>
          </w:p>
        </w:tc>
      </w:tr>
      <w:tr>
        <w:trPr>
          <w:trHeight w:val="414" w:hRule="atLeast"/>
        </w:trPr>
        <w:tc>
          <w:tcPr>
            <w:tcW w:w="1191" w:type="dxa"/>
          </w:tcPr>
          <w:p>
            <w:pPr>
              <w:pStyle w:val="TableParagraph"/>
              <w:spacing w:before="65"/>
              <w:ind w:right="190"/>
              <w:jc w:val="center"/>
              <w:rPr>
                <w:sz w:val="24"/>
              </w:rPr>
            </w:pPr>
            <w:r>
              <w:rPr>
                <w:spacing w:val="-5"/>
                <w:sz w:val="24"/>
              </w:rPr>
              <w:t>9.</w:t>
            </w:r>
          </w:p>
        </w:tc>
        <w:tc>
          <w:tcPr>
            <w:tcW w:w="6871" w:type="dxa"/>
          </w:tcPr>
          <w:p>
            <w:pPr>
              <w:pStyle w:val="TableParagraph"/>
              <w:spacing w:before="65"/>
              <w:ind w:left="241"/>
              <w:rPr>
                <w:sz w:val="24"/>
              </w:rPr>
            </w:pPr>
            <w:r>
              <w:rPr>
                <w:sz w:val="24"/>
              </w:rPr>
              <w:t>Interviewed</w:t>
            </w:r>
            <w:r>
              <w:rPr>
                <w:spacing w:val="-1"/>
                <w:sz w:val="24"/>
              </w:rPr>
              <w:t> </w:t>
            </w:r>
            <w:r>
              <w:rPr>
                <w:sz w:val="24"/>
              </w:rPr>
              <w:t>at</w:t>
            </w:r>
            <w:r>
              <w:rPr>
                <w:spacing w:val="-1"/>
                <w:sz w:val="24"/>
              </w:rPr>
              <w:t> </w:t>
            </w:r>
            <w:r>
              <w:rPr>
                <w:sz w:val="24"/>
              </w:rPr>
              <w:t>Warri</w:t>
            </w:r>
            <w:r>
              <w:rPr>
                <w:spacing w:val="-1"/>
                <w:sz w:val="24"/>
              </w:rPr>
              <w:t> </w:t>
            </w:r>
            <w:r>
              <w:rPr>
                <w:sz w:val="24"/>
              </w:rPr>
              <w:t>on</w:t>
            </w:r>
            <w:r>
              <w:rPr>
                <w:spacing w:val="-1"/>
                <w:sz w:val="24"/>
              </w:rPr>
              <w:t> </w:t>
            </w:r>
            <w:r>
              <w:rPr>
                <w:sz w:val="24"/>
              </w:rPr>
              <w:t>May</w:t>
            </w:r>
            <w:r>
              <w:rPr>
                <w:spacing w:val="-6"/>
                <w:sz w:val="24"/>
              </w:rPr>
              <w:t> </w:t>
            </w:r>
            <w:r>
              <w:rPr>
                <w:sz w:val="24"/>
              </w:rPr>
              <w:t>17, </w:t>
            </w:r>
            <w:r>
              <w:rPr>
                <w:spacing w:val="-2"/>
                <w:sz w:val="24"/>
              </w:rPr>
              <w:t>2011.</w:t>
            </w:r>
          </w:p>
        </w:tc>
      </w:tr>
      <w:tr>
        <w:trPr>
          <w:trHeight w:val="414" w:hRule="atLeast"/>
        </w:trPr>
        <w:tc>
          <w:tcPr>
            <w:tcW w:w="1191" w:type="dxa"/>
          </w:tcPr>
          <w:p>
            <w:pPr>
              <w:pStyle w:val="TableParagraph"/>
              <w:spacing w:before="63"/>
              <w:ind w:right="70"/>
              <w:jc w:val="center"/>
              <w:rPr>
                <w:sz w:val="24"/>
              </w:rPr>
            </w:pPr>
            <w:r>
              <w:rPr>
                <w:spacing w:val="-5"/>
                <w:sz w:val="24"/>
              </w:rPr>
              <w:t>10.</w:t>
            </w:r>
          </w:p>
        </w:tc>
        <w:tc>
          <w:tcPr>
            <w:tcW w:w="6871" w:type="dxa"/>
          </w:tcPr>
          <w:p>
            <w:pPr>
              <w:pStyle w:val="TableParagraph"/>
              <w:spacing w:before="63"/>
              <w:ind w:left="241"/>
              <w:rPr>
                <w:sz w:val="24"/>
              </w:rPr>
            </w:pPr>
            <w:r>
              <w:rPr>
                <w:sz w:val="24"/>
              </w:rPr>
              <w:t>Interviewed</w:t>
            </w:r>
            <w:r>
              <w:rPr>
                <w:spacing w:val="-2"/>
                <w:sz w:val="24"/>
              </w:rPr>
              <w:t> </w:t>
            </w:r>
            <w:r>
              <w:rPr>
                <w:sz w:val="24"/>
              </w:rPr>
              <w:t>at</w:t>
            </w:r>
            <w:r>
              <w:rPr>
                <w:spacing w:val="-1"/>
                <w:sz w:val="24"/>
              </w:rPr>
              <w:t> </w:t>
            </w:r>
            <w:r>
              <w:rPr>
                <w:sz w:val="24"/>
              </w:rPr>
              <w:t>Yenagoa</w:t>
            </w:r>
            <w:r>
              <w:rPr>
                <w:spacing w:val="-2"/>
                <w:sz w:val="24"/>
              </w:rPr>
              <w:t> </w:t>
            </w:r>
            <w:r>
              <w:rPr>
                <w:sz w:val="24"/>
              </w:rPr>
              <w:t>on</w:t>
            </w:r>
            <w:r>
              <w:rPr>
                <w:spacing w:val="-1"/>
                <w:sz w:val="24"/>
              </w:rPr>
              <w:t> </w:t>
            </w:r>
            <w:r>
              <w:rPr>
                <w:sz w:val="24"/>
              </w:rPr>
              <w:t>June</w:t>
            </w:r>
            <w:r>
              <w:rPr>
                <w:spacing w:val="-2"/>
                <w:sz w:val="24"/>
              </w:rPr>
              <w:t> </w:t>
            </w:r>
            <w:r>
              <w:rPr>
                <w:sz w:val="24"/>
              </w:rPr>
              <w:t>26,</w:t>
            </w:r>
            <w:r>
              <w:rPr>
                <w:spacing w:val="-1"/>
                <w:sz w:val="24"/>
              </w:rPr>
              <w:t> </w:t>
            </w:r>
            <w:r>
              <w:rPr>
                <w:spacing w:val="-2"/>
                <w:sz w:val="24"/>
              </w:rPr>
              <w:t>2009.</w:t>
            </w:r>
          </w:p>
        </w:tc>
      </w:tr>
      <w:tr>
        <w:trPr>
          <w:trHeight w:val="414" w:hRule="atLeast"/>
        </w:trPr>
        <w:tc>
          <w:tcPr>
            <w:tcW w:w="1191" w:type="dxa"/>
          </w:tcPr>
          <w:p>
            <w:pPr>
              <w:pStyle w:val="TableParagraph"/>
              <w:spacing w:before="64"/>
              <w:ind w:right="70"/>
              <w:jc w:val="center"/>
              <w:rPr>
                <w:sz w:val="24"/>
              </w:rPr>
            </w:pPr>
            <w:r>
              <w:rPr>
                <w:spacing w:val="-5"/>
                <w:sz w:val="24"/>
              </w:rPr>
              <w:t>11.</w:t>
            </w:r>
          </w:p>
        </w:tc>
        <w:tc>
          <w:tcPr>
            <w:tcW w:w="6871" w:type="dxa"/>
          </w:tcPr>
          <w:p>
            <w:pPr>
              <w:pStyle w:val="TableParagraph"/>
              <w:spacing w:before="64"/>
              <w:ind w:left="241"/>
              <w:rPr>
                <w:sz w:val="24"/>
              </w:rPr>
            </w:pPr>
            <w:r>
              <w:rPr>
                <w:sz w:val="24"/>
              </w:rPr>
              <w:t>Interviewed</w:t>
            </w:r>
            <w:r>
              <w:rPr>
                <w:spacing w:val="-2"/>
                <w:sz w:val="24"/>
              </w:rPr>
              <w:t> </w:t>
            </w:r>
            <w:r>
              <w:rPr>
                <w:sz w:val="24"/>
              </w:rPr>
              <w:t>at</w:t>
            </w:r>
            <w:r>
              <w:rPr>
                <w:spacing w:val="-1"/>
                <w:sz w:val="24"/>
              </w:rPr>
              <w:t> </w:t>
            </w:r>
            <w:r>
              <w:rPr>
                <w:sz w:val="24"/>
              </w:rPr>
              <w:t>Yenagoa</w:t>
            </w:r>
            <w:r>
              <w:rPr>
                <w:spacing w:val="-2"/>
                <w:sz w:val="24"/>
              </w:rPr>
              <w:t> </w:t>
            </w:r>
            <w:r>
              <w:rPr>
                <w:sz w:val="24"/>
              </w:rPr>
              <w:t>on</w:t>
            </w:r>
            <w:r>
              <w:rPr>
                <w:spacing w:val="-1"/>
                <w:sz w:val="24"/>
              </w:rPr>
              <w:t> </w:t>
            </w:r>
            <w:r>
              <w:rPr>
                <w:sz w:val="24"/>
              </w:rPr>
              <w:t>June</w:t>
            </w:r>
            <w:r>
              <w:rPr>
                <w:spacing w:val="-2"/>
                <w:sz w:val="24"/>
              </w:rPr>
              <w:t> </w:t>
            </w:r>
            <w:r>
              <w:rPr>
                <w:sz w:val="24"/>
              </w:rPr>
              <w:t>26,</w:t>
            </w:r>
            <w:r>
              <w:rPr>
                <w:spacing w:val="-1"/>
                <w:sz w:val="24"/>
              </w:rPr>
              <w:t> </w:t>
            </w:r>
            <w:r>
              <w:rPr>
                <w:spacing w:val="-4"/>
                <w:sz w:val="24"/>
              </w:rPr>
              <w:t>2009</w:t>
            </w:r>
          </w:p>
        </w:tc>
      </w:tr>
      <w:tr>
        <w:trPr>
          <w:trHeight w:val="413" w:hRule="atLeast"/>
        </w:trPr>
        <w:tc>
          <w:tcPr>
            <w:tcW w:w="1191" w:type="dxa"/>
          </w:tcPr>
          <w:p>
            <w:pPr>
              <w:pStyle w:val="TableParagraph"/>
              <w:spacing w:before="63"/>
              <w:ind w:right="70"/>
              <w:jc w:val="center"/>
              <w:rPr>
                <w:sz w:val="24"/>
              </w:rPr>
            </w:pPr>
            <w:r>
              <w:rPr>
                <w:spacing w:val="-5"/>
                <w:sz w:val="24"/>
              </w:rPr>
              <w:t>12.</w:t>
            </w:r>
          </w:p>
        </w:tc>
        <w:tc>
          <w:tcPr>
            <w:tcW w:w="6871" w:type="dxa"/>
          </w:tcPr>
          <w:p>
            <w:pPr>
              <w:pStyle w:val="TableParagraph"/>
              <w:spacing w:before="63"/>
              <w:ind w:left="241"/>
              <w:rPr>
                <w:sz w:val="24"/>
              </w:rPr>
            </w:pPr>
            <w:r>
              <w:rPr>
                <w:sz w:val="24"/>
              </w:rPr>
              <w:t>Interviewed</w:t>
            </w:r>
            <w:r>
              <w:rPr>
                <w:spacing w:val="-3"/>
                <w:sz w:val="24"/>
              </w:rPr>
              <w:t> </w:t>
            </w:r>
            <w:r>
              <w:rPr>
                <w:sz w:val="24"/>
              </w:rPr>
              <w:t>at</w:t>
            </w:r>
            <w:r>
              <w:rPr>
                <w:spacing w:val="-1"/>
                <w:sz w:val="24"/>
              </w:rPr>
              <w:t> </w:t>
            </w:r>
            <w:r>
              <w:rPr>
                <w:sz w:val="24"/>
              </w:rPr>
              <w:t>Abuja on</w:t>
            </w:r>
            <w:r>
              <w:rPr>
                <w:spacing w:val="-1"/>
                <w:sz w:val="24"/>
              </w:rPr>
              <w:t> </w:t>
            </w:r>
            <w:r>
              <w:rPr>
                <w:sz w:val="24"/>
              </w:rPr>
              <w:t>July</w:t>
            </w:r>
            <w:r>
              <w:rPr>
                <w:spacing w:val="-8"/>
                <w:sz w:val="24"/>
              </w:rPr>
              <w:t> </w:t>
            </w:r>
            <w:r>
              <w:rPr>
                <w:sz w:val="24"/>
              </w:rPr>
              <w:t>15, </w:t>
            </w:r>
            <w:r>
              <w:rPr>
                <w:spacing w:val="-4"/>
                <w:sz w:val="24"/>
              </w:rPr>
              <w:t>2009.</w:t>
            </w:r>
          </w:p>
        </w:tc>
      </w:tr>
      <w:tr>
        <w:trPr>
          <w:trHeight w:val="390" w:hRule="atLeast"/>
        </w:trPr>
        <w:tc>
          <w:tcPr>
            <w:tcW w:w="1191" w:type="dxa"/>
          </w:tcPr>
          <w:p>
            <w:pPr>
              <w:pStyle w:val="TableParagraph"/>
              <w:spacing w:before="64"/>
              <w:ind w:right="70"/>
              <w:jc w:val="center"/>
              <w:rPr>
                <w:sz w:val="24"/>
              </w:rPr>
            </w:pPr>
            <w:r>
              <w:rPr>
                <w:spacing w:val="-5"/>
                <w:sz w:val="24"/>
              </w:rPr>
              <w:t>13.</w:t>
            </w:r>
          </w:p>
        </w:tc>
        <w:tc>
          <w:tcPr>
            <w:tcW w:w="6871" w:type="dxa"/>
          </w:tcPr>
          <w:p>
            <w:pPr>
              <w:pStyle w:val="TableParagraph"/>
              <w:spacing w:before="64"/>
              <w:ind w:left="241"/>
              <w:rPr>
                <w:sz w:val="24"/>
              </w:rPr>
            </w:pPr>
            <w:r>
              <w:rPr>
                <w:sz w:val="24"/>
              </w:rPr>
              <w:t>Interviewed</w:t>
            </w:r>
            <w:r>
              <w:rPr>
                <w:spacing w:val="-2"/>
                <w:sz w:val="24"/>
              </w:rPr>
              <w:t> </w:t>
            </w:r>
            <w:r>
              <w:rPr>
                <w:sz w:val="24"/>
              </w:rPr>
              <w:t>at</w:t>
            </w:r>
            <w:r>
              <w:rPr>
                <w:spacing w:val="-1"/>
                <w:sz w:val="24"/>
              </w:rPr>
              <w:t> </w:t>
            </w:r>
            <w:r>
              <w:rPr>
                <w:sz w:val="24"/>
              </w:rPr>
              <w:t>Abuja</w:t>
            </w:r>
            <w:r>
              <w:rPr>
                <w:spacing w:val="-1"/>
                <w:sz w:val="24"/>
              </w:rPr>
              <w:t> </w:t>
            </w:r>
            <w:r>
              <w:rPr>
                <w:sz w:val="24"/>
              </w:rPr>
              <w:t>on</w:t>
            </w:r>
            <w:r>
              <w:rPr>
                <w:spacing w:val="-1"/>
                <w:sz w:val="24"/>
              </w:rPr>
              <w:t> </w:t>
            </w:r>
            <w:r>
              <w:rPr>
                <w:sz w:val="24"/>
              </w:rPr>
              <w:t>January</w:t>
            </w:r>
            <w:r>
              <w:rPr>
                <w:spacing w:val="-5"/>
                <w:sz w:val="24"/>
              </w:rPr>
              <w:t> </w:t>
            </w:r>
            <w:r>
              <w:rPr>
                <w:sz w:val="24"/>
              </w:rPr>
              <w:t>9,</w:t>
            </w:r>
            <w:r>
              <w:rPr>
                <w:spacing w:val="-1"/>
                <w:sz w:val="24"/>
              </w:rPr>
              <w:t> </w:t>
            </w:r>
            <w:r>
              <w:rPr>
                <w:spacing w:val="-2"/>
                <w:sz w:val="24"/>
              </w:rPr>
              <w:t>2009.</w:t>
            </w:r>
          </w:p>
        </w:tc>
      </w:tr>
    </w:tbl>
    <w:p>
      <w:pPr>
        <w:spacing w:after="0"/>
        <w:rPr>
          <w:sz w:val="24"/>
        </w:rPr>
        <w:sectPr>
          <w:pgSz w:w="11910" w:h="16840"/>
          <w:pgMar w:header="0" w:footer="1561" w:top="1360" w:bottom="1760" w:left="720" w:right="180"/>
        </w:sectPr>
      </w:pPr>
    </w:p>
    <w:p>
      <w:pPr>
        <w:pStyle w:val="BodyText"/>
        <w:ind w:left="0"/>
      </w:pPr>
    </w:p>
    <w:p>
      <w:pPr>
        <w:pStyle w:val="BodyText"/>
        <w:ind w:left="0"/>
      </w:pPr>
    </w:p>
    <w:p>
      <w:pPr>
        <w:pStyle w:val="BodyText"/>
        <w:spacing w:before="66"/>
        <w:ind w:left="0"/>
      </w:pPr>
    </w:p>
    <w:p>
      <w:pPr>
        <w:pStyle w:val="Heading1"/>
        <w:numPr>
          <w:ilvl w:val="1"/>
          <w:numId w:val="31"/>
        </w:numPr>
        <w:tabs>
          <w:tab w:pos="2160" w:val="left" w:leader="none"/>
        </w:tabs>
        <w:spacing w:line="240" w:lineRule="auto" w:before="0" w:after="0"/>
        <w:ind w:left="2160" w:right="0" w:hanging="720"/>
        <w:jc w:val="left"/>
      </w:pPr>
      <w:bookmarkStart w:name="_TOC_250002" w:id="40"/>
      <w:bookmarkEnd w:id="40"/>
      <w:r>
        <w:rPr>
          <w:spacing w:val="-2"/>
        </w:rPr>
        <w:t>SUMMARY</w:t>
      </w:r>
    </w:p>
    <w:p>
      <w:pPr>
        <w:spacing w:line="360" w:lineRule="auto" w:before="65"/>
        <w:ind w:left="183" w:right="3799" w:firstLine="1029"/>
        <w:jc w:val="left"/>
        <w:rPr>
          <w:b/>
          <w:sz w:val="24"/>
        </w:rPr>
      </w:pPr>
      <w:r>
        <w:rPr/>
        <w:br w:type="column"/>
      </w:r>
      <w:r>
        <w:rPr>
          <w:b/>
          <w:sz w:val="24"/>
        </w:rPr>
        <w:t>CHAPTER FIVE SUMMARY</w:t>
      </w:r>
      <w:r>
        <w:rPr>
          <w:b/>
          <w:spacing w:val="-15"/>
          <w:sz w:val="24"/>
        </w:rPr>
        <w:t> </w:t>
      </w:r>
      <w:r>
        <w:rPr>
          <w:b/>
          <w:sz w:val="24"/>
        </w:rPr>
        <w:t>AND</w:t>
      </w:r>
      <w:r>
        <w:rPr>
          <w:b/>
          <w:spacing w:val="-15"/>
          <w:sz w:val="24"/>
        </w:rPr>
        <w:t> </w:t>
      </w:r>
      <w:r>
        <w:rPr>
          <w:b/>
          <w:sz w:val="24"/>
        </w:rPr>
        <w:t>CONCLUSION</w:t>
      </w:r>
    </w:p>
    <w:p>
      <w:pPr>
        <w:spacing w:after="0" w:line="360" w:lineRule="auto"/>
        <w:jc w:val="left"/>
        <w:rPr>
          <w:sz w:val="24"/>
        </w:rPr>
        <w:sectPr>
          <w:pgSz w:w="11910" w:h="16840"/>
          <w:pgMar w:header="0" w:footer="1561" w:top="1360" w:bottom="1760" w:left="720" w:right="180"/>
          <w:cols w:num="2" w:equalWidth="0">
            <w:col w:w="3438" w:space="40"/>
            <w:col w:w="7532"/>
          </w:cols>
        </w:sectPr>
      </w:pPr>
    </w:p>
    <w:p>
      <w:pPr>
        <w:pStyle w:val="BodyText"/>
        <w:spacing w:line="360" w:lineRule="auto" w:before="132"/>
        <w:ind w:right="1258" w:firstLine="720"/>
        <w:jc w:val="both"/>
      </w:pPr>
      <w:r>
        <w:rPr/>
        <mc:AlternateContent>
          <mc:Choice Requires="wps">
            <w:drawing>
              <wp:anchor distT="0" distB="0" distL="0" distR="0" allowOverlap="1" layoutInCell="1" locked="0" behindDoc="1" simplePos="0" relativeHeight="480688640">
                <wp:simplePos x="0" y="0"/>
                <wp:positionH relativeFrom="page">
                  <wp:posOffset>-1537026</wp:posOffset>
                </wp:positionH>
                <wp:positionV relativeFrom="page">
                  <wp:posOffset>4900424</wp:posOffset>
                </wp:positionV>
                <wp:extent cx="10669905" cy="914400"/>
                <wp:effectExtent l="0" t="0" r="0" b="0"/>
                <wp:wrapNone/>
                <wp:docPr id="336" name="Textbox 336"/>
                <wp:cNvGraphicFramePr>
                  <a:graphicFrameLocks/>
                </wp:cNvGraphicFramePr>
                <a:graphic>
                  <a:graphicData uri="http://schemas.microsoft.com/office/word/2010/wordprocessingShape">
                    <wps:wsp>
                      <wps:cNvPr id="336" name="Textbox 336"/>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27840;rotation:306" type="#_x0000_t136" fillcolor="#ff5400" stroked="f">
                <o:extrusion v:ext="view" autorotationcenter="t"/>
                <v:textpath style="font-family:&quot;Arial MT&quot;;font-size:72pt;v-text-kern:t;mso-text-shadow:auto" string="UNIVERSITY OF IBADAN"/>
                <w10:wrap type="none"/>
              </v:shape>
            </w:pict>
          </mc:Fallback>
        </mc:AlternateContent>
      </w:r>
      <w:r>
        <w:rPr/>
        <w:t>The findings from the study, after analysis of the data collected, their interpretations and discussions are summarized as follows:</w:t>
      </w:r>
    </w:p>
    <w:p>
      <w:pPr>
        <w:pStyle w:val="BodyText"/>
        <w:spacing w:line="360" w:lineRule="auto"/>
        <w:ind w:right="1258" w:firstLine="720"/>
        <w:jc w:val="both"/>
      </w:pPr>
      <w:r>
        <w:rPr/>
        <w:t>Maintenance of Law and Order in Nigeria solely lies in the domain of the Nigeria Police Force. Nonetheless, when the police is faced with severe threat to national security occasioned by lack of capacity to curtail the threats the members of the Armed Forces could be called upon to conduct Internal Security Operations to restore law and order. However, the Military involvement in Internal Security operations increase with the ushering in of democratic governance in 1999 due to emergent and perpetuated internal security conflicts across the country.</w:t>
      </w:r>
    </w:p>
    <w:p>
      <w:pPr>
        <w:pStyle w:val="BodyText"/>
        <w:spacing w:line="360" w:lineRule="auto" w:before="2"/>
        <w:ind w:right="1256" w:firstLine="720"/>
        <w:jc w:val="both"/>
      </w:pPr>
      <w:r>
        <w:rPr/>
        <w:t>The study conducted an assessment of the JTF Operations occasioned by the criminal activities of militants in the Niger Delta.</w:t>
      </w:r>
      <w:r>
        <w:rPr>
          <w:spacing w:val="40"/>
        </w:rPr>
        <w:t> </w:t>
      </w:r>
      <w:r>
        <w:rPr/>
        <w:t>Hitherto, the involvement of the military vide the JTF occasioned by a breakdown in law and order had heightened insecurity and thus hampering sustainable human and environment development of</w:t>
      </w:r>
      <w:r>
        <w:rPr>
          <w:spacing w:val="40"/>
        </w:rPr>
        <w:t> </w:t>
      </w:r>
      <w:r>
        <w:rPr/>
        <w:t>the area.</w:t>
      </w:r>
    </w:p>
    <w:p>
      <w:pPr>
        <w:pStyle w:val="BodyText"/>
        <w:spacing w:line="360" w:lineRule="auto"/>
        <w:ind w:right="1256" w:firstLine="720"/>
        <w:jc w:val="both"/>
      </w:pPr>
      <w:r>
        <w:rPr/>
        <w:t>The study revealed that the state of insecurity in the focal States of Bayelsa, Delta</w:t>
      </w:r>
      <w:r>
        <w:rPr>
          <w:spacing w:val="-2"/>
        </w:rPr>
        <w:t> </w:t>
      </w:r>
      <w:r>
        <w:rPr/>
        <w:t>and</w:t>
      </w:r>
      <w:r>
        <w:rPr>
          <w:spacing w:val="-1"/>
        </w:rPr>
        <w:t> </w:t>
      </w:r>
      <w:r>
        <w:rPr/>
        <w:t>Rivers</w:t>
      </w:r>
      <w:r>
        <w:rPr>
          <w:spacing w:val="-1"/>
        </w:rPr>
        <w:t> </w:t>
      </w:r>
      <w:r>
        <w:rPr/>
        <w:t>constitutes a</w:t>
      </w:r>
      <w:r>
        <w:rPr>
          <w:spacing w:val="-2"/>
        </w:rPr>
        <w:t> </w:t>
      </w:r>
      <w:r>
        <w:rPr/>
        <w:t>serious</w:t>
      </w:r>
      <w:r>
        <w:rPr>
          <w:spacing w:val="-1"/>
        </w:rPr>
        <w:t> </w:t>
      </w:r>
      <w:r>
        <w:rPr/>
        <w:t>concern.</w:t>
      </w:r>
      <w:r>
        <w:rPr>
          <w:spacing w:val="40"/>
        </w:rPr>
        <w:t> </w:t>
      </w:r>
      <w:r>
        <w:rPr/>
        <w:t>The</w:t>
      </w:r>
      <w:r>
        <w:rPr>
          <w:spacing w:val="-3"/>
        </w:rPr>
        <w:t> </w:t>
      </w:r>
      <w:r>
        <w:rPr/>
        <w:t>violent</w:t>
      </w:r>
      <w:r>
        <w:rPr>
          <w:spacing w:val="-1"/>
        </w:rPr>
        <w:t> </w:t>
      </w:r>
      <w:r>
        <w:rPr/>
        <w:t>conflict</w:t>
      </w:r>
      <w:r>
        <w:rPr>
          <w:spacing w:val="-1"/>
        </w:rPr>
        <w:t> </w:t>
      </w:r>
      <w:r>
        <w:rPr/>
        <w:t>in</w:t>
      </w:r>
      <w:r>
        <w:rPr>
          <w:spacing w:val="-1"/>
        </w:rPr>
        <w:t> </w:t>
      </w:r>
      <w:r>
        <w:rPr/>
        <w:t>the</w:t>
      </w:r>
      <w:r>
        <w:rPr>
          <w:spacing w:val="-3"/>
        </w:rPr>
        <w:t> </w:t>
      </w:r>
      <w:r>
        <w:rPr/>
        <w:t>Niger</w:t>
      </w:r>
      <w:r>
        <w:rPr>
          <w:spacing w:val="-2"/>
        </w:rPr>
        <w:t> </w:t>
      </w:r>
      <w:r>
        <w:rPr/>
        <w:t>Delta has led to the militarization of the region, with criminal armed gangs, militants and military</w:t>
      </w:r>
      <w:r>
        <w:rPr>
          <w:spacing w:val="-3"/>
        </w:rPr>
        <w:t> </w:t>
      </w:r>
      <w:r>
        <w:rPr/>
        <w:t>security forces.</w:t>
      </w:r>
      <w:r>
        <w:rPr>
          <w:spacing w:val="40"/>
        </w:rPr>
        <w:t> </w:t>
      </w:r>
      <w:r>
        <w:rPr/>
        <w:t>Thus, there is the presence</w:t>
      </w:r>
      <w:r>
        <w:rPr>
          <w:spacing w:val="40"/>
        </w:rPr>
        <w:t> </w:t>
      </w:r>
      <w:r>
        <w:rPr/>
        <w:t>of the military (JTF), network of informal</w:t>
      </w:r>
      <w:r>
        <w:rPr>
          <w:spacing w:val="-1"/>
        </w:rPr>
        <w:t> </w:t>
      </w:r>
      <w:r>
        <w:rPr/>
        <w:t>security</w:t>
      </w:r>
      <w:r>
        <w:rPr>
          <w:spacing w:val="-4"/>
        </w:rPr>
        <w:t> </w:t>
      </w:r>
      <w:r>
        <w:rPr/>
        <w:t>groups maintained</w:t>
      </w:r>
      <w:r>
        <w:rPr>
          <w:spacing w:val="-1"/>
        </w:rPr>
        <w:t> </w:t>
      </w:r>
      <w:r>
        <w:rPr/>
        <w:t>by</w:t>
      </w:r>
      <w:r>
        <w:rPr>
          <w:spacing w:val="-6"/>
        </w:rPr>
        <w:t> </w:t>
      </w:r>
      <w:r>
        <w:rPr/>
        <w:t>oil/gas</w:t>
      </w:r>
      <w:r>
        <w:rPr>
          <w:spacing w:val="-1"/>
        </w:rPr>
        <w:t> </w:t>
      </w:r>
      <w:r>
        <w:rPr/>
        <w:t>companies,</w:t>
      </w:r>
      <w:r>
        <w:rPr>
          <w:spacing w:val="-1"/>
        </w:rPr>
        <w:t> </w:t>
      </w:r>
      <w:r>
        <w:rPr/>
        <w:t>criminal</w:t>
      </w:r>
      <w:r>
        <w:rPr>
          <w:spacing w:val="-1"/>
        </w:rPr>
        <w:t> </w:t>
      </w:r>
      <w:r>
        <w:rPr/>
        <w:t>armed groups</w:t>
      </w:r>
      <w:r>
        <w:rPr>
          <w:spacing w:val="-2"/>
        </w:rPr>
        <w:t> </w:t>
      </w:r>
      <w:r>
        <w:rPr/>
        <w:t>that thrive on political elite support and illegal oil bunkerers as well as proliferation of </w:t>
      </w:r>
      <w:r>
        <w:rPr>
          <w:spacing w:val="-2"/>
        </w:rPr>
        <w:t>SALW.</w:t>
      </w:r>
    </w:p>
    <w:p>
      <w:pPr>
        <w:pStyle w:val="BodyText"/>
        <w:spacing w:line="360" w:lineRule="auto" w:before="1"/>
        <w:ind w:right="1257" w:firstLine="720"/>
        <w:jc w:val="both"/>
      </w:pPr>
      <w:r>
        <w:rPr/>
        <w:t>The conflicts in the three sampled states are considered by the respondents to be very violent. The JTF has actually done a lot to stem the conflicts in the Niger Delta. The approaches adopted by the JTF in dealing with the Niger Delta conflict is mainly</w:t>
      </w:r>
      <w:r>
        <w:rPr>
          <w:spacing w:val="-2"/>
        </w:rPr>
        <w:t> </w:t>
      </w:r>
      <w:r>
        <w:rPr/>
        <w:t>through the use of force and occasionally, the use of dialogue and negotiation.</w:t>
      </w:r>
    </w:p>
    <w:p>
      <w:pPr>
        <w:pStyle w:val="BodyText"/>
        <w:spacing w:line="360" w:lineRule="auto"/>
        <w:ind w:right="1256" w:firstLine="780"/>
        <w:jc w:val="both"/>
      </w:pPr>
      <w:r>
        <w:rPr/>
        <w:t>The study further revealed that the level of preparedness of troops for optimum performance as required by the mandate was low.</w:t>
      </w:r>
      <w:r>
        <w:rPr>
          <w:spacing w:val="40"/>
        </w:rPr>
        <w:t> </w:t>
      </w:r>
      <w:r>
        <w:rPr/>
        <w:t>This became apparent when considered against the backdrop of manpower, training</w:t>
      </w:r>
      <w:r>
        <w:rPr>
          <w:spacing w:val="-1"/>
        </w:rPr>
        <w:t> </w:t>
      </w:r>
      <w:r>
        <w:rPr/>
        <w:t>equipment, logistics and welfare.</w:t>
      </w:r>
      <w:r>
        <w:rPr>
          <w:spacing w:val="40"/>
        </w:rPr>
        <w:t> </w:t>
      </w:r>
      <w:r>
        <w:rPr/>
        <w:t>A combination of these factors has hampered operational efficiency of conducting</w:t>
      </w:r>
      <w:r>
        <w:rPr>
          <w:spacing w:val="7"/>
        </w:rPr>
        <w:t> </w:t>
      </w:r>
      <w:r>
        <w:rPr/>
        <w:t>military</w:t>
      </w:r>
      <w:r>
        <w:rPr>
          <w:spacing w:val="6"/>
        </w:rPr>
        <w:t> </w:t>
      </w:r>
      <w:r>
        <w:rPr/>
        <w:t>operations</w:t>
      </w:r>
      <w:r>
        <w:rPr>
          <w:spacing w:val="9"/>
        </w:rPr>
        <w:t> </w:t>
      </w:r>
      <w:r>
        <w:rPr/>
        <w:t>in</w:t>
      </w:r>
      <w:r>
        <w:rPr>
          <w:spacing w:val="9"/>
        </w:rPr>
        <w:t> </w:t>
      </w:r>
      <w:r>
        <w:rPr/>
        <w:t>the</w:t>
      </w:r>
      <w:r>
        <w:rPr>
          <w:spacing w:val="8"/>
        </w:rPr>
        <w:t> </w:t>
      </w:r>
      <w:r>
        <w:rPr/>
        <w:t>Niger</w:t>
      </w:r>
      <w:r>
        <w:rPr>
          <w:spacing w:val="8"/>
        </w:rPr>
        <w:t> </w:t>
      </w:r>
      <w:r>
        <w:rPr/>
        <w:t>Delta.</w:t>
      </w:r>
      <w:r>
        <w:rPr>
          <w:spacing w:val="9"/>
        </w:rPr>
        <w:t> </w:t>
      </w:r>
      <w:r>
        <w:rPr/>
        <w:t>Operation</w:t>
      </w:r>
      <w:r>
        <w:rPr>
          <w:spacing w:val="9"/>
        </w:rPr>
        <w:t> </w:t>
      </w:r>
      <w:r>
        <w:rPr/>
        <w:t>RESTORE</w:t>
      </w:r>
      <w:r>
        <w:rPr>
          <w:spacing w:val="9"/>
        </w:rPr>
        <w:t> </w:t>
      </w:r>
      <w:r>
        <w:rPr/>
        <w:t>HOPE</w:t>
      </w:r>
      <w:r>
        <w:rPr>
          <w:spacing w:val="10"/>
        </w:rPr>
        <w:t> </w:t>
      </w:r>
      <w:r>
        <w:rPr>
          <w:spacing w:val="-2"/>
        </w:rPr>
        <w:t>faced</w:t>
      </w:r>
    </w:p>
    <w:p>
      <w:pPr>
        <w:spacing w:after="0" w:line="360" w:lineRule="auto"/>
        <w:jc w:val="both"/>
        <w:sectPr>
          <w:type w:val="continuous"/>
          <w:pgSz w:w="11910" w:h="16840"/>
          <w:pgMar w:header="0" w:footer="1561" w:top="1360" w:bottom="280" w:left="720" w:right="180"/>
        </w:sectPr>
      </w:pPr>
    </w:p>
    <w:p>
      <w:pPr>
        <w:pStyle w:val="BodyText"/>
        <w:spacing w:line="360" w:lineRule="auto" w:before="60"/>
        <w:ind w:right="1256"/>
        <w:jc w:val="both"/>
      </w:pPr>
      <w:r>
        <w:rPr/>
        <mc:AlternateContent>
          <mc:Choice Requires="wps">
            <w:drawing>
              <wp:anchor distT="0" distB="0" distL="0" distR="0" allowOverlap="1" layoutInCell="1" locked="0" behindDoc="1" simplePos="0" relativeHeight="480689152">
                <wp:simplePos x="0" y="0"/>
                <wp:positionH relativeFrom="page">
                  <wp:posOffset>-1537026</wp:posOffset>
                </wp:positionH>
                <wp:positionV relativeFrom="page">
                  <wp:posOffset>4900424</wp:posOffset>
                </wp:positionV>
                <wp:extent cx="10669905" cy="914400"/>
                <wp:effectExtent l="0" t="0" r="0" b="0"/>
                <wp:wrapNone/>
                <wp:docPr id="337" name="Textbox 337"/>
                <wp:cNvGraphicFramePr>
                  <a:graphicFrameLocks/>
                </wp:cNvGraphicFramePr>
                <a:graphic>
                  <a:graphicData uri="http://schemas.microsoft.com/office/word/2010/wordprocessingShape">
                    <wps:wsp>
                      <wps:cNvPr id="337" name="Textbox 337"/>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27328;rotation:306" type="#_x0000_t136" fillcolor="#ff5400" stroked="f">
                <o:extrusion v:ext="view" autorotationcenter="t"/>
                <v:textpath style="font-family:&quot;Arial MT&quot;;font-size:72pt;v-text-kern:t;mso-text-shadow:auto" string="UNIVERSITY OF IBADAN"/>
                <w10:wrap type="none"/>
              </v:shape>
            </w:pict>
          </mc:Fallback>
        </mc:AlternateContent>
      </w:r>
      <w:r>
        <w:rPr/>
        <w:t>many challenges which include; lack of robust mandate, inadequate logistics such as platforms, communication equipment and inadequate manpower, proliferation of SALW, poor level of co-operation among the stakeholders and lack of political will</w:t>
      </w:r>
      <w:r>
        <w:rPr>
          <w:spacing w:val="40"/>
        </w:rPr>
        <w:t> </w:t>
      </w:r>
      <w:r>
        <w:rPr/>
        <w:t>on the part of the Federal Government to clamp down on illegal oil bunkering.</w:t>
      </w:r>
    </w:p>
    <w:p>
      <w:pPr>
        <w:pStyle w:val="BodyText"/>
        <w:spacing w:line="360" w:lineRule="auto" w:before="1"/>
        <w:ind w:right="1253" w:firstLine="720"/>
        <w:jc w:val="both"/>
      </w:pPr>
      <w:r>
        <w:rPr/>
        <w:t>It has been noted that the Joint Military Task Force interventions may have stabilised the situation by preventing certain warring communities from indulging in violent conflicts, by saving lives and property and aiding the maintenance of law and order.</w:t>
      </w:r>
      <w:r>
        <w:rPr>
          <w:spacing w:val="80"/>
        </w:rPr>
        <w:t> </w:t>
      </w:r>
      <w:r>
        <w:rPr/>
        <w:t>It has however, also adversely affected the image and professional credibility of the military because of the problems arising from the consequences of collateral damages and professional misconduct.</w:t>
      </w:r>
      <w:r>
        <w:rPr>
          <w:spacing w:val="40"/>
        </w:rPr>
        <w:t> </w:t>
      </w:r>
      <w:r>
        <w:rPr/>
        <w:t>It is widely believed that government could have achieved its objectives through dialogue rather than adopting a military option.</w:t>
      </w:r>
    </w:p>
    <w:p>
      <w:pPr>
        <w:pStyle w:val="BodyText"/>
        <w:spacing w:line="360" w:lineRule="auto"/>
        <w:ind w:right="1260" w:firstLine="720"/>
        <w:jc w:val="both"/>
      </w:pPr>
      <w:r>
        <w:rPr/>
        <w:t>The violent conflict in the Niger Delta is viewed by the Federal Government, from a security</w:t>
      </w:r>
      <w:r>
        <w:rPr>
          <w:spacing w:val="-6"/>
        </w:rPr>
        <w:t> </w:t>
      </w:r>
      <w:r>
        <w:rPr/>
        <w:t>standpoint, where</w:t>
      </w:r>
      <w:r>
        <w:rPr>
          <w:spacing w:val="-1"/>
        </w:rPr>
        <w:t> </w:t>
      </w:r>
      <w:r>
        <w:rPr/>
        <w:t>containment and suppression have been the primary objectives rather than long-term conflict resolution. Military operation is only part of the counter-insurgency measures and only offers a short term solution to insurgency. The complete eradication of militancy could be attained by addressing the underlying causes of the Niger Delta conflict.</w:t>
      </w:r>
    </w:p>
    <w:p>
      <w:pPr>
        <w:pStyle w:val="BodyText"/>
        <w:spacing w:line="360" w:lineRule="auto"/>
        <w:ind w:right="1254" w:firstLine="720"/>
        <w:jc w:val="both"/>
      </w:pPr>
      <w:r>
        <w:rPr/>
        <w:t>The study revealed that, there is a complex and multiple interplay of factors contributing to conflict in the Niger Delta, and by necessity, there need to be multiple and invariably complex intervention and approaches to tackling them. The study also shows the responses the Niger Delta conflicts have hitherto been piecemeal, most times ad hoc and non-strategic. The state, security agencies and other stakeholders have not collaborated and too often have rather than complementing one another,</w:t>
      </w:r>
      <w:r>
        <w:rPr>
          <w:spacing w:val="80"/>
        </w:rPr>
        <w:t> </w:t>
      </w:r>
      <w:r>
        <w:rPr/>
        <w:t>been competing.</w:t>
      </w:r>
    </w:p>
    <w:p>
      <w:pPr>
        <w:pStyle w:val="BodyText"/>
        <w:spacing w:line="360" w:lineRule="auto" w:before="2"/>
        <w:ind w:right="1255" w:firstLine="720"/>
        <w:jc w:val="both"/>
      </w:pPr>
      <w:r>
        <w:rPr/>
        <w:t>Gaps for non-inclusion of some stakeholders in the JTF approach to conflict management in the Niger Delta have been identified.</w:t>
      </w:r>
      <w:r>
        <w:rPr>
          <w:spacing w:val="40"/>
        </w:rPr>
        <w:t> </w:t>
      </w:r>
      <w:r>
        <w:rPr/>
        <w:t>The</w:t>
      </w:r>
      <w:r>
        <w:rPr>
          <w:spacing w:val="-3"/>
        </w:rPr>
        <w:t> </w:t>
      </w:r>
      <w:r>
        <w:rPr/>
        <w:t>JTF</w:t>
      </w:r>
      <w:r>
        <w:rPr>
          <w:spacing w:val="-1"/>
        </w:rPr>
        <w:t> </w:t>
      </w:r>
      <w:r>
        <w:rPr/>
        <w:t>ought to have included the NGOs, CSOs, the media, militant (ex-militants), NDDC, securities agencies ( Customs, Immigration) and communities for better synergy, performance and acceptability.</w:t>
      </w:r>
      <w:r>
        <w:rPr>
          <w:spacing w:val="40"/>
        </w:rPr>
        <w:t> </w:t>
      </w:r>
      <w:r>
        <w:rPr/>
        <w:t>This of course would mean giving the JTF operations a “human face”.</w:t>
      </w:r>
    </w:p>
    <w:p>
      <w:pPr>
        <w:pStyle w:val="BodyText"/>
        <w:spacing w:line="360" w:lineRule="auto"/>
        <w:ind w:right="1261" w:firstLine="720"/>
        <w:jc w:val="both"/>
      </w:pPr>
      <w:r>
        <w:rPr/>
        <w:t>Poor intelligence gathering restricts the JTF to respond mostly to militants‟ attacks rather than being proactive. This partly accounts for some casualties and collateral damages recorded by the JTF troops while conducting its operations. Tainted</w:t>
      </w:r>
      <w:r>
        <w:rPr>
          <w:spacing w:val="13"/>
        </w:rPr>
        <w:t> </w:t>
      </w:r>
      <w:r>
        <w:rPr/>
        <w:t>public</w:t>
      </w:r>
      <w:r>
        <w:rPr>
          <w:spacing w:val="13"/>
        </w:rPr>
        <w:t> </w:t>
      </w:r>
      <w:r>
        <w:rPr/>
        <w:t>perception</w:t>
      </w:r>
      <w:r>
        <w:rPr>
          <w:spacing w:val="14"/>
        </w:rPr>
        <w:t> </w:t>
      </w:r>
      <w:r>
        <w:rPr/>
        <w:t>of</w:t>
      </w:r>
      <w:r>
        <w:rPr>
          <w:spacing w:val="13"/>
        </w:rPr>
        <w:t> </w:t>
      </w:r>
      <w:r>
        <w:rPr/>
        <w:t>the</w:t>
      </w:r>
      <w:r>
        <w:rPr>
          <w:spacing w:val="13"/>
        </w:rPr>
        <w:t> </w:t>
      </w:r>
      <w:r>
        <w:rPr/>
        <w:t>Niger</w:t>
      </w:r>
      <w:r>
        <w:rPr>
          <w:spacing w:val="13"/>
        </w:rPr>
        <w:t> </w:t>
      </w:r>
      <w:r>
        <w:rPr/>
        <w:t>Delta</w:t>
      </w:r>
      <w:r>
        <w:rPr>
          <w:spacing w:val="13"/>
        </w:rPr>
        <w:t> </w:t>
      </w:r>
      <w:r>
        <w:rPr/>
        <w:t>crisis</w:t>
      </w:r>
      <w:r>
        <w:rPr>
          <w:spacing w:val="14"/>
        </w:rPr>
        <w:t> </w:t>
      </w:r>
      <w:r>
        <w:rPr/>
        <w:t>as</w:t>
      </w:r>
      <w:r>
        <w:rPr>
          <w:spacing w:val="14"/>
        </w:rPr>
        <w:t> </w:t>
      </w:r>
      <w:r>
        <w:rPr/>
        <w:t>well</w:t>
      </w:r>
      <w:r>
        <w:rPr>
          <w:spacing w:val="14"/>
        </w:rPr>
        <w:t> </w:t>
      </w:r>
      <w:r>
        <w:rPr/>
        <w:t>as</w:t>
      </w:r>
      <w:r>
        <w:rPr>
          <w:spacing w:val="14"/>
        </w:rPr>
        <w:t> </w:t>
      </w:r>
      <w:r>
        <w:rPr/>
        <w:t>the</w:t>
      </w:r>
      <w:r>
        <w:rPr>
          <w:spacing w:val="13"/>
        </w:rPr>
        <w:t> </w:t>
      </w:r>
      <w:r>
        <w:rPr/>
        <w:t>inability</w:t>
      </w:r>
      <w:r>
        <w:rPr>
          <w:spacing w:val="11"/>
        </w:rPr>
        <w:t> </w:t>
      </w:r>
      <w:r>
        <w:rPr/>
        <w:t>of</w:t>
      </w:r>
      <w:r>
        <w:rPr>
          <w:spacing w:val="13"/>
        </w:rPr>
        <w:t> </w:t>
      </w:r>
      <w:r>
        <w:rPr/>
        <w:t>the</w:t>
      </w:r>
      <w:r>
        <w:rPr>
          <w:spacing w:val="13"/>
        </w:rPr>
        <w:t> </w:t>
      </w:r>
      <w:r>
        <w:rPr>
          <w:spacing w:val="-5"/>
        </w:rPr>
        <w:t>JTF</w:t>
      </w:r>
    </w:p>
    <w:p>
      <w:pPr>
        <w:spacing w:after="0" w:line="360" w:lineRule="auto"/>
        <w:jc w:val="both"/>
        <w:sectPr>
          <w:pgSz w:w="11910" w:h="16840"/>
          <w:pgMar w:header="0" w:footer="1561" w:top="1360" w:bottom="1760" w:left="720" w:right="180"/>
        </w:sectPr>
      </w:pPr>
    </w:p>
    <w:p>
      <w:pPr>
        <w:pStyle w:val="BodyText"/>
        <w:spacing w:line="360" w:lineRule="auto" w:before="60"/>
        <w:ind w:right="1263"/>
        <w:jc w:val="both"/>
      </w:pPr>
      <w:r>
        <w:rPr/>
        <mc:AlternateContent>
          <mc:Choice Requires="wps">
            <w:drawing>
              <wp:anchor distT="0" distB="0" distL="0" distR="0" allowOverlap="1" layoutInCell="1" locked="0" behindDoc="1" simplePos="0" relativeHeight="480689664">
                <wp:simplePos x="0" y="0"/>
                <wp:positionH relativeFrom="page">
                  <wp:posOffset>-1537026</wp:posOffset>
                </wp:positionH>
                <wp:positionV relativeFrom="page">
                  <wp:posOffset>4900424</wp:posOffset>
                </wp:positionV>
                <wp:extent cx="10669905" cy="914400"/>
                <wp:effectExtent l="0" t="0" r="0" b="0"/>
                <wp:wrapNone/>
                <wp:docPr id="338" name="Textbox 338"/>
                <wp:cNvGraphicFramePr>
                  <a:graphicFrameLocks/>
                </wp:cNvGraphicFramePr>
                <a:graphic>
                  <a:graphicData uri="http://schemas.microsoft.com/office/word/2010/wordprocessingShape">
                    <wps:wsp>
                      <wps:cNvPr id="338" name="Textbox 338"/>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26816;rotation:306" type="#_x0000_t136" fillcolor="#ff5400" stroked="f">
                <o:extrusion v:ext="view" autorotationcenter="t"/>
                <v:textpath style="font-family:&quot;Arial MT&quot;;font-size:72pt;v-text-kern:t;mso-text-shadow:auto" string="UNIVERSITY OF IBADAN"/>
                <w10:wrap type="none"/>
              </v:shape>
            </w:pict>
          </mc:Fallback>
        </mc:AlternateContent>
      </w:r>
      <w:r>
        <w:rPr/>
        <w:t>to factor in stakeholders‟ needs, fears, prejudices and nuances in their operations also accounted for the little success of the task force.</w:t>
      </w:r>
    </w:p>
    <w:p>
      <w:pPr>
        <w:pStyle w:val="BodyText"/>
        <w:spacing w:line="360" w:lineRule="auto" w:before="1"/>
        <w:ind w:right="1255" w:firstLine="780"/>
        <w:jc w:val="both"/>
      </w:pPr>
      <w:r>
        <w:rPr/>
        <w:t>The persistence of conflict in the region despite the deployment of the</w:t>
      </w:r>
      <w:r>
        <w:rPr>
          <w:spacing w:val="40"/>
        </w:rPr>
        <w:t> </w:t>
      </w:r>
      <w:r>
        <w:rPr/>
        <w:t>military has eroded the credibility of the Armed Forces as an effective instrument of last resort in the management of the Niger Delta conflict.</w:t>
      </w:r>
      <w:r>
        <w:rPr>
          <w:spacing w:val="40"/>
        </w:rPr>
        <w:t> </w:t>
      </w:r>
      <w:r>
        <w:rPr/>
        <w:t>Likewise, it has been observed that the continuing involvement of the military has progressively been militarising the populace, especially the youths.</w:t>
      </w:r>
      <w:r>
        <w:rPr>
          <w:spacing w:val="40"/>
        </w:rPr>
        <w:t> </w:t>
      </w:r>
      <w:r>
        <w:rPr/>
        <w:t>This has been contributing to the growing culture of violence in the region as well as affecting the psyche of the Niger Delta people. From the foregoing, the deployment of troops could be arguably said to have little effect on the conflict situation in the Niger Delta.</w:t>
      </w:r>
      <w:r>
        <w:rPr>
          <w:spacing w:val="40"/>
        </w:rPr>
        <w:t> </w:t>
      </w:r>
      <w:r>
        <w:rPr/>
        <w:t>This, therefore, calls for consolidation of other strategies which could be employed simultaneously with the JTF</w:t>
      </w:r>
      <w:r>
        <w:rPr>
          <w:spacing w:val="-2"/>
        </w:rPr>
        <w:t> </w:t>
      </w:r>
      <w:r>
        <w:rPr/>
        <w:t>operation in the quest for</w:t>
      </w:r>
      <w:r>
        <w:rPr>
          <w:spacing w:val="-2"/>
        </w:rPr>
        <w:t> </w:t>
      </w:r>
      <w:r>
        <w:rPr/>
        <w:t>a solution to the</w:t>
      </w:r>
      <w:r>
        <w:rPr>
          <w:spacing w:val="-1"/>
        </w:rPr>
        <w:t> </w:t>
      </w:r>
      <w:r>
        <w:rPr/>
        <w:t>Niger</w:t>
      </w:r>
      <w:r>
        <w:rPr>
          <w:spacing w:val="-1"/>
        </w:rPr>
        <w:t> </w:t>
      </w:r>
      <w:r>
        <w:rPr/>
        <w:t>Delta</w:t>
      </w:r>
      <w:r>
        <w:rPr>
          <w:spacing w:val="-1"/>
        </w:rPr>
        <w:t> </w:t>
      </w:r>
      <w:r>
        <w:rPr/>
        <w:t>conflict.</w:t>
      </w:r>
      <w:r>
        <w:rPr>
          <w:spacing w:val="40"/>
        </w:rPr>
        <w:t> </w:t>
      </w:r>
      <w:r>
        <w:rPr/>
        <w:t>What obtained in Figure 6 ought to have been the outcome of the JTF actions towards the transformation of the Niger Delta conflicts.</w:t>
      </w:r>
      <w:r>
        <w:rPr>
          <w:spacing w:val="40"/>
        </w:rPr>
        <w:t> </w:t>
      </w:r>
      <w:r>
        <w:rPr/>
        <w:t>There is therefore the need to consolidate the ongoing government efforts involving dialogue, implementation of the Master</w:t>
      </w:r>
      <w:r>
        <w:rPr>
          <w:spacing w:val="40"/>
        </w:rPr>
        <w:t> </w:t>
      </w:r>
      <w:r>
        <w:rPr/>
        <w:t>Plan for the development of the region, establishment of the Ministry of Niger Delta, NDDC</w:t>
      </w:r>
      <w:r>
        <w:rPr>
          <w:spacing w:val="-2"/>
        </w:rPr>
        <w:t> </w:t>
      </w:r>
      <w:r>
        <w:rPr/>
        <w:t>and current amnesty</w:t>
      </w:r>
      <w:r>
        <w:rPr>
          <w:spacing w:val="-7"/>
        </w:rPr>
        <w:t> </w:t>
      </w:r>
      <w:r>
        <w:rPr/>
        <w:t>programme</w:t>
      </w:r>
      <w:r>
        <w:rPr>
          <w:spacing w:val="-1"/>
        </w:rPr>
        <w:t> </w:t>
      </w:r>
      <w:r>
        <w:rPr/>
        <w:t>among</w:t>
      </w:r>
      <w:r>
        <w:rPr>
          <w:spacing w:val="-5"/>
        </w:rPr>
        <w:t> </w:t>
      </w:r>
      <w:r>
        <w:rPr/>
        <w:t>others,</w:t>
      </w:r>
      <w:r>
        <w:rPr>
          <w:spacing w:val="-2"/>
        </w:rPr>
        <w:t> </w:t>
      </w:r>
      <w:r>
        <w:rPr/>
        <w:t>for</w:t>
      </w:r>
      <w:r>
        <w:rPr>
          <w:spacing w:val="-2"/>
        </w:rPr>
        <w:t> </w:t>
      </w:r>
      <w:r>
        <w:rPr/>
        <w:t>sustainable</w:t>
      </w:r>
      <w:r>
        <w:rPr>
          <w:spacing w:val="-3"/>
        </w:rPr>
        <w:t> </w:t>
      </w:r>
      <w:r>
        <w:rPr/>
        <w:t>development</w:t>
      </w:r>
      <w:r>
        <w:rPr>
          <w:spacing w:val="-2"/>
        </w:rPr>
        <w:t> </w:t>
      </w:r>
      <w:r>
        <w:rPr/>
        <w:t>of the region.</w:t>
      </w:r>
      <w:r>
        <w:rPr>
          <w:spacing w:val="40"/>
        </w:rPr>
        <w:t> </w:t>
      </w:r>
      <w:r>
        <w:rPr/>
        <w:t>This will invariably complement the Joint Military Task Force efforts at bringing an enduring peace to the Niger Delta region.</w:t>
      </w:r>
    </w:p>
    <w:p>
      <w:pPr>
        <w:spacing w:after="0" w:line="360" w:lineRule="auto"/>
        <w:jc w:val="both"/>
        <w:sectPr>
          <w:pgSz w:w="11910" w:h="16840"/>
          <w:pgMar w:header="0" w:footer="1561" w:top="1360" w:bottom="1760" w:left="720" w:right="180"/>
        </w:sectPr>
      </w:pPr>
    </w:p>
    <w:p>
      <w:pPr>
        <w:pStyle w:val="BodyText"/>
        <w:spacing w:line="360" w:lineRule="auto" w:before="60"/>
        <w:ind w:right="1260" w:firstLine="720"/>
      </w:pPr>
      <w:r>
        <w:rPr/>
        <w:t>This</w:t>
      </w:r>
      <w:r>
        <w:rPr>
          <w:spacing w:val="80"/>
        </w:rPr>
        <w:t> </w:t>
      </w:r>
      <w:r>
        <w:rPr/>
        <w:t>would</w:t>
      </w:r>
      <w:r>
        <w:rPr>
          <w:spacing w:val="80"/>
        </w:rPr>
        <w:t> </w:t>
      </w:r>
      <w:r>
        <w:rPr/>
        <w:t>have</w:t>
      </w:r>
      <w:r>
        <w:rPr>
          <w:spacing w:val="80"/>
        </w:rPr>
        <w:t> </w:t>
      </w:r>
      <w:r>
        <w:rPr/>
        <w:t>culminated</w:t>
      </w:r>
      <w:r>
        <w:rPr>
          <w:spacing w:val="80"/>
        </w:rPr>
        <w:t> </w:t>
      </w:r>
      <w:r>
        <w:rPr/>
        <w:t>into</w:t>
      </w:r>
      <w:r>
        <w:rPr>
          <w:spacing w:val="80"/>
        </w:rPr>
        <w:t> </w:t>
      </w:r>
      <w:r>
        <w:rPr/>
        <w:t>an</w:t>
      </w:r>
      <w:r>
        <w:rPr>
          <w:spacing w:val="80"/>
        </w:rPr>
        <w:t> </w:t>
      </w:r>
      <w:r>
        <w:rPr/>
        <w:t>integrated</w:t>
      </w:r>
      <w:r>
        <w:rPr>
          <w:spacing w:val="80"/>
        </w:rPr>
        <w:t> </w:t>
      </w:r>
      <w:r>
        <w:rPr/>
        <w:t>approach</w:t>
      </w:r>
      <w:r>
        <w:rPr>
          <w:spacing w:val="80"/>
        </w:rPr>
        <w:t> </w:t>
      </w:r>
      <w:r>
        <w:rPr/>
        <w:t>towards</w:t>
      </w:r>
      <w:r>
        <w:rPr>
          <w:spacing w:val="80"/>
        </w:rPr>
        <w:t> </w:t>
      </w:r>
      <w:r>
        <w:rPr/>
        <w:t>the</w:t>
      </w:r>
      <w:r>
        <w:rPr>
          <w:spacing w:val="80"/>
        </w:rPr>
        <w:t> </w:t>
      </w:r>
      <w:r>
        <w:rPr/>
        <w:t>resolution of the Niger Delta conflict as depicted in the model in Figure 6.</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49"/>
        <w:ind w:left="0"/>
        <w:rPr>
          <w:sz w:val="20"/>
        </w:rPr>
      </w:pPr>
    </w:p>
    <w:p>
      <w:pPr>
        <w:spacing w:after="0"/>
        <w:rPr>
          <w:sz w:val="20"/>
        </w:rPr>
        <w:sectPr>
          <w:pgSz w:w="11910" w:h="16840"/>
          <w:pgMar w:header="0" w:footer="1561" w:top="1360" w:bottom="1760" w:left="720" w:right="180"/>
        </w:sectPr>
      </w:pPr>
    </w:p>
    <w:p>
      <w:pPr>
        <w:pStyle w:val="BodyText"/>
        <w:ind w:left="0"/>
        <w:rPr>
          <w:sz w:val="20"/>
        </w:rPr>
      </w:pPr>
    </w:p>
    <w:p>
      <w:pPr>
        <w:pStyle w:val="BodyText"/>
        <w:spacing w:before="173"/>
        <w:ind w:left="0"/>
        <w:rPr>
          <w:sz w:val="20"/>
        </w:rPr>
      </w:pPr>
    </w:p>
    <w:p>
      <w:pPr>
        <w:spacing w:line="564" w:lineRule="auto" w:before="0"/>
        <w:ind w:left="684" w:right="0" w:firstLine="0"/>
        <w:jc w:val="left"/>
        <w:rPr>
          <w:sz w:val="20"/>
        </w:rPr>
      </w:pPr>
      <w:r>
        <w:rPr/>
        <mc:AlternateContent>
          <mc:Choice Requires="wps">
            <w:drawing>
              <wp:anchor distT="0" distB="0" distL="0" distR="0" allowOverlap="1" layoutInCell="1" locked="0" behindDoc="1" simplePos="0" relativeHeight="480693248">
                <wp:simplePos x="0" y="0"/>
                <wp:positionH relativeFrom="page">
                  <wp:posOffset>3628828</wp:posOffset>
                </wp:positionH>
                <wp:positionV relativeFrom="paragraph">
                  <wp:posOffset>-829338</wp:posOffset>
                </wp:positionV>
                <wp:extent cx="1080135" cy="640080"/>
                <wp:effectExtent l="0" t="0" r="0" b="0"/>
                <wp:wrapNone/>
                <wp:docPr id="339" name="Textbox 339"/>
                <wp:cNvGraphicFramePr>
                  <a:graphicFrameLocks/>
                </wp:cNvGraphicFramePr>
                <a:graphic>
                  <a:graphicData uri="http://schemas.microsoft.com/office/word/2010/wordprocessingShape">
                    <wps:wsp>
                      <wps:cNvPr id="339" name="Textbox 339"/>
                      <wps:cNvSpPr txBox="1"/>
                      <wps:spPr>
                        <a:xfrm>
                          <a:off x="0" y="0"/>
                          <a:ext cx="1080135" cy="640080"/>
                        </a:xfrm>
                        <a:prstGeom prst="rect">
                          <a:avLst/>
                        </a:prstGeom>
                      </wps:spPr>
                      <wps:txbx>
                        <w:txbxContent>
                          <w:p>
                            <w:pPr>
                              <w:spacing w:line="376" w:lineRule="auto" w:before="10"/>
                              <w:ind w:left="20" w:right="19" w:firstLine="180"/>
                              <w:jc w:val="left"/>
                              <w:rPr>
                                <w:sz w:val="20"/>
                              </w:rPr>
                            </w:pPr>
                            <w:r>
                              <w:rPr>
                                <w:spacing w:val="-2"/>
                                <w:sz w:val="20"/>
                              </w:rPr>
                              <w:t>Strategies Inclusion Allies</w:t>
                            </w:r>
                            <w:r>
                              <w:rPr>
                                <w:spacing w:val="80"/>
                                <w:sz w:val="20"/>
                              </w:rPr>
                              <w:t> </w:t>
                            </w:r>
                            <w:r>
                              <w:rPr>
                                <w:spacing w:val="-2"/>
                                <w:sz w:val="20"/>
                              </w:rPr>
                              <w:t>Risks</w:t>
                            </w:r>
                          </w:p>
                          <w:p>
                            <w:pPr>
                              <w:spacing w:line="226" w:lineRule="exact" w:before="0"/>
                              <w:ind w:left="20" w:right="0" w:firstLine="0"/>
                              <w:jc w:val="left"/>
                              <w:rPr>
                                <w:sz w:val="20"/>
                              </w:rPr>
                            </w:pPr>
                            <w:r>
                              <w:rPr>
                                <w:spacing w:val="-2"/>
                                <w:sz w:val="20"/>
                              </w:rPr>
                              <w:t>Action</w:t>
                            </w:r>
                          </w:p>
                        </w:txbxContent>
                      </wps:txbx>
                      <wps:bodyPr wrap="square" lIns="0" tIns="0" rIns="0" bIns="0" rtlCol="0" vert="vert270">
                        <a:noAutofit/>
                      </wps:bodyPr>
                    </wps:wsp>
                  </a:graphicData>
                </a:graphic>
              </wp:anchor>
            </w:drawing>
          </mc:Choice>
          <mc:Fallback>
            <w:pict>
              <v:shape style="position:absolute;margin-left:285.734497pt;margin-top:-65.302261pt;width:85.05pt;height:50.4pt;mso-position-horizontal-relative:page;mso-position-vertical-relative:paragraph;z-index:-22623232" type="#_x0000_t202" id="docshape117" filled="false" stroked="false">
                <v:textbox inset="0,0,0,0" style="layout-flow:vertical;mso-layout-flow-alt:bottom-to-top">
                  <w:txbxContent>
                    <w:p>
                      <w:pPr>
                        <w:spacing w:line="376" w:lineRule="auto" w:before="10"/>
                        <w:ind w:left="20" w:right="19" w:firstLine="180"/>
                        <w:jc w:val="left"/>
                        <w:rPr>
                          <w:sz w:val="20"/>
                        </w:rPr>
                      </w:pPr>
                      <w:r>
                        <w:rPr>
                          <w:spacing w:val="-2"/>
                          <w:sz w:val="20"/>
                        </w:rPr>
                        <w:t>Strategies Inclusion Allies</w:t>
                      </w:r>
                      <w:r>
                        <w:rPr>
                          <w:spacing w:val="80"/>
                          <w:sz w:val="20"/>
                        </w:rPr>
                        <w:t> </w:t>
                      </w:r>
                      <w:r>
                        <w:rPr>
                          <w:spacing w:val="-2"/>
                          <w:sz w:val="20"/>
                        </w:rPr>
                        <w:t>Risks</w:t>
                      </w:r>
                    </w:p>
                    <w:p>
                      <w:pPr>
                        <w:spacing w:line="226" w:lineRule="exact" w:before="0"/>
                        <w:ind w:left="20" w:right="0" w:firstLine="0"/>
                        <w:jc w:val="left"/>
                        <w:rPr>
                          <w:sz w:val="20"/>
                        </w:rPr>
                      </w:pPr>
                      <w:r>
                        <w:rPr>
                          <w:spacing w:val="-2"/>
                          <w:sz w:val="20"/>
                        </w:rPr>
                        <w:t>Action</w:t>
                      </w:r>
                    </w:p>
                  </w:txbxContent>
                </v:textbox>
                <w10:wrap type="none"/>
              </v:shape>
            </w:pict>
          </mc:Fallback>
        </mc:AlternateContent>
      </w:r>
      <w:r>
        <w:rPr>
          <w:sz w:val="20"/>
        </w:rPr>
        <w:t>Vision/Goal</w:t>
      </w:r>
      <w:r>
        <w:rPr>
          <w:spacing w:val="-13"/>
          <w:sz w:val="20"/>
        </w:rPr>
        <w:t> </w:t>
      </w:r>
      <w:r>
        <w:rPr>
          <w:sz w:val="20"/>
        </w:rPr>
        <w:t>of</w:t>
      </w:r>
      <w:r>
        <w:rPr>
          <w:spacing w:val="-12"/>
          <w:sz w:val="20"/>
        </w:rPr>
        <w:t> </w:t>
      </w:r>
      <w:r>
        <w:rPr>
          <w:sz w:val="20"/>
        </w:rPr>
        <w:t>JTF </w:t>
      </w:r>
      <w:r>
        <w:rPr>
          <w:spacing w:val="-2"/>
          <w:sz w:val="20"/>
        </w:rPr>
        <w:t>Perception</w:t>
      </w:r>
    </w:p>
    <w:p>
      <w:pPr>
        <w:spacing w:line="230" w:lineRule="exact" w:before="0"/>
        <w:ind w:left="684" w:right="0" w:firstLine="0"/>
        <w:jc w:val="left"/>
        <w:rPr>
          <w:sz w:val="20"/>
        </w:rPr>
      </w:pPr>
      <w:r>
        <w:rPr>
          <w:spacing w:val="-2"/>
          <w:sz w:val="20"/>
        </w:rPr>
        <w:t>Issues</w:t>
      </w:r>
    </w:p>
    <w:p>
      <w:pPr>
        <w:spacing w:before="91"/>
        <w:ind w:left="684" w:right="0" w:firstLine="0"/>
        <w:jc w:val="left"/>
        <w:rPr>
          <w:sz w:val="20"/>
        </w:rPr>
      </w:pPr>
      <w:r>
        <w:rPr/>
        <w:br w:type="column"/>
      </w:r>
      <w:r>
        <w:rPr>
          <w:spacing w:val="-2"/>
          <w:sz w:val="20"/>
        </w:rPr>
        <w:t>Peaceful</w:t>
      </w:r>
    </w:p>
    <w:p>
      <w:pPr>
        <w:spacing w:line="244" w:lineRule="auto" w:before="130"/>
        <w:ind w:left="684" w:right="175" w:firstLine="0"/>
        <w:jc w:val="left"/>
        <w:rPr>
          <w:sz w:val="20"/>
        </w:rPr>
      </w:pPr>
      <w:r>
        <w:rPr/>
        <mc:AlternateContent>
          <mc:Choice Requires="wps">
            <w:drawing>
              <wp:anchor distT="0" distB="0" distL="0" distR="0" allowOverlap="1" layoutInCell="1" locked="0" behindDoc="1" simplePos="0" relativeHeight="480690688">
                <wp:simplePos x="0" y="0"/>
                <wp:positionH relativeFrom="page">
                  <wp:posOffset>6264909</wp:posOffset>
                </wp:positionH>
                <wp:positionV relativeFrom="paragraph">
                  <wp:posOffset>9357</wp:posOffset>
                </wp:positionV>
                <wp:extent cx="485140" cy="140335"/>
                <wp:effectExtent l="0" t="0" r="0" b="0"/>
                <wp:wrapNone/>
                <wp:docPr id="340" name="Textbox 340"/>
                <wp:cNvGraphicFramePr>
                  <a:graphicFrameLocks/>
                </wp:cNvGraphicFramePr>
                <a:graphic>
                  <a:graphicData uri="http://schemas.microsoft.com/office/word/2010/wordprocessingShape">
                    <wps:wsp>
                      <wps:cNvPr id="340" name="Textbox 340"/>
                      <wps:cNvSpPr txBox="1"/>
                      <wps:spPr>
                        <a:xfrm>
                          <a:off x="0" y="0"/>
                          <a:ext cx="485140" cy="140335"/>
                        </a:xfrm>
                        <a:prstGeom prst="rect">
                          <a:avLst/>
                        </a:prstGeom>
                      </wps:spPr>
                      <wps:txbx>
                        <w:txbxContent>
                          <w:p>
                            <w:pPr>
                              <w:spacing w:line="221" w:lineRule="exact" w:before="0"/>
                              <w:ind w:left="0" w:right="0" w:firstLine="0"/>
                              <w:jc w:val="left"/>
                              <w:rPr>
                                <w:sz w:val="20"/>
                              </w:rPr>
                            </w:pPr>
                            <w:r>
                              <w:rPr>
                                <w:spacing w:val="-2"/>
                                <w:sz w:val="20"/>
                              </w:rPr>
                              <w:t>outcomes</w:t>
                            </w:r>
                          </w:p>
                        </w:txbxContent>
                      </wps:txbx>
                      <wps:bodyPr wrap="square" lIns="0" tIns="0" rIns="0" bIns="0" rtlCol="0">
                        <a:noAutofit/>
                      </wps:bodyPr>
                    </wps:wsp>
                  </a:graphicData>
                </a:graphic>
              </wp:anchor>
            </w:drawing>
          </mc:Choice>
          <mc:Fallback>
            <w:pict>
              <v:shape style="position:absolute;margin-left:493.299988pt;margin-top:.736816pt;width:38.2pt;height:11.05pt;mso-position-horizontal-relative:page;mso-position-vertical-relative:paragraph;z-index:-22625792" type="#_x0000_t202" id="docshape118" filled="false" stroked="false">
                <v:textbox inset="0,0,0,0">
                  <w:txbxContent>
                    <w:p>
                      <w:pPr>
                        <w:spacing w:line="221" w:lineRule="exact" w:before="0"/>
                        <w:ind w:left="0" w:right="0" w:firstLine="0"/>
                        <w:jc w:val="left"/>
                        <w:rPr>
                          <w:sz w:val="20"/>
                        </w:rPr>
                      </w:pPr>
                      <w:r>
                        <w:rPr>
                          <w:spacing w:val="-2"/>
                          <w:sz w:val="20"/>
                        </w:rPr>
                        <w:t>outcomes</w:t>
                      </w:r>
                    </w:p>
                  </w:txbxContent>
                </v:textbox>
                <w10:wrap type="none"/>
              </v:shape>
            </w:pict>
          </mc:Fallback>
        </mc:AlternateContent>
      </w:r>
      <w:r>
        <w:rPr/>
        <mc:AlternateContent>
          <mc:Choice Requires="wps">
            <w:drawing>
              <wp:anchor distT="0" distB="0" distL="0" distR="0" allowOverlap="1" layoutInCell="1" locked="0" behindDoc="1" simplePos="0" relativeHeight="480691200">
                <wp:simplePos x="0" y="0"/>
                <wp:positionH relativeFrom="page">
                  <wp:posOffset>1250950</wp:posOffset>
                </wp:positionH>
                <wp:positionV relativeFrom="paragraph">
                  <wp:posOffset>-644749</wp:posOffset>
                </wp:positionV>
                <wp:extent cx="6178550" cy="3771265"/>
                <wp:effectExtent l="0" t="0" r="0" b="0"/>
                <wp:wrapNone/>
                <wp:docPr id="341" name="Group 341"/>
                <wp:cNvGraphicFramePr>
                  <a:graphicFrameLocks/>
                </wp:cNvGraphicFramePr>
                <a:graphic>
                  <a:graphicData uri="http://schemas.microsoft.com/office/word/2010/wordprocessingGroup">
                    <wpg:wgp>
                      <wpg:cNvPr id="341" name="Group 341"/>
                      <wpg:cNvGrpSpPr/>
                      <wpg:grpSpPr>
                        <a:xfrm>
                          <a:off x="0" y="0"/>
                          <a:ext cx="6178550" cy="3771265"/>
                          <a:chExt cx="6178550" cy="3771265"/>
                        </a:xfrm>
                      </wpg:grpSpPr>
                      <wps:wsp>
                        <wps:cNvPr id="342" name="Graphic 342"/>
                        <wps:cNvSpPr/>
                        <wps:spPr>
                          <a:xfrm>
                            <a:off x="2406650" y="800099"/>
                            <a:ext cx="2171700" cy="1028700"/>
                          </a:xfrm>
                          <a:custGeom>
                            <a:avLst/>
                            <a:gdLst/>
                            <a:ahLst/>
                            <a:cxnLst/>
                            <a:rect l="l" t="t" r="r" b="b"/>
                            <a:pathLst>
                              <a:path w="2171700" h="1028700">
                                <a:moveTo>
                                  <a:pt x="1028700" y="0"/>
                                </a:moveTo>
                                <a:lnTo>
                                  <a:pt x="0" y="0"/>
                                </a:lnTo>
                                <a:lnTo>
                                  <a:pt x="0" y="1028700"/>
                                </a:lnTo>
                                <a:lnTo>
                                  <a:pt x="1028700" y="1028700"/>
                                </a:lnTo>
                                <a:lnTo>
                                  <a:pt x="1028700" y="0"/>
                                </a:lnTo>
                                <a:close/>
                              </a:path>
                              <a:path w="2171700" h="1028700">
                                <a:moveTo>
                                  <a:pt x="2171700" y="0"/>
                                </a:moveTo>
                                <a:lnTo>
                                  <a:pt x="1371600" y="0"/>
                                </a:lnTo>
                                <a:lnTo>
                                  <a:pt x="1371600" y="1028700"/>
                                </a:lnTo>
                                <a:lnTo>
                                  <a:pt x="2171700" y="1028700"/>
                                </a:lnTo>
                                <a:lnTo>
                                  <a:pt x="2171700" y="0"/>
                                </a:lnTo>
                                <a:close/>
                              </a:path>
                            </a:pathLst>
                          </a:custGeom>
                          <a:solidFill>
                            <a:srgbClr val="FFFFFF"/>
                          </a:solidFill>
                        </wps:spPr>
                        <wps:bodyPr wrap="square" lIns="0" tIns="0" rIns="0" bIns="0" rtlCol="0">
                          <a:prstTxWarp prst="textNoShape">
                            <a:avLst/>
                          </a:prstTxWarp>
                          <a:noAutofit/>
                        </wps:bodyPr>
                      </wps:wsp>
                      <wps:wsp>
                        <wps:cNvPr id="343" name="Graphic 343"/>
                        <wps:cNvSpPr/>
                        <wps:spPr>
                          <a:xfrm>
                            <a:off x="0" y="876299"/>
                            <a:ext cx="3778250" cy="1073785"/>
                          </a:xfrm>
                          <a:custGeom>
                            <a:avLst/>
                            <a:gdLst/>
                            <a:ahLst/>
                            <a:cxnLst/>
                            <a:rect l="l" t="t" r="r" b="b"/>
                            <a:pathLst>
                              <a:path w="3778250" h="1073785">
                                <a:moveTo>
                                  <a:pt x="1035050" y="838200"/>
                                </a:moveTo>
                                <a:lnTo>
                                  <a:pt x="951865" y="819658"/>
                                </a:lnTo>
                                <a:lnTo>
                                  <a:pt x="959599" y="850557"/>
                                </a:lnTo>
                                <a:lnTo>
                                  <a:pt x="115697" y="1061478"/>
                                </a:lnTo>
                                <a:lnTo>
                                  <a:pt x="113665" y="1064895"/>
                                </a:lnTo>
                                <a:lnTo>
                                  <a:pt x="114427" y="1068324"/>
                                </a:lnTo>
                                <a:lnTo>
                                  <a:pt x="115316" y="1071753"/>
                                </a:lnTo>
                                <a:lnTo>
                                  <a:pt x="118745" y="1073785"/>
                                </a:lnTo>
                                <a:lnTo>
                                  <a:pt x="122174" y="1073023"/>
                                </a:lnTo>
                                <a:lnTo>
                                  <a:pt x="962672" y="862876"/>
                                </a:lnTo>
                                <a:lnTo>
                                  <a:pt x="970407" y="893699"/>
                                </a:lnTo>
                                <a:lnTo>
                                  <a:pt x="1025283" y="846582"/>
                                </a:lnTo>
                                <a:lnTo>
                                  <a:pt x="1035050" y="838200"/>
                                </a:lnTo>
                                <a:close/>
                              </a:path>
                              <a:path w="3778250" h="1073785">
                                <a:moveTo>
                                  <a:pt x="1035050" y="723900"/>
                                </a:moveTo>
                                <a:lnTo>
                                  <a:pt x="1022350" y="717550"/>
                                </a:lnTo>
                                <a:lnTo>
                                  <a:pt x="958850" y="685800"/>
                                </a:lnTo>
                                <a:lnTo>
                                  <a:pt x="958850" y="717550"/>
                                </a:lnTo>
                                <a:lnTo>
                                  <a:pt x="2844" y="717550"/>
                                </a:lnTo>
                                <a:lnTo>
                                  <a:pt x="0" y="720344"/>
                                </a:lnTo>
                                <a:lnTo>
                                  <a:pt x="0" y="727456"/>
                                </a:lnTo>
                                <a:lnTo>
                                  <a:pt x="2844" y="730250"/>
                                </a:lnTo>
                                <a:lnTo>
                                  <a:pt x="958850" y="730250"/>
                                </a:lnTo>
                                <a:lnTo>
                                  <a:pt x="958850" y="762000"/>
                                </a:lnTo>
                                <a:lnTo>
                                  <a:pt x="1022350" y="730250"/>
                                </a:lnTo>
                                <a:lnTo>
                                  <a:pt x="1035050" y="723900"/>
                                </a:lnTo>
                                <a:close/>
                              </a:path>
                              <a:path w="3778250" h="1073785">
                                <a:moveTo>
                                  <a:pt x="1035050" y="381000"/>
                                </a:moveTo>
                                <a:lnTo>
                                  <a:pt x="1022350" y="374650"/>
                                </a:lnTo>
                                <a:lnTo>
                                  <a:pt x="958850" y="342900"/>
                                </a:lnTo>
                                <a:lnTo>
                                  <a:pt x="958850" y="374650"/>
                                </a:lnTo>
                                <a:lnTo>
                                  <a:pt x="231394" y="374650"/>
                                </a:lnTo>
                                <a:lnTo>
                                  <a:pt x="228600" y="377444"/>
                                </a:lnTo>
                                <a:lnTo>
                                  <a:pt x="228600" y="384556"/>
                                </a:lnTo>
                                <a:lnTo>
                                  <a:pt x="231394" y="387350"/>
                                </a:lnTo>
                                <a:lnTo>
                                  <a:pt x="958850" y="387350"/>
                                </a:lnTo>
                                <a:lnTo>
                                  <a:pt x="958850" y="419100"/>
                                </a:lnTo>
                                <a:lnTo>
                                  <a:pt x="1022350" y="387350"/>
                                </a:lnTo>
                                <a:lnTo>
                                  <a:pt x="1035050" y="381000"/>
                                </a:lnTo>
                                <a:close/>
                              </a:path>
                              <a:path w="3778250" h="1073785">
                                <a:moveTo>
                                  <a:pt x="1035050" y="38100"/>
                                </a:moveTo>
                                <a:lnTo>
                                  <a:pt x="1022350" y="31750"/>
                                </a:lnTo>
                                <a:lnTo>
                                  <a:pt x="958850" y="0"/>
                                </a:lnTo>
                                <a:lnTo>
                                  <a:pt x="958850" y="31750"/>
                                </a:lnTo>
                                <a:lnTo>
                                  <a:pt x="688594" y="31750"/>
                                </a:lnTo>
                                <a:lnTo>
                                  <a:pt x="685800" y="34544"/>
                                </a:lnTo>
                                <a:lnTo>
                                  <a:pt x="685800" y="41656"/>
                                </a:lnTo>
                                <a:lnTo>
                                  <a:pt x="688594" y="44450"/>
                                </a:lnTo>
                                <a:lnTo>
                                  <a:pt x="958850" y="44450"/>
                                </a:lnTo>
                                <a:lnTo>
                                  <a:pt x="958850" y="76200"/>
                                </a:lnTo>
                                <a:lnTo>
                                  <a:pt x="1022350" y="44450"/>
                                </a:lnTo>
                                <a:lnTo>
                                  <a:pt x="1035050" y="38100"/>
                                </a:lnTo>
                                <a:close/>
                              </a:path>
                              <a:path w="3778250" h="1073785">
                                <a:moveTo>
                                  <a:pt x="2406650" y="381000"/>
                                </a:moveTo>
                                <a:lnTo>
                                  <a:pt x="2393950" y="374650"/>
                                </a:lnTo>
                                <a:lnTo>
                                  <a:pt x="2330450" y="342900"/>
                                </a:lnTo>
                                <a:lnTo>
                                  <a:pt x="2330450" y="374650"/>
                                </a:lnTo>
                                <a:lnTo>
                                  <a:pt x="2025650" y="374650"/>
                                </a:lnTo>
                                <a:lnTo>
                                  <a:pt x="2025650" y="342900"/>
                                </a:lnTo>
                                <a:lnTo>
                                  <a:pt x="1949450" y="381000"/>
                                </a:lnTo>
                                <a:lnTo>
                                  <a:pt x="2025650" y="419100"/>
                                </a:lnTo>
                                <a:lnTo>
                                  <a:pt x="2025650" y="387350"/>
                                </a:lnTo>
                                <a:lnTo>
                                  <a:pt x="2330450" y="387350"/>
                                </a:lnTo>
                                <a:lnTo>
                                  <a:pt x="2330450" y="419100"/>
                                </a:lnTo>
                                <a:lnTo>
                                  <a:pt x="2393950" y="387350"/>
                                </a:lnTo>
                                <a:lnTo>
                                  <a:pt x="2406650" y="381000"/>
                                </a:lnTo>
                                <a:close/>
                              </a:path>
                              <a:path w="3778250" h="1073785">
                                <a:moveTo>
                                  <a:pt x="3778250" y="495300"/>
                                </a:moveTo>
                                <a:lnTo>
                                  <a:pt x="3765550" y="488950"/>
                                </a:lnTo>
                                <a:lnTo>
                                  <a:pt x="3702050" y="457200"/>
                                </a:lnTo>
                                <a:lnTo>
                                  <a:pt x="3702050" y="488950"/>
                                </a:lnTo>
                                <a:lnTo>
                                  <a:pt x="3511550" y="488950"/>
                                </a:lnTo>
                                <a:lnTo>
                                  <a:pt x="3511550" y="457200"/>
                                </a:lnTo>
                                <a:lnTo>
                                  <a:pt x="3435350" y="495300"/>
                                </a:lnTo>
                                <a:lnTo>
                                  <a:pt x="3511550" y="533400"/>
                                </a:lnTo>
                                <a:lnTo>
                                  <a:pt x="3511550" y="501650"/>
                                </a:lnTo>
                                <a:lnTo>
                                  <a:pt x="3702050" y="501650"/>
                                </a:lnTo>
                                <a:lnTo>
                                  <a:pt x="3702050" y="533400"/>
                                </a:lnTo>
                                <a:lnTo>
                                  <a:pt x="3765550" y="501650"/>
                                </a:lnTo>
                                <a:lnTo>
                                  <a:pt x="3778250" y="495300"/>
                                </a:lnTo>
                                <a:close/>
                              </a:path>
                            </a:pathLst>
                          </a:custGeom>
                          <a:solidFill>
                            <a:srgbClr val="000000"/>
                          </a:solidFill>
                        </wps:spPr>
                        <wps:bodyPr wrap="square" lIns="0" tIns="0" rIns="0" bIns="0" rtlCol="0">
                          <a:prstTxWarp prst="textNoShape">
                            <a:avLst/>
                          </a:prstTxWarp>
                          <a:noAutofit/>
                        </wps:bodyPr>
                      </wps:wsp>
                      <wps:wsp>
                        <wps:cNvPr id="344" name="Graphic 344"/>
                        <wps:cNvSpPr/>
                        <wps:spPr>
                          <a:xfrm>
                            <a:off x="2978150" y="0"/>
                            <a:ext cx="571500" cy="685800"/>
                          </a:xfrm>
                          <a:custGeom>
                            <a:avLst/>
                            <a:gdLst/>
                            <a:ahLst/>
                            <a:cxnLst/>
                            <a:rect l="l" t="t" r="r" b="b"/>
                            <a:pathLst>
                              <a:path w="571500" h="685800">
                                <a:moveTo>
                                  <a:pt x="571500" y="114300"/>
                                </a:moveTo>
                                <a:lnTo>
                                  <a:pt x="342900" y="114300"/>
                                </a:lnTo>
                                <a:lnTo>
                                  <a:pt x="342900" y="0"/>
                                </a:lnTo>
                                <a:lnTo>
                                  <a:pt x="0" y="0"/>
                                </a:lnTo>
                                <a:lnTo>
                                  <a:pt x="0" y="685800"/>
                                </a:lnTo>
                                <a:lnTo>
                                  <a:pt x="228600" y="685800"/>
                                </a:lnTo>
                                <a:lnTo>
                                  <a:pt x="342900" y="685800"/>
                                </a:lnTo>
                                <a:lnTo>
                                  <a:pt x="571500" y="685800"/>
                                </a:lnTo>
                                <a:lnTo>
                                  <a:pt x="571500" y="114300"/>
                                </a:lnTo>
                                <a:close/>
                              </a:path>
                            </a:pathLst>
                          </a:custGeom>
                          <a:solidFill>
                            <a:srgbClr val="FFFFFF"/>
                          </a:solidFill>
                        </wps:spPr>
                        <wps:bodyPr wrap="square" lIns="0" tIns="0" rIns="0" bIns="0" rtlCol="0">
                          <a:prstTxWarp prst="textNoShape">
                            <a:avLst/>
                          </a:prstTxWarp>
                          <a:noAutofit/>
                        </wps:bodyPr>
                      </wps:wsp>
                      <pic:pic>
                        <pic:nvPicPr>
                          <pic:cNvPr id="345" name="Image 345"/>
                          <pic:cNvPicPr/>
                        </pic:nvPicPr>
                        <pic:blipFill>
                          <a:blip r:embed="rId75" cstate="print"/>
                          <a:stretch>
                            <a:fillRect/>
                          </a:stretch>
                        </pic:blipFill>
                        <pic:spPr>
                          <a:xfrm>
                            <a:off x="2368550" y="565150"/>
                            <a:ext cx="76200" cy="234950"/>
                          </a:xfrm>
                          <a:prstGeom prst="rect">
                            <a:avLst/>
                          </a:prstGeom>
                        </pic:spPr>
                      </pic:pic>
                      <pic:pic>
                        <pic:nvPicPr>
                          <pic:cNvPr id="346" name="Image 346"/>
                          <pic:cNvPicPr/>
                        </pic:nvPicPr>
                        <pic:blipFill>
                          <a:blip r:embed="rId75" cstate="print"/>
                          <a:stretch>
                            <a:fillRect/>
                          </a:stretch>
                        </pic:blipFill>
                        <pic:spPr>
                          <a:xfrm>
                            <a:off x="2597150" y="565150"/>
                            <a:ext cx="76200" cy="234950"/>
                          </a:xfrm>
                          <a:prstGeom prst="rect">
                            <a:avLst/>
                          </a:prstGeom>
                        </pic:spPr>
                      </pic:pic>
                      <pic:pic>
                        <pic:nvPicPr>
                          <pic:cNvPr id="347" name="Image 347"/>
                          <pic:cNvPicPr/>
                        </pic:nvPicPr>
                        <pic:blipFill>
                          <a:blip r:embed="rId75" cstate="print"/>
                          <a:stretch>
                            <a:fillRect/>
                          </a:stretch>
                        </pic:blipFill>
                        <pic:spPr>
                          <a:xfrm>
                            <a:off x="2825750" y="565150"/>
                            <a:ext cx="76200" cy="234950"/>
                          </a:xfrm>
                          <a:prstGeom prst="rect">
                            <a:avLst/>
                          </a:prstGeom>
                        </pic:spPr>
                      </pic:pic>
                      <pic:pic>
                        <pic:nvPicPr>
                          <pic:cNvPr id="348" name="Image 348"/>
                          <pic:cNvPicPr/>
                        </pic:nvPicPr>
                        <pic:blipFill>
                          <a:blip r:embed="rId75" cstate="print"/>
                          <a:stretch>
                            <a:fillRect/>
                          </a:stretch>
                        </pic:blipFill>
                        <pic:spPr>
                          <a:xfrm>
                            <a:off x="3054350" y="565150"/>
                            <a:ext cx="76200" cy="234950"/>
                          </a:xfrm>
                          <a:prstGeom prst="rect">
                            <a:avLst/>
                          </a:prstGeom>
                        </pic:spPr>
                      </pic:pic>
                      <pic:pic>
                        <pic:nvPicPr>
                          <pic:cNvPr id="349" name="Image 349"/>
                          <pic:cNvPicPr/>
                        </pic:nvPicPr>
                        <pic:blipFill>
                          <a:blip r:embed="rId75" cstate="print"/>
                          <a:stretch>
                            <a:fillRect/>
                          </a:stretch>
                        </pic:blipFill>
                        <pic:spPr>
                          <a:xfrm>
                            <a:off x="3282950" y="565150"/>
                            <a:ext cx="76200" cy="234950"/>
                          </a:xfrm>
                          <a:prstGeom prst="rect">
                            <a:avLst/>
                          </a:prstGeom>
                        </pic:spPr>
                      </pic:pic>
                      <wps:wsp>
                        <wps:cNvPr id="350" name="Graphic 350"/>
                        <wps:cNvSpPr/>
                        <wps:spPr>
                          <a:xfrm>
                            <a:off x="1035050" y="2057400"/>
                            <a:ext cx="1028700" cy="457200"/>
                          </a:xfrm>
                          <a:custGeom>
                            <a:avLst/>
                            <a:gdLst/>
                            <a:ahLst/>
                            <a:cxnLst/>
                            <a:rect l="l" t="t" r="r" b="b"/>
                            <a:pathLst>
                              <a:path w="1028700" h="457200">
                                <a:moveTo>
                                  <a:pt x="0" y="457200"/>
                                </a:moveTo>
                                <a:lnTo>
                                  <a:pt x="1028700" y="457200"/>
                                </a:lnTo>
                                <a:lnTo>
                                  <a:pt x="1028700" y="0"/>
                                </a:lnTo>
                                <a:lnTo>
                                  <a:pt x="0" y="0"/>
                                </a:lnTo>
                                <a:lnTo>
                                  <a:pt x="0" y="457200"/>
                                </a:lnTo>
                                <a:close/>
                              </a:path>
                            </a:pathLst>
                          </a:custGeom>
                          <a:ln w="9525">
                            <a:solidFill>
                              <a:srgbClr val="000000"/>
                            </a:solidFill>
                            <a:prstDash val="solid"/>
                          </a:ln>
                        </wps:spPr>
                        <wps:bodyPr wrap="square" lIns="0" tIns="0" rIns="0" bIns="0" rtlCol="0">
                          <a:prstTxWarp prst="textNoShape">
                            <a:avLst/>
                          </a:prstTxWarp>
                          <a:noAutofit/>
                        </wps:bodyPr>
                      </wps:wsp>
                      <wps:wsp>
                        <wps:cNvPr id="351" name="Graphic 351"/>
                        <wps:cNvSpPr/>
                        <wps:spPr>
                          <a:xfrm>
                            <a:off x="2063750" y="2285999"/>
                            <a:ext cx="2286000" cy="1485265"/>
                          </a:xfrm>
                          <a:custGeom>
                            <a:avLst/>
                            <a:gdLst/>
                            <a:ahLst/>
                            <a:cxnLst/>
                            <a:rect l="l" t="t" r="r" b="b"/>
                            <a:pathLst>
                              <a:path w="2286000" h="1485265">
                                <a:moveTo>
                                  <a:pt x="1600200" y="799465"/>
                                </a:moveTo>
                                <a:lnTo>
                                  <a:pt x="0" y="799465"/>
                                </a:lnTo>
                                <a:lnTo>
                                  <a:pt x="0" y="1485265"/>
                                </a:lnTo>
                                <a:lnTo>
                                  <a:pt x="1600200" y="1485265"/>
                                </a:lnTo>
                                <a:lnTo>
                                  <a:pt x="1600200" y="799465"/>
                                </a:lnTo>
                                <a:close/>
                              </a:path>
                              <a:path w="2286000" h="1485265">
                                <a:moveTo>
                                  <a:pt x="2286000" y="0"/>
                                </a:moveTo>
                                <a:lnTo>
                                  <a:pt x="1600200" y="0"/>
                                </a:lnTo>
                                <a:lnTo>
                                  <a:pt x="1600200" y="457200"/>
                                </a:lnTo>
                                <a:lnTo>
                                  <a:pt x="2286000" y="457200"/>
                                </a:lnTo>
                                <a:lnTo>
                                  <a:pt x="2286000" y="0"/>
                                </a:lnTo>
                                <a:close/>
                              </a:path>
                            </a:pathLst>
                          </a:custGeom>
                          <a:solidFill>
                            <a:srgbClr val="FFFFFF"/>
                          </a:solidFill>
                        </wps:spPr>
                        <wps:bodyPr wrap="square" lIns="0" tIns="0" rIns="0" bIns="0" rtlCol="0">
                          <a:prstTxWarp prst="textNoShape">
                            <a:avLst/>
                          </a:prstTxWarp>
                          <a:noAutofit/>
                        </wps:bodyPr>
                      </wps:wsp>
                      <wps:wsp>
                        <wps:cNvPr id="352" name="Graphic 352"/>
                        <wps:cNvSpPr/>
                        <wps:spPr>
                          <a:xfrm>
                            <a:off x="349250" y="1714499"/>
                            <a:ext cx="4580890" cy="1716405"/>
                          </a:xfrm>
                          <a:custGeom>
                            <a:avLst/>
                            <a:gdLst/>
                            <a:ahLst/>
                            <a:cxnLst/>
                            <a:rect l="l" t="t" r="r" b="b"/>
                            <a:pathLst>
                              <a:path w="4580890" h="1716405">
                                <a:moveTo>
                                  <a:pt x="1714500" y="1713865"/>
                                </a:moveTo>
                                <a:lnTo>
                                  <a:pt x="1698993" y="1694307"/>
                                </a:lnTo>
                                <a:lnTo>
                                  <a:pt x="1661528" y="1647063"/>
                                </a:lnTo>
                                <a:lnTo>
                                  <a:pt x="1648091" y="1675853"/>
                                </a:lnTo>
                                <a:lnTo>
                                  <a:pt x="71780" y="940257"/>
                                </a:lnTo>
                                <a:lnTo>
                                  <a:pt x="75006" y="933323"/>
                                </a:lnTo>
                                <a:lnTo>
                                  <a:pt x="85217" y="911479"/>
                                </a:lnTo>
                                <a:lnTo>
                                  <a:pt x="1651" y="913726"/>
                                </a:lnTo>
                                <a:lnTo>
                                  <a:pt x="78867" y="882142"/>
                                </a:lnTo>
                                <a:lnTo>
                                  <a:pt x="69265" y="873760"/>
                                </a:lnTo>
                                <a:lnTo>
                                  <a:pt x="54978" y="861275"/>
                                </a:lnTo>
                                <a:lnTo>
                                  <a:pt x="754672" y="61480"/>
                                </a:lnTo>
                                <a:lnTo>
                                  <a:pt x="764882" y="70421"/>
                                </a:lnTo>
                                <a:lnTo>
                                  <a:pt x="762000" y="76200"/>
                                </a:lnTo>
                                <a:lnTo>
                                  <a:pt x="771512" y="76200"/>
                                </a:lnTo>
                                <a:lnTo>
                                  <a:pt x="778637" y="82423"/>
                                </a:lnTo>
                                <a:lnTo>
                                  <a:pt x="780249" y="76200"/>
                                </a:lnTo>
                                <a:lnTo>
                                  <a:pt x="793750" y="76200"/>
                                </a:lnTo>
                                <a:lnTo>
                                  <a:pt x="793750" y="346456"/>
                                </a:lnTo>
                                <a:lnTo>
                                  <a:pt x="796544" y="349250"/>
                                </a:lnTo>
                                <a:lnTo>
                                  <a:pt x="803656" y="349250"/>
                                </a:lnTo>
                                <a:lnTo>
                                  <a:pt x="806450" y="346456"/>
                                </a:lnTo>
                                <a:lnTo>
                                  <a:pt x="806450" y="76200"/>
                                </a:lnTo>
                                <a:lnTo>
                                  <a:pt x="838200" y="76200"/>
                                </a:lnTo>
                                <a:lnTo>
                                  <a:pt x="828675" y="57150"/>
                                </a:lnTo>
                                <a:lnTo>
                                  <a:pt x="800100" y="0"/>
                                </a:lnTo>
                                <a:lnTo>
                                  <a:pt x="721233" y="32258"/>
                                </a:lnTo>
                                <a:lnTo>
                                  <a:pt x="745109" y="53136"/>
                                </a:lnTo>
                                <a:lnTo>
                                  <a:pt x="45415" y="852932"/>
                                </a:lnTo>
                                <a:lnTo>
                                  <a:pt x="21463" y="831977"/>
                                </a:lnTo>
                                <a:lnTo>
                                  <a:pt x="165" y="913765"/>
                                </a:lnTo>
                                <a:lnTo>
                                  <a:pt x="0" y="913765"/>
                                </a:lnTo>
                                <a:lnTo>
                                  <a:pt x="114" y="913930"/>
                                </a:lnTo>
                                <a:lnTo>
                                  <a:pt x="0" y="914400"/>
                                </a:lnTo>
                                <a:lnTo>
                                  <a:pt x="368" y="914247"/>
                                </a:lnTo>
                                <a:lnTo>
                                  <a:pt x="52946" y="980567"/>
                                </a:lnTo>
                                <a:lnTo>
                                  <a:pt x="66395" y="951788"/>
                                </a:lnTo>
                                <a:lnTo>
                                  <a:pt x="1642706" y="1687385"/>
                                </a:lnTo>
                                <a:lnTo>
                                  <a:pt x="1629283" y="1716151"/>
                                </a:lnTo>
                                <a:lnTo>
                                  <a:pt x="1714500" y="1713865"/>
                                </a:lnTo>
                                <a:close/>
                              </a:path>
                              <a:path w="4580890" h="1716405">
                                <a:moveTo>
                                  <a:pt x="2552700" y="190500"/>
                                </a:moveTo>
                                <a:lnTo>
                                  <a:pt x="2543175" y="171450"/>
                                </a:lnTo>
                                <a:lnTo>
                                  <a:pt x="2514600" y="114300"/>
                                </a:lnTo>
                                <a:lnTo>
                                  <a:pt x="2476500" y="190500"/>
                                </a:lnTo>
                                <a:lnTo>
                                  <a:pt x="2508250" y="190500"/>
                                </a:lnTo>
                                <a:lnTo>
                                  <a:pt x="2508250" y="1295400"/>
                                </a:lnTo>
                                <a:lnTo>
                                  <a:pt x="2476500" y="1295400"/>
                                </a:lnTo>
                                <a:lnTo>
                                  <a:pt x="2514600" y="1371600"/>
                                </a:lnTo>
                                <a:lnTo>
                                  <a:pt x="2543175" y="1314450"/>
                                </a:lnTo>
                                <a:lnTo>
                                  <a:pt x="2552700" y="1295400"/>
                                </a:lnTo>
                                <a:lnTo>
                                  <a:pt x="2520950" y="1295400"/>
                                </a:lnTo>
                                <a:lnTo>
                                  <a:pt x="2520950" y="190500"/>
                                </a:lnTo>
                                <a:lnTo>
                                  <a:pt x="2552700" y="190500"/>
                                </a:lnTo>
                                <a:close/>
                              </a:path>
                              <a:path w="4580890" h="1716405">
                                <a:moveTo>
                                  <a:pt x="3695700" y="190500"/>
                                </a:moveTo>
                                <a:lnTo>
                                  <a:pt x="3686175" y="171450"/>
                                </a:lnTo>
                                <a:lnTo>
                                  <a:pt x="3657600" y="114300"/>
                                </a:lnTo>
                                <a:lnTo>
                                  <a:pt x="3619500" y="190500"/>
                                </a:lnTo>
                                <a:lnTo>
                                  <a:pt x="3651250" y="190500"/>
                                </a:lnTo>
                                <a:lnTo>
                                  <a:pt x="3651250" y="575056"/>
                                </a:lnTo>
                                <a:lnTo>
                                  <a:pt x="3654044" y="577850"/>
                                </a:lnTo>
                                <a:lnTo>
                                  <a:pt x="3661156" y="577850"/>
                                </a:lnTo>
                                <a:lnTo>
                                  <a:pt x="3663950" y="575056"/>
                                </a:lnTo>
                                <a:lnTo>
                                  <a:pt x="3663950" y="190500"/>
                                </a:lnTo>
                                <a:lnTo>
                                  <a:pt x="3695700" y="190500"/>
                                </a:lnTo>
                                <a:close/>
                              </a:path>
                              <a:path w="4580890" h="1716405">
                                <a:moveTo>
                                  <a:pt x="4580890" y="943991"/>
                                </a:moveTo>
                                <a:lnTo>
                                  <a:pt x="4551172" y="955154"/>
                                </a:lnTo>
                                <a:lnTo>
                                  <a:pt x="4261726" y="183426"/>
                                </a:lnTo>
                                <a:lnTo>
                                  <a:pt x="4291584" y="172212"/>
                                </a:lnTo>
                                <a:lnTo>
                                  <a:pt x="4285551" y="166624"/>
                                </a:lnTo>
                                <a:lnTo>
                                  <a:pt x="4229100" y="114300"/>
                                </a:lnTo>
                                <a:lnTo>
                                  <a:pt x="4220210" y="199009"/>
                                </a:lnTo>
                                <a:lnTo>
                                  <a:pt x="4249915" y="187858"/>
                                </a:lnTo>
                                <a:lnTo>
                                  <a:pt x="4539361" y="959586"/>
                                </a:lnTo>
                                <a:lnTo>
                                  <a:pt x="4509516" y="970788"/>
                                </a:lnTo>
                                <a:lnTo>
                                  <a:pt x="4571276" y="1028039"/>
                                </a:lnTo>
                                <a:lnTo>
                                  <a:pt x="4486910" y="1024890"/>
                                </a:lnTo>
                                <a:lnTo>
                                  <a:pt x="4500016" y="1053757"/>
                                </a:lnTo>
                                <a:lnTo>
                                  <a:pt x="3381413" y="1562290"/>
                                </a:lnTo>
                                <a:lnTo>
                                  <a:pt x="3368294" y="1533398"/>
                                </a:lnTo>
                                <a:lnTo>
                                  <a:pt x="3314700" y="1599565"/>
                                </a:lnTo>
                                <a:lnTo>
                                  <a:pt x="3399790" y="1602740"/>
                                </a:lnTo>
                                <a:lnTo>
                                  <a:pt x="3389693" y="1580515"/>
                                </a:lnTo>
                                <a:lnTo>
                                  <a:pt x="3386671" y="1573885"/>
                                </a:lnTo>
                                <a:lnTo>
                                  <a:pt x="4505274" y="1065352"/>
                                </a:lnTo>
                                <a:lnTo>
                                  <a:pt x="4518406" y="1094232"/>
                                </a:lnTo>
                                <a:lnTo>
                                  <a:pt x="4556569" y="1047115"/>
                                </a:lnTo>
                                <a:lnTo>
                                  <a:pt x="4571695" y="1028433"/>
                                </a:lnTo>
                                <a:lnTo>
                                  <a:pt x="4572000" y="1028700"/>
                                </a:lnTo>
                                <a:lnTo>
                                  <a:pt x="4577486" y="976376"/>
                                </a:lnTo>
                                <a:lnTo>
                                  <a:pt x="4580890" y="943991"/>
                                </a:lnTo>
                                <a:close/>
                              </a:path>
                            </a:pathLst>
                          </a:custGeom>
                          <a:solidFill>
                            <a:srgbClr val="000000"/>
                          </a:solidFill>
                        </wps:spPr>
                        <wps:bodyPr wrap="square" lIns="0" tIns="0" rIns="0" bIns="0" rtlCol="0">
                          <a:prstTxWarp prst="textNoShape">
                            <a:avLst/>
                          </a:prstTxWarp>
                          <a:noAutofit/>
                        </wps:bodyPr>
                      </wps:wsp>
                      <wps:wsp>
                        <wps:cNvPr id="353" name="Graphic 353"/>
                        <wps:cNvSpPr/>
                        <wps:spPr>
                          <a:xfrm>
                            <a:off x="4921250" y="457199"/>
                            <a:ext cx="1028700" cy="1600200"/>
                          </a:xfrm>
                          <a:custGeom>
                            <a:avLst/>
                            <a:gdLst/>
                            <a:ahLst/>
                            <a:cxnLst/>
                            <a:rect l="l" t="t" r="r" b="b"/>
                            <a:pathLst>
                              <a:path w="1028700" h="1600200">
                                <a:moveTo>
                                  <a:pt x="914400" y="1371600"/>
                                </a:moveTo>
                                <a:lnTo>
                                  <a:pt x="0" y="1371600"/>
                                </a:lnTo>
                                <a:lnTo>
                                  <a:pt x="0" y="1600200"/>
                                </a:lnTo>
                                <a:lnTo>
                                  <a:pt x="914400" y="1600200"/>
                                </a:lnTo>
                                <a:lnTo>
                                  <a:pt x="914400" y="1371600"/>
                                </a:lnTo>
                                <a:close/>
                              </a:path>
                              <a:path w="1028700" h="1600200">
                                <a:moveTo>
                                  <a:pt x="1028700" y="0"/>
                                </a:moveTo>
                                <a:lnTo>
                                  <a:pt x="0" y="0"/>
                                </a:lnTo>
                                <a:lnTo>
                                  <a:pt x="0" y="457200"/>
                                </a:lnTo>
                                <a:lnTo>
                                  <a:pt x="1028700" y="457200"/>
                                </a:lnTo>
                                <a:lnTo>
                                  <a:pt x="1028700" y="0"/>
                                </a:lnTo>
                                <a:close/>
                              </a:path>
                            </a:pathLst>
                          </a:custGeom>
                          <a:solidFill>
                            <a:srgbClr val="FFFFFF"/>
                          </a:solidFill>
                        </wps:spPr>
                        <wps:bodyPr wrap="square" lIns="0" tIns="0" rIns="0" bIns="0" rtlCol="0">
                          <a:prstTxWarp prst="textNoShape">
                            <a:avLst/>
                          </a:prstTxWarp>
                          <a:noAutofit/>
                        </wps:bodyPr>
                      </wps:wsp>
                      <wps:wsp>
                        <wps:cNvPr id="354" name="Graphic 354"/>
                        <wps:cNvSpPr/>
                        <wps:spPr>
                          <a:xfrm>
                            <a:off x="4571111" y="685799"/>
                            <a:ext cx="464820" cy="1155700"/>
                          </a:xfrm>
                          <a:custGeom>
                            <a:avLst/>
                            <a:gdLst/>
                            <a:ahLst/>
                            <a:cxnLst/>
                            <a:rect l="l" t="t" r="r" b="b"/>
                            <a:pathLst>
                              <a:path w="464820" h="1155700">
                                <a:moveTo>
                                  <a:pt x="350139" y="1143000"/>
                                </a:moveTo>
                                <a:lnTo>
                                  <a:pt x="337185" y="1130046"/>
                                </a:lnTo>
                                <a:lnTo>
                                  <a:pt x="295922" y="1088783"/>
                                </a:lnTo>
                                <a:lnTo>
                                  <a:pt x="295922" y="1124902"/>
                                </a:lnTo>
                                <a:lnTo>
                                  <a:pt x="294767" y="1128268"/>
                                </a:lnTo>
                                <a:lnTo>
                                  <a:pt x="295922" y="1124902"/>
                                </a:lnTo>
                                <a:lnTo>
                                  <a:pt x="295922" y="1088783"/>
                                </a:lnTo>
                                <a:lnTo>
                                  <a:pt x="289941" y="1082802"/>
                                </a:lnTo>
                                <a:lnTo>
                                  <a:pt x="279895" y="1112862"/>
                                </a:lnTo>
                                <a:lnTo>
                                  <a:pt x="9271" y="1022731"/>
                                </a:lnTo>
                                <a:lnTo>
                                  <a:pt x="5969" y="1021588"/>
                                </a:lnTo>
                                <a:lnTo>
                                  <a:pt x="2286" y="1023366"/>
                                </a:lnTo>
                                <a:lnTo>
                                  <a:pt x="1270" y="1026668"/>
                                </a:lnTo>
                                <a:lnTo>
                                  <a:pt x="127" y="1029970"/>
                                </a:lnTo>
                                <a:lnTo>
                                  <a:pt x="1905" y="1033653"/>
                                </a:lnTo>
                                <a:lnTo>
                                  <a:pt x="5207" y="1034669"/>
                                </a:lnTo>
                                <a:lnTo>
                                  <a:pt x="275882" y="1124902"/>
                                </a:lnTo>
                                <a:lnTo>
                                  <a:pt x="265811" y="1155077"/>
                                </a:lnTo>
                                <a:lnTo>
                                  <a:pt x="350139" y="1143000"/>
                                </a:lnTo>
                                <a:close/>
                              </a:path>
                              <a:path w="464820" h="1155700">
                                <a:moveTo>
                                  <a:pt x="350139" y="457200"/>
                                </a:moveTo>
                                <a:lnTo>
                                  <a:pt x="337439" y="450850"/>
                                </a:lnTo>
                                <a:lnTo>
                                  <a:pt x="273939" y="419100"/>
                                </a:lnTo>
                                <a:lnTo>
                                  <a:pt x="273939" y="450850"/>
                                </a:lnTo>
                                <a:lnTo>
                                  <a:pt x="3683" y="450850"/>
                                </a:lnTo>
                                <a:lnTo>
                                  <a:pt x="889" y="453644"/>
                                </a:lnTo>
                                <a:lnTo>
                                  <a:pt x="889" y="460756"/>
                                </a:lnTo>
                                <a:lnTo>
                                  <a:pt x="3683" y="463550"/>
                                </a:lnTo>
                                <a:lnTo>
                                  <a:pt x="273939" y="463550"/>
                                </a:lnTo>
                                <a:lnTo>
                                  <a:pt x="273939" y="495300"/>
                                </a:lnTo>
                                <a:lnTo>
                                  <a:pt x="337439" y="463550"/>
                                </a:lnTo>
                                <a:lnTo>
                                  <a:pt x="350139" y="457200"/>
                                </a:lnTo>
                                <a:close/>
                              </a:path>
                              <a:path w="464820" h="1155700">
                                <a:moveTo>
                                  <a:pt x="464439" y="0"/>
                                </a:moveTo>
                                <a:lnTo>
                                  <a:pt x="379222" y="0"/>
                                </a:lnTo>
                                <a:lnTo>
                                  <a:pt x="393433" y="28397"/>
                                </a:lnTo>
                                <a:lnTo>
                                  <a:pt x="4445" y="222885"/>
                                </a:lnTo>
                                <a:lnTo>
                                  <a:pt x="1270" y="224536"/>
                                </a:lnTo>
                                <a:lnTo>
                                  <a:pt x="0" y="228346"/>
                                </a:lnTo>
                                <a:lnTo>
                                  <a:pt x="1524" y="231394"/>
                                </a:lnTo>
                                <a:lnTo>
                                  <a:pt x="3175" y="234569"/>
                                </a:lnTo>
                                <a:lnTo>
                                  <a:pt x="6985" y="235839"/>
                                </a:lnTo>
                                <a:lnTo>
                                  <a:pt x="399110" y="39712"/>
                                </a:lnTo>
                                <a:lnTo>
                                  <a:pt x="413385" y="68199"/>
                                </a:lnTo>
                                <a:lnTo>
                                  <a:pt x="448551" y="21209"/>
                                </a:lnTo>
                                <a:lnTo>
                                  <a:pt x="464439" y="0"/>
                                </a:lnTo>
                                <a:close/>
                              </a:path>
                            </a:pathLst>
                          </a:custGeom>
                          <a:solidFill>
                            <a:srgbClr val="000000"/>
                          </a:solidFill>
                        </wps:spPr>
                        <wps:bodyPr wrap="square" lIns="0" tIns="0" rIns="0" bIns="0" rtlCol="0">
                          <a:prstTxWarp prst="textNoShape">
                            <a:avLst/>
                          </a:prstTxWarp>
                          <a:noAutofit/>
                        </wps:bodyPr>
                      </wps:wsp>
                      <wps:wsp>
                        <wps:cNvPr id="355" name="Graphic 355"/>
                        <wps:cNvSpPr/>
                        <wps:spPr>
                          <a:xfrm>
                            <a:off x="4921250" y="1371600"/>
                            <a:ext cx="1028700" cy="457200"/>
                          </a:xfrm>
                          <a:custGeom>
                            <a:avLst/>
                            <a:gdLst/>
                            <a:ahLst/>
                            <a:cxnLst/>
                            <a:rect l="l" t="t" r="r" b="b"/>
                            <a:pathLst>
                              <a:path w="1028700" h="457200">
                                <a:moveTo>
                                  <a:pt x="1028700" y="0"/>
                                </a:moveTo>
                                <a:lnTo>
                                  <a:pt x="0" y="0"/>
                                </a:lnTo>
                                <a:lnTo>
                                  <a:pt x="0" y="457200"/>
                                </a:lnTo>
                                <a:lnTo>
                                  <a:pt x="1028700" y="457200"/>
                                </a:lnTo>
                                <a:lnTo>
                                  <a:pt x="1028700" y="0"/>
                                </a:lnTo>
                                <a:close/>
                              </a:path>
                            </a:pathLst>
                          </a:custGeom>
                          <a:solidFill>
                            <a:srgbClr val="FFFFFF"/>
                          </a:solidFill>
                        </wps:spPr>
                        <wps:bodyPr wrap="square" lIns="0" tIns="0" rIns="0" bIns="0" rtlCol="0">
                          <a:prstTxWarp prst="textNoShape">
                            <a:avLst/>
                          </a:prstTxWarp>
                          <a:noAutofit/>
                        </wps:bodyPr>
                      </wps:wsp>
                      <wps:wsp>
                        <wps:cNvPr id="356" name="Graphic 356"/>
                        <wps:cNvSpPr/>
                        <wps:spPr>
                          <a:xfrm>
                            <a:off x="4571365" y="1364614"/>
                            <a:ext cx="464184" cy="140335"/>
                          </a:xfrm>
                          <a:custGeom>
                            <a:avLst/>
                            <a:gdLst/>
                            <a:ahLst/>
                            <a:cxnLst/>
                            <a:rect l="l" t="t" r="r" b="b"/>
                            <a:pathLst>
                              <a:path w="464184" h="140335">
                                <a:moveTo>
                                  <a:pt x="388736" y="108934"/>
                                </a:moveTo>
                                <a:lnTo>
                                  <a:pt x="381000" y="139826"/>
                                </a:lnTo>
                                <a:lnTo>
                                  <a:pt x="464185" y="121284"/>
                                </a:lnTo>
                                <a:lnTo>
                                  <a:pt x="454421" y="112902"/>
                                </a:lnTo>
                                <a:lnTo>
                                  <a:pt x="404495" y="112902"/>
                                </a:lnTo>
                                <a:lnTo>
                                  <a:pt x="388736" y="108934"/>
                                </a:lnTo>
                                <a:close/>
                              </a:path>
                              <a:path w="464184" h="140335">
                                <a:moveTo>
                                  <a:pt x="391820" y="96620"/>
                                </a:moveTo>
                                <a:lnTo>
                                  <a:pt x="388736" y="108934"/>
                                </a:lnTo>
                                <a:lnTo>
                                  <a:pt x="404495" y="112902"/>
                                </a:lnTo>
                                <a:lnTo>
                                  <a:pt x="407924" y="110870"/>
                                </a:lnTo>
                                <a:lnTo>
                                  <a:pt x="408686" y="107441"/>
                                </a:lnTo>
                                <a:lnTo>
                                  <a:pt x="409575" y="104012"/>
                                </a:lnTo>
                                <a:lnTo>
                                  <a:pt x="407543" y="100583"/>
                                </a:lnTo>
                                <a:lnTo>
                                  <a:pt x="391820" y="96620"/>
                                </a:lnTo>
                                <a:close/>
                              </a:path>
                              <a:path w="464184" h="140335">
                                <a:moveTo>
                                  <a:pt x="399542" y="65785"/>
                                </a:moveTo>
                                <a:lnTo>
                                  <a:pt x="391820" y="96620"/>
                                </a:lnTo>
                                <a:lnTo>
                                  <a:pt x="407543" y="100583"/>
                                </a:lnTo>
                                <a:lnTo>
                                  <a:pt x="409575" y="104012"/>
                                </a:lnTo>
                                <a:lnTo>
                                  <a:pt x="408686" y="107441"/>
                                </a:lnTo>
                                <a:lnTo>
                                  <a:pt x="407924" y="110870"/>
                                </a:lnTo>
                                <a:lnTo>
                                  <a:pt x="404495" y="112902"/>
                                </a:lnTo>
                                <a:lnTo>
                                  <a:pt x="454421" y="112902"/>
                                </a:lnTo>
                                <a:lnTo>
                                  <a:pt x="399542" y="65785"/>
                                </a:lnTo>
                                <a:close/>
                              </a:path>
                              <a:path w="464184" h="140335">
                                <a:moveTo>
                                  <a:pt x="5080" y="0"/>
                                </a:moveTo>
                                <a:lnTo>
                                  <a:pt x="1650" y="2031"/>
                                </a:lnTo>
                                <a:lnTo>
                                  <a:pt x="762" y="5460"/>
                                </a:lnTo>
                                <a:lnTo>
                                  <a:pt x="0" y="8889"/>
                                </a:lnTo>
                                <a:lnTo>
                                  <a:pt x="2032" y="12318"/>
                                </a:lnTo>
                                <a:lnTo>
                                  <a:pt x="388736" y="108934"/>
                                </a:lnTo>
                                <a:lnTo>
                                  <a:pt x="391820" y="96620"/>
                                </a:lnTo>
                                <a:lnTo>
                                  <a:pt x="8509" y="761"/>
                                </a:lnTo>
                                <a:lnTo>
                                  <a:pt x="5080" y="0"/>
                                </a:lnTo>
                                <a:close/>
                              </a:path>
                            </a:pathLst>
                          </a:custGeom>
                          <a:solidFill>
                            <a:srgbClr val="000000"/>
                          </a:solidFill>
                        </wps:spPr>
                        <wps:bodyPr wrap="square" lIns="0" tIns="0" rIns="0" bIns="0" rtlCol="0">
                          <a:prstTxWarp prst="textNoShape">
                            <a:avLst/>
                          </a:prstTxWarp>
                          <a:noAutofit/>
                        </wps:bodyPr>
                      </wps:wsp>
                      <wps:wsp>
                        <wps:cNvPr id="357" name="Graphic 357"/>
                        <wps:cNvSpPr/>
                        <wps:spPr>
                          <a:xfrm>
                            <a:off x="4921250" y="685800"/>
                            <a:ext cx="1257300" cy="457200"/>
                          </a:xfrm>
                          <a:custGeom>
                            <a:avLst/>
                            <a:gdLst/>
                            <a:ahLst/>
                            <a:cxnLst/>
                            <a:rect l="l" t="t" r="r" b="b"/>
                            <a:pathLst>
                              <a:path w="1257300" h="457200">
                                <a:moveTo>
                                  <a:pt x="1257300" y="0"/>
                                </a:moveTo>
                                <a:lnTo>
                                  <a:pt x="0" y="0"/>
                                </a:lnTo>
                                <a:lnTo>
                                  <a:pt x="0" y="457200"/>
                                </a:lnTo>
                                <a:lnTo>
                                  <a:pt x="1257300" y="457200"/>
                                </a:lnTo>
                                <a:lnTo>
                                  <a:pt x="1257300" y="0"/>
                                </a:lnTo>
                                <a:close/>
                              </a:path>
                            </a:pathLst>
                          </a:custGeom>
                          <a:solidFill>
                            <a:srgbClr val="FFFFFF"/>
                          </a:solidFill>
                        </wps:spPr>
                        <wps:bodyPr wrap="square" lIns="0" tIns="0" rIns="0" bIns="0" rtlCol="0">
                          <a:prstTxWarp prst="textNoShape">
                            <a:avLst/>
                          </a:prstTxWarp>
                          <a:noAutofit/>
                        </wps:bodyPr>
                      </wps:wsp>
                      <wps:wsp>
                        <wps:cNvPr id="358" name="Textbox 358"/>
                        <wps:cNvSpPr txBox="1"/>
                        <wps:spPr>
                          <a:xfrm>
                            <a:off x="1035050" y="800100"/>
                            <a:ext cx="914400" cy="914400"/>
                          </a:xfrm>
                          <a:prstGeom prst="rect">
                            <a:avLst/>
                          </a:prstGeom>
                          <a:ln w="9525">
                            <a:solidFill>
                              <a:srgbClr val="000000"/>
                            </a:solidFill>
                            <a:prstDash val="solid"/>
                          </a:ln>
                        </wps:spPr>
                        <wps:txbx>
                          <w:txbxContent>
                            <w:p>
                              <w:pPr>
                                <w:spacing w:line="240" w:lineRule="auto" w:before="0"/>
                                <w:rPr>
                                  <w:b/>
                                  <w:sz w:val="22"/>
                                </w:rPr>
                              </w:pPr>
                            </w:p>
                            <w:p>
                              <w:pPr>
                                <w:spacing w:line="240" w:lineRule="auto" w:before="74"/>
                                <w:rPr>
                                  <w:b/>
                                  <w:sz w:val="22"/>
                                </w:rPr>
                              </w:pPr>
                            </w:p>
                            <w:p>
                              <w:pPr>
                                <w:spacing w:before="1"/>
                                <w:ind w:left="144" w:right="0" w:firstLine="0"/>
                                <w:jc w:val="left"/>
                                <w:rPr>
                                  <w:rFonts w:ascii="Calibri"/>
                                  <w:sz w:val="22"/>
                                </w:rPr>
                              </w:pPr>
                              <w:r>
                                <w:rPr>
                                  <w:rFonts w:ascii="Calibri"/>
                                  <w:spacing w:val="-2"/>
                                  <w:sz w:val="22"/>
                                </w:rPr>
                                <w:t>INPUT</w:t>
                              </w:r>
                            </w:p>
                          </w:txbxContent>
                        </wps:txbx>
                        <wps:bodyPr wrap="square" lIns="0" tIns="0" rIns="0" bIns="0" rtlCol="0">
                          <a:noAutofit/>
                        </wps:bodyPr>
                      </wps:wsp>
                    </wpg:wgp>
                  </a:graphicData>
                </a:graphic>
              </wp:anchor>
            </w:drawing>
          </mc:Choice>
          <mc:Fallback>
            <w:pict>
              <v:group style="position:absolute;margin-left:98.5pt;margin-top:-50.767696pt;width:486.5pt;height:296.95pt;mso-position-horizontal-relative:page;mso-position-vertical-relative:paragraph;z-index:-22625280" id="docshapegroup119" coordorigin="1970,-1015" coordsize="9730,5939">
                <v:shape style="position:absolute;left:5760;top:244;width:3420;height:1620" id="docshape120" coordorigin="5760,245" coordsize="3420,1620" path="m7380,245l5760,245,5760,1865,7380,1865,7380,245xm9180,245l7920,245,7920,1865,9180,1865,9180,245xe" filled="true" fillcolor="#ffffff" stroked="false">
                  <v:path arrowok="t"/>
                  <v:fill type="solid"/>
                </v:shape>
                <v:shape style="position:absolute;left:1970;top:364;width:5950;height:1691" id="docshape121" coordorigin="1970,365" coordsize="5950,1691" path="m3600,1685l3469,1655,3481,1704,2152,2036,2149,2042,2150,2047,2152,2052,2157,2056,2162,2054,3486,1724,3498,1772,3585,1698,3600,1685xm3600,1505l3580,1495,3480,1445,3480,1495,1974,1495,1970,1499,1970,1510,1974,1515,3480,1515,3480,1565,3580,1515,3600,1505xm3600,965l3580,955,3480,905,3480,955,2334,955,2330,959,2330,970,2334,975,3480,975,3480,1025,3580,975,3600,965xm3600,425l3580,415,3480,365,3480,415,3054,415,3050,419,3050,430,3054,435,3480,435,3480,485,3580,435,3600,425xm5760,965l5740,955,5640,905,5640,955,5160,955,5160,905,5040,965,5160,1025,5160,975,5640,975,5640,1025,5740,975,5760,965xm7920,1145l7900,1135,7800,1085,7800,1135,7500,1135,7500,1085,7380,1145,7500,1205,7500,1155,7800,1155,7800,1205,7900,1155,7920,1145xe" filled="true" fillcolor="#000000" stroked="false">
                  <v:path arrowok="t"/>
                  <v:fill type="solid"/>
                </v:shape>
                <v:shape style="position:absolute;left:6660;top:-1016;width:900;height:1080" id="docshape122" coordorigin="6660,-1015" coordsize="900,1080" path="m7560,-835l7200,-835,7200,-1015,6660,-1015,6660,65,7020,65,7200,65,7560,65,7560,-835xe" filled="true" fillcolor="#ffffff" stroked="false">
                  <v:path arrowok="t"/>
                  <v:fill type="solid"/>
                </v:shape>
                <v:shape style="position:absolute;left:5700;top:-126;width:120;height:370" type="#_x0000_t75" id="docshape123" stroked="false">
                  <v:imagedata r:id="rId75" o:title=""/>
                </v:shape>
                <v:shape style="position:absolute;left:6060;top:-126;width:120;height:370" type="#_x0000_t75" id="docshape124" stroked="false">
                  <v:imagedata r:id="rId75" o:title=""/>
                </v:shape>
                <v:shape style="position:absolute;left:6420;top:-126;width:120;height:370" type="#_x0000_t75" id="docshape125" stroked="false">
                  <v:imagedata r:id="rId75" o:title=""/>
                </v:shape>
                <v:shape style="position:absolute;left:6780;top:-126;width:120;height:370" type="#_x0000_t75" id="docshape126" stroked="false">
                  <v:imagedata r:id="rId75" o:title=""/>
                </v:shape>
                <v:shape style="position:absolute;left:7140;top:-126;width:120;height:370" type="#_x0000_t75" id="docshape127" stroked="false">
                  <v:imagedata r:id="rId75" o:title=""/>
                </v:shape>
                <v:rect style="position:absolute;left:3600;top:2224;width:1620;height:720" id="docshape128" filled="false" stroked="true" strokeweight=".75pt" strokecolor="#000000">
                  <v:stroke dashstyle="solid"/>
                </v:rect>
                <v:shape style="position:absolute;left:5220;top:2584;width:3600;height:2339" id="docshape129" coordorigin="5220,2585" coordsize="3600,2339" path="m7740,3844l5220,3844,5220,4924,7740,4924,7740,3844xm8820,2585l7740,2585,7740,3305,8820,3305,8820,2585xe" filled="true" fillcolor="#ffffff" stroked="false">
                  <v:path arrowok="t"/>
                  <v:fill type="solid"/>
                </v:shape>
                <v:shape style="position:absolute;left:2520;top:1684;width:7214;height:2703" id="docshape130" coordorigin="2520,1685" coordsize="7214,2703" path="m5220,4384l5196,4353,5137,4278,5115,4324,2633,3165,2638,3154,2654,3120,2523,3124,2644,3074,2629,3061,2607,3041,3708,1781,3725,1796,3720,1805,3735,1805,3746,1814,3749,1805,3770,1805,3770,2230,3774,2235,3786,2235,3790,2230,3790,1805,3840,1805,3825,1775,3780,1685,3656,1735,3693,1768,2592,3028,2554,2995,2520,3124,2520,3124,2520,3124,2520,3125,2521,3124,2603,3229,2625,3184,5107,4342,5086,4387,5220,4384xm6540,1985l6525,1955,6480,1865,6420,1985,6470,1985,6470,3725,6420,3725,6480,3845,6525,3755,6540,3725,6490,3725,6490,1985,6540,1985xm8340,1985l8325,1955,8280,1865,8220,1985,8270,1985,8270,2590,8274,2595,8286,2595,8290,2590,8290,1985,8340,1985xm9734,3171l9687,3189,9231,1974,9278,1956,9269,1947,9180,1865,9166,1998,9213,1980,9669,3196,9622,3213,9719,3304,9586,3299,9607,3344,7845,4145,7824,4099,7740,4204,7874,4209,7858,4174,7853,4163,9615,3362,9636,3408,9696,3334,9720,3304,9720,3305,9729,3222,9734,3171xe" filled="true" fillcolor="#000000" stroked="false">
                  <v:path arrowok="t"/>
                  <v:fill type="solid"/>
                </v:shape>
                <v:shape style="position:absolute;left:9720;top:-296;width:1620;height:2520" id="docshape131" coordorigin="9720,-295" coordsize="1620,2520" path="m11160,1865l9720,1865,9720,2225,11160,2225,11160,1865xm11340,-295l9720,-295,9720,425,11340,425,11340,-295xe" filled="true" fillcolor="#ffffff" stroked="false">
                  <v:path arrowok="t"/>
                  <v:fill type="solid"/>
                </v:shape>
                <v:shape style="position:absolute;left:9168;top:64;width:732;height:1820" id="docshape132" coordorigin="9169,65" coordsize="732,1820" path="m9720,1865l9700,1844,9635,1779,9635,1836,9635,1836,9633,1841,9635,1836,9635,1779,9625,1770,9609,1817,9183,1675,9178,1673,9172,1676,9171,1681,9169,1687,9172,1692,9177,1694,9603,1836,9587,1884,9720,1865xm9720,785l9700,775,9600,725,9600,775,9174,775,9170,779,9170,790,9174,795,9600,795,9600,845,9700,795,9720,785xm9900,65l9766,65,9788,109,9176,416,9171,418,9169,424,9171,429,9174,434,9180,436,9797,127,9820,172,9875,98,9900,65xe" filled="true" fillcolor="#000000" stroked="false">
                  <v:path arrowok="t"/>
                  <v:fill type="solid"/>
                </v:shape>
                <v:rect style="position:absolute;left:9720;top:1144;width:1620;height:720" id="docshape133" filled="true" fillcolor="#ffffff" stroked="false">
                  <v:fill type="solid"/>
                </v:rect>
                <v:shape style="position:absolute;left:9169;top:1133;width:731;height:221" id="docshape134" coordorigin="9169,1134" coordsize="731,221" path="m9781,1305l9769,1354,9900,1325,9885,1311,9806,1311,9781,1305xm9786,1286l9781,1305,9806,1311,9811,1308,9813,1303,9814,1297,9811,1292,9786,1286xm9798,1237l9786,1286,9811,1292,9814,1297,9813,1303,9811,1308,9806,1311,9885,1311,9798,1237xm9177,1134l9172,1137,9170,1142,9169,1148,9172,1153,9781,1305,9786,1286,9182,1135,9177,1134xe" filled="true" fillcolor="#000000" stroked="false">
                  <v:path arrowok="t"/>
                  <v:fill type="solid"/>
                </v:shape>
                <v:rect style="position:absolute;left:9720;top:64;width:1980;height:720" id="docshape135" filled="true" fillcolor="#ffffff" stroked="false">
                  <v:fill type="solid"/>
                </v:rect>
                <v:shape style="position:absolute;left:3600;top:244;width:1440;height:1440" type="#_x0000_t202" id="docshape136" filled="false" stroked="true" strokeweight=".75pt" strokecolor="#000000">
                  <v:textbox inset="0,0,0,0">
                    <w:txbxContent>
                      <w:p>
                        <w:pPr>
                          <w:spacing w:line="240" w:lineRule="auto" w:before="0"/>
                          <w:rPr>
                            <w:b/>
                            <w:sz w:val="22"/>
                          </w:rPr>
                        </w:pPr>
                      </w:p>
                      <w:p>
                        <w:pPr>
                          <w:spacing w:line="240" w:lineRule="auto" w:before="74"/>
                          <w:rPr>
                            <w:b/>
                            <w:sz w:val="22"/>
                          </w:rPr>
                        </w:pPr>
                      </w:p>
                      <w:p>
                        <w:pPr>
                          <w:spacing w:before="1"/>
                          <w:ind w:left="144" w:right="0" w:firstLine="0"/>
                          <w:jc w:val="left"/>
                          <w:rPr>
                            <w:rFonts w:ascii="Calibri"/>
                            <w:sz w:val="22"/>
                          </w:rPr>
                        </w:pPr>
                        <w:r>
                          <w:rPr>
                            <w:rFonts w:ascii="Calibri"/>
                            <w:spacing w:val="-2"/>
                            <w:sz w:val="22"/>
                          </w:rPr>
                          <w:t>INPUT</w:t>
                        </w:r>
                      </w:p>
                    </w:txbxContent>
                  </v:textbox>
                  <v:stroke dashstyle="solid"/>
                  <w10:wrap type="none"/>
                </v:shape>
                <w10:wrap type="none"/>
              </v:group>
            </w:pict>
          </mc:Fallback>
        </mc:AlternateContent>
      </w:r>
      <w:r>
        <w:rPr>
          <w:sz w:val="20"/>
        </w:rPr>
        <w:t>Peaceful</w:t>
      </w:r>
      <w:r>
        <w:rPr>
          <w:spacing w:val="-13"/>
          <w:sz w:val="20"/>
        </w:rPr>
        <w:t> </w:t>
      </w:r>
      <w:r>
        <w:rPr>
          <w:sz w:val="20"/>
        </w:rPr>
        <w:t>relationship &amp; coexistence</w:t>
      </w:r>
    </w:p>
    <w:p>
      <w:pPr>
        <w:pStyle w:val="BodyText"/>
        <w:ind w:left="0"/>
        <w:rPr>
          <w:sz w:val="20"/>
        </w:rPr>
      </w:pPr>
    </w:p>
    <w:p>
      <w:pPr>
        <w:pStyle w:val="BodyText"/>
        <w:spacing w:before="154"/>
        <w:ind w:left="0"/>
        <w:rPr>
          <w:sz w:val="20"/>
        </w:rPr>
      </w:pPr>
    </w:p>
    <w:p>
      <w:pPr>
        <w:spacing w:line="276" w:lineRule="auto" w:before="0"/>
        <w:ind w:left="684" w:right="456" w:firstLine="0"/>
        <w:jc w:val="left"/>
        <w:rPr>
          <w:sz w:val="20"/>
        </w:rPr>
      </w:pPr>
      <w:r>
        <w:rPr>
          <w:spacing w:val="-4"/>
          <w:sz w:val="20"/>
        </w:rPr>
        <w:t>More </w:t>
      </w:r>
      <w:r>
        <w:rPr>
          <w:spacing w:val="-2"/>
          <w:sz w:val="20"/>
        </w:rPr>
        <w:t>development</w:t>
      </w:r>
    </w:p>
    <w:p>
      <w:pPr>
        <w:spacing w:after="0" w:line="276" w:lineRule="auto"/>
        <w:jc w:val="left"/>
        <w:rPr>
          <w:sz w:val="20"/>
        </w:rPr>
        <w:sectPr>
          <w:type w:val="continuous"/>
          <w:pgSz w:w="11910" w:h="16840"/>
          <w:pgMar w:header="0" w:footer="1561" w:top="1360" w:bottom="280" w:left="720" w:right="180"/>
          <w:cols w:num="2" w:equalWidth="0">
            <w:col w:w="2281" w:space="6180"/>
            <w:col w:w="2549"/>
          </w:cols>
        </w:sectPr>
      </w:pPr>
    </w:p>
    <w:p>
      <w:pPr>
        <w:pStyle w:val="BodyText"/>
        <w:spacing w:before="8"/>
        <w:ind w:left="0"/>
        <w:rPr>
          <w:sz w:val="8"/>
        </w:rPr>
      </w:pPr>
    </w:p>
    <w:p>
      <w:pPr>
        <w:spacing w:after="0"/>
        <w:rPr>
          <w:sz w:val="8"/>
        </w:rPr>
        <w:sectPr>
          <w:type w:val="continuous"/>
          <w:pgSz w:w="11910" w:h="16840"/>
          <w:pgMar w:header="0" w:footer="1561" w:top="1360" w:bottom="280" w:left="720" w:right="180"/>
        </w:sectPr>
      </w:pPr>
    </w:p>
    <w:p>
      <w:pPr>
        <w:spacing w:before="91"/>
        <w:ind w:left="684" w:right="0" w:firstLine="0"/>
        <w:jc w:val="left"/>
        <w:rPr>
          <w:sz w:val="20"/>
        </w:rPr>
      </w:pPr>
      <w:r>
        <w:rPr/>
        <mc:AlternateContent>
          <mc:Choice Requires="wps">
            <w:drawing>
              <wp:anchor distT="0" distB="0" distL="0" distR="0" allowOverlap="1" layoutInCell="1" locked="0" behindDoc="0" simplePos="0" relativeHeight="15862272">
                <wp:simplePos x="0" y="0"/>
                <wp:positionH relativeFrom="page">
                  <wp:posOffset>4914900</wp:posOffset>
                </wp:positionH>
                <wp:positionV relativeFrom="paragraph">
                  <wp:posOffset>471536</wp:posOffset>
                </wp:positionV>
                <wp:extent cx="685800" cy="457200"/>
                <wp:effectExtent l="0" t="0" r="0" b="0"/>
                <wp:wrapNone/>
                <wp:docPr id="359" name="Textbox 359"/>
                <wp:cNvGraphicFramePr>
                  <a:graphicFrameLocks/>
                </wp:cNvGraphicFramePr>
                <a:graphic>
                  <a:graphicData uri="http://schemas.microsoft.com/office/word/2010/wordprocessingShape">
                    <wps:wsp>
                      <wps:cNvPr id="359" name="Textbox 359"/>
                      <wps:cNvSpPr txBox="1"/>
                      <wps:spPr>
                        <a:xfrm>
                          <a:off x="0" y="0"/>
                          <a:ext cx="685800" cy="457200"/>
                        </a:xfrm>
                        <a:prstGeom prst="rect">
                          <a:avLst/>
                        </a:prstGeom>
                        <a:ln w="9525">
                          <a:solidFill>
                            <a:srgbClr val="000000"/>
                          </a:solidFill>
                          <a:prstDash val="solid"/>
                        </a:ln>
                      </wps:spPr>
                      <wps:txbx>
                        <w:txbxContent>
                          <w:p>
                            <w:pPr>
                              <w:spacing w:line="278" w:lineRule="auto" w:before="68"/>
                              <w:ind w:left="145" w:right="153" w:firstLine="0"/>
                              <w:jc w:val="left"/>
                              <w:rPr>
                                <w:sz w:val="20"/>
                              </w:rPr>
                            </w:pPr>
                            <w:r>
                              <w:rPr>
                                <w:spacing w:val="-2"/>
                                <w:sz w:val="20"/>
                              </w:rPr>
                              <w:t>Desirable change</w:t>
                            </w:r>
                          </w:p>
                        </w:txbxContent>
                      </wps:txbx>
                      <wps:bodyPr wrap="square" lIns="0" tIns="0" rIns="0" bIns="0" rtlCol="0">
                        <a:noAutofit/>
                      </wps:bodyPr>
                    </wps:wsp>
                  </a:graphicData>
                </a:graphic>
              </wp:anchor>
            </w:drawing>
          </mc:Choice>
          <mc:Fallback>
            <w:pict>
              <v:shape style="position:absolute;margin-left:387pt;margin-top:37.128887pt;width:54pt;height:36pt;mso-position-horizontal-relative:page;mso-position-vertical-relative:paragraph;z-index:15862272" type="#_x0000_t202" id="docshape137" filled="false" stroked="true" strokeweight=".75pt" strokecolor="#000000">
                <v:textbox inset="0,0,0,0">
                  <w:txbxContent>
                    <w:p>
                      <w:pPr>
                        <w:spacing w:line="278" w:lineRule="auto" w:before="68"/>
                        <w:ind w:left="145" w:right="153" w:firstLine="0"/>
                        <w:jc w:val="left"/>
                        <w:rPr>
                          <w:sz w:val="20"/>
                        </w:rPr>
                      </w:pPr>
                      <w:r>
                        <w:rPr>
                          <w:spacing w:val="-2"/>
                          <w:sz w:val="20"/>
                        </w:rPr>
                        <w:t>Desirable change</w:t>
                      </w:r>
                    </w:p>
                  </w:txbxContent>
                </v:textbox>
                <v:stroke dashstyle="solid"/>
                <w10:wrap type="none"/>
              </v:shape>
            </w:pict>
          </mc:Fallback>
        </mc:AlternateContent>
      </w:r>
      <w:r>
        <w:rPr/>
        <mc:AlternateContent>
          <mc:Choice Requires="wps">
            <w:drawing>
              <wp:anchor distT="0" distB="0" distL="0" distR="0" allowOverlap="1" layoutInCell="1" locked="0" behindDoc="1" simplePos="0" relativeHeight="480692224">
                <wp:simplePos x="0" y="0"/>
                <wp:positionH relativeFrom="page">
                  <wp:posOffset>5029200</wp:posOffset>
                </wp:positionH>
                <wp:positionV relativeFrom="paragraph">
                  <wp:posOffset>-1014363</wp:posOffset>
                </wp:positionV>
                <wp:extent cx="800100" cy="1028700"/>
                <wp:effectExtent l="0" t="0" r="0" b="0"/>
                <wp:wrapNone/>
                <wp:docPr id="360" name="Textbox 360"/>
                <wp:cNvGraphicFramePr>
                  <a:graphicFrameLocks/>
                </wp:cNvGraphicFramePr>
                <a:graphic>
                  <a:graphicData uri="http://schemas.microsoft.com/office/word/2010/wordprocessingShape">
                    <wps:wsp>
                      <wps:cNvPr id="360" name="Textbox 360"/>
                      <wps:cNvSpPr txBox="1"/>
                      <wps:spPr>
                        <a:xfrm>
                          <a:off x="0" y="0"/>
                          <a:ext cx="800100" cy="1028700"/>
                        </a:xfrm>
                        <a:prstGeom prst="rect">
                          <a:avLst/>
                        </a:prstGeom>
                        <a:ln w="9525">
                          <a:solidFill>
                            <a:srgbClr val="000000"/>
                          </a:solidFill>
                          <a:prstDash val="solid"/>
                        </a:ln>
                      </wps:spPr>
                      <wps:txbx>
                        <w:txbxContent>
                          <w:p>
                            <w:pPr>
                              <w:pStyle w:val="BodyText"/>
                              <w:ind w:left="0"/>
                              <w:rPr>
                                <w:b/>
                                <w:sz w:val="22"/>
                              </w:rPr>
                            </w:pPr>
                          </w:p>
                          <w:p>
                            <w:pPr>
                              <w:pStyle w:val="BodyText"/>
                              <w:spacing w:before="74"/>
                              <w:ind w:left="0"/>
                              <w:rPr>
                                <w:b/>
                                <w:sz w:val="22"/>
                              </w:rPr>
                            </w:pPr>
                          </w:p>
                          <w:p>
                            <w:pPr>
                              <w:spacing w:before="1"/>
                              <w:ind w:left="145" w:right="0" w:firstLine="0"/>
                              <w:jc w:val="left"/>
                              <w:rPr>
                                <w:rFonts w:ascii="Calibri"/>
                                <w:sz w:val="22"/>
                              </w:rPr>
                            </w:pPr>
                            <w:r>
                              <w:rPr>
                                <w:rFonts w:ascii="Calibri"/>
                                <w:spacing w:val="-2"/>
                                <w:sz w:val="22"/>
                              </w:rPr>
                              <w:t>OUTPUT</w:t>
                            </w:r>
                          </w:p>
                        </w:txbxContent>
                      </wps:txbx>
                      <wps:bodyPr wrap="square" lIns="0" tIns="0" rIns="0" bIns="0" rtlCol="0">
                        <a:noAutofit/>
                      </wps:bodyPr>
                    </wps:wsp>
                  </a:graphicData>
                </a:graphic>
              </wp:anchor>
            </w:drawing>
          </mc:Choice>
          <mc:Fallback>
            <w:pict>
              <v:shape style="position:absolute;margin-left:396pt;margin-top:-79.871117pt;width:63pt;height:81pt;mso-position-horizontal-relative:page;mso-position-vertical-relative:paragraph;z-index:-22624256" type="#_x0000_t202" id="docshape138" filled="false" stroked="true" strokeweight=".75pt" strokecolor="#000000">
                <v:textbox inset="0,0,0,0">
                  <w:txbxContent>
                    <w:p>
                      <w:pPr>
                        <w:pStyle w:val="BodyText"/>
                        <w:ind w:left="0"/>
                        <w:rPr>
                          <w:b/>
                          <w:sz w:val="22"/>
                        </w:rPr>
                      </w:pPr>
                    </w:p>
                    <w:p>
                      <w:pPr>
                        <w:pStyle w:val="BodyText"/>
                        <w:spacing w:before="74"/>
                        <w:ind w:left="0"/>
                        <w:rPr>
                          <w:b/>
                          <w:sz w:val="22"/>
                        </w:rPr>
                      </w:pPr>
                    </w:p>
                    <w:p>
                      <w:pPr>
                        <w:spacing w:before="1"/>
                        <w:ind w:left="145" w:right="0" w:firstLine="0"/>
                        <w:jc w:val="left"/>
                        <w:rPr>
                          <w:rFonts w:ascii="Calibri"/>
                          <w:sz w:val="22"/>
                        </w:rPr>
                      </w:pPr>
                      <w:r>
                        <w:rPr>
                          <w:rFonts w:ascii="Calibri"/>
                          <w:spacing w:val="-2"/>
                          <w:sz w:val="22"/>
                        </w:rPr>
                        <w:t>OUTPUT</w:t>
                      </w:r>
                    </w:p>
                  </w:txbxContent>
                </v:textbox>
                <v:stroke dashstyle="solid"/>
                <w10:wrap type="none"/>
              </v:shape>
            </w:pict>
          </mc:Fallback>
        </mc:AlternateContent>
      </w:r>
      <w:r>
        <w:rPr/>
        <mc:AlternateContent>
          <mc:Choice Requires="wps">
            <w:drawing>
              <wp:anchor distT="0" distB="0" distL="0" distR="0" allowOverlap="1" layoutInCell="1" locked="0" behindDoc="1" simplePos="0" relativeHeight="480692736">
                <wp:simplePos x="0" y="0"/>
                <wp:positionH relativeFrom="page">
                  <wp:posOffset>3657600</wp:posOffset>
                </wp:positionH>
                <wp:positionV relativeFrom="paragraph">
                  <wp:posOffset>-1014363</wp:posOffset>
                </wp:positionV>
                <wp:extent cx="1028700" cy="1028700"/>
                <wp:effectExtent l="0" t="0" r="0" b="0"/>
                <wp:wrapNone/>
                <wp:docPr id="361" name="Textbox 361"/>
                <wp:cNvGraphicFramePr>
                  <a:graphicFrameLocks/>
                </wp:cNvGraphicFramePr>
                <a:graphic>
                  <a:graphicData uri="http://schemas.microsoft.com/office/word/2010/wordprocessingShape">
                    <wps:wsp>
                      <wps:cNvPr id="361" name="Textbox 361"/>
                      <wps:cNvSpPr txBox="1"/>
                      <wps:spPr>
                        <a:xfrm>
                          <a:off x="0" y="0"/>
                          <a:ext cx="1028700" cy="1028700"/>
                        </a:xfrm>
                        <a:prstGeom prst="rect">
                          <a:avLst/>
                        </a:prstGeom>
                        <a:ln w="9525">
                          <a:solidFill>
                            <a:srgbClr val="000000"/>
                          </a:solidFill>
                          <a:prstDash val="solid"/>
                        </a:ln>
                      </wps:spPr>
                      <wps:txbx>
                        <w:txbxContent>
                          <w:p>
                            <w:pPr>
                              <w:pStyle w:val="BodyText"/>
                              <w:ind w:left="0"/>
                              <w:rPr>
                                <w:b/>
                                <w:sz w:val="22"/>
                              </w:rPr>
                            </w:pPr>
                          </w:p>
                          <w:p>
                            <w:pPr>
                              <w:pStyle w:val="BodyText"/>
                              <w:spacing w:before="74"/>
                              <w:ind w:left="0"/>
                              <w:rPr>
                                <w:b/>
                                <w:sz w:val="22"/>
                              </w:rPr>
                            </w:pPr>
                          </w:p>
                          <w:p>
                            <w:pPr>
                              <w:spacing w:before="1"/>
                              <w:ind w:left="144" w:right="0" w:firstLine="0"/>
                              <w:jc w:val="left"/>
                              <w:rPr>
                                <w:rFonts w:ascii="Calibri"/>
                                <w:sz w:val="22"/>
                              </w:rPr>
                            </w:pPr>
                            <w:r>
                              <w:rPr>
                                <w:rFonts w:ascii="Calibri"/>
                                <w:spacing w:val="-2"/>
                                <w:sz w:val="22"/>
                              </w:rPr>
                              <w:t>PROCESS</w:t>
                            </w:r>
                          </w:p>
                        </w:txbxContent>
                      </wps:txbx>
                      <wps:bodyPr wrap="square" lIns="0" tIns="0" rIns="0" bIns="0" rtlCol="0">
                        <a:noAutofit/>
                      </wps:bodyPr>
                    </wps:wsp>
                  </a:graphicData>
                </a:graphic>
              </wp:anchor>
            </w:drawing>
          </mc:Choice>
          <mc:Fallback>
            <w:pict>
              <v:shape style="position:absolute;margin-left:288pt;margin-top:-79.871117pt;width:81pt;height:81pt;mso-position-horizontal-relative:page;mso-position-vertical-relative:paragraph;z-index:-22623744" type="#_x0000_t202" id="docshape139" filled="false" stroked="true" strokeweight=".75pt" strokecolor="#000000">
                <v:textbox inset="0,0,0,0">
                  <w:txbxContent>
                    <w:p>
                      <w:pPr>
                        <w:pStyle w:val="BodyText"/>
                        <w:ind w:left="0"/>
                        <w:rPr>
                          <w:b/>
                          <w:sz w:val="22"/>
                        </w:rPr>
                      </w:pPr>
                    </w:p>
                    <w:p>
                      <w:pPr>
                        <w:pStyle w:val="BodyText"/>
                        <w:spacing w:before="74"/>
                        <w:ind w:left="0"/>
                        <w:rPr>
                          <w:b/>
                          <w:sz w:val="22"/>
                        </w:rPr>
                      </w:pPr>
                    </w:p>
                    <w:p>
                      <w:pPr>
                        <w:spacing w:before="1"/>
                        <w:ind w:left="144" w:right="0" w:firstLine="0"/>
                        <w:jc w:val="left"/>
                        <w:rPr>
                          <w:rFonts w:ascii="Calibri"/>
                          <w:sz w:val="22"/>
                        </w:rPr>
                      </w:pPr>
                      <w:r>
                        <w:rPr>
                          <w:rFonts w:ascii="Calibri"/>
                          <w:spacing w:val="-2"/>
                          <w:sz w:val="22"/>
                        </w:rPr>
                        <w:t>PROCESS</w:t>
                      </w:r>
                    </w:p>
                  </w:txbxContent>
                </v:textbox>
                <v:stroke dashstyle="solid"/>
                <w10:wrap type="none"/>
              </v:shape>
            </w:pict>
          </mc:Fallback>
        </mc:AlternateContent>
      </w:r>
      <w:r>
        <w:rPr>
          <w:spacing w:val="-2"/>
          <w:sz w:val="20"/>
        </w:rPr>
        <w:t>Interests</w:t>
      </w:r>
    </w:p>
    <w:p>
      <w:pPr>
        <w:spacing w:line="240" w:lineRule="auto" w:before="226"/>
        <w:rPr>
          <w:sz w:val="20"/>
        </w:rPr>
      </w:pPr>
      <w:r>
        <w:rPr/>
        <w:br w:type="column"/>
      </w:r>
      <w:r>
        <w:rPr>
          <w:sz w:val="20"/>
        </w:rPr>
      </w:r>
    </w:p>
    <w:p>
      <w:pPr>
        <w:spacing w:line="244" w:lineRule="auto" w:before="0"/>
        <w:ind w:left="684" w:right="38" w:firstLine="0"/>
        <w:jc w:val="left"/>
        <w:rPr>
          <w:sz w:val="20"/>
        </w:rPr>
      </w:pPr>
      <w:r>
        <w:rPr>
          <w:spacing w:val="-2"/>
          <w:sz w:val="20"/>
        </w:rPr>
        <w:t>Parties (Stakeholders)</w:t>
      </w:r>
    </w:p>
    <w:p>
      <w:pPr>
        <w:spacing w:before="91"/>
        <w:ind w:left="684" w:right="0" w:firstLine="0"/>
        <w:jc w:val="left"/>
        <w:rPr>
          <w:sz w:val="20"/>
        </w:rPr>
      </w:pPr>
      <w:r>
        <w:rPr/>
        <w:br w:type="column"/>
      </w:r>
      <w:r>
        <w:rPr>
          <w:sz w:val="20"/>
        </w:rPr>
        <w:t>Less</w:t>
      </w:r>
      <w:r>
        <w:rPr>
          <w:spacing w:val="-6"/>
          <w:sz w:val="20"/>
        </w:rPr>
        <w:t> </w:t>
      </w:r>
      <w:r>
        <w:rPr>
          <w:spacing w:val="-2"/>
          <w:sz w:val="20"/>
        </w:rPr>
        <w:t>violence</w:t>
      </w:r>
    </w:p>
    <w:p>
      <w:pPr>
        <w:spacing w:after="0"/>
        <w:jc w:val="left"/>
        <w:rPr>
          <w:sz w:val="20"/>
        </w:rPr>
        <w:sectPr>
          <w:type w:val="continuous"/>
          <w:pgSz w:w="11910" w:h="16840"/>
          <w:pgMar w:header="0" w:footer="1561" w:top="1360" w:bottom="280" w:left="720" w:right="180"/>
          <w:cols w:num="3" w:equalWidth="0">
            <w:col w:w="1400" w:space="947"/>
            <w:col w:w="1889" w:space="4225"/>
            <w:col w:w="2549"/>
          </w:cols>
        </w:sectPr>
      </w:pPr>
    </w:p>
    <w:p>
      <w:pPr>
        <w:pStyle w:val="BodyText"/>
        <w:ind w:left="0"/>
        <w:rPr>
          <w:sz w:val="20"/>
        </w:rPr>
      </w:pPr>
      <w:r>
        <w:rPr/>
        <mc:AlternateContent>
          <mc:Choice Requires="wps">
            <w:drawing>
              <wp:anchor distT="0" distB="0" distL="0" distR="0" allowOverlap="1" layoutInCell="1" locked="0" behindDoc="1" simplePos="0" relativeHeight="480693760">
                <wp:simplePos x="0" y="0"/>
                <wp:positionH relativeFrom="page">
                  <wp:posOffset>-1537026</wp:posOffset>
                </wp:positionH>
                <wp:positionV relativeFrom="page">
                  <wp:posOffset>4900424</wp:posOffset>
                </wp:positionV>
                <wp:extent cx="10669905" cy="914400"/>
                <wp:effectExtent l="0" t="0" r="0" b="0"/>
                <wp:wrapNone/>
                <wp:docPr id="362" name="Textbox 362"/>
                <wp:cNvGraphicFramePr>
                  <a:graphicFrameLocks/>
                </wp:cNvGraphicFramePr>
                <a:graphic>
                  <a:graphicData uri="http://schemas.microsoft.com/office/word/2010/wordprocessingShape">
                    <wps:wsp>
                      <wps:cNvPr id="362" name="Textbox 362"/>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22720;rotation:306" type="#_x0000_t136" fillcolor="#ff5400" stroked="f">
                <o:extrusion v:ext="view" autorotationcenter="t"/>
                <v:textpath style="font-family:&quot;Arial MT&quot;;font-size:72pt;v-text-kern:t;mso-text-shadow:auto" string="UNIVERSITY OF IBADAN"/>
                <w10:wrap type="none"/>
              </v:shape>
            </w:pict>
          </mc:Fallback>
        </mc:AlternateContent>
      </w:r>
    </w:p>
    <w:p>
      <w:pPr>
        <w:pStyle w:val="BodyText"/>
        <w:ind w:left="0"/>
        <w:rPr>
          <w:sz w:val="20"/>
        </w:rPr>
      </w:pPr>
    </w:p>
    <w:p>
      <w:pPr>
        <w:pStyle w:val="BodyText"/>
        <w:ind w:left="0"/>
        <w:rPr>
          <w:sz w:val="20"/>
        </w:rPr>
      </w:pPr>
    </w:p>
    <w:p>
      <w:pPr>
        <w:pStyle w:val="BodyText"/>
        <w:spacing w:before="148"/>
        <w:ind w:left="0"/>
        <w:rPr>
          <w:sz w:val="20"/>
        </w:rPr>
      </w:pPr>
    </w:p>
    <w:p>
      <w:pPr>
        <w:pStyle w:val="BodyText"/>
        <w:ind w:left="4492"/>
        <w:rPr>
          <w:sz w:val="20"/>
        </w:rPr>
      </w:pPr>
      <w:r>
        <w:rPr>
          <w:sz w:val="20"/>
        </w:rPr>
        <mc:AlternateContent>
          <mc:Choice Requires="wps">
            <w:drawing>
              <wp:inline distT="0" distB="0" distL="0" distR="0">
                <wp:extent cx="1600200" cy="685800"/>
                <wp:effectExtent l="9525" t="0" r="0" b="9525"/>
                <wp:docPr id="363" name="Textbox 363"/>
                <wp:cNvGraphicFramePr>
                  <a:graphicFrameLocks/>
                </wp:cNvGraphicFramePr>
                <a:graphic>
                  <a:graphicData uri="http://schemas.microsoft.com/office/word/2010/wordprocessingShape">
                    <wps:wsp>
                      <wps:cNvPr id="363" name="Textbox 363"/>
                      <wps:cNvSpPr txBox="1"/>
                      <wps:spPr>
                        <a:xfrm>
                          <a:off x="0" y="0"/>
                          <a:ext cx="1600200" cy="685800"/>
                        </a:xfrm>
                        <a:prstGeom prst="rect">
                          <a:avLst/>
                        </a:prstGeom>
                        <a:ln w="9525">
                          <a:solidFill>
                            <a:srgbClr val="000000"/>
                          </a:solidFill>
                          <a:prstDash val="solid"/>
                        </a:ln>
                      </wps:spPr>
                      <wps:txbx>
                        <w:txbxContent>
                          <w:p>
                            <w:pPr>
                              <w:spacing w:before="70"/>
                              <w:ind w:left="144" w:right="447" w:firstLine="0"/>
                              <w:jc w:val="left"/>
                              <w:rPr>
                                <w:rFonts w:ascii="Calibri"/>
                                <w:sz w:val="22"/>
                              </w:rPr>
                            </w:pPr>
                            <w:r>
                              <w:rPr>
                                <w:rFonts w:ascii="Calibri"/>
                                <w:spacing w:val="-2"/>
                                <w:sz w:val="22"/>
                              </w:rPr>
                              <w:t>Feedback (Assessment</w:t>
                            </w:r>
                          </w:p>
                          <w:p>
                            <w:pPr>
                              <w:spacing w:before="6"/>
                              <w:ind w:left="144" w:right="0" w:firstLine="0"/>
                              <w:jc w:val="left"/>
                              <w:rPr>
                                <w:rFonts w:ascii="Calibri"/>
                                <w:sz w:val="22"/>
                              </w:rPr>
                            </w:pPr>
                            <w:r>
                              <w:rPr>
                                <w:rFonts w:ascii="Calibri"/>
                                <w:spacing w:val="-2"/>
                                <w:sz w:val="22"/>
                              </w:rPr>
                              <w:t>Monitoring/Evaluation)</w:t>
                            </w:r>
                          </w:p>
                        </w:txbxContent>
                      </wps:txbx>
                      <wps:bodyPr wrap="square" lIns="0" tIns="0" rIns="0" bIns="0" rtlCol="0">
                        <a:noAutofit/>
                      </wps:bodyPr>
                    </wps:wsp>
                  </a:graphicData>
                </a:graphic>
              </wp:inline>
            </w:drawing>
          </mc:Choice>
          <mc:Fallback>
            <w:pict>
              <v:shape style="width:126pt;height:54pt;mso-position-horizontal-relative:char;mso-position-vertical-relative:line" type="#_x0000_t202" id="docshape140" filled="false" stroked="true" strokeweight=".75pt" strokecolor="#000000">
                <w10:anchorlock/>
                <v:textbox inset="0,0,0,0">
                  <w:txbxContent>
                    <w:p>
                      <w:pPr>
                        <w:spacing w:before="70"/>
                        <w:ind w:left="144" w:right="447" w:firstLine="0"/>
                        <w:jc w:val="left"/>
                        <w:rPr>
                          <w:rFonts w:ascii="Calibri"/>
                          <w:sz w:val="22"/>
                        </w:rPr>
                      </w:pPr>
                      <w:r>
                        <w:rPr>
                          <w:rFonts w:ascii="Calibri"/>
                          <w:spacing w:val="-2"/>
                          <w:sz w:val="22"/>
                        </w:rPr>
                        <w:t>Feedback (Assessment</w:t>
                      </w:r>
                    </w:p>
                    <w:p>
                      <w:pPr>
                        <w:spacing w:before="6"/>
                        <w:ind w:left="144" w:right="0" w:firstLine="0"/>
                        <w:jc w:val="left"/>
                        <w:rPr>
                          <w:rFonts w:ascii="Calibri"/>
                          <w:sz w:val="22"/>
                        </w:rPr>
                      </w:pPr>
                      <w:r>
                        <w:rPr>
                          <w:rFonts w:ascii="Calibri"/>
                          <w:spacing w:val="-2"/>
                          <w:sz w:val="22"/>
                        </w:rPr>
                        <w:t>Monitoring/Evaluation)</w:t>
                      </w:r>
                    </w:p>
                  </w:txbxContent>
                </v:textbox>
                <v:stroke dashstyle="solid"/>
              </v:shape>
            </w:pict>
          </mc:Fallback>
        </mc:AlternateContent>
      </w:r>
      <w:r>
        <w:rPr>
          <w:sz w:val="20"/>
        </w:rPr>
      </w:r>
    </w:p>
    <w:p>
      <w:pPr>
        <w:pStyle w:val="BodyText"/>
        <w:spacing w:before="237"/>
        <w:ind w:left="0"/>
      </w:pPr>
    </w:p>
    <w:p>
      <w:pPr>
        <w:spacing w:line="360" w:lineRule="auto" w:before="1"/>
        <w:ind w:left="1440" w:right="4714" w:firstLine="0"/>
        <w:jc w:val="left"/>
        <w:rPr>
          <w:b/>
          <w:sz w:val="24"/>
        </w:rPr>
      </w:pPr>
      <w:r>
        <w:rPr>
          <w:b/>
          <w:sz w:val="24"/>
        </w:rPr>
        <w:t>Figure</w:t>
      </w:r>
      <w:r>
        <w:rPr>
          <w:b/>
          <w:spacing w:val="-11"/>
          <w:sz w:val="24"/>
        </w:rPr>
        <w:t> </w:t>
      </w:r>
      <w:r>
        <w:rPr>
          <w:b/>
          <w:sz w:val="24"/>
        </w:rPr>
        <w:t>6:</w:t>
      </w:r>
      <w:r>
        <w:rPr>
          <w:b/>
          <w:spacing w:val="-10"/>
          <w:sz w:val="24"/>
        </w:rPr>
        <w:t> </w:t>
      </w:r>
      <w:r>
        <w:rPr>
          <w:b/>
          <w:sz w:val="24"/>
        </w:rPr>
        <w:t>Conflict</w:t>
      </w:r>
      <w:r>
        <w:rPr>
          <w:b/>
          <w:spacing w:val="-10"/>
          <w:sz w:val="24"/>
        </w:rPr>
        <w:t> </w:t>
      </w:r>
      <w:r>
        <w:rPr>
          <w:b/>
          <w:sz w:val="24"/>
        </w:rPr>
        <w:t>Transformation</w:t>
      </w:r>
      <w:r>
        <w:rPr>
          <w:b/>
          <w:spacing w:val="-9"/>
          <w:sz w:val="24"/>
        </w:rPr>
        <w:t> </w:t>
      </w:r>
      <w:r>
        <w:rPr>
          <w:b/>
          <w:sz w:val="24"/>
        </w:rPr>
        <w:t>Diagram Source:</w:t>
      </w:r>
      <w:r>
        <w:rPr>
          <w:b/>
          <w:spacing w:val="40"/>
          <w:sz w:val="24"/>
        </w:rPr>
        <w:t> </w:t>
      </w:r>
      <w:r>
        <w:rPr>
          <w:b/>
          <w:sz w:val="24"/>
        </w:rPr>
        <w:t>Researcher’s Recommendation</w:t>
      </w:r>
    </w:p>
    <w:p>
      <w:pPr>
        <w:spacing w:after="0" w:line="360" w:lineRule="auto"/>
        <w:jc w:val="left"/>
        <w:rPr>
          <w:sz w:val="24"/>
        </w:rPr>
        <w:sectPr>
          <w:type w:val="continuous"/>
          <w:pgSz w:w="11910" w:h="16840"/>
          <w:pgMar w:header="0" w:footer="1561" w:top="1360" w:bottom="280" w:left="720" w:right="180"/>
        </w:sectPr>
      </w:pPr>
    </w:p>
    <w:p>
      <w:pPr>
        <w:pStyle w:val="Heading1"/>
        <w:numPr>
          <w:ilvl w:val="1"/>
          <w:numId w:val="31"/>
        </w:numPr>
        <w:tabs>
          <w:tab w:pos="2160" w:val="left" w:leader="none"/>
        </w:tabs>
        <w:spacing w:line="240" w:lineRule="auto" w:before="60" w:after="0"/>
        <w:ind w:left="2160" w:right="0" w:hanging="720"/>
        <w:jc w:val="left"/>
        <w:rPr>
          <w:b w:val="0"/>
        </w:rPr>
      </w:pPr>
      <w:r>
        <w:rPr/>
        <mc:AlternateContent>
          <mc:Choice Requires="wps">
            <w:drawing>
              <wp:anchor distT="0" distB="0" distL="0" distR="0" allowOverlap="1" layoutInCell="1" locked="0" behindDoc="1" simplePos="0" relativeHeight="480694272">
                <wp:simplePos x="0" y="0"/>
                <wp:positionH relativeFrom="page">
                  <wp:posOffset>-1537026</wp:posOffset>
                </wp:positionH>
                <wp:positionV relativeFrom="page">
                  <wp:posOffset>4900424</wp:posOffset>
                </wp:positionV>
                <wp:extent cx="10669905" cy="914400"/>
                <wp:effectExtent l="0" t="0" r="0" b="0"/>
                <wp:wrapNone/>
                <wp:docPr id="364" name="Textbox 364"/>
                <wp:cNvGraphicFramePr>
                  <a:graphicFrameLocks/>
                </wp:cNvGraphicFramePr>
                <a:graphic>
                  <a:graphicData uri="http://schemas.microsoft.com/office/word/2010/wordprocessingShape">
                    <wps:wsp>
                      <wps:cNvPr id="364" name="Textbox 364"/>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22208;rotation:306" type="#_x0000_t136" fillcolor="#ff5400" stroked="f">
                <o:extrusion v:ext="view" autorotationcenter="t"/>
                <v:textpath style="font-family:&quot;Arial MT&quot;;font-size:72pt;v-text-kern:t;mso-text-shadow:auto" string="UNIVERSITY OF IBADAN"/>
                <w10:wrap type="none"/>
              </v:shape>
            </w:pict>
          </mc:Fallback>
        </mc:AlternateContent>
      </w:r>
      <w:bookmarkStart w:name="_TOC_250001" w:id="41"/>
      <w:bookmarkEnd w:id="41"/>
      <w:r>
        <w:rPr>
          <w:spacing w:val="-2"/>
        </w:rPr>
        <w:t>CONCLUSIONS</w:t>
      </w:r>
    </w:p>
    <w:p>
      <w:pPr>
        <w:pStyle w:val="BodyText"/>
        <w:spacing w:before="138"/>
        <w:jc w:val="both"/>
      </w:pPr>
      <w:r>
        <w:rPr/>
        <w:t>The</w:t>
      </w:r>
      <w:r>
        <w:rPr>
          <w:spacing w:val="-3"/>
        </w:rPr>
        <w:t> </w:t>
      </w:r>
      <w:r>
        <w:rPr/>
        <w:t>findings led</w:t>
      </w:r>
      <w:r>
        <w:rPr>
          <w:spacing w:val="-1"/>
        </w:rPr>
        <w:t> </w:t>
      </w:r>
      <w:r>
        <w:rPr/>
        <w:t>to the following</w:t>
      </w:r>
      <w:r>
        <w:rPr>
          <w:spacing w:val="-3"/>
        </w:rPr>
        <w:t> </w:t>
      </w:r>
      <w:r>
        <w:rPr>
          <w:spacing w:val="-2"/>
        </w:rPr>
        <w:t>conclusions:</w:t>
      </w:r>
    </w:p>
    <w:p>
      <w:pPr>
        <w:pStyle w:val="ListParagraph"/>
        <w:numPr>
          <w:ilvl w:val="0"/>
          <w:numId w:val="32"/>
        </w:numPr>
        <w:tabs>
          <w:tab w:pos="1860" w:val="left" w:leader="none"/>
          <w:tab w:pos="1980" w:val="left" w:leader="none"/>
        </w:tabs>
        <w:spacing w:line="360" w:lineRule="auto" w:before="139" w:after="0"/>
        <w:ind w:left="1860" w:right="1256" w:hanging="360"/>
        <w:jc w:val="both"/>
        <w:rPr>
          <w:sz w:val="24"/>
        </w:rPr>
      </w:pPr>
      <w:r>
        <w:rPr>
          <w:sz w:val="24"/>
        </w:rPr>
        <w:tab/>
        <w:t>A lot has been written on the Niger Delta crisis in recent years but these studies neglected</w:t>
      </w:r>
      <w:r>
        <w:rPr>
          <w:spacing w:val="-2"/>
          <w:sz w:val="24"/>
        </w:rPr>
        <w:t> </w:t>
      </w:r>
      <w:r>
        <w:rPr>
          <w:sz w:val="24"/>
        </w:rPr>
        <w:t>issues relating</w:t>
      </w:r>
      <w:r>
        <w:rPr>
          <w:spacing w:val="-1"/>
          <w:sz w:val="24"/>
        </w:rPr>
        <w:t> </w:t>
      </w:r>
      <w:r>
        <w:rPr>
          <w:sz w:val="24"/>
        </w:rPr>
        <w:t>to</w:t>
      </w:r>
      <w:r>
        <w:rPr>
          <w:spacing w:val="-1"/>
          <w:sz w:val="24"/>
        </w:rPr>
        <w:t> </w:t>
      </w:r>
      <w:r>
        <w:rPr>
          <w:sz w:val="24"/>
        </w:rPr>
        <w:t>military</w:t>
      </w:r>
      <w:r>
        <w:rPr>
          <w:spacing w:val="-5"/>
          <w:sz w:val="24"/>
        </w:rPr>
        <w:t> </w:t>
      </w:r>
      <w:r>
        <w:rPr>
          <w:sz w:val="24"/>
        </w:rPr>
        <w:t>operations.</w:t>
      </w:r>
      <w:r>
        <w:rPr>
          <w:spacing w:val="40"/>
          <w:sz w:val="24"/>
        </w:rPr>
        <w:t> </w:t>
      </w:r>
      <w:r>
        <w:rPr>
          <w:sz w:val="24"/>
        </w:rPr>
        <w:t>This</w:t>
      </w:r>
      <w:r>
        <w:rPr>
          <w:spacing w:val="-1"/>
          <w:sz w:val="24"/>
        </w:rPr>
        <w:t> </w:t>
      </w:r>
      <w:r>
        <w:rPr>
          <w:sz w:val="24"/>
        </w:rPr>
        <w:t>study</w:t>
      </w:r>
      <w:r>
        <w:rPr>
          <w:spacing w:val="-8"/>
          <w:sz w:val="24"/>
        </w:rPr>
        <w:t> </w:t>
      </w:r>
      <w:r>
        <w:rPr>
          <w:sz w:val="24"/>
        </w:rPr>
        <w:t>tries</w:t>
      </w:r>
      <w:r>
        <w:rPr>
          <w:spacing w:val="-2"/>
          <w:sz w:val="24"/>
        </w:rPr>
        <w:t> </w:t>
      </w:r>
      <w:r>
        <w:rPr>
          <w:sz w:val="24"/>
        </w:rPr>
        <w:t>to</w:t>
      </w:r>
      <w:r>
        <w:rPr>
          <w:spacing w:val="-1"/>
          <w:sz w:val="24"/>
        </w:rPr>
        <w:t> </w:t>
      </w:r>
      <w:r>
        <w:rPr>
          <w:sz w:val="24"/>
        </w:rPr>
        <w:t>bridge</w:t>
      </w:r>
      <w:r>
        <w:rPr>
          <w:spacing w:val="-2"/>
          <w:sz w:val="24"/>
        </w:rPr>
        <w:t> </w:t>
      </w:r>
      <w:r>
        <w:rPr>
          <w:sz w:val="24"/>
        </w:rPr>
        <w:t>this</w:t>
      </w:r>
      <w:r>
        <w:rPr>
          <w:spacing w:val="-1"/>
          <w:sz w:val="24"/>
        </w:rPr>
        <w:t> </w:t>
      </w:r>
      <w:r>
        <w:rPr>
          <w:sz w:val="24"/>
        </w:rPr>
        <w:t>gap by examining the military Joint Task Force (JTF) – most especially Operation RESTORE HOPE.</w:t>
      </w:r>
      <w:r>
        <w:rPr>
          <w:spacing w:val="40"/>
          <w:sz w:val="24"/>
        </w:rPr>
        <w:t> </w:t>
      </w:r>
      <w:r>
        <w:rPr>
          <w:sz w:val="24"/>
        </w:rPr>
        <w:t>It focused on the preparedness, deployment capabilities and impact of the operations on the management of the Niger Delta crisis since 2003.</w:t>
      </w:r>
    </w:p>
    <w:p>
      <w:pPr>
        <w:pStyle w:val="ListParagraph"/>
        <w:numPr>
          <w:ilvl w:val="0"/>
          <w:numId w:val="32"/>
        </w:numPr>
        <w:tabs>
          <w:tab w:pos="1860" w:val="left" w:leader="none"/>
        </w:tabs>
        <w:spacing w:line="360" w:lineRule="auto" w:before="0" w:after="0"/>
        <w:ind w:left="1860" w:right="1256" w:hanging="360"/>
        <w:jc w:val="both"/>
        <w:rPr>
          <w:sz w:val="24"/>
        </w:rPr>
      </w:pPr>
      <w:r>
        <w:rPr>
          <w:sz w:val="24"/>
        </w:rPr>
        <w:t>Maintenance of Law and Order in Nigeria solely lies in the domain</w:t>
      </w:r>
      <w:r>
        <w:rPr>
          <w:spacing w:val="80"/>
          <w:sz w:val="24"/>
        </w:rPr>
        <w:t> </w:t>
      </w:r>
      <w:r>
        <w:rPr>
          <w:sz w:val="24"/>
        </w:rPr>
        <w:t>of the</w:t>
      </w:r>
      <w:r>
        <w:rPr>
          <w:spacing w:val="80"/>
          <w:sz w:val="24"/>
        </w:rPr>
        <w:t> </w:t>
      </w:r>
      <w:r>
        <w:rPr>
          <w:sz w:val="24"/>
        </w:rPr>
        <w:t>Ni geria Police Force.</w:t>
      </w:r>
      <w:r>
        <w:rPr>
          <w:spacing w:val="40"/>
          <w:sz w:val="24"/>
        </w:rPr>
        <w:t> </w:t>
      </w:r>
      <w:r>
        <w:rPr>
          <w:sz w:val="24"/>
        </w:rPr>
        <w:t>Nonetheless, when the police is faced with severe threat to national security occasioned by lack of capacity and perpetual massive threats,</w:t>
      </w:r>
      <w:r>
        <w:rPr>
          <w:spacing w:val="40"/>
          <w:sz w:val="24"/>
        </w:rPr>
        <w:t> </w:t>
      </w:r>
      <w:r>
        <w:rPr>
          <w:sz w:val="24"/>
        </w:rPr>
        <w:t>the members of the Armed Forces could be called upon to conduct Internal Security</w:t>
      </w:r>
      <w:r>
        <w:rPr>
          <w:spacing w:val="-5"/>
          <w:sz w:val="24"/>
        </w:rPr>
        <w:t> </w:t>
      </w:r>
      <w:r>
        <w:rPr>
          <w:sz w:val="24"/>
        </w:rPr>
        <w:t>Operations to resolve</w:t>
      </w:r>
      <w:r>
        <w:rPr>
          <w:spacing w:val="-1"/>
          <w:sz w:val="24"/>
        </w:rPr>
        <w:t> </w:t>
      </w:r>
      <w:r>
        <w:rPr>
          <w:sz w:val="24"/>
        </w:rPr>
        <w:t>law</w:t>
      </w:r>
      <w:r>
        <w:rPr>
          <w:spacing w:val="-1"/>
          <w:sz w:val="24"/>
        </w:rPr>
        <w:t> </w:t>
      </w:r>
      <w:r>
        <w:rPr>
          <w:sz w:val="24"/>
        </w:rPr>
        <w:t>and order.</w:t>
      </w:r>
      <w:r>
        <w:rPr>
          <w:spacing w:val="40"/>
          <w:sz w:val="24"/>
        </w:rPr>
        <w:t> </w:t>
      </w:r>
      <w:r>
        <w:rPr>
          <w:sz w:val="24"/>
        </w:rPr>
        <w:t>However,</w:t>
      </w:r>
      <w:r>
        <w:rPr>
          <w:spacing w:val="-1"/>
          <w:sz w:val="24"/>
        </w:rPr>
        <w:t> </w:t>
      </w:r>
      <w:r>
        <w:rPr>
          <w:sz w:val="24"/>
        </w:rPr>
        <w:t>the</w:t>
      </w:r>
      <w:r>
        <w:rPr>
          <w:spacing w:val="-1"/>
          <w:sz w:val="24"/>
        </w:rPr>
        <w:t> </w:t>
      </w:r>
      <w:r>
        <w:rPr>
          <w:sz w:val="24"/>
        </w:rPr>
        <w:t>Military</w:t>
      </w:r>
      <w:r>
        <w:rPr>
          <w:spacing w:val="-8"/>
          <w:sz w:val="24"/>
        </w:rPr>
        <w:t> </w:t>
      </w:r>
      <w:r>
        <w:rPr>
          <w:sz w:val="24"/>
        </w:rPr>
        <w:t>involvement in Internal Security operations increased with the ushering in of democratic governance</w:t>
      </w:r>
      <w:r>
        <w:rPr>
          <w:spacing w:val="-2"/>
          <w:sz w:val="24"/>
        </w:rPr>
        <w:t> </w:t>
      </w:r>
      <w:r>
        <w:rPr>
          <w:sz w:val="24"/>
        </w:rPr>
        <w:t>in</w:t>
      </w:r>
      <w:r>
        <w:rPr>
          <w:spacing w:val="-1"/>
          <w:sz w:val="24"/>
        </w:rPr>
        <w:t> </w:t>
      </w:r>
      <w:r>
        <w:rPr>
          <w:sz w:val="24"/>
        </w:rPr>
        <w:t>1999</w:t>
      </w:r>
      <w:r>
        <w:rPr>
          <w:spacing w:val="-1"/>
          <w:sz w:val="24"/>
        </w:rPr>
        <w:t> </w:t>
      </w:r>
      <w:r>
        <w:rPr>
          <w:sz w:val="24"/>
        </w:rPr>
        <w:t>due</w:t>
      </w:r>
      <w:r>
        <w:rPr>
          <w:spacing w:val="-1"/>
          <w:sz w:val="24"/>
        </w:rPr>
        <w:t> </w:t>
      </w:r>
      <w:r>
        <w:rPr>
          <w:sz w:val="24"/>
        </w:rPr>
        <w:t>to emergent</w:t>
      </w:r>
      <w:r>
        <w:rPr>
          <w:spacing w:val="-1"/>
          <w:sz w:val="24"/>
        </w:rPr>
        <w:t> </w:t>
      </w:r>
      <w:r>
        <w:rPr>
          <w:sz w:val="24"/>
        </w:rPr>
        <w:t>internal</w:t>
      </w:r>
      <w:r>
        <w:rPr>
          <w:spacing w:val="-1"/>
          <w:sz w:val="24"/>
        </w:rPr>
        <w:t> </w:t>
      </w:r>
      <w:r>
        <w:rPr>
          <w:sz w:val="24"/>
        </w:rPr>
        <w:t>security</w:t>
      </w:r>
      <w:r>
        <w:rPr>
          <w:spacing w:val="-6"/>
          <w:sz w:val="24"/>
        </w:rPr>
        <w:t> </w:t>
      </w:r>
      <w:r>
        <w:rPr>
          <w:sz w:val="24"/>
        </w:rPr>
        <w:t>conflicts</w:t>
      </w:r>
      <w:r>
        <w:rPr>
          <w:spacing w:val="-1"/>
          <w:sz w:val="24"/>
        </w:rPr>
        <w:t> </w:t>
      </w:r>
      <w:r>
        <w:rPr>
          <w:sz w:val="24"/>
        </w:rPr>
        <w:t>across</w:t>
      </w:r>
      <w:r>
        <w:rPr>
          <w:spacing w:val="-1"/>
          <w:sz w:val="24"/>
        </w:rPr>
        <w:t> </w:t>
      </w:r>
      <w:r>
        <w:rPr>
          <w:sz w:val="24"/>
        </w:rPr>
        <w:t>the</w:t>
      </w:r>
      <w:r>
        <w:rPr>
          <w:spacing w:val="-1"/>
          <w:sz w:val="24"/>
        </w:rPr>
        <w:t> </w:t>
      </w:r>
      <w:r>
        <w:rPr>
          <w:sz w:val="24"/>
        </w:rPr>
        <w:t>country.</w:t>
      </w:r>
    </w:p>
    <w:p>
      <w:pPr>
        <w:pStyle w:val="ListParagraph"/>
        <w:numPr>
          <w:ilvl w:val="0"/>
          <w:numId w:val="32"/>
        </w:numPr>
        <w:tabs>
          <w:tab w:pos="1860" w:val="left" w:leader="none"/>
        </w:tabs>
        <w:spacing w:line="360" w:lineRule="auto" w:before="1" w:after="0"/>
        <w:ind w:left="1860" w:right="1262" w:hanging="360"/>
        <w:jc w:val="both"/>
        <w:rPr>
          <w:sz w:val="24"/>
        </w:rPr>
      </w:pPr>
      <w:r>
        <w:rPr>
          <w:sz w:val="24"/>
        </w:rPr>
        <w:t>The</w:t>
      </w:r>
      <w:r>
        <w:rPr>
          <w:spacing w:val="-2"/>
          <w:sz w:val="24"/>
        </w:rPr>
        <w:t> </w:t>
      </w:r>
      <w:r>
        <w:rPr>
          <w:sz w:val="24"/>
        </w:rPr>
        <w:t>study</w:t>
      </w:r>
      <w:r>
        <w:rPr>
          <w:spacing w:val="-5"/>
          <w:sz w:val="24"/>
        </w:rPr>
        <w:t> </w:t>
      </w:r>
      <w:r>
        <w:rPr>
          <w:sz w:val="24"/>
        </w:rPr>
        <w:t>revealed</w:t>
      </w:r>
      <w:r>
        <w:rPr>
          <w:spacing w:val="-1"/>
          <w:sz w:val="24"/>
        </w:rPr>
        <w:t> </w:t>
      </w:r>
      <w:r>
        <w:rPr>
          <w:sz w:val="24"/>
        </w:rPr>
        <w:t>that the</w:t>
      </w:r>
      <w:r>
        <w:rPr>
          <w:spacing w:val="-1"/>
          <w:sz w:val="24"/>
        </w:rPr>
        <w:t> </w:t>
      </w:r>
      <w:r>
        <w:rPr>
          <w:sz w:val="24"/>
        </w:rPr>
        <w:t>state</w:t>
      </w:r>
      <w:r>
        <w:rPr>
          <w:spacing w:val="-1"/>
          <w:sz w:val="24"/>
        </w:rPr>
        <w:t> </w:t>
      </w:r>
      <w:r>
        <w:rPr>
          <w:sz w:val="24"/>
        </w:rPr>
        <w:t>of</w:t>
      </w:r>
      <w:r>
        <w:rPr>
          <w:spacing w:val="-1"/>
          <w:sz w:val="24"/>
        </w:rPr>
        <w:t> </w:t>
      </w:r>
      <w:r>
        <w:rPr>
          <w:sz w:val="24"/>
        </w:rPr>
        <w:t>insecurity</w:t>
      </w:r>
      <w:r>
        <w:rPr>
          <w:spacing w:val="-5"/>
          <w:sz w:val="24"/>
        </w:rPr>
        <w:t> </w:t>
      </w:r>
      <w:r>
        <w:rPr>
          <w:sz w:val="24"/>
        </w:rPr>
        <w:t>in the</w:t>
      </w:r>
      <w:r>
        <w:rPr>
          <w:spacing w:val="-1"/>
          <w:sz w:val="24"/>
        </w:rPr>
        <w:t> </w:t>
      </w:r>
      <w:r>
        <w:rPr>
          <w:sz w:val="24"/>
        </w:rPr>
        <w:t>focal States of Bayelsa,</w:t>
      </w:r>
      <w:r>
        <w:rPr>
          <w:spacing w:val="-1"/>
          <w:sz w:val="24"/>
        </w:rPr>
        <w:t> </w:t>
      </w:r>
      <w:r>
        <w:rPr>
          <w:sz w:val="24"/>
        </w:rPr>
        <w:t>Delta and Rivers constitute a serious concern.</w:t>
      </w:r>
      <w:r>
        <w:rPr>
          <w:spacing w:val="40"/>
          <w:sz w:val="24"/>
        </w:rPr>
        <w:t> </w:t>
      </w:r>
      <w:r>
        <w:rPr>
          <w:sz w:val="24"/>
        </w:rPr>
        <w:t>The violent conflict in the Niger Delta has led to the militarization of the region, with criminal armed gangs, militants and military security forces.</w:t>
      </w:r>
      <w:r>
        <w:rPr>
          <w:spacing w:val="80"/>
          <w:sz w:val="24"/>
        </w:rPr>
        <w:t> </w:t>
      </w:r>
      <w:r>
        <w:rPr>
          <w:sz w:val="24"/>
        </w:rPr>
        <w:t>The JTF has made effort at stemming the conflicts</w:t>
      </w:r>
      <w:r>
        <w:rPr>
          <w:spacing w:val="40"/>
          <w:sz w:val="24"/>
        </w:rPr>
        <w:t> </w:t>
      </w:r>
      <w:r>
        <w:rPr>
          <w:sz w:val="24"/>
        </w:rPr>
        <w:t>in the region through the use of force and occasionally, the use of dialogue and low level negotiation with little success.</w:t>
      </w:r>
    </w:p>
    <w:p>
      <w:pPr>
        <w:pStyle w:val="ListParagraph"/>
        <w:numPr>
          <w:ilvl w:val="0"/>
          <w:numId w:val="32"/>
        </w:numPr>
        <w:tabs>
          <w:tab w:pos="1860" w:val="left" w:leader="none"/>
        </w:tabs>
        <w:spacing w:line="360" w:lineRule="auto" w:before="1" w:after="0"/>
        <w:ind w:left="1860" w:right="1257" w:hanging="360"/>
        <w:jc w:val="both"/>
        <w:rPr>
          <w:sz w:val="24"/>
        </w:rPr>
      </w:pPr>
      <w:r>
        <w:rPr>
          <w:sz w:val="24"/>
        </w:rPr>
        <w:t>The mandate of JTF was found to be in tandem with the expectations of a</w:t>
      </w:r>
      <w:r>
        <w:rPr>
          <w:spacing w:val="40"/>
          <w:sz w:val="24"/>
        </w:rPr>
        <w:t> </w:t>
      </w:r>
      <w:r>
        <w:rPr>
          <w:sz w:val="24"/>
        </w:rPr>
        <w:t>Military Operations Other Than War.</w:t>
      </w:r>
      <w:r>
        <w:rPr>
          <w:spacing w:val="40"/>
          <w:sz w:val="24"/>
        </w:rPr>
        <w:t> </w:t>
      </w:r>
      <w:r>
        <w:rPr>
          <w:sz w:val="24"/>
        </w:rPr>
        <w:t>It was expected to use force to make the Niger Delta region safe for oil exploitation.</w:t>
      </w:r>
      <w:r>
        <w:rPr>
          <w:spacing w:val="40"/>
          <w:sz w:val="24"/>
        </w:rPr>
        <w:t> </w:t>
      </w:r>
      <w:r>
        <w:rPr>
          <w:sz w:val="24"/>
        </w:rPr>
        <w:t>The mission has two flanks: Operation RESTORE HOPE which started in 2003 and Operation FLUSHOUT III which commenced in 2004 in Warri and Port Harcourt respectively.</w:t>
      </w:r>
      <w:r>
        <w:rPr>
          <w:spacing w:val="40"/>
          <w:sz w:val="24"/>
        </w:rPr>
        <w:t> </w:t>
      </w:r>
      <w:r>
        <w:rPr>
          <w:sz w:val="24"/>
        </w:rPr>
        <w:t>The two operations were merge into one in 2009 for efficiency</w:t>
      </w:r>
      <w:r>
        <w:rPr>
          <w:spacing w:val="-1"/>
          <w:sz w:val="24"/>
        </w:rPr>
        <w:t> </w:t>
      </w:r>
      <w:r>
        <w:rPr>
          <w:sz w:val="24"/>
        </w:rPr>
        <w:t>and judicious utilization of available resources.</w:t>
      </w:r>
    </w:p>
    <w:p>
      <w:pPr>
        <w:pStyle w:val="ListParagraph"/>
        <w:numPr>
          <w:ilvl w:val="0"/>
          <w:numId w:val="32"/>
        </w:numPr>
        <w:tabs>
          <w:tab w:pos="1860" w:val="left" w:leader="none"/>
        </w:tabs>
        <w:spacing w:line="360" w:lineRule="auto" w:before="0" w:after="0"/>
        <w:ind w:left="1860" w:right="1254" w:hanging="360"/>
        <w:jc w:val="both"/>
        <w:rPr>
          <w:sz w:val="24"/>
        </w:rPr>
      </w:pPr>
      <w:r>
        <w:rPr>
          <w:sz w:val="24"/>
        </w:rPr>
        <w:t>The study discovers that the JTF was not specially trained for the riverine operations it carried out and was not adequately equipped and maintained to engage in asymmetrical warfare, curb militancy and Small Arms and Light Weapons (SALW) proliferation.</w:t>
      </w:r>
      <w:r>
        <w:rPr>
          <w:spacing w:val="40"/>
          <w:sz w:val="24"/>
        </w:rPr>
        <w:t> </w:t>
      </w:r>
      <w:r>
        <w:rPr>
          <w:sz w:val="24"/>
        </w:rPr>
        <w:t>The study further reveals lack of interagency collaboration amongst security agencies, CSOs and community leaders.</w:t>
      </w:r>
    </w:p>
    <w:p>
      <w:pPr>
        <w:spacing w:after="0" w:line="360" w:lineRule="auto"/>
        <w:jc w:val="both"/>
        <w:rPr>
          <w:sz w:val="24"/>
        </w:rPr>
        <w:sectPr>
          <w:pgSz w:w="11910" w:h="16840"/>
          <w:pgMar w:header="0" w:footer="1561" w:top="1360" w:bottom="1760" w:left="720" w:right="180"/>
        </w:sectPr>
      </w:pPr>
    </w:p>
    <w:p>
      <w:pPr>
        <w:pStyle w:val="ListParagraph"/>
        <w:numPr>
          <w:ilvl w:val="0"/>
          <w:numId w:val="32"/>
        </w:numPr>
        <w:tabs>
          <w:tab w:pos="1860" w:val="left" w:leader="none"/>
        </w:tabs>
        <w:spacing w:line="360" w:lineRule="auto" w:before="60" w:after="0"/>
        <w:ind w:left="1860" w:right="1259" w:hanging="360"/>
        <w:jc w:val="both"/>
        <w:rPr>
          <w:sz w:val="24"/>
        </w:rPr>
      </w:pPr>
      <w:r>
        <w:rPr/>
        <mc:AlternateContent>
          <mc:Choice Requires="wps">
            <w:drawing>
              <wp:anchor distT="0" distB="0" distL="0" distR="0" allowOverlap="1" layoutInCell="1" locked="0" behindDoc="1" simplePos="0" relativeHeight="480694784">
                <wp:simplePos x="0" y="0"/>
                <wp:positionH relativeFrom="page">
                  <wp:posOffset>-1537026</wp:posOffset>
                </wp:positionH>
                <wp:positionV relativeFrom="page">
                  <wp:posOffset>4900424</wp:posOffset>
                </wp:positionV>
                <wp:extent cx="10669905" cy="914400"/>
                <wp:effectExtent l="0" t="0" r="0" b="0"/>
                <wp:wrapNone/>
                <wp:docPr id="365" name="Textbox 365"/>
                <wp:cNvGraphicFramePr>
                  <a:graphicFrameLocks/>
                </wp:cNvGraphicFramePr>
                <a:graphic>
                  <a:graphicData uri="http://schemas.microsoft.com/office/word/2010/wordprocessingShape">
                    <wps:wsp>
                      <wps:cNvPr id="365" name="Textbox 365"/>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21696;rotation:306" type="#_x0000_t136" fillcolor="#ff5400" stroked="f">
                <o:extrusion v:ext="view" autorotationcenter="t"/>
                <v:textpath style="font-family:&quot;Arial MT&quot;;font-size:72pt;v-text-kern:t;mso-text-shadow:auto" string="UNIVERSITY OF IBADAN"/>
                <w10:wrap type="none"/>
              </v:shape>
            </w:pict>
          </mc:Fallback>
        </mc:AlternateContent>
      </w:r>
      <w:r>
        <w:rPr>
          <w:sz w:val="24"/>
        </w:rPr>
        <w:t>Tainted public perception of the Niger Delta crisis as well as the inability of the JTF to factor in stakeholders‟ needs, fears, prejudices and nuances in their operations accounted for the little success of the force.</w:t>
      </w:r>
      <w:r>
        <w:rPr>
          <w:spacing w:val="40"/>
          <w:sz w:val="24"/>
        </w:rPr>
        <w:t> </w:t>
      </w:r>
      <w:r>
        <w:rPr>
          <w:sz w:val="24"/>
        </w:rPr>
        <w:t>There is also the issue of intelligence failure poor intelligence gathering</w:t>
      </w:r>
      <w:r>
        <w:rPr>
          <w:spacing w:val="-1"/>
          <w:sz w:val="24"/>
        </w:rPr>
        <w:t> </w:t>
      </w:r>
      <w:r>
        <w:rPr>
          <w:sz w:val="24"/>
        </w:rPr>
        <w:t>restricts the JTF</w:t>
      </w:r>
      <w:r>
        <w:rPr>
          <w:spacing w:val="-1"/>
          <w:sz w:val="24"/>
        </w:rPr>
        <w:t> </w:t>
      </w:r>
      <w:r>
        <w:rPr>
          <w:sz w:val="24"/>
        </w:rPr>
        <w:t>to respond mostly to militant attacks rather than being proactive.</w:t>
      </w:r>
    </w:p>
    <w:p>
      <w:pPr>
        <w:pStyle w:val="BodyText"/>
        <w:spacing w:line="360" w:lineRule="auto"/>
        <w:ind w:left="1860" w:right="1257"/>
        <w:jc w:val="both"/>
      </w:pPr>
      <w:r>
        <w:rPr/>
        <w:t>A combination of these factors has hampered operational efficiency of</w:t>
      </w:r>
      <w:r>
        <w:rPr>
          <w:spacing w:val="80"/>
        </w:rPr>
        <w:t> </w:t>
      </w:r>
      <w:r>
        <w:rPr/>
        <w:t>conducting military operations in the Niger Delta.</w:t>
      </w:r>
    </w:p>
    <w:p>
      <w:pPr>
        <w:pStyle w:val="ListParagraph"/>
        <w:numPr>
          <w:ilvl w:val="0"/>
          <w:numId w:val="32"/>
        </w:numPr>
        <w:tabs>
          <w:tab w:pos="1860" w:val="left" w:leader="none"/>
        </w:tabs>
        <w:spacing w:line="360" w:lineRule="auto" w:before="0" w:after="0"/>
        <w:ind w:left="1860" w:right="1258" w:hanging="360"/>
        <w:jc w:val="both"/>
        <w:rPr>
          <w:sz w:val="24"/>
        </w:rPr>
      </w:pPr>
      <w:r>
        <w:rPr>
          <w:spacing w:val="-2"/>
          <w:sz w:val="24"/>
        </w:rPr>
        <w:t> </w:t>
      </w:r>
      <w:r>
        <w:rPr>
          <w:sz w:val="24"/>
        </w:rPr>
        <w:t>Hence, it was difficult for JTF to achieve its goals.</w:t>
      </w:r>
      <w:r>
        <w:rPr>
          <w:spacing w:val="40"/>
          <w:sz w:val="24"/>
        </w:rPr>
        <w:t> </w:t>
      </w:r>
      <w:r>
        <w:rPr>
          <w:sz w:val="24"/>
        </w:rPr>
        <w:t>Instead, it caused collateral damages to communities and is perceived to have caused “new” Niger Delta problem.</w:t>
      </w:r>
      <w:r>
        <w:rPr>
          <w:spacing w:val="40"/>
          <w:sz w:val="24"/>
        </w:rPr>
        <w:t> </w:t>
      </w:r>
      <w:r>
        <w:rPr>
          <w:sz w:val="24"/>
        </w:rPr>
        <w:t>Collusion of the community</w:t>
      </w:r>
      <w:r>
        <w:rPr>
          <w:spacing w:val="-6"/>
          <w:sz w:val="24"/>
        </w:rPr>
        <w:t> </w:t>
      </w:r>
      <w:r>
        <w:rPr>
          <w:sz w:val="24"/>
        </w:rPr>
        <w:t>members and the militant youths led to the death of several JTF operatives.</w:t>
      </w:r>
    </w:p>
    <w:p>
      <w:pPr>
        <w:pStyle w:val="ListParagraph"/>
        <w:numPr>
          <w:ilvl w:val="0"/>
          <w:numId w:val="32"/>
        </w:numPr>
        <w:tabs>
          <w:tab w:pos="1860" w:val="left" w:leader="none"/>
        </w:tabs>
        <w:spacing w:line="360" w:lineRule="auto" w:before="1" w:after="0"/>
        <w:ind w:left="1860" w:right="1260" w:hanging="360"/>
        <w:jc w:val="both"/>
        <w:rPr>
          <w:sz w:val="24"/>
        </w:rPr>
      </w:pPr>
      <w:r>
        <w:rPr>
          <w:spacing w:val="-2"/>
          <w:sz w:val="24"/>
        </w:rPr>
        <w:t> </w:t>
      </w:r>
      <w:r>
        <w:rPr>
          <w:sz w:val="24"/>
        </w:rPr>
        <w:t>As revealed from the study, the youth play critical roles in the Niger Delta conflicts.</w:t>
      </w:r>
      <w:r>
        <w:rPr>
          <w:spacing w:val="40"/>
          <w:sz w:val="24"/>
        </w:rPr>
        <w:t> </w:t>
      </w:r>
      <w:r>
        <w:rPr>
          <w:sz w:val="24"/>
        </w:rPr>
        <w:t>It was concluded that the government cannot effectively tackle the menace of crime and militancy, illegal, oil bunkering, arms proliferation amongst other socio-economic vices without properly</w:t>
      </w:r>
      <w:r>
        <w:rPr>
          <w:spacing w:val="-1"/>
          <w:sz w:val="24"/>
        </w:rPr>
        <w:t> </w:t>
      </w:r>
      <w:r>
        <w:rPr>
          <w:sz w:val="24"/>
        </w:rPr>
        <w:t>addressing the issues of poverty</w:t>
      </w:r>
      <w:r>
        <w:rPr>
          <w:spacing w:val="-1"/>
          <w:sz w:val="24"/>
        </w:rPr>
        <w:t> </w:t>
      </w:r>
      <w:r>
        <w:rPr>
          <w:sz w:val="24"/>
        </w:rPr>
        <w:t>and youths</w:t>
      </w:r>
      <w:r>
        <w:rPr>
          <w:spacing w:val="-1"/>
          <w:sz w:val="24"/>
        </w:rPr>
        <w:t> </w:t>
      </w:r>
      <w:r>
        <w:rPr>
          <w:sz w:val="24"/>
        </w:rPr>
        <w:t>unemployment.</w:t>
      </w:r>
      <w:r>
        <w:rPr>
          <w:spacing w:val="40"/>
          <w:sz w:val="24"/>
        </w:rPr>
        <w:t> </w:t>
      </w:r>
      <w:r>
        <w:rPr>
          <w:sz w:val="24"/>
        </w:rPr>
        <w:t>The</w:t>
      </w:r>
      <w:r>
        <w:rPr>
          <w:spacing w:val="-3"/>
          <w:sz w:val="24"/>
        </w:rPr>
        <w:t> </w:t>
      </w:r>
      <w:r>
        <w:rPr>
          <w:sz w:val="24"/>
        </w:rPr>
        <w:t>JTF</w:t>
      </w:r>
      <w:r>
        <w:rPr>
          <w:spacing w:val="-3"/>
          <w:sz w:val="24"/>
        </w:rPr>
        <w:t> </w:t>
      </w:r>
      <w:r>
        <w:rPr>
          <w:sz w:val="24"/>
        </w:rPr>
        <w:t>has</w:t>
      </w:r>
      <w:r>
        <w:rPr>
          <w:spacing w:val="-1"/>
          <w:sz w:val="24"/>
        </w:rPr>
        <w:t> </w:t>
      </w:r>
      <w:r>
        <w:rPr>
          <w:sz w:val="24"/>
        </w:rPr>
        <w:t>failed</w:t>
      </w:r>
      <w:r>
        <w:rPr>
          <w:spacing w:val="-1"/>
          <w:sz w:val="24"/>
        </w:rPr>
        <w:t> </w:t>
      </w:r>
      <w:r>
        <w:rPr>
          <w:sz w:val="24"/>
        </w:rPr>
        <w:t>to</w:t>
      </w:r>
      <w:r>
        <w:rPr>
          <w:spacing w:val="-1"/>
          <w:sz w:val="24"/>
        </w:rPr>
        <w:t> </w:t>
      </w:r>
      <w:r>
        <w:rPr>
          <w:sz w:val="24"/>
        </w:rPr>
        <w:t>arrest</w:t>
      </w:r>
      <w:r>
        <w:rPr>
          <w:spacing w:val="-1"/>
          <w:sz w:val="24"/>
        </w:rPr>
        <w:t> </w:t>
      </w:r>
      <w:r>
        <w:rPr>
          <w:sz w:val="24"/>
        </w:rPr>
        <w:t>the</w:t>
      </w:r>
      <w:r>
        <w:rPr>
          <w:spacing w:val="-2"/>
          <w:sz w:val="24"/>
        </w:rPr>
        <w:t> </w:t>
      </w:r>
      <w:r>
        <w:rPr>
          <w:sz w:val="24"/>
        </w:rPr>
        <w:t>insecurity</w:t>
      </w:r>
      <w:r>
        <w:rPr>
          <w:spacing w:val="-6"/>
          <w:sz w:val="24"/>
        </w:rPr>
        <w:t> </w:t>
      </w:r>
      <w:r>
        <w:rPr>
          <w:sz w:val="24"/>
        </w:rPr>
        <w:t>problems</w:t>
      </w:r>
      <w:r>
        <w:rPr>
          <w:spacing w:val="-1"/>
          <w:sz w:val="24"/>
        </w:rPr>
        <w:t> </w:t>
      </w:r>
      <w:r>
        <w:rPr>
          <w:sz w:val="24"/>
        </w:rPr>
        <w:t>in</w:t>
      </w:r>
      <w:r>
        <w:rPr>
          <w:spacing w:val="-1"/>
          <w:sz w:val="24"/>
        </w:rPr>
        <w:t> </w:t>
      </w:r>
      <w:r>
        <w:rPr>
          <w:sz w:val="24"/>
        </w:rPr>
        <w:t>the </w:t>
      </w:r>
      <w:r>
        <w:rPr>
          <w:spacing w:val="-2"/>
          <w:sz w:val="24"/>
        </w:rPr>
        <w:t>region.</w:t>
      </w:r>
    </w:p>
    <w:p>
      <w:pPr>
        <w:pStyle w:val="BodyText"/>
        <w:spacing w:before="4"/>
        <w:ind w:left="0"/>
      </w:pPr>
    </w:p>
    <w:p>
      <w:pPr>
        <w:pStyle w:val="Heading1"/>
        <w:numPr>
          <w:ilvl w:val="1"/>
          <w:numId w:val="31"/>
        </w:numPr>
        <w:tabs>
          <w:tab w:pos="2160" w:val="left" w:leader="none"/>
        </w:tabs>
        <w:spacing w:line="240" w:lineRule="auto" w:before="1" w:after="0"/>
        <w:ind w:left="2160" w:right="0" w:hanging="720"/>
        <w:jc w:val="left"/>
      </w:pPr>
      <w:bookmarkStart w:name="_TOC_250000" w:id="42"/>
      <w:bookmarkEnd w:id="42"/>
      <w:r>
        <w:rPr>
          <w:spacing w:val="-2"/>
        </w:rPr>
        <w:t>RECOMMENDATIONS</w:t>
      </w:r>
    </w:p>
    <w:p>
      <w:pPr>
        <w:pStyle w:val="BodyText"/>
        <w:spacing w:line="360" w:lineRule="auto" w:before="134"/>
        <w:ind w:right="1259" w:firstLine="720"/>
        <w:jc w:val="both"/>
      </w:pPr>
      <w:r>
        <w:rPr/>
        <w:t>In the light of the above findings and conclusions, the following recommendations are made:</w:t>
      </w:r>
    </w:p>
    <w:p>
      <w:pPr>
        <w:pStyle w:val="ListParagraph"/>
        <w:numPr>
          <w:ilvl w:val="2"/>
          <w:numId w:val="31"/>
        </w:numPr>
        <w:tabs>
          <w:tab w:pos="2071" w:val="left" w:leader="none"/>
        </w:tabs>
        <w:spacing w:line="360" w:lineRule="auto" w:before="1" w:after="0"/>
        <w:ind w:left="2071" w:right="1255" w:hanging="540"/>
        <w:jc w:val="both"/>
        <w:rPr>
          <w:sz w:val="24"/>
        </w:rPr>
      </w:pPr>
      <w:r>
        <w:rPr>
          <w:sz w:val="24"/>
        </w:rPr>
        <w:t>The Federal Government should provide the military with new platforms and improved logistics, review the JTFs mandate, and genuinely embark on weapon-return amnesty programmes for Disarmament, Demobilization and Reintegration (DDR) of militants.</w:t>
      </w:r>
    </w:p>
    <w:p>
      <w:pPr>
        <w:pStyle w:val="ListParagraph"/>
        <w:numPr>
          <w:ilvl w:val="2"/>
          <w:numId w:val="31"/>
        </w:numPr>
        <w:tabs>
          <w:tab w:pos="2071" w:val="left" w:leader="none"/>
        </w:tabs>
        <w:spacing w:line="360" w:lineRule="auto" w:before="0" w:after="0"/>
        <w:ind w:left="2071" w:right="1253" w:hanging="632"/>
        <w:jc w:val="both"/>
        <w:rPr>
          <w:sz w:val="24"/>
        </w:rPr>
      </w:pPr>
      <w:r>
        <w:rPr>
          <w:sz w:val="24"/>
        </w:rPr>
        <w:t>The Federal Government should embark on massive socio-economic development of the Niger Delta region.</w:t>
      </w:r>
    </w:p>
    <w:p>
      <w:pPr>
        <w:pStyle w:val="ListParagraph"/>
        <w:numPr>
          <w:ilvl w:val="2"/>
          <w:numId w:val="31"/>
        </w:numPr>
        <w:tabs>
          <w:tab w:pos="2071" w:val="left" w:leader="none"/>
        </w:tabs>
        <w:spacing w:line="360" w:lineRule="auto" w:before="0" w:after="0"/>
        <w:ind w:left="2071" w:right="1255" w:hanging="632"/>
        <w:jc w:val="both"/>
        <w:rPr>
          <w:sz w:val="24"/>
        </w:rPr>
      </w:pPr>
      <w:r>
        <w:rPr>
          <w:sz w:val="24"/>
        </w:rPr>
        <w:t>The government at all levels should provide actionable youth employments to the Niger Delta citizens.</w:t>
      </w:r>
    </w:p>
    <w:p>
      <w:pPr>
        <w:pStyle w:val="ListParagraph"/>
        <w:numPr>
          <w:ilvl w:val="2"/>
          <w:numId w:val="31"/>
        </w:numPr>
        <w:tabs>
          <w:tab w:pos="2071" w:val="left" w:leader="none"/>
        </w:tabs>
        <w:spacing w:line="360" w:lineRule="auto" w:before="0" w:after="0"/>
        <w:ind w:left="2071" w:right="1258" w:hanging="540"/>
        <w:jc w:val="both"/>
        <w:rPr>
          <w:sz w:val="24"/>
        </w:rPr>
      </w:pPr>
      <w:r>
        <w:rPr>
          <w:sz w:val="24"/>
        </w:rPr>
        <w:t>The JTF should implement a psychological operations programme for winning the “hearts and minds” of the populace within their Area of Responsibility.</w:t>
      </w:r>
    </w:p>
    <w:p>
      <w:pPr>
        <w:pStyle w:val="ListParagraph"/>
        <w:numPr>
          <w:ilvl w:val="2"/>
          <w:numId w:val="31"/>
        </w:numPr>
        <w:tabs>
          <w:tab w:pos="2071" w:val="left" w:leader="none"/>
        </w:tabs>
        <w:spacing w:line="360" w:lineRule="auto" w:before="1" w:after="0"/>
        <w:ind w:left="2071" w:right="1254" w:hanging="540"/>
        <w:jc w:val="both"/>
        <w:rPr>
          <w:sz w:val="24"/>
        </w:rPr>
      </w:pPr>
      <w:r>
        <w:rPr>
          <w:sz w:val="24"/>
        </w:rPr>
        <w:t>The</w:t>
      </w:r>
      <w:r>
        <w:rPr>
          <w:spacing w:val="-4"/>
          <w:sz w:val="24"/>
        </w:rPr>
        <w:t> </w:t>
      </w:r>
      <w:r>
        <w:rPr>
          <w:sz w:val="24"/>
        </w:rPr>
        <w:t>Federal</w:t>
      </w:r>
      <w:r>
        <w:rPr>
          <w:spacing w:val="-2"/>
          <w:sz w:val="24"/>
        </w:rPr>
        <w:t> </w:t>
      </w:r>
      <w:r>
        <w:rPr>
          <w:sz w:val="24"/>
        </w:rPr>
        <w:t>Government should</w:t>
      </w:r>
      <w:r>
        <w:rPr>
          <w:spacing w:val="-2"/>
          <w:sz w:val="24"/>
        </w:rPr>
        <w:t> </w:t>
      </w:r>
      <w:r>
        <w:rPr>
          <w:sz w:val="24"/>
        </w:rPr>
        <w:t>embark</w:t>
      </w:r>
      <w:r>
        <w:rPr>
          <w:spacing w:val="-2"/>
          <w:sz w:val="24"/>
        </w:rPr>
        <w:t> </w:t>
      </w:r>
      <w:r>
        <w:rPr>
          <w:sz w:val="24"/>
        </w:rPr>
        <w:t>on</w:t>
      </w:r>
      <w:r>
        <w:rPr>
          <w:spacing w:val="-2"/>
          <w:sz w:val="24"/>
        </w:rPr>
        <w:t> </w:t>
      </w:r>
      <w:r>
        <w:rPr>
          <w:sz w:val="24"/>
        </w:rPr>
        <w:t>re-orientation</w:t>
      </w:r>
      <w:r>
        <w:rPr>
          <w:spacing w:val="-2"/>
          <w:sz w:val="24"/>
        </w:rPr>
        <w:t> </w:t>
      </w:r>
      <w:r>
        <w:rPr>
          <w:sz w:val="24"/>
        </w:rPr>
        <w:t>and</w:t>
      </w:r>
      <w:r>
        <w:rPr>
          <w:spacing w:val="-2"/>
          <w:sz w:val="24"/>
        </w:rPr>
        <w:t> </w:t>
      </w:r>
      <w:r>
        <w:rPr>
          <w:sz w:val="24"/>
        </w:rPr>
        <w:t>empowerment</w:t>
      </w:r>
      <w:r>
        <w:rPr>
          <w:spacing w:val="-2"/>
          <w:sz w:val="24"/>
        </w:rPr>
        <w:t> </w:t>
      </w:r>
      <w:r>
        <w:rPr>
          <w:sz w:val="24"/>
        </w:rPr>
        <w:t>of the Niger Delta restive youths.</w:t>
      </w:r>
    </w:p>
    <w:p>
      <w:pPr>
        <w:spacing w:after="0" w:line="360" w:lineRule="auto"/>
        <w:jc w:val="both"/>
        <w:rPr>
          <w:sz w:val="24"/>
        </w:rPr>
        <w:sectPr>
          <w:pgSz w:w="11910" w:h="16840"/>
          <w:pgMar w:header="0" w:footer="1561" w:top="1360" w:bottom="1760" w:left="720" w:right="180"/>
        </w:sectPr>
      </w:pPr>
    </w:p>
    <w:p>
      <w:pPr>
        <w:pStyle w:val="ListParagraph"/>
        <w:numPr>
          <w:ilvl w:val="2"/>
          <w:numId w:val="31"/>
        </w:numPr>
        <w:tabs>
          <w:tab w:pos="2071" w:val="left" w:leader="none"/>
        </w:tabs>
        <w:spacing w:line="360" w:lineRule="auto" w:before="60" w:after="0"/>
        <w:ind w:left="2071" w:right="1256" w:hanging="540"/>
        <w:jc w:val="both"/>
        <w:rPr>
          <w:sz w:val="24"/>
        </w:rPr>
      </w:pPr>
      <w:r>
        <w:rPr/>
        <mc:AlternateContent>
          <mc:Choice Requires="wps">
            <w:drawing>
              <wp:anchor distT="0" distB="0" distL="0" distR="0" allowOverlap="1" layoutInCell="1" locked="0" behindDoc="1" simplePos="0" relativeHeight="480695296">
                <wp:simplePos x="0" y="0"/>
                <wp:positionH relativeFrom="page">
                  <wp:posOffset>-1537026</wp:posOffset>
                </wp:positionH>
                <wp:positionV relativeFrom="page">
                  <wp:posOffset>4900424</wp:posOffset>
                </wp:positionV>
                <wp:extent cx="10669905" cy="914400"/>
                <wp:effectExtent l="0" t="0" r="0" b="0"/>
                <wp:wrapNone/>
                <wp:docPr id="366" name="Textbox 366"/>
                <wp:cNvGraphicFramePr>
                  <a:graphicFrameLocks/>
                </wp:cNvGraphicFramePr>
                <a:graphic>
                  <a:graphicData uri="http://schemas.microsoft.com/office/word/2010/wordprocessingShape">
                    <wps:wsp>
                      <wps:cNvPr id="366" name="Textbox 366"/>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21184;rotation:306" type="#_x0000_t136" fillcolor="#ff5400" stroked="f">
                <o:extrusion v:ext="view" autorotationcenter="t"/>
                <v:textpath style="font-family:&quot;Arial MT&quot;;font-size:72pt;v-text-kern:t;mso-text-shadow:auto" string="UNIVERSITY OF IBADAN"/>
                <w10:wrap type="none"/>
              </v:shape>
            </w:pict>
          </mc:Fallback>
        </mc:AlternateContent>
      </w:r>
      <w:r>
        <w:rPr>
          <w:spacing w:val="-3"/>
          <w:sz w:val="24"/>
        </w:rPr>
        <w:t> </w:t>
      </w:r>
      <w:r>
        <w:rPr>
          <w:sz w:val="24"/>
        </w:rPr>
        <w:t>​The</w:t>
      </w:r>
      <w:r>
        <w:rPr>
          <w:spacing w:val="-4"/>
          <w:sz w:val="24"/>
        </w:rPr>
        <w:t> </w:t>
      </w:r>
      <w:r>
        <w:rPr>
          <w:sz w:val="24"/>
        </w:rPr>
        <w:t>Federal</w:t>
      </w:r>
      <w:r>
        <w:rPr>
          <w:spacing w:val="-3"/>
          <w:sz w:val="24"/>
        </w:rPr>
        <w:t> </w:t>
      </w:r>
      <w:r>
        <w:rPr>
          <w:sz w:val="24"/>
        </w:rPr>
        <w:t>Government</w:t>
      </w:r>
      <w:r>
        <w:rPr>
          <w:spacing w:val="-3"/>
          <w:sz w:val="24"/>
        </w:rPr>
        <w:t> </w:t>
      </w:r>
      <w:r>
        <w:rPr>
          <w:sz w:val="24"/>
        </w:rPr>
        <w:t>should</w:t>
      </w:r>
      <w:r>
        <w:rPr>
          <w:spacing w:val="-3"/>
          <w:sz w:val="24"/>
        </w:rPr>
        <w:t> </w:t>
      </w:r>
      <w:r>
        <w:rPr>
          <w:sz w:val="24"/>
        </w:rPr>
        <w:t>ensure</w:t>
      </w:r>
      <w:r>
        <w:rPr>
          <w:spacing w:val="-4"/>
          <w:sz w:val="24"/>
        </w:rPr>
        <w:t> </w:t>
      </w:r>
      <w:r>
        <w:rPr>
          <w:sz w:val="24"/>
        </w:rPr>
        <w:t>proper</w:t>
      </w:r>
      <w:r>
        <w:rPr>
          <w:spacing w:val="-3"/>
          <w:sz w:val="24"/>
        </w:rPr>
        <w:t> </w:t>
      </w:r>
      <w:r>
        <w:rPr>
          <w:sz w:val="24"/>
        </w:rPr>
        <w:t>inter-agency</w:t>
      </w:r>
      <w:r>
        <w:rPr>
          <w:spacing w:val="-6"/>
          <w:sz w:val="24"/>
        </w:rPr>
        <w:t> </w:t>
      </w:r>
      <w:r>
        <w:rPr>
          <w:sz w:val="24"/>
        </w:rPr>
        <w:t>collaboration</w:t>
      </w:r>
      <w:r>
        <w:rPr>
          <w:spacing w:val="-3"/>
          <w:sz w:val="24"/>
        </w:rPr>
        <w:t> </w:t>
      </w:r>
      <w:r>
        <w:rPr>
          <w:sz w:val="24"/>
        </w:rPr>
        <w:t>of</w:t>
      </w:r>
      <w:r>
        <w:rPr>
          <w:spacing w:val="-3"/>
          <w:sz w:val="24"/>
        </w:rPr>
        <w:t> </w:t>
      </w:r>
      <w:r>
        <w:rPr>
          <w:sz w:val="24"/>
        </w:rPr>
        <w:t>its security outfits.</w:t>
      </w:r>
    </w:p>
    <w:p>
      <w:pPr>
        <w:pStyle w:val="ListParagraph"/>
        <w:numPr>
          <w:ilvl w:val="2"/>
          <w:numId w:val="31"/>
        </w:numPr>
        <w:tabs>
          <w:tab w:pos="2160" w:val="left" w:leader="none"/>
        </w:tabs>
        <w:spacing w:line="360" w:lineRule="auto" w:before="1" w:after="0"/>
        <w:ind w:left="2160" w:right="1262" w:hanging="660"/>
        <w:jc w:val="both"/>
        <w:rPr>
          <w:sz w:val="24"/>
        </w:rPr>
      </w:pPr>
      <w:r>
        <w:rPr>
          <w:sz w:val="24"/>
        </w:rPr>
        <w:t>The Federal Government should adequately fund the logistics requirements of the Military Joint Task Force operations for management of the Internal Security Operations in the Niger Delta.</w:t>
      </w:r>
    </w:p>
    <w:p>
      <w:pPr>
        <w:pStyle w:val="ListParagraph"/>
        <w:numPr>
          <w:ilvl w:val="2"/>
          <w:numId w:val="31"/>
        </w:numPr>
        <w:tabs>
          <w:tab w:pos="2160" w:val="left" w:leader="none"/>
        </w:tabs>
        <w:spacing w:line="360" w:lineRule="auto" w:before="0" w:after="0"/>
        <w:ind w:left="2160" w:right="1254" w:hanging="720"/>
        <w:jc w:val="both"/>
        <w:rPr>
          <w:sz w:val="24"/>
        </w:rPr>
      </w:pPr>
      <w:r>
        <w:rPr>
          <w:sz w:val="24"/>
        </w:rPr>
        <w:t>The Defence Headquarters should ensure the effective use of Civil-Military Co-operation in the conduct of JTF operations by the Armed Forces.</w:t>
      </w:r>
    </w:p>
    <w:p>
      <w:pPr>
        <w:pStyle w:val="ListParagraph"/>
        <w:numPr>
          <w:ilvl w:val="2"/>
          <w:numId w:val="31"/>
        </w:numPr>
        <w:tabs>
          <w:tab w:pos="2160" w:val="left" w:leader="none"/>
        </w:tabs>
        <w:spacing w:line="360" w:lineRule="auto" w:before="0" w:after="0"/>
        <w:ind w:left="2160" w:right="1256" w:hanging="660"/>
        <w:jc w:val="both"/>
        <w:rPr>
          <w:sz w:val="24"/>
        </w:rPr>
      </w:pPr>
      <w:r>
        <w:rPr>
          <w:sz w:val="24"/>
        </w:rPr>
        <w:t>The Defence Headquarters should ensure adequate special operations training for the Nigerian Armed Forces troops engaged in Internal Security operations in the Niger Delta.</w:t>
      </w:r>
    </w:p>
    <w:p>
      <w:pPr>
        <w:pStyle w:val="ListParagraph"/>
        <w:numPr>
          <w:ilvl w:val="2"/>
          <w:numId w:val="31"/>
        </w:numPr>
        <w:tabs>
          <w:tab w:pos="2160" w:val="left" w:leader="none"/>
        </w:tabs>
        <w:spacing w:line="360" w:lineRule="auto" w:before="241" w:after="0"/>
        <w:ind w:left="2160" w:right="1257" w:hanging="720"/>
        <w:jc w:val="both"/>
        <w:rPr>
          <w:sz w:val="24"/>
        </w:rPr>
      </w:pPr>
      <w:r>
        <w:rPr>
          <w:sz w:val="24"/>
        </w:rPr>
        <w:t>The Defence Headquarters should provide a standardized Standing Operating Procedures (SOP) for the JTF.</w:t>
      </w:r>
    </w:p>
    <w:p>
      <w:pPr>
        <w:pStyle w:val="ListParagraph"/>
        <w:numPr>
          <w:ilvl w:val="2"/>
          <w:numId w:val="31"/>
        </w:numPr>
        <w:tabs>
          <w:tab w:pos="2113" w:val="left" w:leader="none"/>
          <w:tab w:pos="2160" w:val="left" w:leader="none"/>
        </w:tabs>
        <w:spacing w:line="360" w:lineRule="auto" w:before="199" w:after="0"/>
        <w:ind w:left="2160" w:right="1257" w:hanging="720"/>
        <w:jc w:val="both"/>
        <w:rPr>
          <w:sz w:val="24"/>
        </w:rPr>
      </w:pPr>
      <w:r>
        <w:rPr>
          <w:sz w:val="24"/>
        </w:rPr>
        <w:t>The Federal Government should provide the Time Frame to end the JTF operation and military to return to the barracks.</w:t>
      </w:r>
    </w:p>
    <w:p>
      <w:pPr>
        <w:spacing w:after="0" w:line="360" w:lineRule="auto"/>
        <w:jc w:val="both"/>
        <w:rPr>
          <w:sz w:val="24"/>
        </w:rPr>
        <w:sectPr>
          <w:pgSz w:w="11910" w:h="16840"/>
          <w:pgMar w:header="0" w:footer="1561" w:top="1360" w:bottom="1760" w:left="720" w:right="180"/>
        </w:sectPr>
      </w:pPr>
    </w:p>
    <w:p>
      <w:pPr>
        <w:pStyle w:val="BodyText"/>
        <w:spacing w:before="57"/>
        <w:ind w:left="0"/>
      </w:pPr>
      <w:r>
        <w:rPr/>
        <mc:AlternateContent>
          <mc:Choice Requires="wps">
            <w:drawing>
              <wp:anchor distT="0" distB="0" distL="0" distR="0" allowOverlap="1" layoutInCell="1" locked="0" behindDoc="1" simplePos="0" relativeHeight="480695808">
                <wp:simplePos x="0" y="0"/>
                <wp:positionH relativeFrom="page">
                  <wp:posOffset>-1537026</wp:posOffset>
                </wp:positionH>
                <wp:positionV relativeFrom="page">
                  <wp:posOffset>4900424</wp:posOffset>
                </wp:positionV>
                <wp:extent cx="10669905" cy="914400"/>
                <wp:effectExtent l="0" t="0" r="0" b="0"/>
                <wp:wrapNone/>
                <wp:docPr id="367" name="Textbox 367"/>
                <wp:cNvGraphicFramePr>
                  <a:graphicFrameLocks/>
                </wp:cNvGraphicFramePr>
                <a:graphic>
                  <a:graphicData uri="http://schemas.microsoft.com/office/word/2010/wordprocessingShape">
                    <wps:wsp>
                      <wps:cNvPr id="367" name="Textbox 367"/>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20672;rotation:306" type="#_x0000_t136" fillcolor="#ff5400" stroked="f">
                <o:extrusion v:ext="view" autorotationcenter="t"/>
                <v:textpath style="font-family:&quot;Arial MT&quot;;font-size:72pt;v-text-kern:t;mso-text-shadow:auto" string="UNIVERSITY OF IBADAN"/>
                <w10:wrap type="none"/>
              </v:shape>
            </w:pict>
          </mc:Fallback>
        </mc:AlternateContent>
      </w:r>
    </w:p>
    <w:p>
      <w:pPr>
        <w:pStyle w:val="Heading1"/>
        <w:spacing w:before="1"/>
        <w:ind w:left="1480" w:right="1304"/>
        <w:jc w:val="center"/>
      </w:pPr>
      <w:r>
        <w:rPr>
          <w:spacing w:val="-2"/>
        </w:rPr>
        <w:t>BIBLIOGRAPHY</w:t>
      </w:r>
    </w:p>
    <w:p>
      <w:pPr>
        <w:pStyle w:val="BodyText"/>
        <w:spacing w:before="129"/>
      </w:pPr>
      <w:r>
        <w:rPr/>
        <w:t>Aaron,</w:t>
      </w:r>
      <w:r>
        <w:rPr>
          <w:spacing w:val="-3"/>
        </w:rPr>
        <w:t> </w:t>
      </w:r>
      <w:r>
        <w:rPr/>
        <w:t>K.</w:t>
      </w:r>
      <w:r>
        <w:rPr>
          <w:spacing w:val="-1"/>
        </w:rPr>
        <w:t> </w:t>
      </w:r>
      <w:r>
        <w:rPr/>
        <w:t>K. 2008.</w:t>
      </w:r>
      <w:r>
        <w:rPr>
          <w:spacing w:val="1"/>
        </w:rPr>
        <w:t> </w:t>
      </w:r>
      <w:r>
        <w:rPr/>
        <w:t>“The</w:t>
      </w:r>
      <w:r>
        <w:rPr>
          <w:spacing w:val="-1"/>
        </w:rPr>
        <w:t> </w:t>
      </w:r>
      <w:r>
        <w:rPr/>
        <w:t>Failure</w:t>
      </w:r>
      <w:r>
        <w:rPr>
          <w:spacing w:val="-1"/>
        </w:rPr>
        <w:t> </w:t>
      </w:r>
      <w:r>
        <w:rPr/>
        <w:t>of</w:t>
      </w:r>
      <w:r>
        <w:rPr>
          <w:spacing w:val="-1"/>
        </w:rPr>
        <w:t> </w:t>
      </w:r>
      <w:r>
        <w:rPr/>
        <w:t>Corporate</w:t>
      </w:r>
      <w:r>
        <w:rPr>
          <w:spacing w:val="-1"/>
        </w:rPr>
        <w:t> </w:t>
      </w:r>
      <w:r>
        <w:rPr/>
        <w:t>Social Responsibility</w:t>
      </w:r>
      <w:r>
        <w:rPr>
          <w:spacing w:val="-9"/>
        </w:rPr>
        <w:t> </w:t>
      </w:r>
      <w:r>
        <w:rPr/>
        <w:t>in </w:t>
      </w:r>
      <w:r>
        <w:rPr>
          <w:spacing w:val="-5"/>
        </w:rPr>
        <w:t>the</w:t>
      </w:r>
    </w:p>
    <w:p>
      <w:pPr>
        <w:pStyle w:val="BodyText"/>
        <w:ind w:left="1860" w:right="1260"/>
      </w:pPr>
      <w:r>
        <w:rPr/>
        <w:t>Niger Delta: Towards A Re-interpretation”, in International Conference on the Nigerian</w:t>
      </w:r>
      <w:r>
        <w:rPr>
          <w:spacing w:val="-4"/>
        </w:rPr>
        <w:t> </w:t>
      </w:r>
      <w:r>
        <w:rPr/>
        <w:t>State,</w:t>
      </w:r>
      <w:r>
        <w:rPr>
          <w:spacing w:val="-4"/>
        </w:rPr>
        <w:t> </w:t>
      </w:r>
      <w:r>
        <w:rPr/>
        <w:t>Oil</w:t>
      </w:r>
      <w:r>
        <w:rPr>
          <w:spacing w:val="-2"/>
        </w:rPr>
        <w:t> </w:t>
      </w:r>
      <w:r>
        <w:rPr/>
        <w:t>Industry</w:t>
      </w:r>
      <w:r>
        <w:rPr>
          <w:spacing w:val="-8"/>
        </w:rPr>
        <w:t> </w:t>
      </w:r>
      <w:r>
        <w:rPr/>
        <w:t>and</w:t>
      </w:r>
      <w:r>
        <w:rPr>
          <w:spacing w:val="-4"/>
        </w:rPr>
        <w:t> </w:t>
      </w:r>
      <w:r>
        <w:rPr/>
        <w:t>the</w:t>
      </w:r>
      <w:r>
        <w:rPr>
          <w:spacing w:val="-5"/>
        </w:rPr>
        <w:t> </w:t>
      </w:r>
      <w:r>
        <w:rPr/>
        <w:t>Niger</w:t>
      </w:r>
      <w:r>
        <w:rPr>
          <w:spacing w:val="-3"/>
        </w:rPr>
        <w:t> </w:t>
      </w:r>
      <w:r>
        <w:rPr/>
        <w:t>Delta</w:t>
      </w:r>
      <w:r>
        <w:rPr>
          <w:spacing w:val="-5"/>
        </w:rPr>
        <w:t> </w:t>
      </w:r>
      <w:r>
        <w:rPr/>
        <w:t>(Conference</w:t>
      </w:r>
      <w:r>
        <w:rPr>
          <w:spacing w:val="-5"/>
        </w:rPr>
        <w:t> </w:t>
      </w:r>
      <w:r>
        <w:rPr/>
        <w:t>Proceedings),</w:t>
      </w:r>
      <w:r>
        <w:rPr>
          <w:spacing w:val="-4"/>
        </w:rPr>
        <w:t> </w:t>
      </w:r>
      <w:r>
        <w:rPr/>
        <w:t>Port Harcourt:</w:t>
      </w:r>
      <w:r>
        <w:rPr>
          <w:spacing w:val="40"/>
        </w:rPr>
        <w:t> </w:t>
      </w:r>
      <w:r>
        <w:rPr/>
        <w:t>Harey Publications Company.</w:t>
      </w:r>
    </w:p>
    <w:p>
      <w:pPr>
        <w:pStyle w:val="BodyText"/>
        <w:spacing w:before="240"/>
      </w:pPr>
      <w:r>
        <w:rPr/>
        <w:t>Abolarin,</w:t>
      </w:r>
      <w:r>
        <w:rPr>
          <w:spacing w:val="-3"/>
        </w:rPr>
        <w:t> </w:t>
      </w:r>
      <w:r>
        <w:rPr/>
        <w:t>Ade.</w:t>
      </w:r>
      <w:r>
        <w:rPr>
          <w:spacing w:val="-1"/>
        </w:rPr>
        <w:t> </w:t>
      </w:r>
      <w:r>
        <w:rPr/>
        <w:t>2011.</w:t>
      </w:r>
      <w:r>
        <w:rPr>
          <w:spacing w:val="-1"/>
        </w:rPr>
        <w:t> </w:t>
      </w:r>
      <w:r>
        <w:rPr/>
        <w:t>Pipeline</w:t>
      </w:r>
      <w:r>
        <w:rPr>
          <w:spacing w:val="-2"/>
        </w:rPr>
        <w:t> </w:t>
      </w:r>
      <w:r>
        <w:rPr/>
        <w:t>Vandalism and</w:t>
      </w:r>
      <w:r>
        <w:rPr>
          <w:spacing w:val="-1"/>
        </w:rPr>
        <w:t> </w:t>
      </w:r>
      <w:r>
        <w:rPr/>
        <w:t>Oil</w:t>
      </w:r>
      <w:r>
        <w:rPr>
          <w:spacing w:val="1"/>
        </w:rPr>
        <w:t> </w:t>
      </w:r>
      <w:r>
        <w:rPr/>
        <w:t>Scooping</w:t>
      </w:r>
      <w:r>
        <w:rPr>
          <w:spacing w:val="-3"/>
        </w:rPr>
        <w:t> </w:t>
      </w:r>
      <w:r>
        <w:rPr/>
        <w:t>in </w:t>
      </w:r>
      <w:r>
        <w:rPr>
          <w:spacing w:val="-2"/>
        </w:rPr>
        <w:t>Nigeria.</w:t>
      </w:r>
    </w:p>
    <w:p>
      <w:pPr>
        <w:spacing w:before="240"/>
        <w:ind w:left="1980" w:right="1260" w:hanging="540"/>
        <w:jc w:val="left"/>
        <w:rPr>
          <w:sz w:val="24"/>
        </w:rPr>
      </w:pPr>
      <w:r>
        <w:rPr>
          <w:sz w:val="24"/>
        </w:rPr>
        <w:t>Adedeji, A.G and Zabadi, I.S. (ed). 2005. </w:t>
      </w:r>
      <w:r>
        <w:rPr>
          <w:i/>
          <w:sz w:val="24"/>
        </w:rPr>
        <w:t>The Military and Management of Internal</w:t>
      </w:r>
      <w:r>
        <w:rPr>
          <w:i/>
          <w:spacing w:val="40"/>
          <w:sz w:val="24"/>
        </w:rPr>
        <w:t> </w:t>
      </w:r>
      <w:r>
        <w:rPr>
          <w:i/>
          <w:sz w:val="24"/>
        </w:rPr>
        <w:t>Conflict in Nigeria</w:t>
      </w:r>
      <w:r>
        <w:rPr>
          <w:sz w:val="24"/>
        </w:rPr>
        <w:t>, (Kuru: National Institute Press).</w:t>
      </w:r>
    </w:p>
    <w:p>
      <w:pPr>
        <w:pStyle w:val="BodyText"/>
        <w:spacing w:before="241"/>
        <w:ind w:left="1980" w:right="1260" w:hanging="540"/>
      </w:pPr>
      <w:r>
        <w:rPr/>
        <w:t>Akoma, U. 2004. "The State Security</w:t>
      </w:r>
      <w:r>
        <w:rPr>
          <w:spacing w:val="-4"/>
        </w:rPr>
        <w:t> </w:t>
      </w:r>
      <w:r>
        <w:rPr/>
        <w:t>Service and Management of Internal Security</w:t>
      </w:r>
      <w:r>
        <w:rPr>
          <w:spacing w:val="-4"/>
        </w:rPr>
        <w:t> </w:t>
      </w:r>
      <w:r>
        <w:rPr/>
        <w:t>in Nigeria 1999 - 2003", Research Project submitted to National War College.</w:t>
      </w:r>
    </w:p>
    <w:p>
      <w:pPr>
        <w:pStyle w:val="BodyText"/>
        <w:ind w:left="0"/>
      </w:pPr>
    </w:p>
    <w:p>
      <w:pPr>
        <w:spacing w:before="0"/>
        <w:ind w:left="1980" w:right="2080" w:hanging="540"/>
        <w:jc w:val="left"/>
        <w:rPr>
          <w:sz w:val="24"/>
        </w:rPr>
      </w:pPr>
      <w:r>
        <w:rPr>
          <w:sz w:val="24"/>
        </w:rPr>
        <w:t>Albert,</w:t>
      </w:r>
      <w:r>
        <w:rPr>
          <w:spacing w:val="-3"/>
          <w:sz w:val="24"/>
        </w:rPr>
        <w:t> </w:t>
      </w:r>
      <w:r>
        <w:rPr>
          <w:sz w:val="24"/>
        </w:rPr>
        <w:t>I.</w:t>
      </w:r>
      <w:r>
        <w:rPr>
          <w:spacing w:val="-4"/>
          <w:sz w:val="24"/>
        </w:rPr>
        <w:t> </w:t>
      </w:r>
      <w:r>
        <w:rPr>
          <w:sz w:val="24"/>
        </w:rPr>
        <w:t>O.</w:t>
      </w:r>
      <w:r>
        <w:rPr>
          <w:spacing w:val="-5"/>
          <w:sz w:val="24"/>
        </w:rPr>
        <w:t> </w:t>
      </w:r>
      <w:r>
        <w:rPr>
          <w:sz w:val="24"/>
        </w:rPr>
        <w:t>2001.</w:t>
      </w:r>
      <w:r>
        <w:rPr>
          <w:spacing w:val="-4"/>
          <w:sz w:val="24"/>
        </w:rPr>
        <w:t> </w:t>
      </w:r>
      <w:r>
        <w:rPr>
          <w:i/>
          <w:sz w:val="24"/>
        </w:rPr>
        <w:t>Introduction</w:t>
      </w:r>
      <w:r>
        <w:rPr>
          <w:i/>
          <w:spacing w:val="-4"/>
          <w:sz w:val="24"/>
        </w:rPr>
        <w:t> </w:t>
      </w:r>
      <w:r>
        <w:rPr>
          <w:i/>
          <w:sz w:val="24"/>
        </w:rPr>
        <w:t>to</w:t>
      </w:r>
      <w:r>
        <w:rPr>
          <w:i/>
          <w:spacing w:val="-4"/>
          <w:sz w:val="24"/>
        </w:rPr>
        <w:t> </w:t>
      </w:r>
      <w:r>
        <w:rPr>
          <w:i/>
          <w:sz w:val="24"/>
        </w:rPr>
        <w:t>Third-Party</w:t>
      </w:r>
      <w:r>
        <w:rPr>
          <w:i/>
          <w:spacing w:val="-4"/>
          <w:sz w:val="24"/>
        </w:rPr>
        <w:t> </w:t>
      </w:r>
      <w:r>
        <w:rPr>
          <w:i/>
          <w:sz w:val="24"/>
        </w:rPr>
        <w:t>Interventions</w:t>
      </w:r>
      <w:r>
        <w:rPr>
          <w:i/>
          <w:spacing w:val="-4"/>
          <w:sz w:val="24"/>
        </w:rPr>
        <w:t> </w:t>
      </w:r>
      <w:r>
        <w:rPr>
          <w:i/>
          <w:sz w:val="24"/>
        </w:rPr>
        <w:t>in</w:t>
      </w:r>
      <w:r>
        <w:rPr>
          <w:i/>
          <w:spacing w:val="-4"/>
          <w:sz w:val="24"/>
        </w:rPr>
        <w:t> </w:t>
      </w:r>
      <w:r>
        <w:rPr>
          <w:i/>
          <w:sz w:val="24"/>
        </w:rPr>
        <w:t>Community Conflicts. </w:t>
      </w:r>
      <w:r>
        <w:rPr>
          <w:sz w:val="24"/>
        </w:rPr>
        <w:t>(Ibadan: John Archers Publishers Ltd).</w:t>
      </w:r>
    </w:p>
    <w:p>
      <w:pPr>
        <w:pStyle w:val="BodyText"/>
        <w:ind w:left="0"/>
      </w:pPr>
    </w:p>
    <w:p>
      <w:pPr>
        <w:pStyle w:val="BodyText"/>
        <w:tabs>
          <w:tab w:pos="2040" w:val="left" w:leader="none"/>
        </w:tabs>
        <w:ind w:left="1980" w:right="1264" w:hanging="540"/>
      </w:pPr>
      <w:r>
        <w:rPr>
          <w:u w:val="single"/>
        </w:rPr>
        <w:tab/>
        <w:tab/>
      </w:r>
      <w:r>
        <w:rPr/>
        <w:t>.</w:t>
      </w:r>
      <w:r>
        <w:rPr>
          <w:spacing w:val="80"/>
        </w:rPr>
        <w:t> </w:t>
      </w:r>
      <w:r>
        <w:rPr/>
        <w:t>2003.</w:t>
      </w:r>
      <w:r>
        <w:rPr>
          <w:spacing w:val="26"/>
        </w:rPr>
        <w:t> </w:t>
      </w:r>
      <w:r>
        <w:rPr/>
        <w:t>The</w:t>
      </w:r>
      <w:r>
        <w:rPr>
          <w:spacing w:val="24"/>
        </w:rPr>
        <w:t> </w:t>
      </w:r>
      <w:r>
        <w:rPr/>
        <w:t>Odi</w:t>
      </w:r>
      <w:r>
        <w:rPr>
          <w:spacing w:val="21"/>
        </w:rPr>
        <w:t> </w:t>
      </w:r>
      <w:r>
        <w:rPr/>
        <w:t>Massacre</w:t>
      </w:r>
      <w:r>
        <w:rPr>
          <w:spacing w:val="24"/>
        </w:rPr>
        <w:t> </w:t>
      </w:r>
      <w:r>
        <w:rPr/>
        <w:t>of</w:t>
      </w:r>
      <w:r>
        <w:rPr>
          <w:spacing w:val="24"/>
        </w:rPr>
        <w:t> </w:t>
      </w:r>
      <w:r>
        <w:rPr/>
        <w:t>1999</w:t>
      </w:r>
      <w:r>
        <w:rPr>
          <w:spacing w:val="25"/>
        </w:rPr>
        <w:t> </w:t>
      </w:r>
      <w:r>
        <w:rPr/>
        <w:t>in</w:t>
      </w:r>
      <w:r>
        <w:rPr>
          <w:spacing w:val="26"/>
        </w:rPr>
        <w:t> </w:t>
      </w:r>
      <w:r>
        <w:rPr/>
        <w:t>the</w:t>
      </w:r>
      <w:r>
        <w:rPr>
          <w:spacing w:val="22"/>
        </w:rPr>
        <w:t> </w:t>
      </w:r>
      <w:r>
        <w:rPr/>
        <w:t>Context</w:t>
      </w:r>
      <w:r>
        <w:rPr>
          <w:spacing w:val="26"/>
        </w:rPr>
        <w:t> </w:t>
      </w:r>
      <w:r>
        <w:rPr/>
        <w:t>of</w:t>
      </w:r>
      <w:r>
        <w:rPr>
          <w:spacing w:val="22"/>
        </w:rPr>
        <w:t> </w:t>
      </w:r>
      <w:r>
        <w:rPr/>
        <w:t>the</w:t>
      </w:r>
      <w:r>
        <w:rPr>
          <w:spacing w:val="25"/>
        </w:rPr>
        <w:t> </w:t>
      </w:r>
      <w:r>
        <w:rPr/>
        <w:t>Graffiti</w:t>
      </w:r>
      <w:r>
        <w:rPr>
          <w:spacing w:val="26"/>
        </w:rPr>
        <w:t> </w:t>
      </w:r>
      <w:r>
        <w:rPr/>
        <w:t>Left</w:t>
      </w:r>
      <w:r>
        <w:rPr>
          <w:spacing w:val="25"/>
        </w:rPr>
        <w:t> </w:t>
      </w:r>
      <w:r>
        <w:rPr/>
        <w:t>by</w:t>
      </w:r>
      <w:r>
        <w:rPr>
          <w:spacing w:val="21"/>
        </w:rPr>
        <w:t> </w:t>
      </w:r>
      <w:r>
        <w:rPr/>
        <w:t>the Invading Nigerian Army (Ibadan: Programme on Ethnic and Federal Studies).</w:t>
      </w:r>
    </w:p>
    <w:p>
      <w:pPr>
        <w:pStyle w:val="BodyText"/>
        <w:ind w:left="0"/>
      </w:pPr>
    </w:p>
    <w:p>
      <w:pPr>
        <w:tabs>
          <w:tab w:pos="2040" w:val="left" w:leader="none"/>
        </w:tabs>
        <w:spacing w:before="0"/>
        <w:ind w:left="1980" w:right="1260" w:hanging="540"/>
        <w:jc w:val="left"/>
        <w:rPr>
          <w:sz w:val="24"/>
        </w:rPr>
      </w:pPr>
      <w:r>
        <w:rPr>
          <w:sz w:val="24"/>
          <w:u w:val="single"/>
        </w:rPr>
        <w:tab/>
        <w:tab/>
      </w:r>
      <w:r>
        <w:rPr>
          <w:sz w:val="24"/>
        </w:rPr>
        <w:t>.</w:t>
      </w:r>
      <w:r>
        <w:rPr>
          <w:spacing w:val="68"/>
          <w:sz w:val="24"/>
        </w:rPr>
        <w:t> </w:t>
      </w:r>
      <w:r>
        <w:rPr>
          <w:sz w:val="24"/>
        </w:rPr>
        <w:t>(ed),</w:t>
      </w:r>
      <w:r>
        <w:rPr>
          <w:spacing w:val="67"/>
          <w:sz w:val="24"/>
        </w:rPr>
        <w:t> </w:t>
      </w:r>
      <w:r>
        <w:rPr>
          <w:sz w:val="24"/>
        </w:rPr>
        <w:t>2005.</w:t>
      </w:r>
      <w:r>
        <w:rPr>
          <w:spacing w:val="68"/>
          <w:sz w:val="24"/>
        </w:rPr>
        <w:t> </w:t>
      </w:r>
      <w:r>
        <w:rPr>
          <w:i/>
          <w:sz w:val="24"/>
        </w:rPr>
        <w:t>Perspectives</w:t>
      </w:r>
      <w:r>
        <w:rPr>
          <w:i/>
          <w:spacing w:val="68"/>
          <w:sz w:val="24"/>
        </w:rPr>
        <w:t> </w:t>
      </w:r>
      <w:r>
        <w:rPr>
          <w:i/>
          <w:sz w:val="24"/>
        </w:rPr>
        <w:t>on</w:t>
      </w:r>
      <w:r>
        <w:rPr>
          <w:i/>
          <w:spacing w:val="67"/>
          <w:sz w:val="24"/>
        </w:rPr>
        <w:t> </w:t>
      </w:r>
      <w:r>
        <w:rPr>
          <w:i/>
          <w:sz w:val="24"/>
        </w:rPr>
        <w:t>Peace</w:t>
      </w:r>
      <w:r>
        <w:rPr>
          <w:i/>
          <w:spacing w:val="66"/>
          <w:sz w:val="24"/>
        </w:rPr>
        <w:t> </w:t>
      </w:r>
      <w:r>
        <w:rPr>
          <w:i/>
          <w:sz w:val="24"/>
        </w:rPr>
        <w:t>and</w:t>
      </w:r>
      <w:r>
        <w:rPr>
          <w:i/>
          <w:spacing w:val="69"/>
          <w:sz w:val="24"/>
        </w:rPr>
        <w:t> </w:t>
      </w:r>
      <w:r>
        <w:rPr>
          <w:i/>
          <w:sz w:val="24"/>
        </w:rPr>
        <w:t>Conflict</w:t>
      </w:r>
      <w:r>
        <w:rPr>
          <w:i/>
          <w:spacing w:val="67"/>
          <w:sz w:val="24"/>
        </w:rPr>
        <w:t> </w:t>
      </w:r>
      <w:r>
        <w:rPr>
          <w:i/>
          <w:sz w:val="24"/>
        </w:rPr>
        <w:t>in</w:t>
      </w:r>
      <w:r>
        <w:rPr>
          <w:i/>
          <w:spacing w:val="68"/>
          <w:sz w:val="24"/>
        </w:rPr>
        <w:t> </w:t>
      </w:r>
      <w:r>
        <w:rPr>
          <w:i/>
          <w:sz w:val="24"/>
        </w:rPr>
        <w:t>Africa</w:t>
      </w:r>
      <w:r>
        <w:rPr>
          <w:i/>
          <w:spacing w:val="72"/>
          <w:sz w:val="24"/>
        </w:rPr>
        <w:t> </w:t>
      </w:r>
      <w:r>
        <w:rPr>
          <w:sz w:val="24"/>
        </w:rPr>
        <w:t>(Ibadan:</w:t>
      </w:r>
      <w:r>
        <w:rPr>
          <w:spacing w:val="68"/>
          <w:sz w:val="24"/>
        </w:rPr>
        <w:t> </w:t>
      </w:r>
      <w:r>
        <w:rPr>
          <w:sz w:val="24"/>
        </w:rPr>
        <w:t>John Archers Publishers Ltd).</w:t>
      </w:r>
    </w:p>
    <w:p>
      <w:pPr>
        <w:pStyle w:val="BodyText"/>
        <w:ind w:left="0"/>
      </w:pPr>
    </w:p>
    <w:p>
      <w:pPr>
        <w:pStyle w:val="BodyText"/>
        <w:ind w:left="1980" w:right="1259" w:hanging="480"/>
        <w:jc w:val="both"/>
      </w:pPr>
      <w:r>
        <w:rPr>
          <w:spacing w:val="80"/>
          <w:u w:val="single"/>
        </w:rPr>
        <w:t>  </w:t>
      </w:r>
      <w:r>
        <w:rPr/>
        <w:t>.</w:t>
      </w:r>
      <w:r>
        <w:rPr>
          <w:spacing w:val="40"/>
        </w:rPr>
        <w:t> </w:t>
      </w:r>
      <w:r>
        <w:rPr/>
        <w:t>2007. “Epochs and Lessons of Nigeria's Participation in International Peace Support Operations”, in O.O Ogomudia, (ed), Peace Support Operations, Command and Professionalism: Challenges for the Nigerian Armed Forces in the 21</w:t>
      </w:r>
      <w:r>
        <w:rPr>
          <w:vertAlign w:val="superscript"/>
        </w:rPr>
        <w:t>st</w:t>
      </w:r>
      <w:r>
        <w:rPr>
          <w:vertAlign w:val="baseline"/>
        </w:rPr>
        <w:t> Century and Beyond, (Ibadan: Gold Press Ltd).</w:t>
      </w:r>
    </w:p>
    <w:p>
      <w:pPr>
        <w:pStyle w:val="BodyText"/>
        <w:spacing w:before="1"/>
        <w:ind w:left="0"/>
      </w:pPr>
    </w:p>
    <w:p>
      <w:pPr>
        <w:pStyle w:val="BodyText"/>
        <w:ind w:left="1980" w:right="1255" w:hanging="540"/>
        <w:jc w:val="both"/>
      </w:pPr>
      <w:r>
        <w:rPr>
          <w:spacing w:val="80"/>
          <w:w w:val="150"/>
          <w:u w:val="single"/>
        </w:rPr>
        <w:t>  </w:t>
      </w:r>
      <w:r>
        <w:rPr/>
        <w:t>.</w:t>
      </w:r>
      <w:r>
        <w:rPr>
          <w:spacing w:val="80"/>
        </w:rPr>
        <w:t> </w:t>
      </w:r>
      <w:r>
        <w:rPr/>
        <w:t>2007.</w:t>
      </w:r>
      <w:r>
        <w:rPr>
          <w:spacing w:val="40"/>
        </w:rPr>
        <w:t> </w:t>
      </w:r>
      <w:r>
        <w:rPr/>
        <w:t>“Rethinking</w:t>
      </w:r>
      <w:r>
        <w:rPr>
          <w:spacing w:val="40"/>
        </w:rPr>
        <w:t> </w:t>
      </w:r>
      <w:r>
        <w:rPr/>
        <w:t>the</w:t>
      </w:r>
      <w:r>
        <w:rPr>
          <w:spacing w:val="40"/>
        </w:rPr>
        <w:t> </w:t>
      </w:r>
      <w:r>
        <w:rPr/>
        <w:t>Problems</w:t>
      </w:r>
      <w:r>
        <w:rPr>
          <w:spacing w:val="40"/>
        </w:rPr>
        <w:t> </w:t>
      </w:r>
      <w:r>
        <w:rPr/>
        <w:t>of</w:t>
      </w:r>
      <w:r>
        <w:rPr>
          <w:spacing w:val="40"/>
        </w:rPr>
        <w:t> </w:t>
      </w:r>
      <w:r>
        <w:rPr/>
        <w:t>Small</w:t>
      </w:r>
      <w:r>
        <w:rPr>
          <w:spacing w:val="40"/>
        </w:rPr>
        <w:t> </w:t>
      </w:r>
      <w:r>
        <w:rPr/>
        <w:t>Arms</w:t>
      </w:r>
      <w:r>
        <w:rPr>
          <w:spacing w:val="40"/>
        </w:rPr>
        <w:t> </w:t>
      </w:r>
      <w:r>
        <w:rPr/>
        <w:t>and</w:t>
      </w:r>
      <w:r>
        <w:rPr>
          <w:spacing w:val="40"/>
        </w:rPr>
        <w:t> </w:t>
      </w:r>
      <w:r>
        <w:rPr/>
        <w:t>Light</w:t>
      </w:r>
      <w:r>
        <w:rPr>
          <w:spacing w:val="40"/>
        </w:rPr>
        <w:t> </w:t>
      </w:r>
      <w:r>
        <w:rPr/>
        <w:t>Weapons”,</w:t>
      </w:r>
      <w:r>
        <w:rPr>
          <w:spacing w:val="40"/>
        </w:rPr>
        <w:t> </w:t>
      </w:r>
      <w:r>
        <w:rPr/>
        <w:t>in Derrick Marco (ed) </w:t>
      </w:r>
      <w:r>
        <w:rPr>
          <w:i/>
        </w:rPr>
        <w:t>Conflict Tracking Dossiers</w:t>
      </w:r>
      <w:r>
        <w:rPr/>
        <w:t>, Ibadan:Stirling-Holden Publishers Ltd.</w:t>
      </w:r>
    </w:p>
    <w:p>
      <w:pPr>
        <w:pStyle w:val="BodyText"/>
        <w:ind w:left="0"/>
      </w:pPr>
    </w:p>
    <w:p>
      <w:pPr>
        <w:spacing w:before="0"/>
        <w:ind w:left="1980" w:right="1253" w:hanging="540"/>
        <w:jc w:val="both"/>
        <w:rPr>
          <w:sz w:val="24"/>
        </w:rPr>
      </w:pPr>
      <w:r>
        <w:rPr>
          <w:sz w:val="24"/>
        </w:rPr>
        <w:t>Azar, E. 1990. </w:t>
      </w:r>
      <w:r>
        <w:rPr>
          <w:i/>
          <w:sz w:val="24"/>
        </w:rPr>
        <w:t>The Managing of Protracted Social Conflict: Theory and Cases</w:t>
      </w:r>
      <w:r>
        <w:rPr>
          <w:sz w:val="24"/>
        </w:rPr>
        <w:t>, Aldershot: Dartmouth Publishing.</w:t>
      </w:r>
    </w:p>
    <w:p>
      <w:pPr>
        <w:pStyle w:val="BodyText"/>
        <w:ind w:left="0"/>
      </w:pPr>
    </w:p>
    <w:p>
      <w:pPr>
        <w:spacing w:before="0"/>
        <w:ind w:left="1980" w:right="1251" w:hanging="540"/>
        <w:jc w:val="both"/>
        <w:rPr>
          <w:sz w:val="24"/>
        </w:rPr>
      </w:pPr>
      <w:r>
        <w:rPr>
          <w:sz w:val="24"/>
        </w:rPr>
        <w:t>Babajide, O. 2007. “Niger Delta since May 29, 2007: A Review”, </w:t>
      </w:r>
      <w:r>
        <w:rPr>
          <w:i/>
          <w:sz w:val="24"/>
        </w:rPr>
        <w:t>IDASA Conflict Tracking Dossiers</w:t>
      </w:r>
      <w:r>
        <w:rPr>
          <w:sz w:val="24"/>
        </w:rPr>
        <w:t>, A Quarterly Review Issue 7: IDASA Nigeria, Abuja, July </w:t>
      </w:r>
      <w:r>
        <w:rPr>
          <w:spacing w:val="-2"/>
          <w:sz w:val="24"/>
        </w:rPr>
        <w:t>2007.</w:t>
      </w:r>
    </w:p>
    <w:p>
      <w:pPr>
        <w:pStyle w:val="BodyText"/>
        <w:spacing w:before="1"/>
        <w:ind w:left="0"/>
      </w:pPr>
    </w:p>
    <w:p>
      <w:pPr>
        <w:spacing w:before="0"/>
        <w:ind w:left="1980" w:right="1261" w:hanging="540"/>
        <w:jc w:val="both"/>
        <w:rPr>
          <w:sz w:val="24"/>
        </w:rPr>
      </w:pPr>
      <w:r>
        <w:rPr>
          <w:sz w:val="24"/>
        </w:rPr>
        <w:t>Babawale, T.</w:t>
      </w:r>
      <w:r>
        <w:rPr>
          <w:spacing w:val="80"/>
          <w:sz w:val="24"/>
        </w:rPr>
        <w:t> </w:t>
      </w:r>
      <w:r>
        <w:rPr>
          <w:sz w:val="24"/>
        </w:rPr>
        <w:t>2003. </w:t>
      </w:r>
      <w:r>
        <w:rPr>
          <w:i/>
          <w:sz w:val="24"/>
        </w:rPr>
        <w:t>Urban Violence, Ethnic Militias and the Challenge of Democratic Consolidation in Nigeria, </w:t>
      </w:r>
      <w:r>
        <w:rPr>
          <w:sz w:val="24"/>
        </w:rPr>
        <w:t>Lagos: Malthouse Press Limited.</w:t>
      </w:r>
    </w:p>
    <w:p>
      <w:pPr>
        <w:pStyle w:val="BodyText"/>
        <w:ind w:left="0"/>
      </w:pPr>
    </w:p>
    <w:p>
      <w:pPr>
        <w:pStyle w:val="BodyText"/>
        <w:ind w:left="1980" w:right="1262" w:hanging="480"/>
        <w:jc w:val="both"/>
      </w:pPr>
      <w:r>
        <w:rPr/>
        <w:t>Balogun, T. A. 1999. "The Police and Management of Internal Security in Nigeria: Appraisal" Project submitted at National War College, Abuja.</w:t>
      </w:r>
    </w:p>
    <w:p>
      <w:pPr>
        <w:spacing w:after="0"/>
        <w:jc w:val="both"/>
        <w:sectPr>
          <w:pgSz w:w="11910" w:h="16840"/>
          <w:pgMar w:header="0" w:footer="1561" w:top="1920" w:bottom="1760" w:left="720" w:right="180"/>
        </w:sectPr>
      </w:pPr>
    </w:p>
    <w:p>
      <w:pPr>
        <w:spacing w:before="78"/>
        <w:ind w:left="1980" w:right="1260" w:hanging="540"/>
        <w:jc w:val="left"/>
        <w:rPr>
          <w:sz w:val="24"/>
        </w:rPr>
      </w:pPr>
      <w:r>
        <w:rPr/>
        <mc:AlternateContent>
          <mc:Choice Requires="wps">
            <w:drawing>
              <wp:anchor distT="0" distB="0" distL="0" distR="0" allowOverlap="1" layoutInCell="1" locked="0" behindDoc="1" simplePos="0" relativeHeight="480696320">
                <wp:simplePos x="0" y="0"/>
                <wp:positionH relativeFrom="page">
                  <wp:posOffset>-1537026</wp:posOffset>
                </wp:positionH>
                <wp:positionV relativeFrom="page">
                  <wp:posOffset>4900424</wp:posOffset>
                </wp:positionV>
                <wp:extent cx="10669905" cy="914400"/>
                <wp:effectExtent l="0" t="0" r="0" b="0"/>
                <wp:wrapNone/>
                <wp:docPr id="368" name="Textbox 368"/>
                <wp:cNvGraphicFramePr>
                  <a:graphicFrameLocks/>
                </wp:cNvGraphicFramePr>
                <a:graphic>
                  <a:graphicData uri="http://schemas.microsoft.com/office/word/2010/wordprocessingShape">
                    <wps:wsp>
                      <wps:cNvPr id="368" name="Textbox 368"/>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20160;rotation:306" type="#_x0000_t136" fillcolor="#ff5400" stroked="f">
                <o:extrusion v:ext="view" autorotationcenter="t"/>
                <v:textpath style="font-family:&quot;Arial MT&quot;;font-size:72pt;v-text-kern:t;mso-text-shadow:auto" string="UNIVERSITY OF IBADAN"/>
                <w10:wrap type="none"/>
              </v:shape>
            </w:pict>
          </mc:Fallback>
        </mc:AlternateContent>
      </w:r>
      <w:r>
        <w:rPr>
          <w:sz w:val="24"/>
        </w:rPr>
        <w:t>Bannon, Ian. and Paul Collier (eds), 2003. </w:t>
      </w:r>
      <w:r>
        <w:rPr>
          <w:i/>
          <w:sz w:val="24"/>
        </w:rPr>
        <w:t>Natural Resources and Violent Conflicts: Options and Actions. </w:t>
      </w:r>
      <w:r>
        <w:rPr>
          <w:sz w:val="24"/>
        </w:rPr>
        <w:t>Washington, DC: World Bank.</w:t>
      </w:r>
    </w:p>
    <w:p>
      <w:pPr>
        <w:pStyle w:val="BodyText"/>
        <w:ind w:left="0"/>
      </w:pPr>
    </w:p>
    <w:p>
      <w:pPr>
        <w:pStyle w:val="BodyText"/>
        <w:spacing w:before="1"/>
        <w:ind w:right="1260" w:firstLine="60"/>
      </w:pPr>
      <w:r>
        <w:rPr/>
        <w:t>Beri, G.C. 1993. </w:t>
      </w:r>
      <w:r>
        <w:rPr>
          <w:i/>
        </w:rPr>
        <w:t>Marketing Research </w:t>
      </w:r>
      <w:r>
        <w:rPr/>
        <w:t>(3th edition), New Delhi: Tata McGraw Hill. Bassey,</w:t>
      </w:r>
      <w:r>
        <w:rPr>
          <w:spacing w:val="-3"/>
        </w:rPr>
        <w:t> </w:t>
      </w:r>
      <w:r>
        <w:rPr/>
        <w:t>C.</w:t>
      </w:r>
      <w:r>
        <w:rPr>
          <w:spacing w:val="-3"/>
        </w:rPr>
        <w:t> </w:t>
      </w:r>
      <w:r>
        <w:rPr/>
        <w:t>O.</w:t>
      </w:r>
      <w:r>
        <w:rPr>
          <w:spacing w:val="-3"/>
        </w:rPr>
        <w:t> </w:t>
      </w:r>
      <w:r>
        <w:rPr/>
        <w:t>2005. “General</w:t>
      </w:r>
      <w:r>
        <w:rPr>
          <w:spacing w:val="-3"/>
        </w:rPr>
        <w:t> </w:t>
      </w:r>
      <w:r>
        <w:rPr/>
        <w:t>Survey</w:t>
      </w:r>
      <w:r>
        <w:rPr>
          <w:spacing w:val="-8"/>
        </w:rPr>
        <w:t> </w:t>
      </w:r>
      <w:r>
        <w:rPr/>
        <w:t>of</w:t>
      </w:r>
      <w:r>
        <w:rPr>
          <w:spacing w:val="-3"/>
        </w:rPr>
        <w:t> </w:t>
      </w:r>
      <w:r>
        <w:rPr/>
        <w:t>Conflict</w:t>
      </w:r>
      <w:r>
        <w:rPr>
          <w:spacing w:val="-3"/>
        </w:rPr>
        <w:t> </w:t>
      </w:r>
      <w:r>
        <w:rPr/>
        <w:t>in</w:t>
      </w:r>
      <w:r>
        <w:rPr>
          <w:spacing w:val="-3"/>
        </w:rPr>
        <w:t> </w:t>
      </w:r>
      <w:r>
        <w:rPr/>
        <w:t>the</w:t>
      </w:r>
      <w:r>
        <w:rPr>
          <w:spacing w:val="-3"/>
        </w:rPr>
        <w:t> </w:t>
      </w:r>
      <w:r>
        <w:rPr/>
        <w:t>South-South</w:t>
      </w:r>
      <w:r>
        <w:rPr>
          <w:spacing w:val="-3"/>
        </w:rPr>
        <w:t> </w:t>
      </w:r>
      <w:r>
        <w:rPr/>
        <w:t>Zone</w:t>
      </w:r>
      <w:r>
        <w:rPr>
          <w:spacing w:val="-2"/>
        </w:rPr>
        <w:t> </w:t>
      </w:r>
      <w:r>
        <w:rPr/>
        <w:t>of</w:t>
      </w:r>
      <w:r>
        <w:rPr>
          <w:spacing w:val="-4"/>
        </w:rPr>
        <w:t> </w:t>
      </w:r>
      <w:r>
        <w:rPr/>
        <w:t>Nigeria”</w:t>
      </w:r>
    </w:p>
    <w:p>
      <w:pPr>
        <w:pStyle w:val="BodyText"/>
        <w:ind w:left="1980" w:right="1260"/>
      </w:pPr>
      <w:r>
        <w:rPr/>
        <w:t>in</w:t>
      </w:r>
      <w:r>
        <w:rPr>
          <w:spacing w:val="-4"/>
        </w:rPr>
        <w:t> </w:t>
      </w:r>
      <w:r>
        <w:rPr>
          <w:i/>
        </w:rPr>
        <w:t>Africa</w:t>
      </w:r>
      <w:r>
        <w:rPr>
          <w:i/>
          <w:spacing w:val="-4"/>
        </w:rPr>
        <w:t> </w:t>
      </w:r>
      <w:r>
        <w:rPr>
          <w:i/>
        </w:rPr>
        <w:t>peace</w:t>
      </w:r>
      <w:r>
        <w:rPr>
          <w:i/>
          <w:spacing w:val="-5"/>
        </w:rPr>
        <w:t> </w:t>
      </w:r>
      <w:r>
        <w:rPr>
          <w:i/>
        </w:rPr>
        <w:t>Review</w:t>
      </w:r>
      <w:r>
        <w:rPr/>
        <w:t>.</w:t>
      </w:r>
      <w:r>
        <w:rPr>
          <w:spacing w:val="40"/>
        </w:rPr>
        <w:t> </w:t>
      </w:r>
      <w:r>
        <w:rPr/>
        <w:t>A</w:t>
      </w:r>
      <w:r>
        <w:rPr>
          <w:spacing w:val="-4"/>
        </w:rPr>
        <w:t> </w:t>
      </w:r>
      <w:r>
        <w:rPr/>
        <w:t>Journal</w:t>
      </w:r>
      <w:r>
        <w:rPr>
          <w:spacing w:val="-4"/>
        </w:rPr>
        <w:t> </w:t>
      </w:r>
      <w:r>
        <w:rPr/>
        <w:t>of</w:t>
      </w:r>
      <w:r>
        <w:rPr>
          <w:spacing w:val="-4"/>
        </w:rPr>
        <w:t> </w:t>
      </w:r>
      <w:r>
        <w:rPr/>
        <w:t>Centre</w:t>
      </w:r>
      <w:r>
        <w:rPr>
          <w:spacing w:val="-5"/>
        </w:rPr>
        <w:t> </w:t>
      </w:r>
      <w:r>
        <w:rPr/>
        <w:t>for</w:t>
      </w:r>
      <w:r>
        <w:rPr>
          <w:spacing w:val="-3"/>
        </w:rPr>
        <w:t> </w:t>
      </w:r>
      <w:r>
        <w:rPr/>
        <w:t>Research</w:t>
      </w:r>
      <w:r>
        <w:rPr>
          <w:spacing w:val="-2"/>
        </w:rPr>
        <w:t> </w:t>
      </w:r>
      <w:r>
        <w:rPr/>
        <w:t>and</w:t>
      </w:r>
      <w:r>
        <w:rPr>
          <w:spacing w:val="-4"/>
        </w:rPr>
        <w:t> </w:t>
      </w:r>
      <w:r>
        <w:rPr/>
        <w:t>Conflict Resolution, Special Edition.</w:t>
      </w:r>
    </w:p>
    <w:p>
      <w:pPr>
        <w:spacing w:before="276"/>
        <w:ind w:left="1980" w:right="1336" w:hanging="540"/>
        <w:jc w:val="left"/>
        <w:rPr>
          <w:sz w:val="24"/>
        </w:rPr>
      </w:pPr>
      <w:r>
        <w:rPr>
          <w:sz w:val="24"/>
        </w:rPr>
        <w:t>Briggs,</w:t>
      </w:r>
      <w:r>
        <w:rPr>
          <w:spacing w:val="-5"/>
          <w:sz w:val="24"/>
        </w:rPr>
        <w:t> </w:t>
      </w:r>
      <w:r>
        <w:rPr>
          <w:sz w:val="24"/>
        </w:rPr>
        <w:t>D.</w:t>
      </w:r>
      <w:r>
        <w:rPr>
          <w:spacing w:val="-5"/>
          <w:sz w:val="24"/>
        </w:rPr>
        <w:t> </w:t>
      </w:r>
      <w:r>
        <w:rPr>
          <w:sz w:val="24"/>
        </w:rPr>
        <w:t>A.</w:t>
      </w:r>
      <w:r>
        <w:rPr>
          <w:spacing w:val="-5"/>
          <w:sz w:val="24"/>
        </w:rPr>
        <w:t> </w:t>
      </w:r>
      <w:r>
        <w:rPr>
          <w:sz w:val="24"/>
        </w:rPr>
        <w:t>2004.</w:t>
      </w:r>
      <w:r>
        <w:rPr>
          <w:spacing w:val="-2"/>
          <w:sz w:val="24"/>
        </w:rPr>
        <w:t> </w:t>
      </w:r>
      <w:r>
        <w:rPr>
          <w:sz w:val="24"/>
        </w:rPr>
        <w:t>“Ethnic</w:t>
      </w:r>
      <w:r>
        <w:rPr>
          <w:spacing w:val="-6"/>
          <w:sz w:val="24"/>
        </w:rPr>
        <w:t> </w:t>
      </w:r>
      <w:r>
        <w:rPr>
          <w:sz w:val="24"/>
        </w:rPr>
        <w:t>Militias‟</w:t>
      </w:r>
      <w:r>
        <w:rPr>
          <w:spacing w:val="-5"/>
          <w:sz w:val="24"/>
        </w:rPr>
        <w:t> </w:t>
      </w:r>
      <w:r>
        <w:rPr>
          <w:sz w:val="24"/>
        </w:rPr>
        <w:t>Dilema</w:t>
      </w:r>
      <w:r>
        <w:rPr>
          <w:spacing w:val="-5"/>
          <w:sz w:val="24"/>
        </w:rPr>
        <w:t> </w:t>
      </w:r>
      <w:r>
        <w:rPr>
          <w:sz w:val="24"/>
        </w:rPr>
        <w:t>in</w:t>
      </w:r>
      <w:r>
        <w:rPr>
          <w:spacing w:val="-5"/>
          <w:sz w:val="24"/>
        </w:rPr>
        <w:t> </w:t>
      </w:r>
      <w:r>
        <w:rPr>
          <w:sz w:val="24"/>
        </w:rPr>
        <w:t>Nigeria:</w:t>
      </w:r>
      <w:r>
        <w:rPr>
          <w:spacing w:val="-5"/>
          <w:sz w:val="24"/>
        </w:rPr>
        <w:t> </w:t>
      </w:r>
      <w:r>
        <w:rPr>
          <w:sz w:val="24"/>
        </w:rPr>
        <w:t>A</w:t>
      </w:r>
      <w:r>
        <w:rPr>
          <w:spacing w:val="-5"/>
          <w:sz w:val="24"/>
        </w:rPr>
        <w:t> </w:t>
      </w:r>
      <w:r>
        <w:rPr>
          <w:sz w:val="24"/>
        </w:rPr>
        <w:t>case</w:t>
      </w:r>
      <w:r>
        <w:rPr>
          <w:spacing w:val="-6"/>
          <w:sz w:val="24"/>
        </w:rPr>
        <w:t> </w:t>
      </w:r>
      <w:r>
        <w:rPr>
          <w:sz w:val="24"/>
        </w:rPr>
        <w:t>study</w:t>
      </w:r>
      <w:r>
        <w:rPr>
          <w:spacing w:val="-9"/>
          <w:sz w:val="24"/>
        </w:rPr>
        <w:t> </w:t>
      </w:r>
      <w:r>
        <w:rPr>
          <w:sz w:val="24"/>
        </w:rPr>
        <w:t>of</w:t>
      </w:r>
      <w:r>
        <w:rPr>
          <w:spacing w:val="-5"/>
          <w:sz w:val="24"/>
        </w:rPr>
        <w:t> </w:t>
      </w:r>
      <w:r>
        <w:rPr>
          <w:sz w:val="24"/>
        </w:rPr>
        <w:t>the</w:t>
      </w:r>
      <w:r>
        <w:rPr>
          <w:spacing w:val="-6"/>
          <w:sz w:val="24"/>
        </w:rPr>
        <w:t> </w:t>
      </w:r>
      <w:r>
        <w:rPr>
          <w:sz w:val="24"/>
        </w:rPr>
        <w:t>Egbesu Group”, in D. A. Briggs and J.B Sanda, eds</w:t>
      </w:r>
      <w:r>
        <w:rPr>
          <w:i/>
          <w:sz w:val="24"/>
        </w:rPr>
        <w:t>. Issues of Peace and Security</w:t>
      </w:r>
      <w:r>
        <w:rPr>
          <w:sz w:val="24"/>
        </w:rPr>
        <w:t>: </w:t>
      </w:r>
      <w:r>
        <w:rPr>
          <w:i/>
          <w:sz w:val="24"/>
        </w:rPr>
        <w:t>Essays in Honour of Major General Charles B. Ndiomu</w:t>
      </w:r>
      <w:r>
        <w:rPr>
          <w:sz w:val="24"/>
        </w:rPr>
        <w:t>, (Kuru): National Institute Press).</w:t>
      </w:r>
    </w:p>
    <w:p>
      <w:pPr>
        <w:pStyle w:val="BodyText"/>
        <w:ind w:left="0"/>
      </w:pPr>
    </w:p>
    <w:p>
      <w:pPr>
        <w:pStyle w:val="BodyText"/>
        <w:ind w:left="1980" w:right="1260" w:hanging="480"/>
      </w:pPr>
      <w:r>
        <w:rPr/>
        <w:t>Clapham,</w:t>
      </w:r>
      <w:r>
        <w:rPr>
          <w:spacing w:val="-5"/>
        </w:rPr>
        <w:t> </w:t>
      </w:r>
      <w:r>
        <w:rPr/>
        <w:t>C.</w:t>
      </w:r>
      <w:r>
        <w:rPr>
          <w:spacing w:val="-5"/>
        </w:rPr>
        <w:t> </w:t>
      </w:r>
      <w:r>
        <w:rPr/>
        <w:t>1998.</w:t>
      </w:r>
      <w:r>
        <w:rPr>
          <w:spacing w:val="-4"/>
        </w:rPr>
        <w:t> </w:t>
      </w:r>
      <w:r>
        <w:rPr/>
        <w:t>“Introduction:</w:t>
      </w:r>
      <w:r>
        <w:rPr>
          <w:spacing w:val="-5"/>
        </w:rPr>
        <w:t> </w:t>
      </w:r>
      <w:r>
        <w:rPr/>
        <w:t>Analysing</w:t>
      </w:r>
      <w:r>
        <w:rPr>
          <w:spacing w:val="-8"/>
        </w:rPr>
        <w:t> </w:t>
      </w:r>
      <w:r>
        <w:rPr/>
        <w:t>African</w:t>
      </w:r>
      <w:r>
        <w:rPr>
          <w:spacing w:val="-3"/>
        </w:rPr>
        <w:t> </w:t>
      </w:r>
      <w:r>
        <w:rPr/>
        <w:t>Insurgencies”,</w:t>
      </w:r>
      <w:r>
        <w:rPr>
          <w:spacing w:val="-5"/>
        </w:rPr>
        <w:t> </w:t>
      </w:r>
      <w:r>
        <w:rPr/>
        <w:t>in</w:t>
      </w:r>
      <w:r>
        <w:rPr>
          <w:spacing w:val="-5"/>
        </w:rPr>
        <w:t> </w:t>
      </w:r>
      <w:r>
        <w:rPr/>
        <w:t>C.</w:t>
      </w:r>
      <w:r>
        <w:rPr>
          <w:spacing w:val="-5"/>
        </w:rPr>
        <w:t> </w:t>
      </w:r>
      <w:r>
        <w:rPr/>
        <w:t>Clapham, (ed) </w:t>
      </w:r>
      <w:r>
        <w:rPr>
          <w:i/>
        </w:rPr>
        <w:t>African Guerrillas</w:t>
      </w:r>
      <w:r>
        <w:rPr/>
        <w:t>, Oxford: James Currey Ltd.</w:t>
      </w:r>
    </w:p>
    <w:p>
      <w:pPr>
        <w:pStyle w:val="BodyText"/>
        <w:ind w:left="0"/>
      </w:pPr>
    </w:p>
    <w:p>
      <w:pPr>
        <w:pStyle w:val="BodyText"/>
        <w:ind w:left="1500"/>
      </w:pPr>
      <w:r>
        <w:rPr/>
        <w:t>Clark,</w:t>
      </w:r>
      <w:r>
        <w:rPr>
          <w:spacing w:val="-3"/>
        </w:rPr>
        <w:t> </w:t>
      </w:r>
      <w:r>
        <w:rPr/>
        <w:t>Edwin.</w:t>
      </w:r>
      <w:r>
        <w:rPr>
          <w:spacing w:val="-1"/>
        </w:rPr>
        <w:t> </w:t>
      </w:r>
      <w:r>
        <w:rPr/>
        <w:t>2007.</w:t>
      </w:r>
      <w:r>
        <w:rPr>
          <w:spacing w:val="1"/>
        </w:rPr>
        <w:t> </w:t>
      </w:r>
      <w:r>
        <w:rPr/>
        <w:t>Niger</w:t>
      </w:r>
      <w:r>
        <w:rPr>
          <w:spacing w:val="-1"/>
        </w:rPr>
        <w:t> </w:t>
      </w:r>
      <w:r>
        <w:rPr/>
        <w:t>Delta</w:t>
      </w:r>
      <w:r>
        <w:rPr>
          <w:spacing w:val="-1"/>
        </w:rPr>
        <w:t> </w:t>
      </w:r>
      <w:r>
        <w:rPr/>
        <w:t>Crisis</w:t>
      </w:r>
      <w:r>
        <w:rPr>
          <w:spacing w:val="-1"/>
        </w:rPr>
        <w:t> </w:t>
      </w:r>
      <w:r>
        <w:rPr/>
        <w:t>and Military</w:t>
      </w:r>
      <w:r>
        <w:rPr>
          <w:spacing w:val="-6"/>
        </w:rPr>
        <w:t> </w:t>
      </w:r>
      <w:r>
        <w:rPr/>
        <w:t>Task </w:t>
      </w:r>
      <w:r>
        <w:rPr>
          <w:spacing w:val="-2"/>
        </w:rPr>
        <w:t>Force.</w:t>
      </w:r>
    </w:p>
    <w:p>
      <w:pPr>
        <w:pStyle w:val="BodyText"/>
        <w:ind w:left="0"/>
      </w:pPr>
    </w:p>
    <w:p>
      <w:pPr>
        <w:pStyle w:val="BodyText"/>
        <w:ind w:left="1980" w:right="1260" w:hanging="540"/>
      </w:pPr>
      <w:r>
        <w:rPr/>
        <w:t>Collier,</w:t>
      </w:r>
      <w:r>
        <w:rPr>
          <w:spacing w:val="27"/>
        </w:rPr>
        <w:t> </w:t>
      </w:r>
      <w:r>
        <w:rPr/>
        <w:t>Paul,</w:t>
      </w:r>
      <w:r>
        <w:rPr>
          <w:spacing w:val="28"/>
        </w:rPr>
        <w:t> </w:t>
      </w:r>
      <w:r>
        <w:rPr/>
        <w:t>and</w:t>
      </w:r>
      <w:r>
        <w:rPr>
          <w:spacing w:val="27"/>
        </w:rPr>
        <w:t> </w:t>
      </w:r>
      <w:r>
        <w:rPr/>
        <w:t>Hoeffler,</w:t>
      </w:r>
      <w:r>
        <w:rPr>
          <w:spacing w:val="27"/>
        </w:rPr>
        <w:t> </w:t>
      </w:r>
      <w:r>
        <w:rPr/>
        <w:t>A.</w:t>
      </w:r>
      <w:r>
        <w:rPr>
          <w:spacing w:val="27"/>
        </w:rPr>
        <w:t> </w:t>
      </w:r>
      <w:r>
        <w:rPr/>
        <w:t>1998,</w:t>
      </w:r>
      <w:r>
        <w:rPr>
          <w:spacing w:val="27"/>
        </w:rPr>
        <w:t> </w:t>
      </w:r>
      <w:r>
        <w:rPr/>
        <w:t>“On</w:t>
      </w:r>
      <w:r>
        <w:rPr>
          <w:spacing w:val="27"/>
        </w:rPr>
        <w:t> </w:t>
      </w:r>
      <w:r>
        <w:rPr/>
        <w:t>Economic</w:t>
      </w:r>
      <w:r>
        <w:rPr>
          <w:spacing w:val="27"/>
        </w:rPr>
        <w:t> </w:t>
      </w:r>
      <w:r>
        <w:rPr/>
        <w:t>Causes</w:t>
      </w:r>
      <w:r>
        <w:rPr>
          <w:spacing w:val="27"/>
        </w:rPr>
        <w:t> </w:t>
      </w:r>
      <w:r>
        <w:rPr/>
        <w:t>of</w:t>
      </w:r>
      <w:r>
        <w:rPr>
          <w:spacing w:val="27"/>
        </w:rPr>
        <w:t> </w:t>
      </w:r>
      <w:r>
        <w:rPr/>
        <w:t>Civil</w:t>
      </w:r>
      <w:r>
        <w:rPr>
          <w:spacing w:val="28"/>
        </w:rPr>
        <w:t> </w:t>
      </w:r>
      <w:r>
        <w:rPr/>
        <w:t>War”,</w:t>
      </w:r>
      <w:r>
        <w:rPr>
          <w:spacing w:val="27"/>
        </w:rPr>
        <w:t> </w:t>
      </w:r>
      <w:r>
        <w:rPr/>
        <w:t>Oxford Economic Paper No 50.</w:t>
      </w:r>
    </w:p>
    <w:p>
      <w:pPr>
        <w:pStyle w:val="BodyText"/>
        <w:ind w:left="0"/>
      </w:pPr>
    </w:p>
    <w:p>
      <w:pPr>
        <w:pStyle w:val="BodyText"/>
        <w:spacing w:before="1"/>
        <w:ind w:left="1980" w:right="1259" w:hanging="480"/>
        <w:jc w:val="both"/>
      </w:pPr>
      <w:r>
        <w:rPr/>
        <w:t>Collier, Paul and Hoeffler, 2002, “Greed and Grievance in Civil Wars”, Working Paper Series 2002-01. Centre for the Study of African Economics, Oxford, U.K. </w:t>
      </w:r>
      <w:hyperlink r:id="rId76">
        <w:r>
          <w:rPr>
            <w:spacing w:val="-2"/>
          </w:rPr>
          <w:t>http:www.case.ox.ac.uk.</w:t>
        </w:r>
      </w:hyperlink>
    </w:p>
    <w:p>
      <w:pPr>
        <w:spacing w:before="276"/>
        <w:ind w:left="1980" w:right="1258" w:hanging="540"/>
        <w:jc w:val="both"/>
        <w:rPr>
          <w:sz w:val="24"/>
        </w:rPr>
      </w:pPr>
      <w:r>
        <w:rPr>
          <w:sz w:val="24"/>
        </w:rPr>
        <w:t>Collier, Paul and</w:t>
      </w:r>
      <w:r>
        <w:rPr>
          <w:spacing w:val="40"/>
          <w:sz w:val="24"/>
        </w:rPr>
        <w:t> </w:t>
      </w:r>
      <w:r>
        <w:rPr>
          <w:sz w:val="24"/>
        </w:rPr>
        <w:t>Nicholas Sambanis, eds. 2005. </w:t>
      </w:r>
      <w:r>
        <w:rPr>
          <w:i/>
          <w:sz w:val="24"/>
        </w:rPr>
        <w:t>Understanding Civil War Volume 2 Europe, Central Asia and other Regions: Evidence and Analysis </w:t>
      </w:r>
      <w:r>
        <w:rPr>
          <w:sz w:val="24"/>
        </w:rPr>
        <w:t>Washington, DC: World Bank.</w:t>
      </w:r>
    </w:p>
    <w:p>
      <w:pPr>
        <w:pStyle w:val="BodyText"/>
        <w:ind w:left="0"/>
      </w:pPr>
    </w:p>
    <w:p>
      <w:pPr>
        <w:pStyle w:val="BodyText"/>
        <w:ind w:left="2100" w:right="2080" w:hanging="660"/>
      </w:pPr>
      <w:r>
        <w:rPr/>
        <w:t>Collier,</w:t>
      </w:r>
      <w:r>
        <w:rPr>
          <w:spacing w:val="-4"/>
        </w:rPr>
        <w:t> </w:t>
      </w:r>
      <w:r>
        <w:rPr/>
        <w:t>Paul.</w:t>
      </w:r>
      <w:r>
        <w:rPr>
          <w:spacing w:val="-4"/>
        </w:rPr>
        <w:t> </w:t>
      </w:r>
      <w:r>
        <w:rPr/>
        <w:t>2003.</w:t>
      </w:r>
      <w:r>
        <w:rPr>
          <w:spacing w:val="-4"/>
        </w:rPr>
        <w:t> </w:t>
      </w:r>
      <w:r>
        <w:rPr/>
        <w:t>Breaking</w:t>
      </w:r>
      <w:r>
        <w:rPr>
          <w:spacing w:val="-6"/>
        </w:rPr>
        <w:t> </w:t>
      </w:r>
      <w:r>
        <w:rPr/>
        <w:t>the</w:t>
      </w:r>
      <w:r>
        <w:rPr>
          <w:spacing w:val="-4"/>
        </w:rPr>
        <w:t> </w:t>
      </w:r>
      <w:r>
        <w:rPr/>
        <w:t>Conflict</w:t>
      </w:r>
      <w:r>
        <w:rPr>
          <w:spacing w:val="-4"/>
        </w:rPr>
        <w:t> </w:t>
      </w:r>
      <w:r>
        <w:rPr/>
        <w:t>Trap.</w:t>
      </w:r>
      <w:r>
        <w:rPr>
          <w:spacing w:val="40"/>
        </w:rPr>
        <w:t> </w:t>
      </w:r>
      <w:r>
        <w:rPr/>
        <w:t>Civil</w:t>
      </w:r>
      <w:r>
        <w:rPr>
          <w:spacing w:val="-6"/>
        </w:rPr>
        <w:t> </w:t>
      </w:r>
      <w:r>
        <w:rPr/>
        <w:t>War</w:t>
      </w:r>
      <w:r>
        <w:rPr>
          <w:spacing w:val="-4"/>
        </w:rPr>
        <w:t> </w:t>
      </w:r>
      <w:r>
        <w:rPr/>
        <w:t>and</w:t>
      </w:r>
      <w:r>
        <w:rPr>
          <w:spacing w:val="-4"/>
        </w:rPr>
        <w:t> </w:t>
      </w:r>
      <w:r>
        <w:rPr/>
        <w:t>Development Policy, Washington, DC: World Bank and Oxford University Press.</w:t>
      </w:r>
    </w:p>
    <w:p>
      <w:pPr>
        <w:pStyle w:val="BodyText"/>
        <w:spacing w:line="550" w:lineRule="atLeast" w:before="2"/>
        <w:ind w:right="1260"/>
      </w:pPr>
      <w:r>
        <w:rPr/>
        <w:t>Dictionary of Military and Associated Term, US Department of Defense 2005. Duffield,</w:t>
      </w:r>
      <w:r>
        <w:rPr>
          <w:spacing w:val="62"/>
        </w:rPr>
        <w:t> </w:t>
      </w:r>
      <w:r>
        <w:rPr/>
        <w:t>M.</w:t>
      </w:r>
      <w:r>
        <w:rPr>
          <w:spacing w:val="61"/>
        </w:rPr>
        <w:t> </w:t>
      </w:r>
      <w:r>
        <w:rPr/>
        <w:t>1990.</w:t>
      </w:r>
      <w:r>
        <w:rPr>
          <w:spacing w:val="65"/>
        </w:rPr>
        <w:t> </w:t>
      </w:r>
      <w:r>
        <w:rPr/>
        <w:t>“War</w:t>
      </w:r>
      <w:r>
        <w:rPr>
          <w:spacing w:val="60"/>
        </w:rPr>
        <w:t> </w:t>
      </w:r>
      <w:r>
        <w:rPr/>
        <w:t>and</w:t>
      </w:r>
      <w:r>
        <w:rPr>
          <w:spacing w:val="63"/>
        </w:rPr>
        <w:t> </w:t>
      </w:r>
      <w:r>
        <w:rPr/>
        <w:t>Famine</w:t>
      </w:r>
      <w:r>
        <w:rPr>
          <w:spacing w:val="60"/>
        </w:rPr>
        <w:t> </w:t>
      </w:r>
      <w:r>
        <w:rPr/>
        <w:t>in</w:t>
      </w:r>
      <w:r>
        <w:rPr>
          <w:spacing w:val="62"/>
        </w:rPr>
        <w:t> </w:t>
      </w:r>
      <w:r>
        <w:rPr/>
        <w:t>Africa”,</w:t>
      </w:r>
      <w:r>
        <w:rPr>
          <w:spacing w:val="61"/>
        </w:rPr>
        <w:t> </w:t>
      </w:r>
      <w:r>
        <w:rPr/>
        <w:t>Oxfam</w:t>
      </w:r>
      <w:r>
        <w:rPr>
          <w:spacing w:val="62"/>
        </w:rPr>
        <w:t> </w:t>
      </w:r>
      <w:r>
        <w:rPr/>
        <w:t>Research</w:t>
      </w:r>
      <w:r>
        <w:rPr>
          <w:spacing w:val="63"/>
        </w:rPr>
        <w:t> </w:t>
      </w:r>
      <w:r>
        <w:rPr/>
        <w:t>Paper</w:t>
      </w:r>
      <w:r>
        <w:rPr>
          <w:spacing w:val="60"/>
        </w:rPr>
        <w:t> </w:t>
      </w:r>
      <w:r>
        <w:rPr/>
        <w:t>No</w:t>
      </w:r>
      <w:r>
        <w:rPr>
          <w:spacing w:val="61"/>
        </w:rPr>
        <w:t> </w:t>
      </w:r>
      <w:r>
        <w:rPr/>
        <w:t>5,</w:t>
      </w:r>
    </w:p>
    <w:p>
      <w:pPr>
        <w:pStyle w:val="BodyText"/>
        <w:spacing w:before="2"/>
        <w:ind w:left="1980"/>
      </w:pPr>
      <w:r>
        <w:rPr/>
        <w:t>Oxford:</w:t>
      </w:r>
      <w:r>
        <w:rPr>
          <w:spacing w:val="-1"/>
        </w:rPr>
        <w:t> </w:t>
      </w:r>
      <w:r>
        <w:rPr/>
        <w:t>Oxfam </w:t>
      </w:r>
      <w:r>
        <w:rPr>
          <w:spacing w:val="-2"/>
        </w:rPr>
        <w:t>Publications.</w:t>
      </w:r>
    </w:p>
    <w:p>
      <w:pPr>
        <w:pStyle w:val="BodyText"/>
        <w:ind w:left="0"/>
      </w:pPr>
    </w:p>
    <w:p>
      <w:pPr>
        <w:spacing w:before="0"/>
        <w:ind w:left="1980" w:right="1258" w:hanging="540"/>
        <w:jc w:val="both"/>
        <w:rPr>
          <w:sz w:val="24"/>
        </w:rPr>
      </w:pPr>
      <w:r>
        <w:rPr>
          <w:sz w:val="24"/>
        </w:rPr>
        <w:t>Egunjobi,</w:t>
      </w:r>
      <w:r>
        <w:rPr>
          <w:spacing w:val="-2"/>
          <w:sz w:val="24"/>
        </w:rPr>
        <w:t> </w:t>
      </w:r>
      <w:r>
        <w:rPr>
          <w:sz w:val="24"/>
        </w:rPr>
        <w:t>L.</w:t>
      </w:r>
      <w:r>
        <w:rPr>
          <w:spacing w:val="-2"/>
          <w:sz w:val="24"/>
        </w:rPr>
        <w:t> </w:t>
      </w:r>
      <w:r>
        <w:rPr>
          <w:sz w:val="24"/>
        </w:rPr>
        <w:t>2005.</w:t>
      </w:r>
      <w:r>
        <w:rPr>
          <w:spacing w:val="-1"/>
          <w:sz w:val="24"/>
        </w:rPr>
        <w:t> </w:t>
      </w:r>
      <w:r>
        <w:rPr>
          <w:sz w:val="24"/>
        </w:rPr>
        <w:t>“Nigerian</w:t>
      </w:r>
      <w:r>
        <w:rPr>
          <w:spacing w:val="-4"/>
          <w:sz w:val="24"/>
        </w:rPr>
        <w:t> </w:t>
      </w:r>
      <w:r>
        <w:rPr>
          <w:sz w:val="24"/>
        </w:rPr>
        <w:t>Environmental</w:t>
      </w:r>
      <w:r>
        <w:rPr>
          <w:spacing w:val="-2"/>
          <w:sz w:val="24"/>
        </w:rPr>
        <w:t> </w:t>
      </w:r>
      <w:r>
        <w:rPr>
          <w:sz w:val="24"/>
        </w:rPr>
        <w:t>Conflict</w:t>
      </w:r>
      <w:r>
        <w:rPr>
          <w:spacing w:val="-4"/>
          <w:sz w:val="24"/>
        </w:rPr>
        <w:t> </w:t>
      </w:r>
      <w:r>
        <w:rPr>
          <w:sz w:val="24"/>
        </w:rPr>
        <w:t>Situation:</w:t>
      </w:r>
      <w:r>
        <w:rPr>
          <w:spacing w:val="-4"/>
          <w:sz w:val="24"/>
        </w:rPr>
        <w:t> </w:t>
      </w:r>
      <w:r>
        <w:rPr>
          <w:sz w:val="24"/>
        </w:rPr>
        <w:t>A</w:t>
      </w:r>
      <w:r>
        <w:rPr>
          <w:spacing w:val="-5"/>
          <w:sz w:val="24"/>
        </w:rPr>
        <w:t> </w:t>
      </w:r>
      <w:r>
        <w:rPr>
          <w:sz w:val="24"/>
        </w:rPr>
        <w:t>Review</w:t>
      </w:r>
      <w:r>
        <w:rPr>
          <w:spacing w:val="-3"/>
          <w:sz w:val="24"/>
        </w:rPr>
        <w:t> </w:t>
      </w:r>
      <w:r>
        <w:rPr>
          <w:sz w:val="24"/>
        </w:rPr>
        <w:t>of</w:t>
      </w:r>
      <w:r>
        <w:rPr>
          <w:spacing w:val="-5"/>
          <w:sz w:val="24"/>
        </w:rPr>
        <w:t> </w:t>
      </w:r>
      <w:r>
        <w:rPr>
          <w:sz w:val="24"/>
        </w:rPr>
        <w:t>Selected Cases”, in Isaac O. Albert (ed), </w:t>
      </w:r>
      <w:r>
        <w:rPr>
          <w:i/>
          <w:sz w:val="24"/>
        </w:rPr>
        <w:t>Perspectives on Peace and Conflict in Africa, </w:t>
      </w:r>
      <w:r>
        <w:rPr>
          <w:sz w:val="24"/>
        </w:rPr>
        <w:t>Ibadan: John Archers.</w:t>
      </w:r>
    </w:p>
    <w:p>
      <w:pPr>
        <w:pStyle w:val="BodyText"/>
        <w:spacing w:before="1"/>
        <w:ind w:left="0"/>
      </w:pPr>
    </w:p>
    <w:p>
      <w:pPr>
        <w:pStyle w:val="BodyText"/>
        <w:ind w:left="1980" w:right="1256" w:hanging="540"/>
        <w:jc w:val="both"/>
      </w:pPr>
      <w:r>
        <w:rPr/>
        <w:t>Enweremandu, D. U. 2008. The Vicious Circle: Oil, Corruption, and Armed Conflicts in the Niger Delta.</w:t>
      </w:r>
    </w:p>
    <w:p>
      <w:pPr>
        <w:pStyle w:val="BodyText"/>
        <w:ind w:left="0"/>
      </w:pPr>
    </w:p>
    <w:p>
      <w:pPr>
        <w:spacing w:before="0"/>
        <w:ind w:left="1980" w:right="1253" w:hanging="540"/>
        <w:jc w:val="both"/>
        <w:rPr>
          <w:sz w:val="24"/>
        </w:rPr>
      </w:pPr>
      <w:r>
        <w:rPr>
          <w:sz w:val="24"/>
        </w:rPr>
        <w:t>Fayemi, K. et al (eds) .2005. </w:t>
      </w:r>
      <w:r>
        <w:rPr>
          <w:i/>
          <w:sz w:val="24"/>
        </w:rPr>
        <w:t>Towards an Integrated Development of the Niger Delta</w:t>
      </w:r>
      <w:r>
        <w:rPr>
          <w:sz w:val="24"/>
        </w:rPr>
        <w:t>, (Port Harcourt: Center for Democracy and Development, 2005).</w:t>
      </w:r>
    </w:p>
    <w:p>
      <w:pPr>
        <w:pStyle w:val="BodyText"/>
        <w:ind w:left="0"/>
      </w:pPr>
    </w:p>
    <w:p>
      <w:pPr>
        <w:pStyle w:val="BodyText"/>
        <w:ind w:left="1980" w:right="1259" w:hanging="540"/>
        <w:jc w:val="both"/>
      </w:pPr>
      <w:r>
        <w:rPr/>
        <w:t>Federal Government of Nigeria .2003. Strategic Conflict Assessment: Consolidated and Zonal Reports, Abuja: Institute for Peace and Conflict Resolution.</w:t>
      </w:r>
    </w:p>
    <w:p>
      <w:pPr>
        <w:spacing w:after="0"/>
        <w:jc w:val="both"/>
        <w:sectPr>
          <w:pgSz w:w="11910" w:h="16840"/>
          <w:pgMar w:header="0" w:footer="1561" w:top="1340" w:bottom="1760" w:left="720" w:right="180"/>
        </w:sectPr>
      </w:pPr>
    </w:p>
    <w:p>
      <w:pPr>
        <w:pStyle w:val="BodyText"/>
        <w:spacing w:before="74"/>
        <w:ind w:left="1980" w:right="1260" w:hanging="540"/>
        <w:jc w:val="both"/>
      </w:pPr>
      <w:r>
        <w:rPr/>
        <mc:AlternateContent>
          <mc:Choice Requires="wps">
            <w:drawing>
              <wp:anchor distT="0" distB="0" distL="0" distR="0" allowOverlap="1" layoutInCell="1" locked="0" behindDoc="1" simplePos="0" relativeHeight="480696832">
                <wp:simplePos x="0" y="0"/>
                <wp:positionH relativeFrom="page">
                  <wp:posOffset>-1537026</wp:posOffset>
                </wp:positionH>
                <wp:positionV relativeFrom="page">
                  <wp:posOffset>4900424</wp:posOffset>
                </wp:positionV>
                <wp:extent cx="10669905" cy="914400"/>
                <wp:effectExtent l="0" t="0" r="0" b="0"/>
                <wp:wrapNone/>
                <wp:docPr id="369" name="Textbox 369"/>
                <wp:cNvGraphicFramePr>
                  <a:graphicFrameLocks/>
                </wp:cNvGraphicFramePr>
                <a:graphic>
                  <a:graphicData uri="http://schemas.microsoft.com/office/word/2010/wordprocessingShape">
                    <wps:wsp>
                      <wps:cNvPr id="369" name="Textbox 369"/>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19648;rotation:306" type="#_x0000_t136" fillcolor="#ff5400" stroked="f">
                <o:extrusion v:ext="view" autorotationcenter="t"/>
                <v:textpath style="font-family:&quot;Arial MT&quot;;font-size:72pt;v-text-kern:t;mso-text-shadow:auto" string="UNIVERSITY OF IBADAN"/>
                <w10:wrap type="none"/>
              </v:shape>
            </w:pict>
          </mc:Fallback>
        </mc:AlternateContent>
      </w:r>
      <w:r>
        <w:rPr/>
        <w:t>Federal Republic of Nigeria: Constitution of the Federal Republic of Nigeria 1999, (Lagos; Federal Government Press, 1999).</w:t>
      </w:r>
    </w:p>
    <w:p>
      <w:pPr>
        <w:pStyle w:val="BodyText"/>
        <w:ind w:left="0"/>
      </w:pPr>
    </w:p>
    <w:p>
      <w:pPr>
        <w:spacing w:before="1"/>
        <w:ind w:left="1980" w:right="1253" w:hanging="540"/>
        <w:jc w:val="both"/>
        <w:rPr>
          <w:sz w:val="24"/>
        </w:rPr>
      </w:pPr>
      <w:r>
        <w:rPr>
          <w:sz w:val="24"/>
        </w:rPr>
        <w:t>Fisher, S. et al (eds), </w:t>
      </w:r>
      <w:r>
        <w:rPr>
          <w:i/>
          <w:sz w:val="24"/>
        </w:rPr>
        <w:t>Working with Conflict: Skills and Strategies for Action. </w:t>
      </w:r>
      <w:r>
        <w:rPr>
          <w:sz w:val="24"/>
        </w:rPr>
        <w:t>2000, London/ Birmingham: Zed Books and Responding to Conflict.</w:t>
      </w:r>
    </w:p>
    <w:p>
      <w:pPr>
        <w:spacing w:before="276"/>
        <w:ind w:left="1980" w:right="1256" w:hanging="540"/>
        <w:jc w:val="both"/>
        <w:rPr>
          <w:sz w:val="24"/>
        </w:rPr>
      </w:pPr>
      <w:r>
        <w:rPr>
          <w:sz w:val="24"/>
        </w:rPr>
        <w:t>Green, P.E. and Tull, D.S. 1990. </w:t>
      </w:r>
      <w:r>
        <w:rPr>
          <w:i/>
          <w:sz w:val="24"/>
        </w:rPr>
        <w:t>Research for Marketing Decisions </w:t>
      </w:r>
      <w:r>
        <w:rPr>
          <w:sz w:val="24"/>
        </w:rPr>
        <w:t>(4</w:t>
      </w:r>
      <w:r>
        <w:rPr>
          <w:sz w:val="24"/>
          <w:vertAlign w:val="superscript"/>
        </w:rPr>
        <w:t>th</w:t>
      </w:r>
      <w:r>
        <w:rPr>
          <w:sz w:val="24"/>
          <w:vertAlign w:val="baseline"/>
        </w:rPr>
        <w:t> ediion). New Delhi: Prentice - Hall of India.</w:t>
      </w:r>
    </w:p>
    <w:p>
      <w:pPr>
        <w:pStyle w:val="BodyText"/>
        <w:spacing w:before="276"/>
      </w:pPr>
      <w:r>
        <w:rPr/>
        <w:t>Group</w:t>
      </w:r>
      <w:r>
        <w:rPr>
          <w:spacing w:val="-1"/>
        </w:rPr>
        <w:t> </w:t>
      </w:r>
      <w:r>
        <w:rPr/>
        <w:t>GlobaI</w:t>
      </w:r>
      <w:r>
        <w:rPr>
          <w:spacing w:val="-5"/>
        </w:rPr>
        <w:t> </w:t>
      </w:r>
      <w:r>
        <w:rPr/>
        <w:t>Security.org</w:t>
      </w:r>
      <w:r>
        <w:rPr>
          <w:spacing w:val="-1"/>
        </w:rPr>
        <w:t> </w:t>
      </w:r>
      <w:r>
        <w:rPr/>
        <w:t>Accessed</w:t>
      </w:r>
      <w:r>
        <w:rPr>
          <w:spacing w:val="-1"/>
        </w:rPr>
        <w:t> </w:t>
      </w:r>
      <w:r>
        <w:rPr/>
        <w:t>30</w:t>
      </w:r>
      <w:r>
        <w:rPr>
          <w:spacing w:val="-1"/>
        </w:rPr>
        <w:t> </w:t>
      </w:r>
      <w:r>
        <w:rPr/>
        <w:t>August </w:t>
      </w:r>
      <w:r>
        <w:rPr>
          <w:spacing w:val="-2"/>
        </w:rPr>
        <w:t>2009.</w:t>
      </w:r>
    </w:p>
    <w:p>
      <w:pPr>
        <w:spacing w:before="276"/>
        <w:ind w:left="1980" w:right="1258" w:hanging="540"/>
        <w:jc w:val="both"/>
        <w:rPr>
          <w:sz w:val="24"/>
        </w:rPr>
      </w:pPr>
      <w:r>
        <w:rPr>
          <w:sz w:val="24"/>
        </w:rPr>
        <w:t>Hawkins, D.I., Best, R.J. and Coneys, K.A. 1995. </w:t>
      </w:r>
      <w:r>
        <w:rPr>
          <w:i/>
          <w:sz w:val="24"/>
        </w:rPr>
        <w:t>Consumer Behaviour: Implications for Marketing Strategy </w:t>
      </w:r>
      <w:r>
        <w:rPr>
          <w:sz w:val="24"/>
        </w:rPr>
        <w:t>(6</w:t>
      </w:r>
      <w:r>
        <w:rPr>
          <w:sz w:val="24"/>
          <w:vertAlign w:val="superscript"/>
        </w:rPr>
        <w:t>th</w:t>
      </w:r>
      <w:r>
        <w:rPr>
          <w:sz w:val="24"/>
          <w:vertAlign w:val="baseline"/>
        </w:rPr>
        <w:t>edition). Chicago: Irwin.</w:t>
      </w:r>
    </w:p>
    <w:p>
      <w:pPr>
        <w:pStyle w:val="BodyText"/>
        <w:ind w:left="0"/>
      </w:pPr>
    </w:p>
    <w:p>
      <w:pPr>
        <w:pStyle w:val="BodyText"/>
        <w:ind w:left="1980" w:right="1260" w:hanging="540"/>
        <w:jc w:val="both"/>
      </w:pPr>
      <w:r>
        <w:rPr/>
        <w:t>Human Rights Watch Briefing paper: Nigeria – The Niger Delta: No Democratic Dividend, Vol. 14, No. 7 (A) (2002).</w:t>
      </w:r>
    </w:p>
    <w:p>
      <w:pPr>
        <w:pStyle w:val="BodyText"/>
        <w:ind w:left="0"/>
      </w:pPr>
    </w:p>
    <w:p>
      <w:pPr>
        <w:pStyle w:val="BodyText"/>
        <w:ind w:left="1980" w:right="1259" w:hanging="540"/>
        <w:jc w:val="both"/>
      </w:pPr>
      <w:r>
        <w:rPr/>
        <w:t>Human Rights Watch .October 2007. Criminal Politics: Violence, “Godfathers” and Corruption in Nigeria. Volume 19, No. 16(A).</w:t>
      </w:r>
    </w:p>
    <w:p>
      <w:pPr>
        <w:pStyle w:val="BodyText"/>
        <w:ind w:left="0"/>
      </w:pPr>
    </w:p>
    <w:p>
      <w:pPr>
        <w:pStyle w:val="BodyText"/>
        <w:ind w:left="1980" w:right="1260" w:hanging="540"/>
        <w:jc w:val="both"/>
      </w:pPr>
      <w:r>
        <w:rPr/>
        <w:t>Ibaba, I.S. 2005. Understanding the Niger Delta Crisis. Port Harcourt: Amethyst and Colleagues Publisher.</w:t>
      </w:r>
    </w:p>
    <w:p>
      <w:pPr>
        <w:pStyle w:val="BodyText"/>
        <w:ind w:left="0"/>
      </w:pPr>
    </w:p>
    <w:p>
      <w:pPr>
        <w:spacing w:before="1"/>
        <w:ind w:left="1980" w:right="1262" w:hanging="540"/>
        <w:jc w:val="both"/>
        <w:rPr>
          <w:sz w:val="24"/>
        </w:rPr>
      </w:pPr>
      <w:r>
        <w:rPr>
          <w:sz w:val="24"/>
        </w:rPr>
        <w:t>Ibaba, I.S. 2008. Promoting Peace in the Niger Delta: Some Critical Issues, in </w:t>
      </w:r>
      <w:r>
        <w:rPr>
          <w:i/>
          <w:sz w:val="24"/>
        </w:rPr>
        <w:t>Proceedings of International Conference on the Oil Industry and Niger Delta, </w:t>
      </w:r>
      <w:r>
        <w:rPr>
          <w:sz w:val="24"/>
        </w:rPr>
        <w:t>(Port Harcourt: Harvey Publication)</w:t>
      </w:r>
    </w:p>
    <w:p>
      <w:pPr>
        <w:pStyle w:val="BodyText"/>
        <w:ind w:left="0"/>
      </w:pPr>
    </w:p>
    <w:p>
      <w:pPr>
        <w:pStyle w:val="BodyText"/>
        <w:ind w:left="1980" w:right="1255" w:hanging="540"/>
        <w:jc w:val="both"/>
      </w:pPr>
      <w:r>
        <w:rPr/>
        <w:t>Ikelegbe, A. 2008.</w:t>
      </w:r>
      <w:r>
        <w:rPr>
          <w:spacing w:val="40"/>
        </w:rPr>
        <w:t> </w:t>
      </w:r>
      <w:r>
        <w:rPr/>
        <w:t>“Interogating A Crisis of Corporate Governance and the Interface with conflict:</w:t>
      </w:r>
      <w:r>
        <w:rPr>
          <w:spacing w:val="40"/>
        </w:rPr>
        <w:t> </w:t>
      </w:r>
      <w:r>
        <w:rPr/>
        <w:t>The case of Multinational Oil Companies and the conflicts in the Niger Delta”, in International Conference on the Nigerian State, Oil Industry</w:t>
      </w:r>
      <w:r>
        <w:rPr>
          <w:spacing w:val="40"/>
        </w:rPr>
        <w:t> </w:t>
      </w:r>
      <w:r>
        <w:rPr/>
        <w:t>and the Niger Delta – Conference Proceedings, Port Harcourt: Harey Publications Company.</w:t>
      </w:r>
    </w:p>
    <w:p>
      <w:pPr>
        <w:pStyle w:val="BodyText"/>
        <w:ind w:left="0"/>
      </w:pPr>
    </w:p>
    <w:p>
      <w:pPr>
        <w:spacing w:before="0"/>
        <w:ind w:left="1980" w:right="1259" w:hanging="478"/>
        <w:jc w:val="both"/>
        <w:rPr>
          <w:sz w:val="24"/>
        </w:rPr>
      </w:pPr>
      <w:r>
        <w:rPr>
          <w:sz w:val="24"/>
        </w:rPr>
        <w:t>Ihekire, C.R.U. 2008. "Creating Nigerian Army Specialised Task Teams for Peace Support Operations" in Yusuf L.N. eds, </w:t>
      </w:r>
      <w:r>
        <w:rPr>
          <w:i/>
          <w:sz w:val="24"/>
        </w:rPr>
        <w:t>Nigeria's Contribution to International Peace Support Operations </w:t>
      </w:r>
      <w:r>
        <w:rPr>
          <w:sz w:val="24"/>
        </w:rPr>
        <w:t>(Abuja: Prudency Concepts Ltd).</w:t>
      </w:r>
    </w:p>
    <w:p>
      <w:pPr>
        <w:pStyle w:val="BodyText"/>
        <w:ind w:left="0"/>
      </w:pPr>
    </w:p>
    <w:p>
      <w:pPr>
        <w:spacing w:before="0"/>
        <w:ind w:left="1980" w:right="1256" w:hanging="478"/>
        <w:jc w:val="both"/>
        <w:rPr>
          <w:sz w:val="24"/>
        </w:rPr>
      </w:pPr>
      <w:r>
        <w:rPr>
          <w:sz w:val="24"/>
        </w:rPr>
        <w:t>Imobighe, T.A., Bassey, C. O. and Asuni, J. B. (eds) 2002. </w:t>
      </w:r>
      <w:r>
        <w:rPr>
          <w:i/>
          <w:sz w:val="24"/>
        </w:rPr>
        <w:t>Conflict and Instability in the Niger Delta: The Warri Case. </w:t>
      </w:r>
      <w:r>
        <w:rPr>
          <w:sz w:val="24"/>
        </w:rPr>
        <w:t>(Ibadan: Spectrum</w:t>
      </w:r>
      <w:r>
        <w:rPr>
          <w:spacing w:val="80"/>
          <w:sz w:val="24"/>
        </w:rPr>
        <w:t> </w:t>
      </w:r>
      <w:r>
        <w:rPr>
          <w:sz w:val="24"/>
        </w:rPr>
        <w:t>Books Ltd).</w:t>
      </w:r>
    </w:p>
    <w:p>
      <w:pPr>
        <w:pStyle w:val="BodyText"/>
        <w:spacing w:before="1"/>
        <w:ind w:left="0"/>
      </w:pPr>
    </w:p>
    <w:p>
      <w:pPr>
        <w:pStyle w:val="BodyText"/>
        <w:ind w:left="1980" w:right="1262" w:hanging="478"/>
        <w:jc w:val="both"/>
      </w:pPr>
      <w:r>
        <w:rPr/>
        <w:t>IPCR, 2003. Mainstreaming Peace Building in Development Programming in Nigeria: A Framework. (Abuja: Institute for Peace and Conflict Resolution </w:t>
      </w:r>
      <w:r>
        <w:rPr>
          <w:spacing w:val="-2"/>
        </w:rPr>
        <w:t>Publications).</w:t>
      </w:r>
    </w:p>
    <w:p>
      <w:pPr>
        <w:pStyle w:val="BodyText"/>
        <w:ind w:left="0"/>
      </w:pPr>
    </w:p>
    <w:p>
      <w:pPr>
        <w:pStyle w:val="BodyText"/>
      </w:pPr>
      <w:r>
        <w:rPr/>
        <w:t>International</w:t>
      </w:r>
      <w:r>
        <w:rPr>
          <w:spacing w:val="-5"/>
        </w:rPr>
        <w:t> </w:t>
      </w:r>
      <w:r>
        <w:rPr/>
        <w:t>Alert,</w:t>
      </w:r>
      <w:r>
        <w:rPr>
          <w:spacing w:val="-2"/>
        </w:rPr>
        <w:t> </w:t>
      </w:r>
      <w:r>
        <w:rPr/>
        <w:t>1996.</w:t>
      </w:r>
      <w:r>
        <w:rPr>
          <w:spacing w:val="-2"/>
        </w:rPr>
        <w:t> </w:t>
      </w:r>
      <w:r>
        <w:rPr/>
        <w:t>Conflict</w:t>
      </w:r>
      <w:r>
        <w:rPr>
          <w:spacing w:val="-2"/>
        </w:rPr>
        <w:t> </w:t>
      </w:r>
      <w:r>
        <w:rPr/>
        <w:t>Resolution</w:t>
      </w:r>
      <w:r>
        <w:rPr>
          <w:spacing w:val="-2"/>
        </w:rPr>
        <w:t> </w:t>
      </w:r>
      <w:r>
        <w:rPr/>
        <w:t>Resource</w:t>
      </w:r>
      <w:r>
        <w:rPr>
          <w:spacing w:val="-3"/>
        </w:rPr>
        <w:t> </w:t>
      </w:r>
      <w:r>
        <w:rPr/>
        <w:t>Pack,</w:t>
      </w:r>
      <w:r>
        <w:rPr>
          <w:spacing w:val="2"/>
        </w:rPr>
        <w:t> </w:t>
      </w:r>
      <w:r>
        <w:rPr>
          <w:spacing w:val="-2"/>
        </w:rPr>
        <w:t>London.</w:t>
      </w:r>
    </w:p>
    <w:p>
      <w:pPr>
        <w:pStyle w:val="BodyText"/>
        <w:ind w:left="0"/>
      </w:pPr>
    </w:p>
    <w:p>
      <w:pPr>
        <w:pStyle w:val="BodyText"/>
        <w:ind w:left="1980" w:right="1259" w:hanging="540"/>
        <w:jc w:val="both"/>
      </w:pPr>
      <w:r>
        <w:rPr/>
        <w:t>International Alert, Gender and Peace-Keeping Operations, (London, International Alert 2002) p.1.</w:t>
      </w:r>
    </w:p>
    <w:p>
      <w:pPr>
        <w:spacing w:after="0"/>
        <w:jc w:val="both"/>
        <w:sectPr>
          <w:pgSz w:w="11910" w:h="16840"/>
          <w:pgMar w:header="0" w:footer="1561" w:top="1620" w:bottom="1760" w:left="720" w:right="180"/>
        </w:sectPr>
      </w:pPr>
    </w:p>
    <w:p>
      <w:pPr>
        <w:pStyle w:val="BodyText"/>
        <w:spacing w:before="74"/>
        <w:ind w:left="1980" w:right="1264" w:hanging="478"/>
        <w:jc w:val="both"/>
      </w:pPr>
      <w:r>
        <w:rPr/>
        <mc:AlternateContent>
          <mc:Choice Requires="wps">
            <w:drawing>
              <wp:anchor distT="0" distB="0" distL="0" distR="0" allowOverlap="1" layoutInCell="1" locked="0" behindDoc="1" simplePos="0" relativeHeight="480697344">
                <wp:simplePos x="0" y="0"/>
                <wp:positionH relativeFrom="page">
                  <wp:posOffset>-1537026</wp:posOffset>
                </wp:positionH>
                <wp:positionV relativeFrom="page">
                  <wp:posOffset>4900424</wp:posOffset>
                </wp:positionV>
                <wp:extent cx="10669905" cy="914400"/>
                <wp:effectExtent l="0" t="0" r="0" b="0"/>
                <wp:wrapNone/>
                <wp:docPr id="370" name="Textbox 370"/>
                <wp:cNvGraphicFramePr>
                  <a:graphicFrameLocks/>
                </wp:cNvGraphicFramePr>
                <a:graphic>
                  <a:graphicData uri="http://schemas.microsoft.com/office/word/2010/wordprocessingShape">
                    <wps:wsp>
                      <wps:cNvPr id="370" name="Textbox 370"/>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19136;rotation:306" type="#_x0000_t136" fillcolor="#ff5400" stroked="f">
                <o:extrusion v:ext="view" autorotationcenter="t"/>
                <v:textpath style="font-family:&quot;Arial MT&quot;;font-size:72pt;v-text-kern:t;mso-text-shadow:auto" string="UNIVERSITY OF IBADAN"/>
                <w10:wrap type="none"/>
              </v:shape>
            </w:pict>
          </mc:Fallback>
        </mc:AlternateContent>
      </w:r>
      <w:r>
        <w:rPr/>
        <w:t>International Crisis Group, “Fuelling The Niger Delta Crisis”, Crisis Group Africa Report No. 118, 28 September, 2006, P.8.</w:t>
      </w:r>
    </w:p>
    <w:p>
      <w:pPr>
        <w:pStyle w:val="BodyText"/>
        <w:ind w:left="0"/>
      </w:pPr>
    </w:p>
    <w:p>
      <w:pPr>
        <w:pStyle w:val="BodyText"/>
        <w:spacing w:before="1"/>
        <w:ind w:left="1980" w:right="1257" w:hanging="540"/>
        <w:jc w:val="both"/>
      </w:pPr>
      <w:r>
        <w:rPr/>
        <w:t>Isumonah, V.A. 2003. “Obasanjo Administration and the Management of Niger Delta Conflicts in Nigeria” in African Journal of Peace and Conflict Studies,</w:t>
      </w:r>
      <w:r>
        <w:rPr>
          <w:spacing w:val="40"/>
        </w:rPr>
        <w:t> </w:t>
      </w:r>
      <w:r>
        <w:rPr/>
        <w:t>(CEPAS), University of Ibadan, Vol. 1 No. 2 December, 2003 – ISSN : 1597- </w:t>
      </w:r>
      <w:r>
        <w:rPr>
          <w:spacing w:val="-2"/>
        </w:rPr>
        <w:t>2453.</w:t>
      </w:r>
    </w:p>
    <w:p>
      <w:pPr>
        <w:pStyle w:val="BodyText"/>
        <w:spacing w:before="276"/>
      </w:pPr>
      <w:r>
        <w:rPr/>
        <w:t>Jordan,</w:t>
      </w:r>
      <w:r>
        <w:rPr>
          <w:spacing w:val="-1"/>
        </w:rPr>
        <w:t> </w:t>
      </w:r>
      <w:r>
        <w:rPr/>
        <w:t>M.</w:t>
      </w:r>
      <w:r>
        <w:rPr>
          <w:spacing w:val="-1"/>
        </w:rPr>
        <w:t> </w:t>
      </w:r>
      <w:r>
        <w:rPr/>
        <w:t>1964.</w:t>
      </w:r>
      <w:r>
        <w:rPr>
          <w:spacing w:val="1"/>
        </w:rPr>
        <w:t> </w:t>
      </w:r>
      <w:r>
        <w:rPr/>
        <w:t>Modern</w:t>
      </w:r>
      <w:r>
        <w:rPr>
          <w:spacing w:val="-1"/>
        </w:rPr>
        <w:t> </w:t>
      </w:r>
      <w:r>
        <w:rPr/>
        <w:t>Trends in</w:t>
      </w:r>
      <w:r>
        <w:rPr>
          <w:spacing w:val="-1"/>
        </w:rPr>
        <w:t> </w:t>
      </w:r>
      <w:r>
        <w:rPr/>
        <w:t>Military</w:t>
      </w:r>
      <w:r>
        <w:rPr>
          <w:spacing w:val="-5"/>
        </w:rPr>
        <w:t> </w:t>
      </w:r>
      <w:r>
        <w:rPr>
          <w:spacing w:val="-2"/>
        </w:rPr>
        <w:t>Operations.</w:t>
      </w:r>
    </w:p>
    <w:p>
      <w:pPr>
        <w:pStyle w:val="BodyText"/>
        <w:spacing w:before="276"/>
        <w:ind w:left="1980" w:right="1261" w:hanging="480"/>
        <w:jc w:val="both"/>
      </w:pPr>
      <w:r>
        <w:rPr/>
        <w:t>Keen, D. 1998. “The Economic Function of Violence in Civil Wars”, Adelphi Paper No.</w:t>
      </w:r>
      <w:r>
        <w:rPr>
          <w:spacing w:val="-2"/>
        </w:rPr>
        <w:t> </w:t>
      </w:r>
      <w:r>
        <w:rPr/>
        <w:t>319.</w:t>
      </w:r>
      <w:r>
        <w:rPr>
          <w:spacing w:val="-1"/>
        </w:rPr>
        <w:t> </w:t>
      </w:r>
      <w:r>
        <w:rPr/>
        <w:t>Oxford</w:t>
      </w:r>
      <w:r>
        <w:rPr>
          <w:spacing w:val="-2"/>
        </w:rPr>
        <w:t> </w:t>
      </w:r>
      <w:r>
        <w:rPr/>
        <w:t>University</w:t>
      </w:r>
      <w:r>
        <w:rPr>
          <w:spacing w:val="-6"/>
        </w:rPr>
        <w:t> </w:t>
      </w:r>
      <w:r>
        <w:rPr/>
        <w:t>Press</w:t>
      </w:r>
      <w:r>
        <w:rPr>
          <w:spacing w:val="-1"/>
        </w:rPr>
        <w:t> </w:t>
      </w:r>
      <w:r>
        <w:rPr/>
        <w:t>and</w:t>
      </w:r>
      <w:r>
        <w:rPr>
          <w:spacing w:val="-1"/>
        </w:rPr>
        <w:t> </w:t>
      </w:r>
      <w:r>
        <w:rPr/>
        <w:t>International</w:t>
      </w:r>
      <w:r>
        <w:rPr>
          <w:spacing w:val="1"/>
        </w:rPr>
        <w:t> </w:t>
      </w:r>
      <w:r>
        <w:rPr/>
        <w:t>Institute</w:t>
      </w:r>
      <w:r>
        <w:rPr>
          <w:spacing w:val="-3"/>
        </w:rPr>
        <w:t> </w:t>
      </w:r>
      <w:r>
        <w:rPr/>
        <w:t>of</w:t>
      </w:r>
      <w:r>
        <w:rPr>
          <w:spacing w:val="-1"/>
        </w:rPr>
        <w:t> </w:t>
      </w:r>
      <w:r>
        <w:rPr/>
        <w:t>Strategic</w:t>
      </w:r>
      <w:r>
        <w:rPr>
          <w:spacing w:val="-1"/>
        </w:rPr>
        <w:t> </w:t>
      </w:r>
      <w:r>
        <w:rPr>
          <w:spacing w:val="-2"/>
        </w:rPr>
        <w:t>Studies.</w:t>
      </w:r>
    </w:p>
    <w:p>
      <w:pPr>
        <w:pStyle w:val="BodyText"/>
        <w:ind w:left="0"/>
      </w:pPr>
    </w:p>
    <w:p>
      <w:pPr>
        <w:spacing w:before="0"/>
        <w:ind w:left="1980" w:right="1260" w:hanging="480"/>
        <w:jc w:val="left"/>
        <w:rPr>
          <w:sz w:val="24"/>
        </w:rPr>
      </w:pPr>
      <w:r>
        <w:rPr>
          <w:sz w:val="24"/>
        </w:rPr>
        <w:t>Mayal, C. and Palmer, S. 1993. </w:t>
      </w:r>
      <w:r>
        <w:rPr>
          <w:i/>
          <w:sz w:val="24"/>
        </w:rPr>
        <w:t>Customer Services: Marketing and the Competitive</w:t>
      </w:r>
      <w:r>
        <w:rPr>
          <w:i/>
          <w:spacing w:val="40"/>
          <w:sz w:val="24"/>
        </w:rPr>
        <w:t> </w:t>
      </w:r>
      <w:r>
        <w:rPr>
          <w:i/>
          <w:sz w:val="24"/>
        </w:rPr>
        <w:t>Environment, </w:t>
      </w:r>
      <w:r>
        <w:rPr>
          <w:sz w:val="24"/>
        </w:rPr>
        <w:t>Banking Certificate Series. London: Pitman Publishing.</w:t>
      </w:r>
    </w:p>
    <w:p>
      <w:pPr>
        <w:spacing w:line="550" w:lineRule="atLeast" w:before="2"/>
        <w:ind w:left="1500" w:right="2080" w:firstLine="0"/>
        <w:jc w:val="left"/>
        <w:rPr>
          <w:sz w:val="24"/>
        </w:rPr>
      </w:pPr>
      <w:r>
        <w:rPr>
          <w:sz w:val="24"/>
        </w:rPr>
        <w:t>McNamara,</w:t>
      </w:r>
      <w:r>
        <w:rPr>
          <w:spacing w:val="-4"/>
          <w:sz w:val="24"/>
        </w:rPr>
        <w:t> </w:t>
      </w:r>
      <w:r>
        <w:rPr>
          <w:sz w:val="24"/>
        </w:rPr>
        <w:t>R.</w:t>
      </w:r>
      <w:r>
        <w:rPr>
          <w:spacing w:val="-4"/>
          <w:sz w:val="24"/>
        </w:rPr>
        <w:t> </w:t>
      </w:r>
      <w:r>
        <w:rPr>
          <w:sz w:val="24"/>
        </w:rPr>
        <w:t>1968,</w:t>
      </w:r>
      <w:r>
        <w:rPr>
          <w:spacing w:val="-3"/>
          <w:sz w:val="24"/>
        </w:rPr>
        <w:t> </w:t>
      </w:r>
      <w:r>
        <w:rPr>
          <w:i/>
          <w:sz w:val="24"/>
        </w:rPr>
        <w:t>The</w:t>
      </w:r>
      <w:r>
        <w:rPr>
          <w:i/>
          <w:spacing w:val="-5"/>
          <w:sz w:val="24"/>
        </w:rPr>
        <w:t> </w:t>
      </w:r>
      <w:r>
        <w:rPr>
          <w:i/>
          <w:sz w:val="24"/>
        </w:rPr>
        <w:t>Essence</w:t>
      </w:r>
      <w:r>
        <w:rPr>
          <w:i/>
          <w:spacing w:val="-5"/>
          <w:sz w:val="24"/>
        </w:rPr>
        <w:t> </w:t>
      </w:r>
      <w:r>
        <w:rPr>
          <w:i/>
          <w:sz w:val="24"/>
        </w:rPr>
        <w:t>of</w:t>
      </w:r>
      <w:r>
        <w:rPr>
          <w:i/>
          <w:spacing w:val="-4"/>
          <w:sz w:val="24"/>
        </w:rPr>
        <w:t> </w:t>
      </w:r>
      <w:r>
        <w:rPr>
          <w:i/>
          <w:sz w:val="24"/>
        </w:rPr>
        <w:t>Security</w:t>
      </w:r>
      <w:r>
        <w:rPr>
          <w:sz w:val="24"/>
        </w:rPr>
        <w:t>,</w:t>
      </w:r>
      <w:r>
        <w:rPr>
          <w:spacing w:val="-4"/>
          <w:sz w:val="24"/>
        </w:rPr>
        <w:t> </w:t>
      </w:r>
      <w:r>
        <w:rPr>
          <w:sz w:val="24"/>
        </w:rPr>
        <w:t>New</w:t>
      </w:r>
      <w:r>
        <w:rPr>
          <w:spacing w:val="-4"/>
          <w:sz w:val="24"/>
        </w:rPr>
        <w:t> </w:t>
      </w:r>
      <w:r>
        <w:rPr>
          <w:sz w:val="24"/>
        </w:rPr>
        <w:t>York:</w:t>
      </w:r>
      <w:r>
        <w:rPr>
          <w:spacing w:val="-4"/>
          <w:sz w:val="24"/>
        </w:rPr>
        <w:t> </w:t>
      </w:r>
      <w:r>
        <w:rPr>
          <w:sz w:val="24"/>
        </w:rPr>
        <w:t>Harper</w:t>
      </w:r>
      <w:r>
        <w:rPr>
          <w:spacing w:val="-3"/>
          <w:sz w:val="24"/>
        </w:rPr>
        <w:t> </w:t>
      </w:r>
      <w:r>
        <w:rPr>
          <w:sz w:val="24"/>
        </w:rPr>
        <w:t>and</w:t>
      </w:r>
      <w:r>
        <w:rPr>
          <w:spacing w:val="-4"/>
          <w:sz w:val="24"/>
        </w:rPr>
        <w:t> </w:t>
      </w:r>
      <w:r>
        <w:rPr>
          <w:sz w:val="24"/>
        </w:rPr>
        <w:t>Row. Mockaitis, T. 1995. </w:t>
      </w:r>
      <w:r>
        <w:rPr>
          <w:i/>
          <w:sz w:val="24"/>
        </w:rPr>
        <w:t>British Counterinsurgency in the Post Imperial Era</w:t>
      </w:r>
      <w:r>
        <w:rPr>
          <w:sz w:val="24"/>
        </w:rPr>
        <w:t>,</w:t>
      </w:r>
    </w:p>
    <w:p>
      <w:pPr>
        <w:pStyle w:val="BodyText"/>
        <w:spacing w:before="2"/>
        <w:ind w:left="1980"/>
      </w:pPr>
      <w:r>
        <w:rPr/>
        <w:t>(Manchester:</w:t>
      </w:r>
      <w:r>
        <w:rPr>
          <w:spacing w:val="-2"/>
        </w:rPr>
        <w:t> </w:t>
      </w:r>
      <w:r>
        <w:rPr/>
        <w:t>Manchester University</w:t>
      </w:r>
      <w:r>
        <w:rPr>
          <w:spacing w:val="-5"/>
        </w:rPr>
        <w:t> </w:t>
      </w:r>
      <w:r>
        <w:rPr>
          <w:spacing w:val="-2"/>
        </w:rPr>
        <w:t>Press).</w:t>
      </w:r>
    </w:p>
    <w:p>
      <w:pPr>
        <w:pStyle w:val="BodyText"/>
        <w:ind w:left="0"/>
      </w:pPr>
    </w:p>
    <w:p>
      <w:pPr>
        <w:pStyle w:val="BodyText"/>
      </w:pPr>
      <w:r>
        <w:rPr/>
        <w:t>Military</w:t>
      </w:r>
      <w:r>
        <w:rPr>
          <w:spacing w:val="-5"/>
        </w:rPr>
        <w:t> </w:t>
      </w:r>
      <w:r>
        <w:rPr/>
        <w:t>Precise,</w:t>
      </w:r>
      <w:r>
        <w:rPr>
          <w:spacing w:val="1"/>
        </w:rPr>
        <w:t> </w:t>
      </w:r>
      <w:r>
        <w:rPr/>
        <w:t>1981:A-</w:t>
      </w:r>
      <w:r>
        <w:rPr>
          <w:spacing w:val="-10"/>
        </w:rPr>
        <w:t>1</w:t>
      </w:r>
    </w:p>
    <w:p>
      <w:pPr>
        <w:pStyle w:val="BodyText"/>
        <w:ind w:left="0"/>
      </w:pPr>
    </w:p>
    <w:p>
      <w:pPr>
        <w:spacing w:before="0"/>
        <w:ind w:left="1980" w:right="1253" w:hanging="540"/>
        <w:jc w:val="both"/>
        <w:rPr>
          <w:sz w:val="24"/>
        </w:rPr>
      </w:pPr>
      <w:r>
        <w:rPr>
          <w:sz w:val="24"/>
        </w:rPr>
        <w:t>Naanen, B. 2007. “The Niger Delta and the National Question”, in Osaghae, E.E. and Onwudiwe, E (eds</w:t>
      </w:r>
      <w:r>
        <w:rPr>
          <w:i/>
          <w:sz w:val="24"/>
        </w:rPr>
        <w:t>) The Management of the National Question in Nigeria</w:t>
      </w:r>
      <w:r>
        <w:rPr>
          <w:sz w:val="24"/>
        </w:rPr>
        <w:t>,</w:t>
      </w:r>
      <w:r>
        <w:rPr>
          <w:spacing w:val="40"/>
          <w:sz w:val="24"/>
        </w:rPr>
        <w:t> </w:t>
      </w:r>
      <w:r>
        <w:rPr>
          <w:sz w:val="24"/>
        </w:rPr>
        <w:t>Okada : Igbinedion University press.</w:t>
      </w:r>
    </w:p>
    <w:p>
      <w:pPr>
        <w:pStyle w:val="BodyText"/>
        <w:spacing w:before="1"/>
        <w:ind w:left="0"/>
      </w:pPr>
    </w:p>
    <w:p>
      <w:pPr>
        <w:pStyle w:val="BodyText"/>
        <w:ind w:left="1980" w:right="1260" w:hanging="540"/>
      </w:pPr>
      <w:r>
        <w:rPr/>
        <w:t>National Defence Policy, 2004, Directorate of Army Public Relations Printing Press, Abuja, Nigeria.</w:t>
      </w:r>
    </w:p>
    <w:p>
      <w:pPr>
        <w:pStyle w:val="BodyText"/>
        <w:ind w:left="0"/>
      </w:pPr>
    </w:p>
    <w:p>
      <w:pPr>
        <w:pStyle w:val="BodyText"/>
        <w:ind w:left="1980" w:right="1260" w:hanging="540"/>
      </w:pPr>
      <w:r>
        <w:rPr/>
        <w:t>Nigeria Army Peace Support Operations Doctrine, Defence Headquaters, Ministry of Defence, Abuja, June 2005.</w:t>
      </w:r>
    </w:p>
    <w:p>
      <w:pPr>
        <w:pStyle w:val="BodyText"/>
        <w:ind w:left="0"/>
      </w:pPr>
    </w:p>
    <w:p>
      <w:pPr>
        <w:pStyle w:val="BodyText"/>
      </w:pPr>
      <w:r>
        <w:rPr/>
        <w:t>Nigeria</w:t>
      </w:r>
      <w:r>
        <w:rPr>
          <w:spacing w:val="-3"/>
        </w:rPr>
        <w:t> </w:t>
      </w:r>
      <w:r>
        <w:rPr/>
        <w:t>Army, Report</w:t>
      </w:r>
      <w:r>
        <w:rPr>
          <w:spacing w:val="-1"/>
        </w:rPr>
        <w:t> </w:t>
      </w:r>
      <w:r>
        <w:rPr/>
        <w:t>2010, Abuja:</w:t>
      </w:r>
      <w:r>
        <w:rPr>
          <w:spacing w:val="-1"/>
        </w:rPr>
        <w:t> </w:t>
      </w:r>
      <w:r>
        <w:rPr/>
        <w:t>New Soja</w:t>
      </w:r>
      <w:r>
        <w:rPr>
          <w:spacing w:val="-2"/>
        </w:rPr>
        <w:t> </w:t>
      </w:r>
      <w:r>
        <w:rPr/>
        <w:t>printing</w:t>
      </w:r>
      <w:r>
        <w:rPr>
          <w:spacing w:val="-3"/>
        </w:rPr>
        <w:t> </w:t>
      </w:r>
      <w:r>
        <w:rPr/>
        <w:t>Press,</w:t>
      </w:r>
      <w:r>
        <w:rPr>
          <w:spacing w:val="-1"/>
        </w:rPr>
        <w:t> </w:t>
      </w:r>
      <w:r>
        <w:rPr/>
        <w:t>2006 : </w:t>
      </w:r>
      <w:r>
        <w:rPr>
          <w:spacing w:val="-5"/>
        </w:rPr>
        <w:t>1)</w:t>
      </w:r>
    </w:p>
    <w:p>
      <w:pPr>
        <w:pStyle w:val="BodyText"/>
        <w:ind w:left="0"/>
      </w:pPr>
    </w:p>
    <w:p>
      <w:pPr>
        <w:pStyle w:val="BodyText"/>
        <w:ind w:left="1980" w:right="1260" w:hanging="540"/>
      </w:pPr>
      <w:r>
        <w:rPr/>
        <w:t>Nwankwo,</w:t>
      </w:r>
      <w:r>
        <w:rPr>
          <w:spacing w:val="80"/>
        </w:rPr>
        <w:t> </w:t>
      </w:r>
      <w:r>
        <w:rPr/>
        <w:t>O.O.</w:t>
      </w:r>
      <w:r>
        <w:rPr>
          <w:spacing w:val="80"/>
        </w:rPr>
        <w:t> </w:t>
      </w:r>
      <w:r>
        <w:rPr/>
        <w:t>“Niger</w:t>
      </w:r>
      <w:r>
        <w:rPr>
          <w:spacing w:val="80"/>
        </w:rPr>
        <w:t> </w:t>
      </w:r>
      <w:r>
        <w:rPr/>
        <w:t>Delta</w:t>
      </w:r>
      <w:r>
        <w:rPr>
          <w:spacing w:val="80"/>
        </w:rPr>
        <w:t> </w:t>
      </w:r>
      <w:r>
        <w:rPr/>
        <w:t>Crisis:</w:t>
      </w:r>
      <w:r>
        <w:rPr>
          <w:spacing w:val="80"/>
        </w:rPr>
        <w:t> </w:t>
      </w:r>
      <w:r>
        <w:rPr/>
        <w:t>Military</w:t>
      </w:r>
      <w:r>
        <w:rPr>
          <w:spacing w:val="80"/>
        </w:rPr>
        <w:t> </w:t>
      </w:r>
      <w:r>
        <w:rPr/>
        <w:t>or</w:t>
      </w:r>
      <w:r>
        <w:rPr>
          <w:spacing w:val="80"/>
        </w:rPr>
        <w:t> </w:t>
      </w:r>
      <w:r>
        <w:rPr/>
        <w:t>Political</w:t>
      </w:r>
      <w:r>
        <w:rPr>
          <w:spacing w:val="80"/>
        </w:rPr>
        <w:t> </w:t>
      </w:r>
      <w:r>
        <w:rPr/>
        <w:t>Solution”,</w:t>
      </w:r>
      <w:r>
        <w:rPr>
          <w:spacing w:val="80"/>
        </w:rPr>
        <w:t> </w:t>
      </w:r>
      <w:r>
        <w:rPr/>
        <w:t>Lecture Presented at Army Headquarters Garrison, Abuja on 25 September 2008.</w:t>
      </w:r>
    </w:p>
    <w:p>
      <w:pPr>
        <w:pStyle w:val="BodyText"/>
        <w:ind w:left="0"/>
      </w:pPr>
    </w:p>
    <w:p>
      <w:pPr>
        <w:pStyle w:val="BodyText"/>
        <w:ind w:left="1980" w:right="1257" w:hanging="540"/>
        <w:jc w:val="both"/>
      </w:pPr>
      <w:r>
        <w:rPr/>
        <w:t>Nwankwo, O. O. and C.S. Udeh, 2005. “Militias, vigilantes and Gangs: Implications and Challenges for Conflict Management”, in A.G. Adedeji and I.S Zabadi</w:t>
      </w:r>
      <w:r>
        <w:rPr>
          <w:spacing w:val="40"/>
        </w:rPr>
        <w:t> </w:t>
      </w:r>
      <w:r>
        <w:rPr/>
        <w:t>(eds), The Military and Management of Internal Conflict in Nigeria, (Kuru : National Institute Press).</w:t>
      </w:r>
    </w:p>
    <w:p>
      <w:pPr>
        <w:pStyle w:val="BodyText"/>
        <w:spacing w:before="1"/>
        <w:ind w:left="0"/>
      </w:pPr>
    </w:p>
    <w:p>
      <w:pPr>
        <w:pStyle w:val="BodyText"/>
        <w:ind w:left="1980" w:right="1258" w:hanging="540"/>
        <w:jc w:val="both"/>
      </w:pPr>
      <w:r>
        <w:rPr/>
        <w:t>Nwolise, O.B.C. “The Military, Internal Security Operation and Information Management in Nigeria”, a</w:t>
      </w:r>
      <w:r>
        <w:rPr>
          <w:spacing w:val="-1"/>
        </w:rPr>
        <w:t> </w:t>
      </w:r>
      <w:r>
        <w:rPr/>
        <w:t>paper</w:t>
      </w:r>
      <w:r>
        <w:rPr>
          <w:spacing w:val="-1"/>
        </w:rPr>
        <w:t> </w:t>
      </w:r>
      <w:r>
        <w:rPr/>
        <w:t>delivered at the Maiden Defence</w:t>
      </w:r>
      <w:r>
        <w:rPr>
          <w:spacing w:val="80"/>
        </w:rPr>
        <w:t> </w:t>
      </w:r>
      <w:r>
        <w:rPr/>
        <w:t>Information Training Conference at Abuja, 12 - 16 March, 2007.</w:t>
      </w:r>
    </w:p>
    <w:p>
      <w:pPr>
        <w:spacing w:after="0"/>
        <w:jc w:val="both"/>
        <w:sectPr>
          <w:pgSz w:w="11910" w:h="16840"/>
          <w:pgMar w:header="0" w:footer="1561" w:top="1620" w:bottom="1760" w:left="720" w:right="180"/>
        </w:sectPr>
      </w:pPr>
    </w:p>
    <w:p>
      <w:pPr>
        <w:pStyle w:val="BodyText"/>
        <w:spacing w:before="78"/>
        <w:ind w:left="2160" w:right="1744" w:hanging="720"/>
      </w:pPr>
      <w:r>
        <w:rPr/>
        <mc:AlternateContent>
          <mc:Choice Requires="wps">
            <w:drawing>
              <wp:anchor distT="0" distB="0" distL="0" distR="0" allowOverlap="1" layoutInCell="1" locked="0" behindDoc="1" simplePos="0" relativeHeight="480697856">
                <wp:simplePos x="0" y="0"/>
                <wp:positionH relativeFrom="page">
                  <wp:posOffset>-1537026</wp:posOffset>
                </wp:positionH>
                <wp:positionV relativeFrom="page">
                  <wp:posOffset>4900424</wp:posOffset>
                </wp:positionV>
                <wp:extent cx="10669905" cy="914400"/>
                <wp:effectExtent l="0" t="0" r="0" b="0"/>
                <wp:wrapNone/>
                <wp:docPr id="371" name="Textbox 371"/>
                <wp:cNvGraphicFramePr>
                  <a:graphicFrameLocks/>
                </wp:cNvGraphicFramePr>
                <a:graphic>
                  <a:graphicData uri="http://schemas.microsoft.com/office/word/2010/wordprocessingShape">
                    <wps:wsp>
                      <wps:cNvPr id="371" name="Textbox 371"/>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18624;rotation:306" type="#_x0000_t136" fillcolor="#ff5400" stroked="f">
                <o:extrusion v:ext="view" autorotationcenter="t"/>
                <v:textpath style="font-family:&quot;Arial MT&quot;;font-size:72pt;v-text-kern:t;mso-text-shadow:auto" string="UNIVERSITY OF IBADAN"/>
                <w10:wrap type="none"/>
              </v:shape>
            </w:pict>
          </mc:Fallback>
        </mc:AlternateContent>
      </w:r>
      <w:r>
        <w:rPr/>
        <w:t>Obasi,</w:t>
      </w:r>
      <w:r>
        <w:rPr>
          <w:spacing w:val="-4"/>
        </w:rPr>
        <w:t> </w:t>
      </w:r>
      <w:r>
        <w:rPr/>
        <w:t>N.K.</w:t>
      </w:r>
      <w:r>
        <w:rPr>
          <w:spacing w:val="-4"/>
        </w:rPr>
        <w:t> </w:t>
      </w:r>
      <w:r>
        <w:rPr/>
        <w:t>2002.</w:t>
      </w:r>
      <w:r>
        <w:rPr>
          <w:spacing w:val="-4"/>
        </w:rPr>
        <w:t> </w:t>
      </w:r>
      <w:r>
        <w:rPr/>
        <w:t>Ethnic</w:t>
      </w:r>
      <w:r>
        <w:rPr>
          <w:spacing w:val="-3"/>
        </w:rPr>
        <w:t> </w:t>
      </w:r>
      <w:r>
        <w:rPr/>
        <w:t>Militias,</w:t>
      </w:r>
      <w:r>
        <w:rPr>
          <w:spacing w:val="-4"/>
        </w:rPr>
        <w:t> </w:t>
      </w:r>
      <w:r>
        <w:rPr/>
        <w:t>Vigilantes</w:t>
      </w:r>
      <w:r>
        <w:rPr>
          <w:spacing w:val="-4"/>
        </w:rPr>
        <w:t> </w:t>
      </w:r>
      <w:r>
        <w:rPr/>
        <w:t>and</w:t>
      </w:r>
      <w:r>
        <w:rPr>
          <w:spacing w:val="-3"/>
        </w:rPr>
        <w:t> </w:t>
      </w:r>
      <w:r>
        <w:rPr/>
        <w:t>Separatist</w:t>
      </w:r>
      <w:r>
        <w:rPr>
          <w:spacing w:val="-4"/>
        </w:rPr>
        <w:t> </w:t>
      </w:r>
      <w:r>
        <w:rPr/>
        <w:t>Groups</w:t>
      </w:r>
      <w:r>
        <w:rPr>
          <w:spacing w:val="-4"/>
        </w:rPr>
        <w:t> </w:t>
      </w:r>
      <w:r>
        <w:rPr/>
        <w:t>in</w:t>
      </w:r>
      <w:r>
        <w:rPr>
          <w:spacing w:val="-4"/>
        </w:rPr>
        <w:t> </w:t>
      </w:r>
      <w:r>
        <w:rPr/>
        <w:t>Nigeria (Abuja : Third Millineum Limited).</w:t>
      </w:r>
    </w:p>
    <w:p>
      <w:pPr>
        <w:pStyle w:val="BodyText"/>
        <w:ind w:left="0"/>
      </w:pPr>
    </w:p>
    <w:p>
      <w:pPr>
        <w:pStyle w:val="BodyText"/>
        <w:spacing w:before="1"/>
      </w:pPr>
      <w:r>
        <w:rPr/>
        <w:t>Obasi,</w:t>
      </w:r>
      <w:r>
        <w:rPr>
          <w:spacing w:val="-3"/>
        </w:rPr>
        <w:t> </w:t>
      </w:r>
      <w:r>
        <w:rPr/>
        <w:t>N.K.</w:t>
      </w:r>
      <w:r>
        <w:rPr>
          <w:spacing w:val="-1"/>
        </w:rPr>
        <w:t> </w:t>
      </w:r>
      <w:r>
        <w:rPr/>
        <w:t>2005.</w:t>
      </w:r>
      <w:r>
        <w:rPr>
          <w:spacing w:val="2"/>
        </w:rPr>
        <w:t> </w:t>
      </w:r>
      <w:r>
        <w:rPr/>
        <w:t>"The</w:t>
      </w:r>
      <w:r>
        <w:rPr>
          <w:spacing w:val="-1"/>
        </w:rPr>
        <w:t> </w:t>
      </w:r>
      <w:r>
        <w:rPr/>
        <w:t>Military</w:t>
      </w:r>
      <w:r>
        <w:rPr>
          <w:spacing w:val="-6"/>
        </w:rPr>
        <w:t> </w:t>
      </w:r>
      <w:r>
        <w:rPr/>
        <w:t>and Management</w:t>
      </w:r>
      <w:r>
        <w:rPr>
          <w:spacing w:val="-1"/>
        </w:rPr>
        <w:t> </w:t>
      </w:r>
      <w:r>
        <w:rPr/>
        <w:t>of</w:t>
      </w:r>
      <w:r>
        <w:rPr>
          <w:spacing w:val="-1"/>
        </w:rPr>
        <w:t> </w:t>
      </w:r>
      <w:r>
        <w:rPr/>
        <w:t>Conflicts in</w:t>
      </w:r>
      <w:r>
        <w:rPr>
          <w:spacing w:val="-1"/>
        </w:rPr>
        <w:t> </w:t>
      </w:r>
      <w:r>
        <w:rPr/>
        <w:t>the </w:t>
      </w:r>
      <w:r>
        <w:rPr>
          <w:spacing w:val="-2"/>
        </w:rPr>
        <w:t>Niger</w:t>
      </w:r>
    </w:p>
    <w:p>
      <w:pPr>
        <w:spacing w:before="0"/>
        <w:ind w:left="1980" w:right="1260" w:firstLine="0"/>
        <w:jc w:val="left"/>
        <w:rPr>
          <w:sz w:val="24"/>
        </w:rPr>
      </w:pPr>
      <w:r>
        <w:rPr>
          <w:sz w:val="24"/>
        </w:rPr>
        <w:t>Delta" in</w:t>
      </w:r>
      <w:r>
        <w:rPr>
          <w:spacing w:val="25"/>
          <w:sz w:val="24"/>
        </w:rPr>
        <w:t> </w:t>
      </w:r>
      <w:r>
        <w:rPr>
          <w:sz w:val="24"/>
        </w:rPr>
        <w:t>Adedeji</w:t>
      </w:r>
      <w:r>
        <w:rPr>
          <w:spacing w:val="25"/>
          <w:sz w:val="24"/>
        </w:rPr>
        <w:t> </w:t>
      </w:r>
      <w:r>
        <w:rPr>
          <w:sz w:val="24"/>
        </w:rPr>
        <w:t>A.G. and Zabadi</w:t>
      </w:r>
      <w:r>
        <w:rPr>
          <w:spacing w:val="27"/>
          <w:sz w:val="24"/>
        </w:rPr>
        <w:t> </w:t>
      </w:r>
      <w:r>
        <w:rPr>
          <w:sz w:val="24"/>
        </w:rPr>
        <w:t>I.S. (ed)</w:t>
      </w:r>
      <w:r>
        <w:rPr>
          <w:spacing w:val="28"/>
          <w:sz w:val="24"/>
        </w:rPr>
        <w:t> </w:t>
      </w:r>
      <w:r>
        <w:rPr>
          <w:i/>
          <w:sz w:val="24"/>
        </w:rPr>
        <w:t>The</w:t>
      </w:r>
      <w:r>
        <w:rPr>
          <w:i/>
          <w:spacing w:val="25"/>
          <w:sz w:val="24"/>
        </w:rPr>
        <w:t> </w:t>
      </w:r>
      <w:r>
        <w:rPr>
          <w:i/>
          <w:sz w:val="24"/>
        </w:rPr>
        <w:t>Military and Management</w:t>
      </w:r>
      <w:r>
        <w:rPr>
          <w:i/>
          <w:spacing w:val="25"/>
          <w:sz w:val="24"/>
        </w:rPr>
        <w:t> </w:t>
      </w:r>
      <w:r>
        <w:rPr>
          <w:i/>
          <w:sz w:val="24"/>
        </w:rPr>
        <w:t>of Internal Conflict in Nigeria, </w:t>
      </w:r>
      <w:r>
        <w:rPr>
          <w:sz w:val="24"/>
        </w:rPr>
        <w:t>National Institute Press, Kuru, p.111.</w:t>
      </w:r>
    </w:p>
    <w:p>
      <w:pPr>
        <w:spacing w:before="276"/>
        <w:ind w:left="1980" w:right="1265" w:hanging="480"/>
        <w:jc w:val="both"/>
        <w:rPr>
          <w:i/>
          <w:sz w:val="24"/>
        </w:rPr>
      </w:pPr>
      <w:r>
        <w:rPr>
          <w:sz w:val="24"/>
        </w:rPr>
        <w:t>Obi, C. I. 2005. Globalization and Local Resistance: The Case of Shell versus the Ogoni, in Amoore, L. (ed) (2005) </w:t>
      </w:r>
      <w:r>
        <w:rPr>
          <w:i/>
          <w:sz w:val="24"/>
        </w:rPr>
        <w:t>The Global Resistance Reader.</w:t>
      </w:r>
    </w:p>
    <w:p>
      <w:pPr>
        <w:pStyle w:val="BodyText"/>
        <w:spacing w:before="276"/>
        <w:ind w:left="1980" w:right="1253" w:hanging="540"/>
        <w:jc w:val="both"/>
      </w:pPr>
      <w:r>
        <w:rPr/>
        <w:t>Obiakor, C.I. 2007. “The Span of Command and Leadership in the Military”, in Ogomudia, A.O.(ed), Peace Support Operations, Command and</w:t>
      </w:r>
      <w:r>
        <w:rPr>
          <w:spacing w:val="40"/>
        </w:rPr>
        <w:t> </w:t>
      </w:r>
      <w:r>
        <w:rPr/>
        <w:t>Professionalism: Challenges for the Nigerian Armed Forces in the 21</w:t>
      </w:r>
      <w:r>
        <w:rPr>
          <w:vertAlign w:val="superscript"/>
        </w:rPr>
        <w:t>st</w:t>
      </w:r>
      <w:r>
        <w:rPr>
          <w:vertAlign w:val="baseline"/>
        </w:rPr>
        <w:t> Century and Beyond.</w:t>
      </w:r>
    </w:p>
    <w:p>
      <w:pPr>
        <w:pStyle w:val="BodyText"/>
        <w:ind w:left="0"/>
      </w:pPr>
    </w:p>
    <w:p>
      <w:pPr>
        <w:pStyle w:val="BodyText"/>
        <w:ind w:left="1980" w:right="1263" w:hanging="540"/>
        <w:jc w:val="both"/>
      </w:pPr>
      <w:r>
        <w:rPr/>
        <w:t>Ogbogbo, C. B. N. 2004. Niger Delta and the Resource Control Conflict, 1995, an unpublished Ph.D Thesis in Peace and Conflict Studies, Institute of African Studies, University of Ibadan, Ibadan.</w:t>
      </w:r>
    </w:p>
    <w:p>
      <w:pPr>
        <w:pStyle w:val="BodyText"/>
        <w:ind w:left="0"/>
      </w:pPr>
    </w:p>
    <w:p>
      <w:pPr>
        <w:pStyle w:val="BodyText"/>
        <w:ind w:left="1980" w:right="1258" w:hanging="540"/>
        <w:jc w:val="both"/>
      </w:pPr>
      <w:r>
        <w:rPr/>
        <w:t>Ogbogbo,</w:t>
      </w:r>
      <w:r>
        <w:rPr>
          <w:spacing w:val="-2"/>
        </w:rPr>
        <w:t> </w:t>
      </w:r>
      <w:r>
        <w:rPr/>
        <w:t>C.</w:t>
      </w:r>
      <w:r>
        <w:rPr>
          <w:spacing w:val="-2"/>
        </w:rPr>
        <w:t> </w:t>
      </w:r>
      <w:r>
        <w:rPr/>
        <w:t>B.</w:t>
      </w:r>
      <w:r>
        <w:rPr>
          <w:spacing w:val="-2"/>
        </w:rPr>
        <w:t> </w:t>
      </w:r>
      <w:r>
        <w:rPr/>
        <w:t>N.</w:t>
      </w:r>
      <w:r>
        <w:rPr>
          <w:spacing w:val="-3"/>
        </w:rPr>
        <w:t> </w:t>
      </w:r>
      <w:r>
        <w:rPr/>
        <w:t>2005. “The</w:t>
      </w:r>
      <w:r>
        <w:rPr>
          <w:spacing w:val="-3"/>
        </w:rPr>
        <w:t> </w:t>
      </w:r>
      <w:r>
        <w:rPr/>
        <w:t>Niger</w:t>
      </w:r>
      <w:r>
        <w:rPr>
          <w:spacing w:val="-3"/>
        </w:rPr>
        <w:t> </w:t>
      </w:r>
      <w:r>
        <w:rPr/>
        <w:t>Delta</w:t>
      </w:r>
      <w:r>
        <w:rPr>
          <w:spacing w:val="-3"/>
        </w:rPr>
        <w:t> </w:t>
      </w:r>
      <w:r>
        <w:rPr/>
        <w:t>Peoples</w:t>
      </w:r>
      <w:r>
        <w:rPr>
          <w:spacing w:val="-2"/>
        </w:rPr>
        <w:t> </w:t>
      </w:r>
      <w:r>
        <w:rPr/>
        <w:t>and</w:t>
      </w:r>
      <w:r>
        <w:rPr>
          <w:spacing w:val="-2"/>
        </w:rPr>
        <w:t> </w:t>
      </w:r>
      <w:r>
        <w:rPr/>
        <w:t>the</w:t>
      </w:r>
      <w:r>
        <w:rPr>
          <w:spacing w:val="-3"/>
        </w:rPr>
        <w:t> </w:t>
      </w:r>
      <w:r>
        <w:rPr/>
        <w:t>Resource</w:t>
      </w:r>
      <w:r>
        <w:rPr>
          <w:spacing w:val="-3"/>
        </w:rPr>
        <w:t> </w:t>
      </w:r>
      <w:r>
        <w:rPr/>
        <w:t>Control</w:t>
      </w:r>
      <w:r>
        <w:rPr>
          <w:spacing w:val="-2"/>
        </w:rPr>
        <w:t> </w:t>
      </w:r>
      <w:r>
        <w:rPr/>
        <w:t>Conflict 1960-1995: An Assessment of Conflict Handling Styles”, in Isaac O. Albert</w:t>
      </w:r>
      <w:r>
        <w:rPr>
          <w:spacing w:val="40"/>
        </w:rPr>
        <w:t> </w:t>
      </w:r>
      <w:r>
        <w:rPr/>
        <w:t>(ed), Perspectives on Peace and Conflict in Africa, Ibadan: John Archers (Publishers) Limited.</w:t>
      </w:r>
    </w:p>
    <w:p>
      <w:pPr>
        <w:pStyle w:val="BodyText"/>
        <w:ind w:left="0"/>
      </w:pPr>
    </w:p>
    <w:p>
      <w:pPr>
        <w:pStyle w:val="BodyText"/>
        <w:spacing w:before="1"/>
        <w:ind w:left="1980" w:right="1254" w:hanging="540"/>
        <w:jc w:val="both"/>
      </w:pPr>
      <w:r>
        <w:rPr/>
        <w:t>Ololajulo, B.O. “Niger Delta Since May 29, 2007: A Review”, IDASA </w:t>
      </w:r>
      <w:r>
        <w:rPr>
          <w:i/>
        </w:rPr>
        <w:t>Conflict Tracking Dossier</w:t>
      </w:r>
      <w:r>
        <w:rPr/>
        <w:t>, A Quarterly</w:t>
      </w:r>
      <w:r>
        <w:rPr>
          <w:spacing w:val="-5"/>
        </w:rPr>
        <w:t> </w:t>
      </w:r>
      <w:r>
        <w:rPr/>
        <w:t>Review Issue</w:t>
      </w:r>
      <w:r>
        <w:rPr>
          <w:spacing w:val="-1"/>
        </w:rPr>
        <w:t> </w:t>
      </w:r>
      <w:r>
        <w:rPr/>
        <w:t>7, IDASA-</w:t>
      </w:r>
      <w:r>
        <w:rPr>
          <w:spacing w:val="-1"/>
        </w:rPr>
        <w:t> </w:t>
      </w:r>
      <w:r>
        <w:rPr/>
        <w:t>Nigeria, July</w:t>
      </w:r>
      <w:r>
        <w:rPr>
          <w:spacing w:val="-5"/>
        </w:rPr>
        <w:t> </w:t>
      </w:r>
      <w:r>
        <w:rPr/>
        <w:t>2007, P.8.</w:t>
      </w:r>
    </w:p>
    <w:p>
      <w:pPr>
        <w:spacing w:before="276"/>
        <w:ind w:left="1980" w:right="1257" w:hanging="540"/>
        <w:jc w:val="both"/>
        <w:rPr>
          <w:sz w:val="24"/>
        </w:rPr>
      </w:pPr>
      <w:r>
        <w:rPr>
          <w:sz w:val="24"/>
        </w:rPr>
        <w:t>Osaghae, E .E. and Onwudiwe, E. (eds), 2007. </w:t>
      </w:r>
      <w:r>
        <w:rPr>
          <w:i/>
          <w:sz w:val="24"/>
        </w:rPr>
        <w:t>The Management of the National Question in Nigeria, </w:t>
      </w:r>
      <w:r>
        <w:rPr>
          <w:sz w:val="24"/>
        </w:rPr>
        <w:t>Igbinedion University Press, Okada. Pp 197 - 206.</w:t>
      </w:r>
    </w:p>
    <w:p>
      <w:pPr>
        <w:pStyle w:val="BodyText"/>
        <w:ind w:left="0"/>
      </w:pPr>
    </w:p>
    <w:p>
      <w:pPr>
        <w:pStyle w:val="BodyText"/>
        <w:ind w:left="1980" w:right="1254" w:hanging="540"/>
        <w:jc w:val="both"/>
      </w:pPr>
      <w:r>
        <w:rPr/>
        <w:t>Oshita, O. O. 2005. Conflict Dynamics in a Multi- Ethnic State: Revivalism Brinkmanship in Contemporary</w:t>
      </w:r>
      <w:r>
        <w:rPr>
          <w:spacing w:val="-2"/>
        </w:rPr>
        <w:t> </w:t>
      </w:r>
      <w:r>
        <w:rPr/>
        <w:t>Nigeria, in Isaac O. Albert (ed.), </w:t>
      </w:r>
      <w:r>
        <w:rPr>
          <w:i/>
        </w:rPr>
        <w:t>Perspective on Peace and Conflict in Africa, </w:t>
      </w:r>
      <w:r>
        <w:rPr/>
        <w:t>Ibadan: John Archers (Publishers) Limited.</w:t>
      </w:r>
    </w:p>
    <w:p>
      <w:pPr>
        <w:pStyle w:val="BodyText"/>
        <w:ind w:left="0"/>
      </w:pPr>
    </w:p>
    <w:p>
      <w:pPr>
        <w:spacing w:before="0"/>
        <w:ind w:left="1980" w:right="1258" w:hanging="540"/>
        <w:jc w:val="both"/>
        <w:rPr>
          <w:sz w:val="24"/>
        </w:rPr>
      </w:pPr>
      <w:r>
        <w:rPr>
          <w:sz w:val="24"/>
        </w:rPr>
        <w:t>Otite, O. and Albert, I.O. 1999. </w:t>
      </w:r>
      <w:r>
        <w:rPr>
          <w:i/>
          <w:sz w:val="24"/>
        </w:rPr>
        <w:t>Community Conflicts in Nigeria</w:t>
      </w:r>
      <w:r>
        <w:rPr>
          <w:sz w:val="24"/>
        </w:rPr>
        <w:t>, Ibadan: Spectrum Books Ltd.</w:t>
      </w:r>
    </w:p>
    <w:p>
      <w:pPr>
        <w:pStyle w:val="BodyText"/>
        <w:ind w:left="0"/>
      </w:pPr>
    </w:p>
    <w:p>
      <w:pPr>
        <w:pStyle w:val="BodyText"/>
      </w:pPr>
      <w:r>
        <w:rPr/>
        <w:t>Quarterly</w:t>
      </w:r>
      <w:r>
        <w:rPr>
          <w:spacing w:val="-8"/>
        </w:rPr>
        <w:t> </w:t>
      </w:r>
      <w:r>
        <w:rPr/>
        <w:t>Newsletter of the</w:t>
      </w:r>
      <w:r>
        <w:rPr>
          <w:spacing w:val="-2"/>
        </w:rPr>
        <w:t> </w:t>
      </w:r>
      <w:r>
        <w:rPr/>
        <w:t>NDDC, June, 2005 Vol. 3 No. 12, Port </w:t>
      </w:r>
      <w:r>
        <w:rPr>
          <w:spacing w:val="-2"/>
        </w:rPr>
        <w:t>Harcourt.</w:t>
      </w:r>
    </w:p>
    <w:p>
      <w:pPr>
        <w:pStyle w:val="BodyText"/>
        <w:ind w:left="0"/>
      </w:pPr>
    </w:p>
    <w:p>
      <w:pPr>
        <w:pStyle w:val="BodyText"/>
        <w:ind w:left="1980" w:right="1264" w:hanging="540"/>
        <w:jc w:val="both"/>
      </w:pPr>
      <w:r>
        <w:rPr/>
        <w:t>Ross, M. L 2003. Nigeria Oil Sector and the Poor, Los Angeles: UCLA Department</w:t>
      </w:r>
      <w:r>
        <w:rPr>
          <w:spacing w:val="40"/>
        </w:rPr>
        <w:t> </w:t>
      </w:r>
      <w:r>
        <w:rPr/>
        <w:t>of Political Science.</w:t>
      </w:r>
    </w:p>
    <w:p>
      <w:pPr>
        <w:pStyle w:val="BodyText"/>
        <w:spacing w:before="1"/>
        <w:ind w:left="0"/>
      </w:pPr>
    </w:p>
    <w:p>
      <w:pPr>
        <w:pStyle w:val="BodyText"/>
        <w:ind w:left="1980" w:right="1256" w:hanging="540"/>
        <w:jc w:val="both"/>
      </w:pPr>
      <w:r>
        <w:rPr/>
        <w:t>Shiffman, L. G. and Kanuk, L. L. 1998. </w:t>
      </w:r>
      <w:r>
        <w:rPr>
          <w:i/>
        </w:rPr>
        <w:t>Consumer Behaviour </w:t>
      </w:r>
      <w:r>
        <w:rPr/>
        <w:t>(6</w:t>
      </w:r>
      <w:r>
        <w:rPr>
          <w:vertAlign w:val="superscript"/>
        </w:rPr>
        <w:t>th</w:t>
      </w:r>
      <w:r>
        <w:rPr>
          <w:vertAlign w:val="baseline"/>
        </w:rPr>
        <w:t> edition). New</w:t>
      </w:r>
      <w:r>
        <w:rPr>
          <w:spacing w:val="40"/>
          <w:vertAlign w:val="baseline"/>
        </w:rPr>
        <w:t> </w:t>
      </w:r>
      <w:r>
        <w:rPr>
          <w:vertAlign w:val="baseline"/>
        </w:rPr>
        <w:t>Delhi: Prentice – Hall of India.</w:t>
      </w:r>
    </w:p>
    <w:p>
      <w:pPr>
        <w:pStyle w:val="BodyText"/>
        <w:ind w:left="0"/>
      </w:pPr>
    </w:p>
    <w:p>
      <w:pPr>
        <w:pStyle w:val="BodyText"/>
        <w:ind w:left="1980" w:right="1264" w:hanging="540"/>
        <w:jc w:val="both"/>
      </w:pPr>
      <w:r>
        <w:rPr/>
        <w:t>Suberu, R.T. 1996. Ethnic Minority Conflict and Governance in Nigeria, Ibadan: Spectrum Books Ltd.</w:t>
      </w:r>
    </w:p>
    <w:p>
      <w:pPr>
        <w:pStyle w:val="BodyText"/>
        <w:ind w:left="0"/>
      </w:pPr>
    </w:p>
    <w:p>
      <w:pPr>
        <w:pStyle w:val="BodyText"/>
      </w:pPr>
      <w:r>
        <w:rPr/>
        <w:t>The</w:t>
      </w:r>
      <w:r>
        <w:rPr>
          <w:spacing w:val="-3"/>
        </w:rPr>
        <w:t> </w:t>
      </w:r>
      <w:r>
        <w:rPr/>
        <w:t>Guardian</w:t>
      </w:r>
      <w:r>
        <w:rPr>
          <w:spacing w:val="-1"/>
        </w:rPr>
        <w:t> </w:t>
      </w:r>
      <w:r>
        <w:rPr/>
        <w:t>Newspaper,</w:t>
      </w:r>
      <w:r>
        <w:rPr>
          <w:spacing w:val="-1"/>
        </w:rPr>
        <w:t> </w:t>
      </w:r>
      <w:r>
        <w:rPr/>
        <w:t>December</w:t>
      </w:r>
      <w:r>
        <w:rPr>
          <w:spacing w:val="-3"/>
        </w:rPr>
        <w:t> </w:t>
      </w:r>
      <w:r>
        <w:rPr/>
        <w:t>14,</w:t>
      </w:r>
      <w:r>
        <w:rPr>
          <w:spacing w:val="-1"/>
        </w:rPr>
        <w:t> </w:t>
      </w:r>
      <w:r>
        <w:rPr/>
        <w:t>1993,</w:t>
      </w:r>
      <w:r>
        <w:rPr>
          <w:spacing w:val="-1"/>
        </w:rPr>
        <w:t> </w:t>
      </w:r>
      <w:r>
        <w:rPr>
          <w:spacing w:val="-4"/>
        </w:rPr>
        <w:t>p.4.</w:t>
      </w:r>
    </w:p>
    <w:p>
      <w:pPr>
        <w:spacing w:after="0"/>
        <w:sectPr>
          <w:pgSz w:w="11910" w:h="16840"/>
          <w:pgMar w:header="0" w:footer="1561" w:top="1340" w:bottom="1760" w:left="720" w:right="180"/>
        </w:sectPr>
      </w:pPr>
    </w:p>
    <w:p>
      <w:pPr>
        <w:pStyle w:val="BodyText"/>
        <w:spacing w:before="74"/>
        <w:ind w:left="1980" w:right="1264" w:hanging="540"/>
        <w:jc w:val="both"/>
      </w:pPr>
      <w:r>
        <w:rPr/>
        <mc:AlternateContent>
          <mc:Choice Requires="wps">
            <w:drawing>
              <wp:anchor distT="0" distB="0" distL="0" distR="0" allowOverlap="1" layoutInCell="1" locked="0" behindDoc="1" simplePos="0" relativeHeight="480698368">
                <wp:simplePos x="0" y="0"/>
                <wp:positionH relativeFrom="page">
                  <wp:posOffset>-1537026</wp:posOffset>
                </wp:positionH>
                <wp:positionV relativeFrom="page">
                  <wp:posOffset>4900424</wp:posOffset>
                </wp:positionV>
                <wp:extent cx="10669905" cy="914400"/>
                <wp:effectExtent l="0" t="0" r="0" b="0"/>
                <wp:wrapNone/>
                <wp:docPr id="372" name="Textbox 372"/>
                <wp:cNvGraphicFramePr>
                  <a:graphicFrameLocks/>
                </wp:cNvGraphicFramePr>
                <a:graphic>
                  <a:graphicData uri="http://schemas.microsoft.com/office/word/2010/wordprocessingShape">
                    <wps:wsp>
                      <wps:cNvPr id="372" name="Textbox 372"/>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18112;rotation:306" type="#_x0000_t136" fillcolor="#ff5400" stroked="f">
                <o:extrusion v:ext="view" autorotationcenter="t"/>
                <v:textpath style="font-family:&quot;Arial MT&quot;;font-size:72pt;v-text-kern:t;mso-text-shadow:auto" string="UNIVERSITY OF IBADAN"/>
                <w10:wrap type="none"/>
              </v:shape>
            </w:pict>
          </mc:Fallback>
        </mc:AlternateContent>
      </w:r>
      <w:r>
        <w:rPr/>
        <w:t>UNDP Niger Delta Human Development Report, (Lagos: Perfect Printers Ltd, 2006) Pp 113-117.</w:t>
      </w:r>
    </w:p>
    <w:p>
      <w:pPr>
        <w:pStyle w:val="BodyText"/>
        <w:ind w:left="0"/>
      </w:pPr>
    </w:p>
    <w:p>
      <w:pPr>
        <w:spacing w:before="1"/>
        <w:ind w:left="1980" w:right="1259" w:hanging="540"/>
        <w:jc w:val="both"/>
        <w:rPr>
          <w:sz w:val="24"/>
        </w:rPr>
      </w:pPr>
      <w:r>
        <w:rPr>
          <w:sz w:val="24"/>
        </w:rPr>
        <w:t>Williams, I. 2005. "A Philosophical Analysis of Conflict in Africa", in Albert I.O. (ed), </w:t>
      </w:r>
      <w:r>
        <w:rPr>
          <w:i/>
          <w:sz w:val="24"/>
        </w:rPr>
        <w:t>Perspectives on Peace and Conflict in Africa </w:t>
      </w:r>
      <w:r>
        <w:rPr>
          <w:sz w:val="24"/>
        </w:rPr>
        <w:t>(Ibadan: John Archers (publishers) Limited.</w:t>
      </w:r>
    </w:p>
    <w:p>
      <w:pPr>
        <w:pStyle w:val="BodyText"/>
        <w:spacing w:before="276"/>
      </w:pPr>
      <w:r>
        <w:rPr/>
        <w:t>Woodrow,</w:t>
      </w:r>
      <w:r>
        <w:rPr>
          <w:spacing w:val="-1"/>
        </w:rPr>
        <w:t> </w:t>
      </w:r>
      <w:r>
        <w:rPr/>
        <w:t>T.</w:t>
      </w:r>
      <w:r>
        <w:rPr>
          <w:spacing w:val="-1"/>
        </w:rPr>
        <w:t> </w:t>
      </w:r>
      <w:r>
        <w:rPr/>
        <w:t>1969. Military</w:t>
      </w:r>
      <w:r>
        <w:rPr>
          <w:spacing w:val="-6"/>
        </w:rPr>
        <w:t> </w:t>
      </w:r>
      <w:r>
        <w:rPr/>
        <w:t>Approach to Civil </w:t>
      </w:r>
      <w:r>
        <w:rPr>
          <w:spacing w:val="-2"/>
        </w:rPr>
        <w:t>Disturbances.</w:t>
      </w:r>
    </w:p>
    <w:p>
      <w:pPr>
        <w:spacing w:after="0"/>
        <w:sectPr>
          <w:pgSz w:w="11910" w:h="16840"/>
          <w:pgMar w:header="0" w:footer="1561" w:top="1620" w:bottom="1760" w:left="720" w:right="180"/>
        </w:sectPr>
      </w:pPr>
    </w:p>
    <w:p>
      <w:pPr>
        <w:pStyle w:val="Heading1"/>
        <w:spacing w:line="274" w:lineRule="exact" w:before="63"/>
        <w:ind w:left="0" w:right="1230"/>
        <w:jc w:val="center"/>
      </w:pPr>
      <w:r>
        <w:rPr/>
        <mc:AlternateContent>
          <mc:Choice Requires="wps">
            <w:drawing>
              <wp:anchor distT="0" distB="0" distL="0" distR="0" allowOverlap="1" layoutInCell="1" locked="0" behindDoc="1" simplePos="0" relativeHeight="480698880">
                <wp:simplePos x="0" y="0"/>
                <wp:positionH relativeFrom="page">
                  <wp:posOffset>-1537026</wp:posOffset>
                </wp:positionH>
                <wp:positionV relativeFrom="page">
                  <wp:posOffset>4900424</wp:posOffset>
                </wp:positionV>
                <wp:extent cx="10669905" cy="914400"/>
                <wp:effectExtent l="0" t="0" r="0" b="0"/>
                <wp:wrapNone/>
                <wp:docPr id="373" name="Textbox 373"/>
                <wp:cNvGraphicFramePr>
                  <a:graphicFrameLocks/>
                </wp:cNvGraphicFramePr>
                <a:graphic>
                  <a:graphicData uri="http://schemas.microsoft.com/office/word/2010/wordprocessingShape">
                    <wps:wsp>
                      <wps:cNvPr id="373" name="Textbox 373"/>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17600;rotation:306" type="#_x0000_t136" fillcolor="#ff5400" stroked="f">
                <o:extrusion v:ext="view" autorotationcenter="t"/>
                <v:textpath style="font-family:&quot;Arial MT&quot;;font-size:72pt;v-text-kern:t;mso-text-shadow:auto" string="UNIVERSITY OF IBADAN"/>
                <w10:wrap type="none"/>
              </v:shape>
            </w:pict>
          </mc:Fallback>
        </mc:AlternateContent>
      </w:r>
      <w:r>
        <w:rPr>
          <w:spacing w:val="-2"/>
        </w:rPr>
        <w:t>INTERNET</w:t>
      </w:r>
    </w:p>
    <w:p>
      <w:pPr>
        <w:pStyle w:val="BodyText"/>
        <w:ind w:left="1980" w:right="1260" w:hanging="540"/>
      </w:pPr>
      <w:r>
        <w:rPr/>
        <w:t>Conflict</w:t>
      </w:r>
      <w:r>
        <w:rPr>
          <w:spacing w:val="80"/>
        </w:rPr>
        <w:t> </w:t>
      </w:r>
      <w:r>
        <w:rPr/>
        <w:t>in</w:t>
      </w:r>
      <w:r>
        <w:rPr>
          <w:spacing w:val="80"/>
        </w:rPr>
        <w:t> </w:t>
      </w:r>
      <w:r>
        <w:rPr/>
        <w:t>the</w:t>
      </w:r>
      <w:r>
        <w:rPr>
          <w:spacing w:val="80"/>
        </w:rPr>
        <w:t> </w:t>
      </w:r>
      <w:r>
        <w:rPr/>
        <w:t>Niger</w:t>
      </w:r>
      <w:r>
        <w:rPr>
          <w:spacing w:val="80"/>
        </w:rPr>
        <w:t> </w:t>
      </w:r>
      <w:r>
        <w:rPr/>
        <w:t>Delta,</w:t>
      </w:r>
      <w:r>
        <w:rPr>
          <w:spacing w:val="80"/>
        </w:rPr>
        <w:t> </w:t>
      </w:r>
      <w:hyperlink r:id="rId77">
        <w:r>
          <w:rPr>
            <w:u w:val="single"/>
          </w:rPr>
          <w:t>http://www.facebook.com/home</w:t>
        </w:r>
        <w:r>
          <w:rPr/>
          <w:t>,</w:t>
        </w:r>
      </w:hyperlink>
      <w:r>
        <w:rPr>
          <w:spacing w:val="80"/>
        </w:rPr>
        <w:t> </w:t>
      </w:r>
      <w:r>
        <w:rPr/>
        <w:t>Accessed</w:t>
      </w:r>
      <w:r>
        <w:rPr>
          <w:spacing w:val="80"/>
        </w:rPr>
        <w:t> </w:t>
      </w:r>
      <w:r>
        <w:rPr/>
        <w:t>on</w:t>
      </w:r>
      <w:r>
        <w:rPr>
          <w:spacing w:val="80"/>
        </w:rPr>
        <w:t> </w:t>
      </w:r>
      <w:r>
        <w:rPr/>
        <w:t>14th January, 2009.</w:t>
      </w:r>
    </w:p>
    <w:p>
      <w:pPr>
        <w:pStyle w:val="BodyText"/>
        <w:tabs>
          <w:tab w:pos="2440" w:val="left" w:leader="none"/>
          <w:tab w:pos="3680" w:val="left" w:leader="none"/>
          <w:tab w:pos="4311" w:val="left" w:leader="none"/>
          <w:tab w:pos="5297" w:val="left" w:leader="none"/>
          <w:tab w:pos="6325" w:val="left" w:leader="none"/>
        </w:tabs>
        <w:spacing w:before="274"/>
        <w:ind w:left="1980" w:right="1257" w:hanging="540"/>
      </w:pPr>
      <w:r>
        <w:rPr>
          <w:spacing w:val="-2"/>
        </w:rPr>
        <w:t>Peace</w:t>
      </w:r>
      <w:r>
        <w:rPr/>
        <w:tab/>
      </w:r>
      <w:r>
        <w:rPr>
          <w:spacing w:val="-2"/>
        </w:rPr>
        <w:t>Briefing</w:t>
      </w:r>
      <w:r>
        <w:rPr/>
        <w:tab/>
      </w:r>
      <w:r>
        <w:rPr>
          <w:spacing w:val="-6"/>
        </w:rPr>
        <w:t>in</w:t>
      </w:r>
      <w:r>
        <w:rPr/>
        <w:tab/>
      </w:r>
      <w:r>
        <w:rPr>
          <w:spacing w:val="-2"/>
        </w:rPr>
        <w:t>Niger</w:t>
      </w:r>
      <w:r>
        <w:rPr/>
        <w:tab/>
      </w:r>
      <w:r>
        <w:rPr>
          <w:spacing w:val="-2"/>
        </w:rPr>
        <w:t>Delta,</w:t>
      </w:r>
      <w:r>
        <w:rPr/>
        <w:tab/>
      </w:r>
      <w:hyperlink r:id="rId78">
        <w:r>
          <w:rPr>
            <w:spacing w:val="-2"/>
            <w:u w:val="single"/>
          </w:rPr>
          <w:t>http://www.usip.org/pubs/usipeace-</w:t>
        </w:r>
      </w:hyperlink>
      <w:r>
        <w:rPr>
          <w:spacing w:val="-2"/>
        </w:rPr>
        <w:t> </w:t>
      </w:r>
      <w:hyperlink r:id="rId78">
        <w:r>
          <w:rPr>
            <w:u w:val="single"/>
          </w:rPr>
          <w:t>briefings/2995/1219-nigerdelta.html</w:t>
        </w:r>
      </w:hyperlink>
      <w:r>
        <w:rPr/>
        <w:t> Accessed on 25th November, 2008.</w:t>
      </w:r>
    </w:p>
    <w:p>
      <w:pPr>
        <w:pStyle w:val="BodyText"/>
        <w:spacing w:before="2"/>
        <w:ind w:left="0"/>
      </w:pPr>
    </w:p>
    <w:p>
      <w:pPr>
        <w:pStyle w:val="BodyText"/>
        <w:spacing w:line="360" w:lineRule="auto"/>
        <w:ind w:right="1261"/>
        <w:jc w:val="both"/>
      </w:pPr>
      <w:r>
        <w:rPr/>
        <w:t>Fuelling the Niger Delta Crisis, in Africa Report No. 118. </w:t>
      </w:r>
      <w:hyperlink r:id="rId79">
        <w:r>
          <w:rPr>
            <w:u w:val="single"/>
          </w:rPr>
          <w:t>http://www.crisisgroup.org/home/index.cfm</w:t>
        </w:r>
        <w:r>
          <w:rPr/>
          <w:t>.</w:t>
        </w:r>
      </w:hyperlink>
      <w:r>
        <w:rPr/>
        <w:t> Accessed 28th September, 2006.</w:t>
      </w:r>
    </w:p>
    <w:p>
      <w:pPr>
        <w:pStyle w:val="BodyText"/>
        <w:spacing w:line="360" w:lineRule="auto"/>
        <w:ind w:right="1259"/>
        <w:jc w:val="both"/>
      </w:pPr>
      <w:r>
        <w:rPr/>
        <w:t>Dijkema Claske, “Oil Conflict in the Niger Delta”, available at </w:t>
      </w:r>
      <w:hyperlink r:id="rId80">
        <w:r>
          <w:rPr/>
          <w:t>http://www.irenees.net/fr/fiches/analyse-988.html.</w:t>
        </w:r>
      </w:hyperlink>
      <w:r>
        <w:rPr/>
        <w:t> Accessed on 30th November,</w:t>
      </w:r>
      <w:r>
        <w:rPr>
          <w:spacing w:val="40"/>
        </w:rPr>
        <w:t> </w:t>
      </w:r>
      <w:r>
        <w:rPr>
          <w:spacing w:val="-2"/>
        </w:rPr>
        <w:t>2010.</w:t>
      </w:r>
    </w:p>
    <w:p>
      <w:pPr>
        <w:pStyle w:val="BodyText"/>
        <w:spacing w:line="360" w:lineRule="auto"/>
        <w:ind w:right="1257"/>
        <w:jc w:val="both"/>
      </w:pPr>
      <w:r>
        <w:rPr/>
        <w:t>Okonta,</w:t>
      </w:r>
      <w:r>
        <w:rPr>
          <w:spacing w:val="-1"/>
        </w:rPr>
        <w:t> </w:t>
      </w:r>
      <w:r>
        <w:rPr/>
        <w:t>Ike.</w:t>
      </w:r>
      <w:r>
        <w:rPr>
          <w:spacing w:val="-3"/>
        </w:rPr>
        <w:t> </w:t>
      </w:r>
      <w:r>
        <w:rPr/>
        <w:t>2000.</w:t>
      </w:r>
      <w:r>
        <w:rPr>
          <w:spacing w:val="40"/>
        </w:rPr>
        <w:t> </w:t>
      </w:r>
      <w:r>
        <w:rPr/>
        <w:t>The Lingering</w:t>
      </w:r>
      <w:r>
        <w:rPr>
          <w:spacing w:val="-4"/>
        </w:rPr>
        <w:t> </w:t>
      </w:r>
      <w:r>
        <w:rPr/>
        <w:t>Crisis</w:t>
      </w:r>
      <w:r>
        <w:rPr>
          <w:spacing w:val="-3"/>
        </w:rPr>
        <w:t> </w:t>
      </w:r>
      <w:r>
        <w:rPr/>
        <w:t>in</w:t>
      </w:r>
      <w:r>
        <w:rPr>
          <w:spacing w:val="-3"/>
        </w:rPr>
        <w:t> </w:t>
      </w:r>
      <w:r>
        <w:rPr/>
        <w:t>Nigeria‟s</w:t>
      </w:r>
      <w:r>
        <w:rPr>
          <w:spacing w:val="-3"/>
        </w:rPr>
        <w:t> </w:t>
      </w:r>
      <w:r>
        <w:rPr/>
        <w:t>Niger</w:t>
      </w:r>
      <w:r>
        <w:rPr>
          <w:spacing w:val="-4"/>
        </w:rPr>
        <w:t> </w:t>
      </w:r>
      <w:r>
        <w:rPr/>
        <w:t>Delta</w:t>
      </w:r>
      <w:r>
        <w:rPr>
          <w:spacing w:val="-4"/>
        </w:rPr>
        <w:t> </w:t>
      </w:r>
      <w:r>
        <w:rPr/>
        <w:t>and</w:t>
      </w:r>
      <w:r>
        <w:rPr>
          <w:spacing w:val="-1"/>
        </w:rPr>
        <w:t> </w:t>
      </w:r>
      <w:r>
        <w:rPr/>
        <w:t>Suggestions</w:t>
      </w:r>
      <w:r>
        <w:rPr>
          <w:spacing w:val="-1"/>
        </w:rPr>
        <w:t> </w:t>
      </w:r>
      <w:r>
        <w:rPr/>
        <w:t>for a Peaceful Resolution </w:t>
      </w:r>
      <w:hyperlink r:id="rId81">
        <w:r>
          <w:rPr>
            <w:u w:val="single"/>
          </w:rPr>
          <w:t>http://www.cdd.org.uk/resources/workingpapers/niger-delta-</w:t>
        </w:r>
      </w:hyperlink>
      <w:r>
        <w:rPr/>
        <w:t> </w:t>
      </w:r>
      <w:hyperlink r:id="rId81">
        <w:r>
          <w:rPr>
            <w:u w:val="single"/>
          </w:rPr>
          <w:t>eng.htm</w:t>
        </w:r>
      </w:hyperlink>
      <w:r>
        <w:rPr/>
        <w:t> Accessed 1 November 2009.</w:t>
      </w:r>
    </w:p>
    <w:p>
      <w:pPr>
        <w:pStyle w:val="BodyText"/>
        <w:spacing w:before="142"/>
        <w:ind w:left="0"/>
      </w:pPr>
    </w:p>
    <w:p>
      <w:pPr>
        <w:pStyle w:val="Heading1"/>
        <w:spacing w:before="1"/>
        <w:ind w:left="1440"/>
      </w:pPr>
      <w:r>
        <w:rPr>
          <w:spacing w:val="-2"/>
        </w:rPr>
        <w:t>MAGAZINES</w:t>
      </w:r>
    </w:p>
    <w:p>
      <w:pPr>
        <w:pStyle w:val="BodyText"/>
        <w:spacing w:line="360" w:lineRule="auto" w:before="134"/>
        <w:ind w:right="2080"/>
      </w:pPr>
      <w:r>
        <w:rPr/>
        <w:t>Quarterly</w:t>
      </w:r>
      <w:r>
        <w:rPr>
          <w:spacing w:val="-8"/>
        </w:rPr>
        <w:t> </w:t>
      </w:r>
      <w:r>
        <w:rPr/>
        <w:t>Newsletter</w:t>
      </w:r>
      <w:r>
        <w:rPr>
          <w:spacing w:val="-4"/>
        </w:rPr>
        <w:t> </w:t>
      </w:r>
      <w:r>
        <w:rPr/>
        <w:t>of</w:t>
      </w:r>
      <w:r>
        <w:rPr>
          <w:spacing w:val="-4"/>
        </w:rPr>
        <w:t> </w:t>
      </w:r>
      <w:r>
        <w:rPr/>
        <w:t>the</w:t>
      </w:r>
      <w:r>
        <w:rPr>
          <w:spacing w:val="-6"/>
        </w:rPr>
        <w:t> </w:t>
      </w:r>
      <w:r>
        <w:rPr/>
        <w:t>NDDC,</w:t>
      </w:r>
      <w:r>
        <w:rPr>
          <w:spacing w:val="-4"/>
        </w:rPr>
        <w:t> </w:t>
      </w:r>
      <w:r>
        <w:rPr/>
        <w:t>June</w:t>
      </w:r>
      <w:r>
        <w:rPr>
          <w:spacing w:val="-5"/>
        </w:rPr>
        <w:t> </w:t>
      </w:r>
      <w:r>
        <w:rPr/>
        <w:t>2005,</w:t>
      </w:r>
      <w:r>
        <w:rPr>
          <w:spacing w:val="-4"/>
        </w:rPr>
        <w:t> </w:t>
      </w:r>
      <w:r>
        <w:rPr/>
        <w:t>Vol.3</w:t>
      </w:r>
      <w:r>
        <w:rPr>
          <w:spacing w:val="-4"/>
        </w:rPr>
        <w:t> </w:t>
      </w:r>
      <w:r>
        <w:rPr/>
        <w:t>No.12,</w:t>
      </w:r>
      <w:r>
        <w:rPr>
          <w:spacing w:val="-4"/>
        </w:rPr>
        <w:t> </w:t>
      </w:r>
      <w:r>
        <w:rPr/>
        <w:t>Port</w:t>
      </w:r>
      <w:r>
        <w:rPr>
          <w:spacing w:val="-4"/>
        </w:rPr>
        <w:t> </w:t>
      </w:r>
      <w:r>
        <w:rPr/>
        <w:t>Harcourt. Human Rights Watch Briefing Paper, 2002: 2</w:t>
      </w:r>
    </w:p>
    <w:p>
      <w:pPr>
        <w:pStyle w:val="BodyText"/>
      </w:pPr>
      <w:r>
        <w:rPr/>
        <w:t>Newswatch</w:t>
      </w:r>
      <w:r>
        <w:rPr>
          <w:spacing w:val="-2"/>
        </w:rPr>
        <w:t> </w:t>
      </w:r>
      <w:r>
        <w:rPr/>
        <w:t>Magazine</w:t>
      </w:r>
      <w:r>
        <w:rPr>
          <w:spacing w:val="-1"/>
        </w:rPr>
        <w:t> </w:t>
      </w:r>
      <w:r>
        <w:rPr/>
        <w:t>(Lagos),</w:t>
      </w:r>
      <w:r>
        <w:rPr>
          <w:spacing w:val="-1"/>
        </w:rPr>
        <w:t> </w:t>
      </w:r>
      <w:r>
        <w:rPr/>
        <w:t>May</w:t>
      </w:r>
      <w:r>
        <w:rPr>
          <w:spacing w:val="-5"/>
        </w:rPr>
        <w:t> </w:t>
      </w:r>
      <w:r>
        <w:rPr/>
        <w:t>04,</w:t>
      </w:r>
      <w:r>
        <w:rPr>
          <w:spacing w:val="-1"/>
        </w:rPr>
        <w:t> </w:t>
      </w:r>
      <w:r>
        <w:rPr>
          <w:spacing w:val="-4"/>
        </w:rPr>
        <w:t>2009</w:t>
      </w:r>
    </w:p>
    <w:p>
      <w:pPr>
        <w:pStyle w:val="BodyText"/>
        <w:spacing w:before="137"/>
      </w:pPr>
      <w:r>
        <w:rPr/>
        <w:t>Newswatch</w:t>
      </w:r>
      <w:r>
        <w:rPr>
          <w:spacing w:val="-3"/>
        </w:rPr>
        <w:t> </w:t>
      </w:r>
      <w:r>
        <w:rPr/>
        <w:t>Ma,gazine,</w:t>
      </w:r>
      <w:r>
        <w:rPr>
          <w:spacing w:val="58"/>
        </w:rPr>
        <w:t> </w:t>
      </w:r>
      <w:r>
        <w:rPr/>
        <w:t>(Lagos)</w:t>
      </w:r>
      <w:r>
        <w:rPr>
          <w:spacing w:val="-1"/>
        </w:rPr>
        <w:t> </w:t>
      </w:r>
      <w:r>
        <w:rPr/>
        <w:t>June</w:t>
      </w:r>
      <w:r>
        <w:rPr>
          <w:spacing w:val="-2"/>
        </w:rPr>
        <w:t> </w:t>
      </w:r>
      <w:r>
        <w:rPr/>
        <w:t>8, </w:t>
      </w:r>
      <w:r>
        <w:rPr>
          <w:spacing w:val="-4"/>
        </w:rPr>
        <w:t>2009</w:t>
      </w:r>
    </w:p>
    <w:p>
      <w:pPr>
        <w:pStyle w:val="BodyText"/>
        <w:spacing w:line="360" w:lineRule="auto" w:before="140"/>
        <w:ind w:right="1260"/>
      </w:pPr>
      <w:r>
        <w:rPr/>
        <w:t>Fuelling the Niger Delta Crisis, Crisis Group Africa Report No. 118, September 28,</w:t>
      </w:r>
      <w:r>
        <w:rPr>
          <w:spacing w:val="40"/>
        </w:rPr>
        <w:t> </w:t>
      </w:r>
      <w:r>
        <w:rPr>
          <w:spacing w:val="-2"/>
        </w:rPr>
        <w:t>2006.</w:t>
      </w:r>
    </w:p>
    <w:p>
      <w:pPr>
        <w:pStyle w:val="BodyText"/>
      </w:pPr>
      <w:r>
        <w:rPr/>
        <w:t>Nigeria</w:t>
      </w:r>
      <w:r>
        <w:rPr>
          <w:spacing w:val="-3"/>
        </w:rPr>
        <w:t> </w:t>
      </w:r>
      <w:r>
        <w:rPr/>
        <w:t>Army,</w:t>
      </w:r>
      <w:r>
        <w:rPr>
          <w:spacing w:val="-1"/>
        </w:rPr>
        <w:t> </w:t>
      </w:r>
      <w:r>
        <w:rPr/>
        <w:t>Report 2010, (Abuja:</w:t>
      </w:r>
      <w:r>
        <w:rPr>
          <w:spacing w:val="-1"/>
        </w:rPr>
        <w:t> </w:t>
      </w:r>
      <w:r>
        <w:rPr/>
        <w:t>New</w:t>
      </w:r>
      <w:r>
        <w:rPr>
          <w:spacing w:val="-1"/>
        </w:rPr>
        <w:t> </w:t>
      </w:r>
      <w:r>
        <w:rPr/>
        <w:t>Soja</w:t>
      </w:r>
      <w:r>
        <w:rPr>
          <w:spacing w:val="-1"/>
        </w:rPr>
        <w:t> </w:t>
      </w:r>
      <w:r>
        <w:rPr/>
        <w:t>Printing</w:t>
      </w:r>
      <w:r>
        <w:rPr>
          <w:spacing w:val="-4"/>
        </w:rPr>
        <w:t> </w:t>
      </w:r>
      <w:r>
        <w:rPr/>
        <w:t>Press,</w:t>
      </w:r>
      <w:r>
        <w:rPr>
          <w:spacing w:val="-1"/>
        </w:rPr>
        <w:t> </w:t>
      </w:r>
      <w:r>
        <w:rPr/>
        <w:t>2006: </w:t>
      </w:r>
      <w:r>
        <w:rPr>
          <w:spacing w:val="-5"/>
        </w:rPr>
        <w:t>1).</w:t>
      </w:r>
    </w:p>
    <w:p>
      <w:pPr>
        <w:pStyle w:val="BodyText"/>
        <w:spacing w:line="360" w:lineRule="auto" w:before="137"/>
        <w:ind w:right="1260"/>
      </w:pPr>
      <w:r>
        <w:rPr/>
        <w:t>The</w:t>
      </w:r>
      <w:r>
        <w:rPr>
          <w:spacing w:val="36"/>
        </w:rPr>
        <w:t> </w:t>
      </w:r>
      <w:r>
        <w:rPr/>
        <w:t>World</w:t>
      </w:r>
      <w:r>
        <w:rPr>
          <w:spacing w:val="38"/>
        </w:rPr>
        <w:t> </w:t>
      </w:r>
      <w:r>
        <w:rPr/>
        <w:t>Bank,</w:t>
      </w:r>
      <w:r>
        <w:rPr>
          <w:spacing w:val="37"/>
        </w:rPr>
        <w:t> </w:t>
      </w:r>
      <w:r>
        <w:rPr/>
        <w:t>Defining</w:t>
      </w:r>
      <w:r>
        <w:rPr>
          <w:spacing w:val="35"/>
        </w:rPr>
        <w:t> </w:t>
      </w:r>
      <w:r>
        <w:rPr/>
        <w:t>an</w:t>
      </w:r>
      <w:r>
        <w:rPr>
          <w:spacing w:val="37"/>
        </w:rPr>
        <w:t> </w:t>
      </w:r>
      <w:r>
        <w:rPr/>
        <w:t>Environmental</w:t>
      </w:r>
      <w:r>
        <w:rPr>
          <w:spacing w:val="37"/>
        </w:rPr>
        <w:t> </w:t>
      </w:r>
      <w:r>
        <w:rPr/>
        <w:t>Strategy</w:t>
      </w:r>
      <w:r>
        <w:rPr>
          <w:spacing w:val="33"/>
        </w:rPr>
        <w:t> </w:t>
      </w:r>
      <w:r>
        <w:rPr/>
        <w:t>for</w:t>
      </w:r>
      <w:r>
        <w:rPr>
          <w:spacing w:val="36"/>
        </w:rPr>
        <w:t> </w:t>
      </w:r>
      <w:r>
        <w:rPr/>
        <w:t>the</w:t>
      </w:r>
      <w:r>
        <w:rPr>
          <w:spacing w:val="36"/>
        </w:rPr>
        <w:t> </w:t>
      </w:r>
      <w:r>
        <w:rPr/>
        <w:t>Niger</w:t>
      </w:r>
      <w:r>
        <w:rPr>
          <w:spacing w:val="39"/>
        </w:rPr>
        <w:t> </w:t>
      </w:r>
      <w:r>
        <w:rPr/>
        <w:t>Delta,</w:t>
      </w:r>
      <w:r>
        <w:rPr>
          <w:spacing w:val="37"/>
        </w:rPr>
        <w:t> </w:t>
      </w:r>
      <w:r>
        <w:rPr/>
        <w:t>Vol.</w:t>
      </w:r>
      <w:r>
        <w:rPr>
          <w:spacing w:val="37"/>
        </w:rPr>
        <w:t> </w:t>
      </w:r>
      <w:r>
        <w:rPr/>
        <w:t>1 Report, 1995.</w:t>
      </w:r>
    </w:p>
    <w:p>
      <w:pPr>
        <w:pStyle w:val="BodyText"/>
        <w:spacing w:line="360" w:lineRule="auto"/>
        <w:ind w:right="1260"/>
      </w:pPr>
      <w:r>
        <w:rPr/>
        <w:t>The Niger Delta Environmental Survey (NDES) Report, Vol. 1, Federal Ministry of</w:t>
      </w:r>
      <w:r>
        <w:rPr>
          <w:spacing w:val="40"/>
        </w:rPr>
        <w:t> </w:t>
      </w:r>
      <w:r>
        <w:rPr/>
        <w:t>National Planning, 1977 : 12 -14.</w:t>
      </w:r>
    </w:p>
    <w:p>
      <w:pPr>
        <w:pStyle w:val="BodyText"/>
        <w:spacing w:line="360" w:lineRule="auto"/>
        <w:ind w:right="1260"/>
      </w:pPr>
      <w:r>
        <w:rPr/>
        <w:t>Comments</w:t>
      </w:r>
      <w:r>
        <w:rPr>
          <w:spacing w:val="40"/>
        </w:rPr>
        <w:t> </w:t>
      </w:r>
      <w:r>
        <w:rPr/>
        <w:t>from</w:t>
      </w:r>
      <w:r>
        <w:rPr>
          <w:spacing w:val="40"/>
        </w:rPr>
        <w:t> </w:t>
      </w:r>
      <w:r>
        <w:rPr/>
        <w:t>the</w:t>
      </w:r>
      <w:r>
        <w:rPr>
          <w:spacing w:val="40"/>
        </w:rPr>
        <w:t> </w:t>
      </w:r>
      <w:r>
        <w:rPr/>
        <w:t>“special</w:t>
      </w:r>
      <w:r>
        <w:rPr>
          <w:spacing w:val="40"/>
        </w:rPr>
        <w:t> </w:t>
      </w:r>
      <w:r>
        <w:rPr/>
        <w:t>Niger</w:t>
      </w:r>
      <w:r>
        <w:rPr>
          <w:spacing w:val="40"/>
        </w:rPr>
        <w:t> </w:t>
      </w:r>
      <w:r>
        <w:rPr/>
        <w:t>Consultative</w:t>
      </w:r>
      <w:r>
        <w:rPr>
          <w:spacing w:val="40"/>
        </w:rPr>
        <w:t> </w:t>
      </w:r>
      <w:r>
        <w:rPr/>
        <w:t>Forum</w:t>
      </w:r>
      <w:r>
        <w:rPr>
          <w:spacing w:val="40"/>
        </w:rPr>
        <w:t> </w:t>
      </w:r>
      <w:r>
        <w:rPr/>
        <w:t>Report,</w:t>
      </w:r>
      <w:r>
        <w:rPr>
          <w:spacing w:val="40"/>
        </w:rPr>
        <w:t> </w:t>
      </w:r>
      <w:r>
        <w:rPr/>
        <w:t>10</w:t>
      </w:r>
      <w:r>
        <w:rPr>
          <w:spacing w:val="40"/>
        </w:rPr>
        <w:t> </w:t>
      </w:r>
      <w:r>
        <w:rPr/>
        <w:t>–</w:t>
      </w:r>
      <w:r>
        <w:rPr>
          <w:spacing w:val="40"/>
        </w:rPr>
        <w:t> </w:t>
      </w:r>
      <w:r>
        <w:rPr/>
        <w:t>11</w:t>
      </w:r>
      <w:r>
        <w:rPr>
          <w:spacing w:val="40"/>
        </w:rPr>
        <w:t> </w:t>
      </w:r>
      <w:r>
        <w:rPr/>
        <w:t>February </w:t>
      </w:r>
      <w:r>
        <w:rPr>
          <w:spacing w:val="-2"/>
        </w:rPr>
        <w:t>2006.</w:t>
      </w:r>
    </w:p>
    <w:p>
      <w:pPr>
        <w:pStyle w:val="BodyText"/>
        <w:spacing w:line="360" w:lineRule="auto"/>
        <w:ind w:right="1260"/>
      </w:pPr>
      <w:r>
        <w:rPr/>
        <w:t>Quarterly</w:t>
      </w:r>
      <w:r>
        <w:rPr>
          <w:spacing w:val="32"/>
        </w:rPr>
        <w:t> </w:t>
      </w:r>
      <w:r>
        <w:rPr/>
        <w:t>Magazine</w:t>
      </w:r>
      <w:r>
        <w:rPr>
          <w:spacing w:val="36"/>
        </w:rPr>
        <w:t> </w:t>
      </w:r>
      <w:r>
        <w:rPr/>
        <w:t>of</w:t>
      </w:r>
      <w:r>
        <w:rPr>
          <w:spacing w:val="35"/>
        </w:rPr>
        <w:t> </w:t>
      </w:r>
      <w:r>
        <w:rPr/>
        <w:t>the</w:t>
      </w:r>
      <w:r>
        <w:rPr>
          <w:spacing w:val="36"/>
        </w:rPr>
        <w:t> </w:t>
      </w:r>
      <w:r>
        <w:rPr/>
        <w:t>Nigerian</w:t>
      </w:r>
      <w:r>
        <w:rPr>
          <w:spacing w:val="36"/>
        </w:rPr>
        <w:t> </w:t>
      </w:r>
      <w:r>
        <w:rPr/>
        <w:t>National</w:t>
      </w:r>
      <w:r>
        <w:rPr>
          <w:spacing w:val="37"/>
        </w:rPr>
        <w:t> </w:t>
      </w:r>
      <w:r>
        <w:rPr/>
        <w:t>Petroleum</w:t>
      </w:r>
      <w:r>
        <w:rPr>
          <w:spacing w:val="40"/>
        </w:rPr>
        <w:t> </w:t>
      </w:r>
      <w:r>
        <w:rPr/>
        <w:t>Corporation,</w:t>
      </w:r>
      <w:r>
        <w:rPr>
          <w:spacing w:val="36"/>
        </w:rPr>
        <w:t> </w:t>
      </w:r>
      <w:r>
        <w:rPr/>
        <w:t>Vol.</w:t>
      </w:r>
      <w:r>
        <w:rPr>
          <w:spacing w:val="36"/>
        </w:rPr>
        <w:t> </w:t>
      </w:r>
      <w:r>
        <w:rPr/>
        <w:t>5</w:t>
      </w:r>
      <w:r>
        <w:rPr>
          <w:spacing w:val="36"/>
        </w:rPr>
        <w:t> </w:t>
      </w:r>
      <w:r>
        <w:rPr/>
        <w:t>No.1, First Quarter 2008: 1.</w:t>
      </w:r>
    </w:p>
    <w:p>
      <w:pPr>
        <w:spacing w:after="0" w:line="360" w:lineRule="auto"/>
        <w:sectPr>
          <w:pgSz w:w="11910" w:h="16840"/>
          <w:pgMar w:header="0" w:footer="1561" w:top="1360" w:bottom="1760" w:left="720" w:right="180"/>
        </w:sectPr>
      </w:pPr>
    </w:p>
    <w:p>
      <w:pPr>
        <w:pStyle w:val="Heading1"/>
        <w:spacing w:before="65"/>
        <w:ind w:left="1440"/>
      </w:pPr>
      <w:r>
        <w:rPr/>
        <mc:AlternateContent>
          <mc:Choice Requires="wps">
            <w:drawing>
              <wp:anchor distT="0" distB="0" distL="0" distR="0" allowOverlap="1" layoutInCell="1" locked="0" behindDoc="1" simplePos="0" relativeHeight="480699392">
                <wp:simplePos x="0" y="0"/>
                <wp:positionH relativeFrom="page">
                  <wp:posOffset>-1537026</wp:posOffset>
                </wp:positionH>
                <wp:positionV relativeFrom="page">
                  <wp:posOffset>4900424</wp:posOffset>
                </wp:positionV>
                <wp:extent cx="10669905" cy="914400"/>
                <wp:effectExtent l="0" t="0" r="0" b="0"/>
                <wp:wrapNone/>
                <wp:docPr id="374" name="Textbox 374"/>
                <wp:cNvGraphicFramePr>
                  <a:graphicFrameLocks/>
                </wp:cNvGraphicFramePr>
                <a:graphic>
                  <a:graphicData uri="http://schemas.microsoft.com/office/word/2010/wordprocessingShape">
                    <wps:wsp>
                      <wps:cNvPr id="374" name="Textbox 374"/>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17088;rotation:306" type="#_x0000_t136" fillcolor="#ff5400" stroked="f">
                <o:extrusion v:ext="view" autorotationcenter="t"/>
                <v:textpath style="font-family:&quot;Arial MT&quot;;font-size:72pt;v-text-kern:t;mso-text-shadow:auto" string="UNIVERSITY OF IBADAN"/>
                <w10:wrap type="none"/>
              </v:shape>
            </w:pict>
          </mc:Fallback>
        </mc:AlternateContent>
      </w:r>
      <w:r>
        <w:rPr>
          <w:spacing w:val="-2"/>
        </w:rPr>
        <w:t>NEWSPAPERS</w:t>
      </w:r>
    </w:p>
    <w:p>
      <w:pPr>
        <w:pStyle w:val="BodyText"/>
        <w:spacing w:before="133"/>
      </w:pPr>
      <w:r>
        <w:rPr/>
        <w:t>The</w:t>
      </w:r>
      <w:r>
        <w:rPr>
          <w:spacing w:val="-4"/>
        </w:rPr>
        <w:t> </w:t>
      </w:r>
      <w:r>
        <w:rPr/>
        <w:t>Guardian</w:t>
      </w:r>
      <w:r>
        <w:rPr>
          <w:spacing w:val="-1"/>
        </w:rPr>
        <w:t> </w:t>
      </w:r>
      <w:r>
        <w:rPr/>
        <w:t>(Lagos),</w:t>
      </w:r>
      <w:r>
        <w:rPr>
          <w:spacing w:val="-1"/>
        </w:rPr>
        <w:t> </w:t>
      </w:r>
      <w:r>
        <w:rPr/>
        <w:t>September</w:t>
      </w:r>
      <w:r>
        <w:rPr>
          <w:spacing w:val="-1"/>
        </w:rPr>
        <w:t> </w:t>
      </w:r>
      <w:r>
        <w:rPr/>
        <w:t>2,</w:t>
      </w:r>
      <w:r>
        <w:rPr>
          <w:spacing w:val="-1"/>
        </w:rPr>
        <w:t> </w:t>
      </w:r>
      <w:r>
        <w:rPr>
          <w:spacing w:val="-2"/>
        </w:rPr>
        <w:t>2007.</w:t>
      </w:r>
    </w:p>
    <w:p>
      <w:pPr>
        <w:pStyle w:val="BodyText"/>
        <w:spacing w:before="139"/>
      </w:pPr>
      <w:r>
        <w:rPr/>
        <w:t>The</w:t>
      </w:r>
      <w:r>
        <w:rPr>
          <w:spacing w:val="-6"/>
        </w:rPr>
        <w:t> </w:t>
      </w:r>
      <w:r>
        <w:rPr/>
        <w:t>Guardian</w:t>
      </w:r>
      <w:r>
        <w:rPr>
          <w:spacing w:val="-1"/>
        </w:rPr>
        <w:t> </w:t>
      </w:r>
      <w:r>
        <w:rPr/>
        <w:t>(Lagos),</w:t>
      </w:r>
      <w:r>
        <w:rPr>
          <w:spacing w:val="-1"/>
        </w:rPr>
        <w:t> </w:t>
      </w:r>
      <w:r>
        <w:rPr/>
        <w:t>September</w:t>
      </w:r>
      <w:r>
        <w:rPr>
          <w:spacing w:val="-1"/>
        </w:rPr>
        <w:t> </w:t>
      </w:r>
      <w:r>
        <w:rPr/>
        <w:t>23,</w:t>
      </w:r>
      <w:r>
        <w:rPr>
          <w:spacing w:val="-2"/>
        </w:rPr>
        <w:t> 2007.</w:t>
      </w:r>
    </w:p>
    <w:p>
      <w:pPr>
        <w:pStyle w:val="BodyText"/>
        <w:spacing w:before="137"/>
      </w:pPr>
      <w:r>
        <w:rPr/>
        <w:t>The</w:t>
      </w:r>
      <w:r>
        <w:rPr>
          <w:spacing w:val="-6"/>
        </w:rPr>
        <w:t> </w:t>
      </w:r>
      <w:r>
        <w:rPr/>
        <w:t>Guardian</w:t>
      </w:r>
      <w:r>
        <w:rPr>
          <w:spacing w:val="-1"/>
        </w:rPr>
        <w:t> </w:t>
      </w:r>
      <w:r>
        <w:rPr/>
        <w:t>(Lagos),</w:t>
      </w:r>
      <w:r>
        <w:rPr>
          <w:spacing w:val="-1"/>
        </w:rPr>
        <w:t> </w:t>
      </w:r>
      <w:r>
        <w:rPr/>
        <w:t>September</w:t>
      </w:r>
      <w:r>
        <w:rPr>
          <w:spacing w:val="-1"/>
        </w:rPr>
        <w:t> </w:t>
      </w:r>
      <w:r>
        <w:rPr/>
        <w:t>28,</w:t>
      </w:r>
      <w:r>
        <w:rPr>
          <w:spacing w:val="-2"/>
        </w:rPr>
        <w:t> 2007.</w:t>
      </w:r>
    </w:p>
    <w:p>
      <w:pPr>
        <w:pStyle w:val="BodyText"/>
        <w:spacing w:before="139"/>
      </w:pPr>
      <w:r>
        <w:rPr/>
        <w:t>The</w:t>
      </w:r>
      <w:r>
        <w:rPr>
          <w:spacing w:val="-3"/>
        </w:rPr>
        <w:t> </w:t>
      </w:r>
      <w:r>
        <w:rPr/>
        <w:t>Guardian</w:t>
      </w:r>
      <w:r>
        <w:rPr>
          <w:spacing w:val="-1"/>
        </w:rPr>
        <w:t> </w:t>
      </w:r>
      <w:r>
        <w:rPr/>
        <w:t>(Lagos),</w:t>
      </w:r>
      <w:r>
        <w:rPr>
          <w:spacing w:val="-1"/>
        </w:rPr>
        <w:t> </w:t>
      </w:r>
      <w:r>
        <w:rPr/>
        <w:t>October</w:t>
      </w:r>
      <w:r>
        <w:rPr>
          <w:spacing w:val="-3"/>
        </w:rPr>
        <w:t> </w:t>
      </w:r>
      <w:r>
        <w:rPr/>
        <w:t>28,</w:t>
      </w:r>
      <w:r>
        <w:rPr>
          <w:spacing w:val="-1"/>
        </w:rPr>
        <w:t> </w:t>
      </w:r>
      <w:r>
        <w:rPr>
          <w:spacing w:val="-2"/>
        </w:rPr>
        <w:t>2007.</w:t>
      </w:r>
    </w:p>
    <w:p>
      <w:pPr>
        <w:pStyle w:val="BodyText"/>
        <w:spacing w:before="137"/>
      </w:pPr>
      <w:r>
        <w:rPr/>
        <w:t>The</w:t>
      </w:r>
      <w:r>
        <w:rPr>
          <w:spacing w:val="-5"/>
        </w:rPr>
        <w:t> </w:t>
      </w:r>
      <w:r>
        <w:rPr/>
        <w:t>Guardian</w:t>
      </w:r>
      <w:r>
        <w:rPr>
          <w:spacing w:val="-1"/>
        </w:rPr>
        <w:t> </w:t>
      </w:r>
      <w:r>
        <w:rPr/>
        <w:t>(Lagos),</w:t>
      </w:r>
      <w:r>
        <w:rPr>
          <w:spacing w:val="-1"/>
        </w:rPr>
        <w:t> </w:t>
      </w:r>
      <w:r>
        <w:rPr/>
        <w:t>November</w:t>
      </w:r>
      <w:r>
        <w:rPr>
          <w:spacing w:val="-1"/>
        </w:rPr>
        <w:t> </w:t>
      </w:r>
      <w:r>
        <w:rPr/>
        <w:t>1, </w:t>
      </w:r>
      <w:r>
        <w:rPr>
          <w:spacing w:val="-2"/>
        </w:rPr>
        <w:t>2007.</w:t>
      </w:r>
    </w:p>
    <w:p>
      <w:pPr>
        <w:pStyle w:val="BodyText"/>
        <w:spacing w:before="139"/>
      </w:pPr>
      <w:r>
        <w:rPr/>
        <w:t>Daily</w:t>
      </w:r>
      <w:r>
        <w:rPr>
          <w:spacing w:val="-5"/>
        </w:rPr>
        <w:t> </w:t>
      </w:r>
      <w:r>
        <w:rPr/>
        <w:t>Sun (Lagos), November</w:t>
      </w:r>
      <w:r>
        <w:rPr>
          <w:spacing w:val="-2"/>
        </w:rPr>
        <w:t> </w:t>
      </w:r>
      <w:r>
        <w:rPr/>
        <w:t>1, </w:t>
      </w:r>
      <w:r>
        <w:rPr>
          <w:spacing w:val="-2"/>
        </w:rPr>
        <w:t>2007.</w:t>
      </w:r>
    </w:p>
    <w:p>
      <w:pPr>
        <w:pStyle w:val="BodyText"/>
        <w:spacing w:before="137"/>
      </w:pPr>
      <w:r>
        <w:rPr/>
        <w:t>ThisDay</w:t>
      </w:r>
      <w:r>
        <w:rPr>
          <w:spacing w:val="-5"/>
        </w:rPr>
        <w:t> </w:t>
      </w:r>
      <w:r>
        <w:rPr/>
        <w:t>(Lagos),</w:t>
      </w:r>
      <w:r>
        <w:rPr>
          <w:spacing w:val="-1"/>
        </w:rPr>
        <w:t> </w:t>
      </w:r>
      <w:r>
        <w:rPr/>
        <w:t>March</w:t>
      </w:r>
      <w:r>
        <w:rPr>
          <w:spacing w:val="1"/>
        </w:rPr>
        <w:t> </w:t>
      </w:r>
      <w:r>
        <w:rPr/>
        <w:t>8,</w:t>
      </w:r>
      <w:r>
        <w:rPr>
          <w:spacing w:val="-1"/>
        </w:rPr>
        <w:t> </w:t>
      </w:r>
      <w:r>
        <w:rPr>
          <w:spacing w:val="-2"/>
        </w:rPr>
        <w:t>2006.</w:t>
      </w:r>
    </w:p>
    <w:p>
      <w:pPr>
        <w:pStyle w:val="BodyText"/>
        <w:spacing w:before="139"/>
      </w:pPr>
      <w:r>
        <w:rPr/>
        <w:t>ThisDay</w:t>
      </w:r>
      <w:r>
        <w:rPr>
          <w:spacing w:val="-3"/>
        </w:rPr>
        <w:t> </w:t>
      </w:r>
      <w:r>
        <w:rPr/>
        <w:t>(Lagos),</w:t>
      </w:r>
      <w:r>
        <w:rPr>
          <w:spacing w:val="1"/>
        </w:rPr>
        <w:t> </w:t>
      </w:r>
      <w:r>
        <w:rPr/>
        <w:t>May</w:t>
      </w:r>
      <w:r>
        <w:rPr>
          <w:spacing w:val="-4"/>
        </w:rPr>
        <w:t> </w:t>
      </w:r>
      <w:r>
        <w:rPr/>
        <w:t>28,</w:t>
      </w:r>
      <w:r>
        <w:rPr>
          <w:spacing w:val="1"/>
        </w:rPr>
        <w:t> </w:t>
      </w:r>
      <w:r>
        <w:rPr>
          <w:spacing w:val="-2"/>
        </w:rPr>
        <w:t>2009.</w:t>
      </w:r>
    </w:p>
    <w:p>
      <w:pPr>
        <w:pStyle w:val="BodyText"/>
        <w:spacing w:before="137"/>
        <w:ind w:left="1500"/>
      </w:pPr>
      <w:r>
        <w:rPr/>
        <w:t>The</w:t>
      </w:r>
      <w:r>
        <w:rPr>
          <w:spacing w:val="-5"/>
        </w:rPr>
        <w:t> </w:t>
      </w:r>
      <w:r>
        <w:rPr/>
        <w:t>Guardian (Lagos),</w:t>
      </w:r>
      <w:r>
        <w:rPr>
          <w:spacing w:val="-1"/>
        </w:rPr>
        <w:t> </w:t>
      </w:r>
      <w:r>
        <w:rPr/>
        <w:t>January</w:t>
      </w:r>
      <w:r>
        <w:rPr>
          <w:spacing w:val="-5"/>
        </w:rPr>
        <w:t> </w:t>
      </w:r>
      <w:r>
        <w:rPr/>
        <w:t>14, </w:t>
      </w:r>
      <w:r>
        <w:rPr>
          <w:spacing w:val="-2"/>
        </w:rPr>
        <w:t>2007.</w:t>
      </w:r>
    </w:p>
    <w:p>
      <w:pPr>
        <w:pStyle w:val="BodyText"/>
        <w:spacing w:before="140"/>
      </w:pPr>
      <w:r>
        <w:rPr/>
        <w:t>The</w:t>
      </w:r>
      <w:r>
        <w:rPr>
          <w:spacing w:val="-5"/>
        </w:rPr>
        <w:t> </w:t>
      </w:r>
      <w:r>
        <w:rPr/>
        <w:t>Guardian</w:t>
      </w:r>
      <w:r>
        <w:rPr>
          <w:spacing w:val="-1"/>
        </w:rPr>
        <w:t> </w:t>
      </w:r>
      <w:r>
        <w:rPr/>
        <w:t>(Lagos), October</w:t>
      </w:r>
      <w:r>
        <w:rPr>
          <w:spacing w:val="-3"/>
        </w:rPr>
        <w:t> </w:t>
      </w:r>
      <w:r>
        <w:rPr/>
        <w:t>24, </w:t>
      </w:r>
      <w:r>
        <w:rPr>
          <w:spacing w:val="-2"/>
        </w:rPr>
        <w:t>2007.</w:t>
      </w:r>
    </w:p>
    <w:p>
      <w:pPr>
        <w:pStyle w:val="BodyText"/>
        <w:spacing w:before="136"/>
      </w:pPr>
      <w:r>
        <w:rPr/>
        <w:t>The</w:t>
      </w:r>
      <w:r>
        <w:rPr>
          <w:spacing w:val="-4"/>
        </w:rPr>
        <w:t> </w:t>
      </w:r>
      <w:r>
        <w:rPr/>
        <w:t>Guardian (Lagos), July</w:t>
      </w:r>
      <w:r>
        <w:rPr>
          <w:spacing w:val="-5"/>
        </w:rPr>
        <w:t> </w:t>
      </w:r>
      <w:r>
        <w:rPr/>
        <w:t>27,</w:t>
      </w:r>
      <w:r>
        <w:rPr>
          <w:spacing w:val="1"/>
        </w:rPr>
        <w:t> </w:t>
      </w:r>
      <w:r>
        <w:rPr>
          <w:spacing w:val="-2"/>
        </w:rPr>
        <w:t>2008.</w:t>
      </w:r>
    </w:p>
    <w:p>
      <w:pPr>
        <w:pStyle w:val="BodyText"/>
        <w:spacing w:before="140"/>
      </w:pPr>
      <w:r>
        <w:rPr/>
        <w:t>The</w:t>
      </w:r>
      <w:r>
        <w:rPr>
          <w:spacing w:val="-5"/>
        </w:rPr>
        <w:t> </w:t>
      </w:r>
      <w:r>
        <w:rPr/>
        <w:t>Guardian</w:t>
      </w:r>
      <w:r>
        <w:rPr>
          <w:spacing w:val="-1"/>
        </w:rPr>
        <w:t> </w:t>
      </w:r>
      <w:r>
        <w:rPr/>
        <w:t>(Lagos), February</w:t>
      </w:r>
      <w:r>
        <w:rPr>
          <w:spacing w:val="-6"/>
        </w:rPr>
        <w:t> </w:t>
      </w:r>
      <w:r>
        <w:rPr/>
        <w:t>26, </w:t>
      </w:r>
      <w:r>
        <w:rPr>
          <w:spacing w:val="-2"/>
        </w:rPr>
        <w:t>2006.</w:t>
      </w:r>
    </w:p>
    <w:p>
      <w:pPr>
        <w:pStyle w:val="BodyText"/>
        <w:spacing w:before="137"/>
      </w:pPr>
      <w:r>
        <w:rPr/>
        <w:t>Vanguard</w:t>
      </w:r>
      <w:r>
        <w:rPr>
          <w:spacing w:val="-2"/>
        </w:rPr>
        <w:t> </w:t>
      </w:r>
      <w:r>
        <w:rPr/>
        <w:t>(Lagos),</w:t>
      </w:r>
      <w:r>
        <w:rPr>
          <w:spacing w:val="-1"/>
        </w:rPr>
        <w:t> </w:t>
      </w:r>
      <w:r>
        <w:rPr/>
        <w:t>July</w:t>
      </w:r>
      <w:r>
        <w:rPr>
          <w:spacing w:val="-6"/>
        </w:rPr>
        <w:t> </w:t>
      </w:r>
      <w:r>
        <w:rPr/>
        <w:t>2, </w:t>
      </w:r>
      <w:r>
        <w:rPr>
          <w:spacing w:val="-4"/>
        </w:rPr>
        <w:t>2006</w:t>
      </w:r>
    </w:p>
    <w:p>
      <w:pPr>
        <w:pStyle w:val="BodyText"/>
        <w:spacing w:before="139"/>
      </w:pPr>
      <w:r>
        <w:rPr/>
        <w:t>Vanguard</w:t>
      </w:r>
      <w:r>
        <w:rPr>
          <w:spacing w:val="-4"/>
        </w:rPr>
        <w:t> </w:t>
      </w:r>
      <w:r>
        <w:rPr/>
        <w:t>(Lagos),</w:t>
      </w:r>
      <w:r>
        <w:rPr>
          <w:spacing w:val="-1"/>
        </w:rPr>
        <w:t> </w:t>
      </w:r>
      <w:r>
        <w:rPr/>
        <w:t>Wednesday,</w:t>
      </w:r>
      <w:r>
        <w:rPr>
          <w:spacing w:val="-2"/>
        </w:rPr>
        <w:t> </w:t>
      </w:r>
      <w:r>
        <w:rPr/>
        <w:t>November</w:t>
      </w:r>
      <w:r>
        <w:rPr>
          <w:spacing w:val="-2"/>
        </w:rPr>
        <w:t> </w:t>
      </w:r>
      <w:r>
        <w:rPr/>
        <w:t>14,</w:t>
      </w:r>
      <w:r>
        <w:rPr>
          <w:spacing w:val="-2"/>
        </w:rPr>
        <w:t> 2007.</w:t>
      </w:r>
    </w:p>
    <w:p>
      <w:pPr>
        <w:pStyle w:val="BodyText"/>
        <w:spacing w:before="137"/>
      </w:pPr>
      <w:r>
        <w:rPr/>
        <w:t>Vanguard</w:t>
      </w:r>
      <w:r>
        <w:rPr>
          <w:spacing w:val="-2"/>
        </w:rPr>
        <w:t> </w:t>
      </w:r>
      <w:r>
        <w:rPr/>
        <w:t>(Lagos),</w:t>
      </w:r>
      <w:r>
        <w:rPr>
          <w:spacing w:val="1"/>
        </w:rPr>
        <w:t> </w:t>
      </w:r>
      <w:r>
        <w:rPr/>
        <w:t>November</w:t>
      </w:r>
      <w:r>
        <w:rPr>
          <w:spacing w:val="-4"/>
        </w:rPr>
        <w:t> </w:t>
      </w:r>
      <w:r>
        <w:rPr/>
        <w:t>19,</w:t>
      </w:r>
      <w:r>
        <w:rPr>
          <w:spacing w:val="-1"/>
        </w:rPr>
        <w:t> </w:t>
      </w:r>
      <w:r>
        <w:rPr>
          <w:spacing w:val="-2"/>
        </w:rPr>
        <w:t>2010.</w:t>
      </w:r>
    </w:p>
    <w:p>
      <w:pPr>
        <w:pStyle w:val="BodyText"/>
        <w:spacing w:before="139"/>
      </w:pPr>
      <w:r>
        <w:rPr/>
        <w:t>Vanguard</w:t>
      </w:r>
      <w:r>
        <w:rPr>
          <w:spacing w:val="-4"/>
        </w:rPr>
        <w:t> </w:t>
      </w:r>
      <w:r>
        <w:rPr/>
        <w:t>(Lagos),</w:t>
      </w:r>
      <w:r>
        <w:rPr>
          <w:spacing w:val="-1"/>
        </w:rPr>
        <w:t> </w:t>
      </w:r>
      <w:r>
        <w:rPr/>
        <w:t>December</w:t>
      </w:r>
      <w:r>
        <w:rPr>
          <w:spacing w:val="-3"/>
        </w:rPr>
        <w:t> </w:t>
      </w:r>
      <w:r>
        <w:rPr/>
        <w:t>2,</w:t>
      </w:r>
      <w:r>
        <w:rPr>
          <w:spacing w:val="-2"/>
        </w:rPr>
        <w:t> 2010.</w:t>
      </w:r>
    </w:p>
    <w:p>
      <w:pPr>
        <w:pStyle w:val="BodyText"/>
        <w:spacing w:before="137"/>
      </w:pPr>
      <w:r>
        <w:rPr/>
        <w:t>Vanguard</w:t>
      </w:r>
      <w:r>
        <w:rPr>
          <w:spacing w:val="-4"/>
        </w:rPr>
        <w:t> </w:t>
      </w:r>
      <w:r>
        <w:rPr/>
        <w:t>(Lagos),</w:t>
      </w:r>
      <w:r>
        <w:rPr>
          <w:spacing w:val="-1"/>
        </w:rPr>
        <w:t> </w:t>
      </w:r>
      <w:r>
        <w:rPr/>
        <w:t>December</w:t>
      </w:r>
      <w:r>
        <w:rPr>
          <w:spacing w:val="-3"/>
        </w:rPr>
        <w:t> </w:t>
      </w:r>
      <w:r>
        <w:rPr/>
        <w:t>6,</w:t>
      </w:r>
      <w:r>
        <w:rPr>
          <w:spacing w:val="-2"/>
        </w:rPr>
        <w:t> 2010.</w:t>
      </w:r>
    </w:p>
    <w:p>
      <w:pPr>
        <w:pStyle w:val="BodyText"/>
        <w:spacing w:before="139"/>
      </w:pPr>
      <w:r>
        <w:rPr/>
        <w:t>Vanguard</w:t>
      </w:r>
      <w:r>
        <w:rPr>
          <w:spacing w:val="-4"/>
        </w:rPr>
        <w:t> </w:t>
      </w:r>
      <w:r>
        <w:rPr/>
        <w:t>(Lagos),</w:t>
      </w:r>
      <w:r>
        <w:rPr>
          <w:spacing w:val="-1"/>
        </w:rPr>
        <w:t> </w:t>
      </w:r>
      <w:r>
        <w:rPr/>
        <w:t>December</w:t>
      </w:r>
      <w:r>
        <w:rPr>
          <w:spacing w:val="-3"/>
        </w:rPr>
        <w:t> </w:t>
      </w:r>
      <w:r>
        <w:rPr/>
        <w:t>7.</w:t>
      </w:r>
      <w:r>
        <w:rPr>
          <w:spacing w:val="-2"/>
        </w:rPr>
        <w:t> 2010.</w:t>
      </w:r>
    </w:p>
    <w:p>
      <w:pPr>
        <w:pStyle w:val="BodyText"/>
        <w:spacing w:line="360" w:lineRule="auto" w:before="137"/>
        <w:ind w:right="4027"/>
      </w:pPr>
      <w:r>
        <w:rPr/>
        <w:t>Daily</w:t>
      </w:r>
      <w:r>
        <w:rPr>
          <w:spacing w:val="-10"/>
        </w:rPr>
        <w:t> </w:t>
      </w:r>
      <w:r>
        <w:rPr/>
        <w:t>Sun</w:t>
      </w:r>
      <w:r>
        <w:rPr>
          <w:spacing w:val="-6"/>
        </w:rPr>
        <w:t> </w:t>
      </w:r>
      <w:r>
        <w:rPr/>
        <w:t>(Lagos),</w:t>
      </w:r>
      <w:r>
        <w:rPr>
          <w:spacing w:val="-6"/>
        </w:rPr>
        <w:t> </w:t>
      </w:r>
      <w:r>
        <w:rPr/>
        <w:t>Wednesday,</w:t>
      </w:r>
      <w:r>
        <w:rPr>
          <w:spacing w:val="-6"/>
        </w:rPr>
        <w:t> </w:t>
      </w:r>
      <w:r>
        <w:rPr/>
        <w:t>November</w:t>
      </w:r>
      <w:r>
        <w:rPr>
          <w:spacing w:val="-6"/>
        </w:rPr>
        <w:t> </w:t>
      </w:r>
      <w:r>
        <w:rPr/>
        <w:t>14,</w:t>
      </w:r>
      <w:r>
        <w:rPr>
          <w:spacing w:val="-7"/>
        </w:rPr>
        <w:t> </w:t>
      </w:r>
      <w:r>
        <w:rPr/>
        <w:t>2007. Daily Sun (Lagos), November 18, 2010.</w:t>
      </w:r>
    </w:p>
    <w:p>
      <w:pPr>
        <w:pStyle w:val="BodyText"/>
      </w:pPr>
      <w:r>
        <w:rPr/>
        <w:t>Daily</w:t>
      </w:r>
      <w:r>
        <w:rPr>
          <w:spacing w:val="-5"/>
        </w:rPr>
        <w:t> </w:t>
      </w:r>
      <w:r>
        <w:rPr/>
        <w:t>Sun (Lagos), December</w:t>
      </w:r>
      <w:r>
        <w:rPr>
          <w:spacing w:val="1"/>
        </w:rPr>
        <w:t> </w:t>
      </w:r>
      <w:r>
        <w:rPr/>
        <w:t>2, </w:t>
      </w:r>
      <w:r>
        <w:rPr>
          <w:spacing w:val="-2"/>
        </w:rPr>
        <w:t>2010.</w:t>
      </w:r>
    </w:p>
    <w:p>
      <w:pPr>
        <w:pStyle w:val="BodyText"/>
        <w:spacing w:line="360" w:lineRule="auto" w:before="139"/>
        <w:ind w:right="3654"/>
      </w:pPr>
      <w:r>
        <w:rPr/>
        <w:t>Nigerian</w:t>
      </w:r>
      <w:r>
        <w:rPr>
          <w:spacing w:val="-7"/>
        </w:rPr>
        <w:t> </w:t>
      </w:r>
      <w:r>
        <w:rPr/>
        <w:t>Tribune</w:t>
      </w:r>
      <w:r>
        <w:rPr>
          <w:spacing w:val="-6"/>
        </w:rPr>
        <w:t> </w:t>
      </w:r>
      <w:r>
        <w:rPr/>
        <w:t>(Ibadan),</w:t>
      </w:r>
      <w:r>
        <w:rPr>
          <w:spacing w:val="-7"/>
        </w:rPr>
        <w:t> </w:t>
      </w:r>
      <w:r>
        <w:rPr/>
        <w:t>Thursday,</w:t>
      </w:r>
      <w:r>
        <w:rPr>
          <w:spacing w:val="-7"/>
        </w:rPr>
        <w:t> </w:t>
      </w:r>
      <w:r>
        <w:rPr/>
        <w:t>November</w:t>
      </w:r>
      <w:r>
        <w:rPr>
          <w:spacing w:val="-8"/>
        </w:rPr>
        <w:t> </w:t>
      </w:r>
      <w:r>
        <w:rPr/>
        <w:t>15,</w:t>
      </w:r>
      <w:r>
        <w:rPr>
          <w:spacing w:val="-7"/>
        </w:rPr>
        <w:t> </w:t>
      </w:r>
      <w:r>
        <w:rPr/>
        <w:t>2007. The Nation (Lagos), November 20, 2007.</w:t>
      </w:r>
    </w:p>
    <w:p>
      <w:pPr>
        <w:pStyle w:val="BodyText"/>
      </w:pPr>
      <w:r>
        <w:rPr/>
        <w:t>Nigerian</w:t>
      </w:r>
      <w:r>
        <w:rPr>
          <w:spacing w:val="-4"/>
        </w:rPr>
        <w:t> </w:t>
      </w:r>
      <w:r>
        <w:rPr/>
        <w:t>Tribune</w:t>
      </w:r>
      <w:r>
        <w:rPr>
          <w:spacing w:val="-1"/>
        </w:rPr>
        <w:t> </w:t>
      </w:r>
      <w:r>
        <w:rPr/>
        <w:t>(Ibadan),</w:t>
      </w:r>
      <w:r>
        <w:rPr>
          <w:spacing w:val="-2"/>
        </w:rPr>
        <w:t> </w:t>
      </w:r>
      <w:r>
        <w:rPr/>
        <w:t>November</w:t>
      </w:r>
      <w:r>
        <w:rPr>
          <w:spacing w:val="-4"/>
        </w:rPr>
        <w:t> </w:t>
      </w:r>
      <w:r>
        <w:rPr/>
        <w:t>22,</w:t>
      </w:r>
      <w:r>
        <w:rPr>
          <w:spacing w:val="-1"/>
        </w:rPr>
        <w:t> </w:t>
      </w:r>
      <w:r>
        <w:rPr>
          <w:spacing w:val="-2"/>
        </w:rPr>
        <w:t>2007.</w:t>
      </w:r>
    </w:p>
    <w:p>
      <w:pPr>
        <w:pStyle w:val="BodyText"/>
        <w:spacing w:before="137"/>
      </w:pPr>
      <w:r>
        <w:rPr/>
        <w:t>Sunday</w:t>
      </w:r>
      <w:r>
        <w:rPr>
          <w:spacing w:val="-8"/>
        </w:rPr>
        <w:t> </w:t>
      </w:r>
      <w:r>
        <w:rPr/>
        <w:t>Sun (Lagos)</w:t>
      </w:r>
      <w:r>
        <w:rPr>
          <w:spacing w:val="-1"/>
        </w:rPr>
        <w:t> </w:t>
      </w:r>
      <w:r>
        <w:rPr/>
        <w:t>April 23, </w:t>
      </w:r>
      <w:r>
        <w:rPr>
          <w:spacing w:val="-2"/>
        </w:rPr>
        <w:t>2006.</w:t>
      </w:r>
    </w:p>
    <w:p>
      <w:pPr>
        <w:pStyle w:val="BodyText"/>
        <w:spacing w:before="139"/>
      </w:pPr>
      <w:r>
        <w:rPr/>
        <w:t>Sunday</w:t>
      </w:r>
      <w:r>
        <w:rPr>
          <w:spacing w:val="-8"/>
        </w:rPr>
        <w:t> </w:t>
      </w:r>
      <w:r>
        <w:rPr/>
        <w:t>Sun (Lagos), May</w:t>
      </w:r>
      <w:r>
        <w:rPr>
          <w:spacing w:val="-3"/>
        </w:rPr>
        <w:t> </w:t>
      </w:r>
      <w:r>
        <w:rPr/>
        <w:t>24, </w:t>
      </w:r>
      <w:r>
        <w:rPr>
          <w:spacing w:val="-2"/>
        </w:rPr>
        <w:t>2009.</w:t>
      </w:r>
    </w:p>
    <w:p>
      <w:pPr>
        <w:pStyle w:val="BodyText"/>
        <w:spacing w:before="138"/>
      </w:pPr>
      <w:r>
        <w:rPr/>
        <w:t>The</w:t>
      </w:r>
      <w:r>
        <w:rPr>
          <w:spacing w:val="-5"/>
        </w:rPr>
        <w:t> </w:t>
      </w:r>
      <w:r>
        <w:rPr/>
        <w:t>Guardian (Lagos), July</w:t>
      </w:r>
      <w:r>
        <w:rPr>
          <w:spacing w:val="-5"/>
        </w:rPr>
        <w:t> </w:t>
      </w:r>
      <w:r>
        <w:rPr/>
        <w:t>13, </w:t>
      </w:r>
      <w:r>
        <w:rPr>
          <w:spacing w:val="-2"/>
        </w:rPr>
        <w:t>2007.</w:t>
      </w:r>
    </w:p>
    <w:p>
      <w:pPr>
        <w:pStyle w:val="BodyText"/>
        <w:spacing w:before="139"/>
      </w:pPr>
      <w:r>
        <w:rPr/>
        <w:t>The</w:t>
      </w:r>
      <w:r>
        <w:rPr>
          <w:spacing w:val="-5"/>
        </w:rPr>
        <w:t> </w:t>
      </w:r>
      <w:r>
        <w:rPr/>
        <w:t>Guardian (Lagos),</w:t>
      </w:r>
      <w:r>
        <w:rPr>
          <w:spacing w:val="-1"/>
        </w:rPr>
        <w:t> </w:t>
      </w:r>
      <w:r>
        <w:rPr/>
        <w:t>January</w:t>
      </w:r>
      <w:r>
        <w:rPr>
          <w:spacing w:val="-5"/>
        </w:rPr>
        <w:t> </w:t>
      </w:r>
      <w:r>
        <w:rPr/>
        <w:t>5, </w:t>
      </w:r>
      <w:r>
        <w:rPr>
          <w:spacing w:val="-2"/>
        </w:rPr>
        <w:t>2008.</w:t>
      </w:r>
    </w:p>
    <w:p>
      <w:pPr>
        <w:pStyle w:val="BodyText"/>
        <w:spacing w:before="137"/>
      </w:pPr>
      <w:r>
        <w:rPr/>
        <w:t>The</w:t>
      </w:r>
      <w:r>
        <w:rPr>
          <w:spacing w:val="-5"/>
        </w:rPr>
        <w:t> </w:t>
      </w:r>
      <w:r>
        <w:rPr/>
        <w:t>Guardian (Lagos),</w:t>
      </w:r>
      <w:r>
        <w:rPr>
          <w:spacing w:val="-1"/>
        </w:rPr>
        <w:t> </w:t>
      </w:r>
      <w:r>
        <w:rPr/>
        <w:t>January</w:t>
      </w:r>
      <w:r>
        <w:rPr>
          <w:spacing w:val="-5"/>
        </w:rPr>
        <w:t> </w:t>
      </w:r>
      <w:r>
        <w:rPr/>
        <w:t>10, </w:t>
      </w:r>
      <w:r>
        <w:rPr>
          <w:spacing w:val="-2"/>
        </w:rPr>
        <w:t>2008.</w:t>
      </w:r>
    </w:p>
    <w:p>
      <w:pPr>
        <w:pStyle w:val="BodyText"/>
        <w:spacing w:before="139"/>
      </w:pPr>
      <w:r>
        <w:rPr/>
        <w:t>The</w:t>
      </w:r>
      <w:r>
        <w:rPr>
          <w:spacing w:val="-4"/>
        </w:rPr>
        <w:t> </w:t>
      </w:r>
      <w:r>
        <w:rPr/>
        <w:t>Guardian</w:t>
      </w:r>
      <w:r>
        <w:rPr>
          <w:spacing w:val="-1"/>
        </w:rPr>
        <w:t> </w:t>
      </w:r>
      <w:r>
        <w:rPr/>
        <w:t>(Lagos),</w:t>
      </w:r>
      <w:r>
        <w:rPr>
          <w:spacing w:val="-1"/>
        </w:rPr>
        <w:t> </w:t>
      </w:r>
      <w:r>
        <w:rPr/>
        <w:t>December</w:t>
      </w:r>
      <w:r>
        <w:rPr>
          <w:spacing w:val="-1"/>
        </w:rPr>
        <w:t> </w:t>
      </w:r>
      <w:r>
        <w:rPr/>
        <w:t>23,</w:t>
      </w:r>
      <w:r>
        <w:rPr>
          <w:spacing w:val="-2"/>
        </w:rPr>
        <w:t> 2007.</w:t>
      </w:r>
    </w:p>
    <w:p>
      <w:pPr>
        <w:pStyle w:val="BodyText"/>
        <w:spacing w:before="137"/>
      </w:pPr>
      <w:r>
        <w:rPr/>
        <w:t>The</w:t>
      </w:r>
      <w:r>
        <w:rPr>
          <w:spacing w:val="-4"/>
        </w:rPr>
        <w:t> </w:t>
      </w:r>
      <w:r>
        <w:rPr/>
        <w:t>Guardian</w:t>
      </w:r>
      <w:r>
        <w:rPr>
          <w:spacing w:val="-1"/>
        </w:rPr>
        <w:t> </w:t>
      </w:r>
      <w:r>
        <w:rPr/>
        <w:t>(Lagos),</w:t>
      </w:r>
      <w:r>
        <w:rPr>
          <w:spacing w:val="-1"/>
        </w:rPr>
        <w:t> </w:t>
      </w:r>
      <w:r>
        <w:rPr/>
        <w:t>September 20,</w:t>
      </w:r>
      <w:r>
        <w:rPr>
          <w:spacing w:val="-1"/>
        </w:rPr>
        <w:t> </w:t>
      </w:r>
      <w:r>
        <w:rPr>
          <w:spacing w:val="-2"/>
        </w:rPr>
        <w:t>2006.</w:t>
      </w:r>
    </w:p>
    <w:p>
      <w:pPr>
        <w:pStyle w:val="BodyText"/>
        <w:spacing w:before="139"/>
      </w:pPr>
      <w:r>
        <w:rPr/>
        <w:t>The</w:t>
      </w:r>
      <w:r>
        <w:rPr>
          <w:spacing w:val="-4"/>
        </w:rPr>
        <w:t> </w:t>
      </w:r>
      <w:r>
        <w:rPr/>
        <w:t>Guardian</w:t>
      </w:r>
      <w:r>
        <w:rPr>
          <w:spacing w:val="-1"/>
        </w:rPr>
        <w:t> </w:t>
      </w:r>
      <w:r>
        <w:rPr/>
        <w:t>(Lagos),</w:t>
      </w:r>
      <w:r>
        <w:rPr>
          <w:spacing w:val="-2"/>
        </w:rPr>
        <w:t> </w:t>
      </w:r>
      <w:r>
        <w:rPr/>
        <w:t>August</w:t>
      </w:r>
      <w:r>
        <w:rPr>
          <w:spacing w:val="-1"/>
        </w:rPr>
        <w:t> </w:t>
      </w:r>
      <w:r>
        <w:rPr/>
        <w:t>24,</w:t>
      </w:r>
      <w:r>
        <w:rPr>
          <w:spacing w:val="-1"/>
        </w:rPr>
        <w:t> </w:t>
      </w:r>
      <w:r>
        <w:rPr>
          <w:spacing w:val="-2"/>
        </w:rPr>
        <w:t>2006.</w:t>
      </w:r>
    </w:p>
    <w:p>
      <w:pPr>
        <w:spacing w:after="0"/>
        <w:sectPr>
          <w:pgSz w:w="11910" w:h="16840"/>
          <w:pgMar w:header="0" w:footer="1561" w:top="1360" w:bottom="1760" w:left="720" w:right="180"/>
        </w:sectPr>
      </w:pPr>
    </w:p>
    <w:p>
      <w:pPr>
        <w:pStyle w:val="BodyText"/>
        <w:spacing w:before="60"/>
      </w:pPr>
      <w:r>
        <w:rPr/>
        <mc:AlternateContent>
          <mc:Choice Requires="wps">
            <w:drawing>
              <wp:anchor distT="0" distB="0" distL="0" distR="0" allowOverlap="1" layoutInCell="1" locked="0" behindDoc="1" simplePos="0" relativeHeight="480699904">
                <wp:simplePos x="0" y="0"/>
                <wp:positionH relativeFrom="page">
                  <wp:posOffset>-1537026</wp:posOffset>
                </wp:positionH>
                <wp:positionV relativeFrom="page">
                  <wp:posOffset>4900424</wp:posOffset>
                </wp:positionV>
                <wp:extent cx="10669905" cy="914400"/>
                <wp:effectExtent l="0" t="0" r="0" b="0"/>
                <wp:wrapNone/>
                <wp:docPr id="375" name="Textbox 375"/>
                <wp:cNvGraphicFramePr>
                  <a:graphicFrameLocks/>
                </wp:cNvGraphicFramePr>
                <a:graphic>
                  <a:graphicData uri="http://schemas.microsoft.com/office/word/2010/wordprocessingShape">
                    <wps:wsp>
                      <wps:cNvPr id="375" name="Textbox 375"/>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16576;rotation:306" type="#_x0000_t136" fillcolor="#ff5400" stroked="f">
                <o:extrusion v:ext="view" autorotationcenter="t"/>
                <v:textpath style="font-family:&quot;Arial MT&quot;;font-size:72pt;v-text-kern:t;mso-text-shadow:auto" string="UNIVERSITY OF IBADAN"/>
                <w10:wrap type="none"/>
              </v:shape>
            </w:pict>
          </mc:Fallback>
        </mc:AlternateContent>
      </w:r>
      <w:r>
        <w:rPr/>
        <w:t>The</w:t>
      </w:r>
      <w:r>
        <w:rPr>
          <w:spacing w:val="-3"/>
        </w:rPr>
        <w:t> </w:t>
      </w:r>
      <w:r>
        <w:rPr/>
        <w:t>Nation</w:t>
      </w:r>
      <w:r>
        <w:rPr>
          <w:spacing w:val="-1"/>
        </w:rPr>
        <w:t> </w:t>
      </w:r>
      <w:r>
        <w:rPr/>
        <w:t>(Lagos),</w:t>
      </w:r>
      <w:r>
        <w:rPr>
          <w:spacing w:val="-1"/>
        </w:rPr>
        <w:t> </w:t>
      </w:r>
      <w:r>
        <w:rPr/>
        <w:t>December</w:t>
      </w:r>
      <w:r>
        <w:rPr>
          <w:spacing w:val="-3"/>
        </w:rPr>
        <w:t> </w:t>
      </w:r>
      <w:r>
        <w:rPr/>
        <w:t>2,</w:t>
      </w:r>
      <w:r>
        <w:rPr>
          <w:spacing w:val="-1"/>
        </w:rPr>
        <w:t> </w:t>
      </w:r>
      <w:r>
        <w:rPr>
          <w:spacing w:val="-2"/>
        </w:rPr>
        <w:t>2007.</w:t>
      </w:r>
    </w:p>
    <w:p>
      <w:pPr>
        <w:pStyle w:val="BodyText"/>
        <w:spacing w:before="138"/>
      </w:pPr>
      <w:r>
        <w:rPr/>
        <w:t>The</w:t>
      </w:r>
      <w:r>
        <w:rPr>
          <w:spacing w:val="-6"/>
        </w:rPr>
        <w:t> </w:t>
      </w:r>
      <w:r>
        <w:rPr/>
        <w:t>Guardian</w:t>
      </w:r>
      <w:r>
        <w:rPr>
          <w:spacing w:val="-1"/>
        </w:rPr>
        <w:t> </w:t>
      </w:r>
      <w:r>
        <w:rPr/>
        <w:t>(Lagos),</w:t>
      </w:r>
      <w:r>
        <w:rPr>
          <w:spacing w:val="-1"/>
        </w:rPr>
        <w:t> </w:t>
      </w:r>
      <w:r>
        <w:rPr/>
        <w:t>September</w:t>
      </w:r>
      <w:r>
        <w:rPr>
          <w:spacing w:val="-1"/>
        </w:rPr>
        <w:t> </w:t>
      </w:r>
      <w:r>
        <w:rPr/>
        <w:t>12,</w:t>
      </w:r>
      <w:r>
        <w:rPr>
          <w:spacing w:val="-2"/>
        </w:rPr>
        <w:t> 2010.</w:t>
      </w:r>
    </w:p>
    <w:p>
      <w:pPr>
        <w:pStyle w:val="BodyText"/>
        <w:spacing w:before="139"/>
      </w:pPr>
      <w:r>
        <w:rPr/>
        <w:t>The</w:t>
      </w:r>
      <w:r>
        <w:rPr>
          <w:spacing w:val="-6"/>
        </w:rPr>
        <w:t> </w:t>
      </w:r>
      <w:r>
        <w:rPr/>
        <w:t>Guardian</w:t>
      </w:r>
      <w:r>
        <w:rPr>
          <w:spacing w:val="-1"/>
        </w:rPr>
        <w:t> </w:t>
      </w:r>
      <w:r>
        <w:rPr/>
        <w:t>(Lagos),</w:t>
      </w:r>
      <w:r>
        <w:rPr>
          <w:spacing w:val="-1"/>
        </w:rPr>
        <w:t> </w:t>
      </w:r>
      <w:r>
        <w:rPr/>
        <w:t>September</w:t>
      </w:r>
      <w:r>
        <w:rPr>
          <w:spacing w:val="-1"/>
        </w:rPr>
        <w:t> </w:t>
      </w:r>
      <w:r>
        <w:rPr/>
        <w:t>20,</w:t>
      </w:r>
      <w:r>
        <w:rPr>
          <w:spacing w:val="-2"/>
        </w:rPr>
        <w:t> 2008.</w:t>
      </w:r>
    </w:p>
    <w:p>
      <w:pPr>
        <w:pStyle w:val="BodyText"/>
        <w:spacing w:before="137"/>
      </w:pPr>
      <w:r>
        <w:rPr/>
        <w:t>The</w:t>
      </w:r>
      <w:r>
        <w:rPr>
          <w:spacing w:val="-3"/>
        </w:rPr>
        <w:t> </w:t>
      </w:r>
      <w:r>
        <w:rPr/>
        <w:t>Nation</w:t>
      </w:r>
      <w:r>
        <w:rPr>
          <w:spacing w:val="-1"/>
        </w:rPr>
        <w:t> </w:t>
      </w:r>
      <w:r>
        <w:rPr/>
        <w:t>(Lagos),</w:t>
      </w:r>
      <w:r>
        <w:rPr>
          <w:spacing w:val="-1"/>
        </w:rPr>
        <w:t> </w:t>
      </w:r>
      <w:r>
        <w:rPr/>
        <w:t>November</w:t>
      </w:r>
      <w:r>
        <w:rPr>
          <w:spacing w:val="-3"/>
        </w:rPr>
        <w:t> </w:t>
      </w:r>
      <w:r>
        <w:rPr/>
        <w:t>9,</w:t>
      </w:r>
      <w:r>
        <w:rPr>
          <w:spacing w:val="-1"/>
        </w:rPr>
        <w:t> </w:t>
      </w:r>
      <w:r>
        <w:rPr>
          <w:spacing w:val="-2"/>
        </w:rPr>
        <w:t>2010.</w:t>
      </w:r>
    </w:p>
    <w:p>
      <w:pPr>
        <w:pStyle w:val="BodyText"/>
        <w:spacing w:before="139"/>
      </w:pPr>
      <w:r>
        <w:rPr/>
        <w:t>The</w:t>
      </w:r>
      <w:r>
        <w:rPr>
          <w:spacing w:val="-3"/>
        </w:rPr>
        <w:t> </w:t>
      </w:r>
      <w:r>
        <w:rPr/>
        <w:t>Guardian</w:t>
      </w:r>
      <w:r>
        <w:rPr>
          <w:spacing w:val="-1"/>
        </w:rPr>
        <w:t> </w:t>
      </w:r>
      <w:r>
        <w:rPr/>
        <w:t>(Lagos),</w:t>
      </w:r>
      <w:r>
        <w:rPr>
          <w:spacing w:val="1"/>
        </w:rPr>
        <w:t> </w:t>
      </w:r>
      <w:r>
        <w:rPr/>
        <w:t>May</w:t>
      </w:r>
      <w:r>
        <w:rPr>
          <w:spacing w:val="-6"/>
        </w:rPr>
        <w:t> </w:t>
      </w:r>
      <w:r>
        <w:rPr/>
        <w:t>24, </w:t>
      </w:r>
      <w:r>
        <w:rPr>
          <w:spacing w:val="-2"/>
        </w:rPr>
        <w:t>2009.</w:t>
      </w:r>
    </w:p>
    <w:p>
      <w:pPr>
        <w:pStyle w:val="BodyText"/>
        <w:spacing w:before="137"/>
      </w:pPr>
      <w:r>
        <w:rPr/>
        <w:t>The</w:t>
      </w:r>
      <w:r>
        <w:rPr>
          <w:spacing w:val="-5"/>
        </w:rPr>
        <w:t> </w:t>
      </w:r>
      <w:r>
        <w:rPr/>
        <w:t>Guardian</w:t>
      </w:r>
      <w:r>
        <w:rPr>
          <w:spacing w:val="-1"/>
        </w:rPr>
        <w:t> </w:t>
      </w:r>
      <w:r>
        <w:rPr/>
        <w:t>(Lagos),</w:t>
      </w:r>
      <w:r>
        <w:rPr>
          <w:spacing w:val="-1"/>
        </w:rPr>
        <w:t> </w:t>
      </w:r>
      <w:r>
        <w:rPr/>
        <w:t>November</w:t>
      </w:r>
      <w:r>
        <w:rPr>
          <w:spacing w:val="-3"/>
        </w:rPr>
        <w:t> </w:t>
      </w:r>
      <w:r>
        <w:rPr/>
        <w:t>1, </w:t>
      </w:r>
      <w:r>
        <w:rPr>
          <w:spacing w:val="-2"/>
        </w:rPr>
        <w:t>2010.</w:t>
      </w:r>
    </w:p>
    <w:p>
      <w:pPr>
        <w:pStyle w:val="BodyText"/>
        <w:spacing w:before="139"/>
      </w:pPr>
      <w:r>
        <w:rPr/>
        <w:t>The</w:t>
      </w:r>
      <w:r>
        <w:rPr>
          <w:spacing w:val="-3"/>
        </w:rPr>
        <w:t> </w:t>
      </w:r>
      <w:r>
        <w:rPr/>
        <w:t>Guardian</w:t>
      </w:r>
      <w:r>
        <w:rPr>
          <w:spacing w:val="-1"/>
        </w:rPr>
        <w:t> </w:t>
      </w:r>
      <w:r>
        <w:rPr/>
        <w:t>(Lagos),</w:t>
      </w:r>
      <w:r>
        <w:rPr>
          <w:spacing w:val="3"/>
        </w:rPr>
        <w:t> </w:t>
      </w:r>
      <w:r>
        <w:rPr/>
        <w:t>May</w:t>
      </w:r>
      <w:r>
        <w:rPr>
          <w:spacing w:val="-6"/>
        </w:rPr>
        <w:t> </w:t>
      </w:r>
      <w:r>
        <w:rPr/>
        <w:t>24, </w:t>
      </w:r>
      <w:r>
        <w:rPr>
          <w:spacing w:val="-2"/>
        </w:rPr>
        <w:t>2010.</w:t>
      </w:r>
    </w:p>
    <w:p>
      <w:pPr>
        <w:pStyle w:val="BodyText"/>
        <w:spacing w:before="137"/>
      </w:pPr>
      <w:r>
        <w:rPr/>
        <w:t>The</w:t>
      </w:r>
      <w:r>
        <w:rPr>
          <w:spacing w:val="-5"/>
        </w:rPr>
        <w:t> </w:t>
      </w:r>
      <w:r>
        <w:rPr/>
        <w:t>Guardian</w:t>
      </w:r>
      <w:r>
        <w:rPr>
          <w:spacing w:val="-1"/>
        </w:rPr>
        <w:t> </w:t>
      </w:r>
      <w:r>
        <w:rPr/>
        <w:t>(Lagos), November</w:t>
      </w:r>
      <w:r>
        <w:rPr>
          <w:spacing w:val="-3"/>
        </w:rPr>
        <w:t> </w:t>
      </w:r>
      <w:r>
        <w:rPr/>
        <w:t>7, </w:t>
      </w:r>
      <w:r>
        <w:rPr>
          <w:spacing w:val="-2"/>
        </w:rPr>
        <w:t>2010.</w:t>
      </w:r>
    </w:p>
    <w:p>
      <w:pPr>
        <w:pStyle w:val="BodyText"/>
        <w:spacing w:before="139"/>
      </w:pPr>
      <w:r>
        <w:rPr/>
        <w:t>The</w:t>
      </w:r>
      <w:r>
        <w:rPr>
          <w:spacing w:val="-3"/>
        </w:rPr>
        <w:t> </w:t>
      </w:r>
      <w:r>
        <w:rPr/>
        <w:t>Guardian</w:t>
      </w:r>
      <w:r>
        <w:rPr>
          <w:spacing w:val="-1"/>
        </w:rPr>
        <w:t> </w:t>
      </w:r>
      <w:r>
        <w:rPr/>
        <w:t>(Lagos),</w:t>
      </w:r>
      <w:r>
        <w:rPr>
          <w:spacing w:val="-1"/>
        </w:rPr>
        <w:t> </w:t>
      </w:r>
      <w:r>
        <w:rPr/>
        <w:t>October</w:t>
      </w:r>
      <w:r>
        <w:rPr>
          <w:spacing w:val="-3"/>
        </w:rPr>
        <w:t> </w:t>
      </w:r>
      <w:r>
        <w:rPr/>
        <w:t>24,</w:t>
      </w:r>
      <w:r>
        <w:rPr>
          <w:spacing w:val="-1"/>
        </w:rPr>
        <w:t> </w:t>
      </w:r>
      <w:r>
        <w:rPr>
          <w:spacing w:val="-2"/>
        </w:rPr>
        <w:t>2010.</w:t>
      </w:r>
    </w:p>
    <w:p>
      <w:pPr>
        <w:pStyle w:val="BodyText"/>
        <w:spacing w:before="137"/>
      </w:pPr>
      <w:r>
        <w:rPr/>
        <w:t>The</w:t>
      </w:r>
      <w:r>
        <w:rPr>
          <w:spacing w:val="-3"/>
        </w:rPr>
        <w:t> </w:t>
      </w:r>
      <w:r>
        <w:rPr/>
        <w:t>Guardian</w:t>
      </w:r>
      <w:r>
        <w:rPr>
          <w:spacing w:val="-1"/>
        </w:rPr>
        <w:t> </w:t>
      </w:r>
      <w:r>
        <w:rPr/>
        <w:t>(Lagos),</w:t>
      </w:r>
      <w:r>
        <w:rPr>
          <w:spacing w:val="-1"/>
        </w:rPr>
        <w:t> </w:t>
      </w:r>
      <w:r>
        <w:rPr/>
        <w:t>October</w:t>
      </w:r>
      <w:r>
        <w:rPr>
          <w:spacing w:val="-3"/>
        </w:rPr>
        <w:t> </w:t>
      </w:r>
      <w:r>
        <w:rPr/>
        <w:t>29,</w:t>
      </w:r>
      <w:r>
        <w:rPr>
          <w:spacing w:val="-1"/>
        </w:rPr>
        <w:t> </w:t>
      </w:r>
      <w:r>
        <w:rPr>
          <w:spacing w:val="-2"/>
        </w:rPr>
        <w:t>2010.</w:t>
      </w:r>
    </w:p>
    <w:p>
      <w:pPr>
        <w:pStyle w:val="BodyText"/>
        <w:spacing w:before="140"/>
      </w:pPr>
      <w:r>
        <w:rPr/>
        <w:t>The</w:t>
      </w:r>
      <w:r>
        <w:rPr>
          <w:spacing w:val="-3"/>
        </w:rPr>
        <w:t> </w:t>
      </w:r>
      <w:r>
        <w:rPr/>
        <w:t>Guardian</w:t>
      </w:r>
      <w:r>
        <w:rPr>
          <w:spacing w:val="-1"/>
        </w:rPr>
        <w:t> </w:t>
      </w:r>
      <w:r>
        <w:rPr/>
        <w:t>(Lagos),</w:t>
      </w:r>
      <w:r>
        <w:rPr>
          <w:spacing w:val="-1"/>
        </w:rPr>
        <w:t> </w:t>
      </w:r>
      <w:r>
        <w:rPr/>
        <w:t>November</w:t>
      </w:r>
      <w:r>
        <w:rPr>
          <w:spacing w:val="-3"/>
        </w:rPr>
        <w:t> </w:t>
      </w:r>
      <w:r>
        <w:rPr/>
        <w:t>7,</w:t>
      </w:r>
      <w:r>
        <w:rPr>
          <w:spacing w:val="-1"/>
        </w:rPr>
        <w:t> </w:t>
      </w:r>
      <w:r>
        <w:rPr>
          <w:spacing w:val="-2"/>
        </w:rPr>
        <w:t>2010.</w:t>
      </w:r>
    </w:p>
    <w:p>
      <w:pPr>
        <w:pStyle w:val="BodyText"/>
        <w:spacing w:before="136"/>
      </w:pPr>
      <w:r>
        <w:rPr/>
        <w:t>The</w:t>
      </w:r>
      <w:r>
        <w:rPr>
          <w:spacing w:val="-3"/>
        </w:rPr>
        <w:t> </w:t>
      </w:r>
      <w:r>
        <w:rPr/>
        <w:t>Guardian</w:t>
      </w:r>
      <w:r>
        <w:rPr>
          <w:spacing w:val="-1"/>
        </w:rPr>
        <w:t> </w:t>
      </w:r>
      <w:r>
        <w:rPr/>
        <w:t>(Lagos),</w:t>
      </w:r>
      <w:r>
        <w:rPr>
          <w:spacing w:val="-1"/>
        </w:rPr>
        <w:t> </w:t>
      </w:r>
      <w:r>
        <w:rPr/>
        <w:t>November</w:t>
      </w:r>
      <w:r>
        <w:rPr>
          <w:spacing w:val="-1"/>
        </w:rPr>
        <w:t> </w:t>
      </w:r>
      <w:r>
        <w:rPr/>
        <w:t>8,</w:t>
      </w:r>
      <w:r>
        <w:rPr>
          <w:spacing w:val="-1"/>
        </w:rPr>
        <w:t> </w:t>
      </w:r>
      <w:r>
        <w:rPr>
          <w:spacing w:val="-2"/>
        </w:rPr>
        <w:t>2010.</w:t>
      </w:r>
    </w:p>
    <w:p>
      <w:pPr>
        <w:pStyle w:val="BodyText"/>
        <w:spacing w:before="140"/>
      </w:pPr>
      <w:r>
        <w:rPr/>
        <w:t>The</w:t>
      </w:r>
      <w:r>
        <w:rPr>
          <w:spacing w:val="-3"/>
        </w:rPr>
        <w:t> </w:t>
      </w:r>
      <w:r>
        <w:rPr/>
        <w:t>Guardian</w:t>
      </w:r>
      <w:r>
        <w:rPr>
          <w:spacing w:val="-1"/>
        </w:rPr>
        <w:t> </w:t>
      </w:r>
      <w:r>
        <w:rPr/>
        <w:t>(Lagos),</w:t>
      </w:r>
      <w:r>
        <w:rPr>
          <w:spacing w:val="-1"/>
        </w:rPr>
        <w:t> </w:t>
      </w:r>
      <w:r>
        <w:rPr/>
        <w:t>November</w:t>
      </w:r>
      <w:r>
        <w:rPr>
          <w:spacing w:val="-3"/>
        </w:rPr>
        <w:t> </w:t>
      </w:r>
      <w:r>
        <w:rPr/>
        <w:t>10,</w:t>
      </w:r>
      <w:r>
        <w:rPr>
          <w:spacing w:val="-1"/>
        </w:rPr>
        <w:t> </w:t>
      </w:r>
      <w:r>
        <w:rPr>
          <w:spacing w:val="-2"/>
        </w:rPr>
        <w:t>2010.</w:t>
      </w:r>
    </w:p>
    <w:p>
      <w:pPr>
        <w:pStyle w:val="BodyText"/>
        <w:spacing w:before="137"/>
      </w:pPr>
      <w:r>
        <w:rPr/>
        <w:t>The</w:t>
      </w:r>
      <w:r>
        <w:rPr>
          <w:spacing w:val="-3"/>
        </w:rPr>
        <w:t> </w:t>
      </w:r>
      <w:r>
        <w:rPr/>
        <w:t>Guardian</w:t>
      </w:r>
      <w:r>
        <w:rPr>
          <w:spacing w:val="-1"/>
        </w:rPr>
        <w:t> </w:t>
      </w:r>
      <w:r>
        <w:rPr/>
        <w:t>(Lagos),</w:t>
      </w:r>
      <w:r>
        <w:rPr>
          <w:spacing w:val="-1"/>
        </w:rPr>
        <w:t> </w:t>
      </w:r>
      <w:r>
        <w:rPr/>
        <w:t>November</w:t>
      </w:r>
      <w:r>
        <w:rPr>
          <w:spacing w:val="-3"/>
        </w:rPr>
        <w:t> </w:t>
      </w:r>
      <w:r>
        <w:rPr/>
        <w:t>19,</w:t>
      </w:r>
      <w:r>
        <w:rPr>
          <w:spacing w:val="-1"/>
        </w:rPr>
        <w:t> </w:t>
      </w:r>
      <w:r>
        <w:rPr>
          <w:spacing w:val="-2"/>
        </w:rPr>
        <w:t>2010.</w:t>
      </w:r>
    </w:p>
    <w:p>
      <w:pPr>
        <w:pStyle w:val="BodyText"/>
        <w:spacing w:before="139"/>
      </w:pPr>
      <w:r>
        <w:rPr/>
        <w:t>The</w:t>
      </w:r>
      <w:r>
        <w:rPr>
          <w:spacing w:val="-3"/>
        </w:rPr>
        <w:t> </w:t>
      </w:r>
      <w:r>
        <w:rPr/>
        <w:t>Guardian</w:t>
      </w:r>
      <w:r>
        <w:rPr>
          <w:spacing w:val="-1"/>
        </w:rPr>
        <w:t> </w:t>
      </w:r>
      <w:r>
        <w:rPr/>
        <w:t>(Lagos),</w:t>
      </w:r>
      <w:r>
        <w:rPr>
          <w:spacing w:val="-1"/>
        </w:rPr>
        <w:t> </w:t>
      </w:r>
      <w:r>
        <w:rPr/>
        <w:t>November</w:t>
      </w:r>
      <w:r>
        <w:rPr>
          <w:spacing w:val="-3"/>
        </w:rPr>
        <w:t> </w:t>
      </w:r>
      <w:r>
        <w:rPr/>
        <w:t>20,</w:t>
      </w:r>
      <w:r>
        <w:rPr>
          <w:spacing w:val="-1"/>
        </w:rPr>
        <w:t> </w:t>
      </w:r>
      <w:r>
        <w:rPr>
          <w:spacing w:val="-2"/>
        </w:rPr>
        <w:t>2010.</w:t>
      </w:r>
    </w:p>
    <w:p>
      <w:pPr>
        <w:pStyle w:val="BodyText"/>
        <w:spacing w:before="137"/>
      </w:pPr>
      <w:r>
        <w:rPr/>
        <w:t>The</w:t>
      </w:r>
      <w:r>
        <w:rPr>
          <w:spacing w:val="-3"/>
        </w:rPr>
        <w:t> </w:t>
      </w:r>
      <w:r>
        <w:rPr/>
        <w:t>Guardian</w:t>
      </w:r>
      <w:r>
        <w:rPr>
          <w:spacing w:val="-1"/>
        </w:rPr>
        <w:t> </w:t>
      </w:r>
      <w:r>
        <w:rPr/>
        <w:t>(Lagos),</w:t>
      </w:r>
      <w:r>
        <w:rPr>
          <w:spacing w:val="-1"/>
        </w:rPr>
        <w:t> </w:t>
      </w:r>
      <w:r>
        <w:rPr/>
        <w:t>November</w:t>
      </w:r>
      <w:r>
        <w:rPr>
          <w:spacing w:val="-3"/>
        </w:rPr>
        <w:t> </w:t>
      </w:r>
      <w:r>
        <w:rPr/>
        <w:t>21,</w:t>
      </w:r>
      <w:r>
        <w:rPr>
          <w:spacing w:val="-1"/>
        </w:rPr>
        <w:t> </w:t>
      </w:r>
      <w:r>
        <w:rPr>
          <w:spacing w:val="-2"/>
        </w:rPr>
        <w:t>2010.</w:t>
      </w:r>
    </w:p>
    <w:p>
      <w:pPr>
        <w:pStyle w:val="BodyText"/>
        <w:spacing w:before="139"/>
      </w:pPr>
      <w:r>
        <w:rPr/>
        <w:t>The</w:t>
      </w:r>
      <w:r>
        <w:rPr>
          <w:spacing w:val="-3"/>
        </w:rPr>
        <w:t> </w:t>
      </w:r>
      <w:r>
        <w:rPr/>
        <w:t>Guardian</w:t>
      </w:r>
      <w:r>
        <w:rPr>
          <w:spacing w:val="-1"/>
        </w:rPr>
        <w:t> </w:t>
      </w:r>
      <w:r>
        <w:rPr/>
        <w:t>(Lagos),</w:t>
      </w:r>
      <w:r>
        <w:rPr>
          <w:spacing w:val="-1"/>
        </w:rPr>
        <w:t> </w:t>
      </w:r>
      <w:r>
        <w:rPr/>
        <w:t>November</w:t>
      </w:r>
      <w:r>
        <w:rPr>
          <w:spacing w:val="-3"/>
        </w:rPr>
        <w:t> </w:t>
      </w:r>
      <w:r>
        <w:rPr/>
        <w:t>22,</w:t>
      </w:r>
      <w:r>
        <w:rPr>
          <w:spacing w:val="-1"/>
        </w:rPr>
        <w:t> </w:t>
      </w:r>
      <w:r>
        <w:rPr>
          <w:spacing w:val="-2"/>
        </w:rPr>
        <w:t>2010.</w:t>
      </w:r>
    </w:p>
    <w:p>
      <w:pPr>
        <w:pStyle w:val="BodyText"/>
        <w:spacing w:before="137"/>
      </w:pPr>
      <w:r>
        <w:rPr/>
        <w:t>The</w:t>
      </w:r>
      <w:r>
        <w:rPr>
          <w:spacing w:val="-3"/>
        </w:rPr>
        <w:t> </w:t>
      </w:r>
      <w:r>
        <w:rPr/>
        <w:t>Guardian</w:t>
      </w:r>
      <w:r>
        <w:rPr>
          <w:spacing w:val="-1"/>
        </w:rPr>
        <w:t> </w:t>
      </w:r>
      <w:r>
        <w:rPr/>
        <w:t>(Lagos),</w:t>
      </w:r>
      <w:r>
        <w:rPr>
          <w:spacing w:val="-1"/>
        </w:rPr>
        <w:t> </w:t>
      </w:r>
      <w:r>
        <w:rPr/>
        <w:t>November</w:t>
      </w:r>
      <w:r>
        <w:rPr>
          <w:spacing w:val="-3"/>
        </w:rPr>
        <w:t> </w:t>
      </w:r>
      <w:r>
        <w:rPr/>
        <w:t>23,</w:t>
      </w:r>
      <w:r>
        <w:rPr>
          <w:spacing w:val="-1"/>
        </w:rPr>
        <w:t> </w:t>
      </w:r>
      <w:r>
        <w:rPr>
          <w:spacing w:val="-2"/>
        </w:rPr>
        <w:t>2010.</w:t>
      </w:r>
    </w:p>
    <w:p>
      <w:pPr>
        <w:pStyle w:val="BodyText"/>
        <w:spacing w:before="139"/>
      </w:pPr>
      <w:r>
        <w:rPr/>
        <w:t>The</w:t>
      </w:r>
      <w:r>
        <w:rPr>
          <w:spacing w:val="-3"/>
        </w:rPr>
        <w:t> </w:t>
      </w:r>
      <w:r>
        <w:rPr/>
        <w:t>Guardian</w:t>
      </w:r>
      <w:r>
        <w:rPr>
          <w:spacing w:val="-1"/>
        </w:rPr>
        <w:t> </w:t>
      </w:r>
      <w:r>
        <w:rPr/>
        <w:t>(Lagos),</w:t>
      </w:r>
      <w:r>
        <w:rPr>
          <w:spacing w:val="-1"/>
        </w:rPr>
        <w:t> </w:t>
      </w:r>
      <w:r>
        <w:rPr/>
        <w:t>November</w:t>
      </w:r>
      <w:r>
        <w:rPr>
          <w:spacing w:val="-3"/>
        </w:rPr>
        <w:t> </w:t>
      </w:r>
      <w:r>
        <w:rPr/>
        <w:t>28,</w:t>
      </w:r>
      <w:r>
        <w:rPr>
          <w:spacing w:val="-1"/>
        </w:rPr>
        <w:t> </w:t>
      </w:r>
      <w:r>
        <w:rPr>
          <w:spacing w:val="-2"/>
        </w:rPr>
        <w:t>2010.</w:t>
      </w:r>
    </w:p>
    <w:p>
      <w:pPr>
        <w:pStyle w:val="BodyText"/>
        <w:spacing w:before="137"/>
      </w:pPr>
      <w:r>
        <w:rPr/>
        <w:t>ThisDay</w:t>
      </w:r>
      <w:r>
        <w:rPr>
          <w:spacing w:val="-4"/>
        </w:rPr>
        <w:t> </w:t>
      </w:r>
      <w:r>
        <w:rPr/>
        <w:t>(Lagos), November</w:t>
      </w:r>
      <w:r>
        <w:rPr>
          <w:spacing w:val="-3"/>
        </w:rPr>
        <w:t> </w:t>
      </w:r>
      <w:r>
        <w:rPr/>
        <w:t>18, </w:t>
      </w:r>
      <w:r>
        <w:rPr>
          <w:spacing w:val="-2"/>
        </w:rPr>
        <w:t>2010.</w:t>
      </w:r>
    </w:p>
    <w:p>
      <w:pPr>
        <w:pStyle w:val="BodyText"/>
        <w:spacing w:before="139"/>
      </w:pPr>
      <w:r>
        <w:rPr/>
        <w:t>ThisDay</w:t>
      </w:r>
      <w:r>
        <w:rPr>
          <w:spacing w:val="-4"/>
        </w:rPr>
        <w:t> </w:t>
      </w:r>
      <w:r>
        <w:rPr/>
        <w:t>(Lagos), November</w:t>
      </w:r>
      <w:r>
        <w:rPr>
          <w:spacing w:val="-3"/>
        </w:rPr>
        <w:t> </w:t>
      </w:r>
      <w:r>
        <w:rPr/>
        <w:t>23, </w:t>
      </w:r>
      <w:r>
        <w:rPr>
          <w:spacing w:val="-2"/>
        </w:rPr>
        <w:t>2010.</w:t>
      </w:r>
    </w:p>
    <w:p>
      <w:pPr>
        <w:pStyle w:val="BodyText"/>
        <w:spacing w:before="137"/>
      </w:pPr>
      <w:r>
        <w:rPr/>
        <w:t>Daily</w:t>
      </w:r>
      <w:r>
        <w:rPr>
          <w:spacing w:val="-5"/>
        </w:rPr>
        <w:t> </w:t>
      </w:r>
      <w:r>
        <w:rPr/>
        <w:t>Trust (Abuja),</w:t>
      </w:r>
      <w:r>
        <w:rPr>
          <w:spacing w:val="1"/>
        </w:rPr>
        <w:t> </w:t>
      </w:r>
      <w:r>
        <w:rPr/>
        <w:t>November</w:t>
      </w:r>
      <w:r>
        <w:rPr>
          <w:spacing w:val="-2"/>
        </w:rPr>
        <w:t> </w:t>
      </w:r>
      <w:r>
        <w:rPr/>
        <w:t>1, </w:t>
      </w:r>
      <w:r>
        <w:rPr>
          <w:spacing w:val="-2"/>
        </w:rPr>
        <w:t>2010.</w:t>
      </w:r>
    </w:p>
    <w:p>
      <w:pPr>
        <w:pStyle w:val="BodyText"/>
        <w:spacing w:before="139"/>
      </w:pPr>
      <w:r>
        <w:rPr/>
        <w:t>Daily</w:t>
      </w:r>
      <w:r>
        <w:rPr>
          <w:spacing w:val="-7"/>
        </w:rPr>
        <w:t> </w:t>
      </w:r>
      <w:r>
        <w:rPr/>
        <w:t>Trust</w:t>
      </w:r>
      <w:r>
        <w:rPr>
          <w:spacing w:val="1"/>
        </w:rPr>
        <w:t> </w:t>
      </w:r>
      <w:r>
        <w:rPr/>
        <w:t>(Abuja),</w:t>
      </w:r>
      <w:r>
        <w:rPr>
          <w:spacing w:val="1"/>
        </w:rPr>
        <w:t> </w:t>
      </w:r>
      <w:r>
        <w:rPr/>
        <w:t>January</w:t>
      </w:r>
      <w:r>
        <w:rPr>
          <w:spacing w:val="-4"/>
        </w:rPr>
        <w:t> </w:t>
      </w:r>
      <w:r>
        <w:rPr/>
        <w:t>30,</w:t>
      </w:r>
      <w:r>
        <w:rPr>
          <w:spacing w:val="1"/>
        </w:rPr>
        <w:t> </w:t>
      </w:r>
      <w:r>
        <w:rPr>
          <w:spacing w:val="-2"/>
        </w:rPr>
        <w:t>2007.</w:t>
      </w:r>
    </w:p>
    <w:p>
      <w:pPr>
        <w:pStyle w:val="BodyText"/>
        <w:spacing w:before="137"/>
      </w:pPr>
      <w:r>
        <w:rPr/>
        <w:t>Daily</w:t>
      </w:r>
      <w:r>
        <w:rPr>
          <w:spacing w:val="-6"/>
        </w:rPr>
        <w:t> </w:t>
      </w:r>
      <w:r>
        <w:rPr/>
        <w:t>Champion</w:t>
      </w:r>
      <w:r>
        <w:rPr>
          <w:spacing w:val="-1"/>
        </w:rPr>
        <w:t> </w:t>
      </w:r>
      <w:r>
        <w:rPr/>
        <w:t>(Lagos), August</w:t>
      </w:r>
      <w:r>
        <w:rPr>
          <w:spacing w:val="-1"/>
        </w:rPr>
        <w:t> </w:t>
      </w:r>
      <w:r>
        <w:rPr/>
        <w:t>28, </w:t>
      </w:r>
      <w:r>
        <w:rPr>
          <w:spacing w:val="-2"/>
        </w:rPr>
        <w:t>2008.</w:t>
      </w:r>
    </w:p>
    <w:p>
      <w:pPr>
        <w:pStyle w:val="BodyText"/>
        <w:spacing w:before="139"/>
      </w:pPr>
      <w:r>
        <w:rPr/>
        <w:t>Business</w:t>
      </w:r>
      <w:r>
        <w:rPr>
          <w:spacing w:val="-2"/>
        </w:rPr>
        <w:t> </w:t>
      </w:r>
      <w:r>
        <w:rPr/>
        <w:t>Day</w:t>
      </w:r>
      <w:r>
        <w:rPr>
          <w:spacing w:val="-2"/>
        </w:rPr>
        <w:t> </w:t>
      </w:r>
      <w:r>
        <w:rPr/>
        <w:t>(Lagos), January</w:t>
      </w:r>
      <w:r>
        <w:rPr>
          <w:spacing w:val="-4"/>
        </w:rPr>
        <w:t> </w:t>
      </w:r>
      <w:r>
        <w:rPr/>
        <w:t>29,</w:t>
      </w:r>
      <w:r>
        <w:rPr>
          <w:spacing w:val="1"/>
        </w:rPr>
        <w:t> </w:t>
      </w:r>
      <w:r>
        <w:rPr>
          <w:spacing w:val="-2"/>
        </w:rPr>
        <w:t>2007.</w:t>
      </w:r>
    </w:p>
    <w:p>
      <w:pPr>
        <w:pStyle w:val="BodyText"/>
        <w:spacing w:before="137"/>
      </w:pPr>
      <w:r>
        <w:rPr/>
        <w:t>Business</w:t>
      </w:r>
      <w:r>
        <w:rPr>
          <w:spacing w:val="-3"/>
        </w:rPr>
        <w:t> </w:t>
      </w:r>
      <w:r>
        <w:rPr/>
        <w:t>Day</w:t>
      </w:r>
      <w:r>
        <w:rPr>
          <w:spacing w:val="-4"/>
        </w:rPr>
        <w:t> </w:t>
      </w:r>
      <w:r>
        <w:rPr/>
        <w:t>(Lagos),</w:t>
      </w:r>
      <w:r>
        <w:rPr>
          <w:spacing w:val="1"/>
        </w:rPr>
        <w:t> </w:t>
      </w:r>
      <w:r>
        <w:rPr/>
        <w:t>February</w:t>
      </w:r>
      <w:r>
        <w:rPr>
          <w:spacing w:val="-6"/>
        </w:rPr>
        <w:t> </w:t>
      </w:r>
      <w:r>
        <w:rPr/>
        <w:t>8, </w:t>
      </w:r>
      <w:r>
        <w:rPr>
          <w:spacing w:val="-2"/>
        </w:rPr>
        <w:t>2007.</w:t>
      </w:r>
    </w:p>
    <w:p>
      <w:pPr>
        <w:pStyle w:val="BodyText"/>
        <w:spacing w:before="139"/>
      </w:pPr>
      <w:r>
        <w:rPr/>
        <w:t>Nigerian</w:t>
      </w:r>
      <w:r>
        <w:rPr>
          <w:spacing w:val="-2"/>
        </w:rPr>
        <w:t> </w:t>
      </w:r>
      <w:r>
        <w:rPr/>
        <w:t>Tribune (Ibadan),</w:t>
      </w:r>
      <w:r>
        <w:rPr>
          <w:spacing w:val="-1"/>
        </w:rPr>
        <w:t> </w:t>
      </w:r>
      <w:r>
        <w:rPr/>
        <w:t>January</w:t>
      </w:r>
      <w:r>
        <w:rPr>
          <w:spacing w:val="-6"/>
        </w:rPr>
        <w:t> </w:t>
      </w:r>
      <w:r>
        <w:rPr/>
        <w:t>30,</w:t>
      </w:r>
      <w:r>
        <w:rPr>
          <w:spacing w:val="-1"/>
        </w:rPr>
        <w:t> </w:t>
      </w:r>
      <w:r>
        <w:rPr>
          <w:spacing w:val="-2"/>
        </w:rPr>
        <w:t>2007.</w:t>
      </w:r>
    </w:p>
    <w:p>
      <w:pPr>
        <w:pStyle w:val="BodyText"/>
        <w:spacing w:before="138"/>
      </w:pPr>
      <w:r>
        <w:rPr/>
        <w:t>Nigerian</w:t>
      </w:r>
      <w:r>
        <w:rPr>
          <w:spacing w:val="-4"/>
        </w:rPr>
        <w:t> </w:t>
      </w:r>
      <w:r>
        <w:rPr/>
        <w:t>Tribune</w:t>
      </w:r>
      <w:r>
        <w:rPr>
          <w:spacing w:val="-1"/>
        </w:rPr>
        <w:t> </w:t>
      </w:r>
      <w:r>
        <w:rPr/>
        <w:t>(Ibadan),</w:t>
      </w:r>
      <w:r>
        <w:rPr>
          <w:spacing w:val="-2"/>
        </w:rPr>
        <w:t> </w:t>
      </w:r>
      <w:r>
        <w:rPr/>
        <w:t>November</w:t>
      </w:r>
      <w:r>
        <w:rPr>
          <w:spacing w:val="-4"/>
        </w:rPr>
        <w:t> </w:t>
      </w:r>
      <w:r>
        <w:rPr/>
        <w:t>19,</w:t>
      </w:r>
      <w:r>
        <w:rPr>
          <w:spacing w:val="-1"/>
        </w:rPr>
        <w:t> </w:t>
      </w:r>
      <w:r>
        <w:rPr>
          <w:spacing w:val="-2"/>
        </w:rPr>
        <w:t>2010.</w:t>
      </w:r>
    </w:p>
    <w:p>
      <w:pPr>
        <w:spacing w:after="0"/>
        <w:sectPr>
          <w:pgSz w:w="11910" w:h="16840"/>
          <w:pgMar w:header="0" w:footer="1561" w:top="1360" w:bottom="1760" w:left="720" w:right="180"/>
        </w:sectPr>
      </w:pPr>
    </w:p>
    <w:p>
      <w:pPr>
        <w:pStyle w:val="Heading1"/>
        <w:spacing w:before="65"/>
        <w:ind w:left="1480" w:right="1302"/>
        <w:jc w:val="center"/>
      </w:pPr>
      <w:r>
        <w:rPr/>
        <mc:AlternateContent>
          <mc:Choice Requires="wps">
            <w:drawing>
              <wp:anchor distT="0" distB="0" distL="0" distR="0" allowOverlap="1" layoutInCell="1" locked="0" behindDoc="1" simplePos="0" relativeHeight="480700416">
                <wp:simplePos x="0" y="0"/>
                <wp:positionH relativeFrom="page">
                  <wp:posOffset>-1537026</wp:posOffset>
                </wp:positionH>
                <wp:positionV relativeFrom="page">
                  <wp:posOffset>4900424</wp:posOffset>
                </wp:positionV>
                <wp:extent cx="10669905" cy="914400"/>
                <wp:effectExtent l="0" t="0" r="0" b="0"/>
                <wp:wrapNone/>
                <wp:docPr id="376" name="Textbox 376"/>
                <wp:cNvGraphicFramePr>
                  <a:graphicFrameLocks/>
                </wp:cNvGraphicFramePr>
                <a:graphic>
                  <a:graphicData uri="http://schemas.microsoft.com/office/word/2010/wordprocessingShape">
                    <wps:wsp>
                      <wps:cNvPr id="376" name="Textbox 376"/>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16064;rotation:306" type="#_x0000_t136" fillcolor="#ff5400" stroked="f">
                <o:extrusion v:ext="view" autorotationcenter="t"/>
                <v:textpath style="font-family:&quot;Arial MT&quot;;font-size:72pt;v-text-kern:t;mso-text-shadow:auto" string="UNIVERSITY OF IBADAN"/>
                <w10:wrap type="none"/>
              </v:shape>
            </w:pict>
          </mc:Fallback>
        </mc:AlternateContent>
      </w:r>
      <w:r>
        <w:rPr>
          <w:spacing w:val="-2"/>
        </w:rPr>
        <w:t>APPENDICES</w:t>
      </w:r>
    </w:p>
    <w:p>
      <w:pPr>
        <w:spacing w:before="243"/>
        <w:ind w:left="1440" w:right="0" w:firstLine="0"/>
        <w:jc w:val="left"/>
        <w:rPr>
          <w:b/>
          <w:sz w:val="24"/>
        </w:rPr>
      </w:pPr>
      <w:r>
        <w:rPr>
          <w:b/>
          <w:sz w:val="24"/>
        </w:rPr>
        <w:t>APPENDIX</w:t>
      </w:r>
      <w:r>
        <w:rPr>
          <w:b/>
          <w:spacing w:val="-3"/>
          <w:sz w:val="24"/>
        </w:rPr>
        <w:t> </w:t>
      </w:r>
      <w:r>
        <w:rPr>
          <w:b/>
          <w:sz w:val="24"/>
        </w:rPr>
        <w:t>1-</w:t>
      </w:r>
      <w:r>
        <w:rPr>
          <w:b/>
          <w:spacing w:val="-3"/>
          <w:sz w:val="24"/>
        </w:rPr>
        <w:t> </w:t>
      </w:r>
      <w:r>
        <w:rPr>
          <w:b/>
          <w:sz w:val="24"/>
        </w:rPr>
        <w:t>QUESTIONNAIRE</w:t>
      </w:r>
      <w:r>
        <w:rPr>
          <w:b/>
          <w:spacing w:val="-2"/>
          <w:sz w:val="24"/>
        </w:rPr>
        <w:t> </w:t>
      </w:r>
      <w:r>
        <w:rPr>
          <w:b/>
          <w:sz w:val="24"/>
        </w:rPr>
        <w:t>USED</w:t>
      </w:r>
      <w:r>
        <w:rPr>
          <w:b/>
          <w:spacing w:val="-2"/>
          <w:sz w:val="24"/>
        </w:rPr>
        <w:t> </w:t>
      </w:r>
      <w:r>
        <w:rPr>
          <w:b/>
          <w:sz w:val="24"/>
        </w:rPr>
        <w:t>FOR</w:t>
      </w:r>
      <w:r>
        <w:rPr>
          <w:b/>
          <w:spacing w:val="-2"/>
          <w:sz w:val="24"/>
        </w:rPr>
        <w:t> </w:t>
      </w:r>
      <w:r>
        <w:rPr>
          <w:b/>
          <w:sz w:val="24"/>
        </w:rPr>
        <w:t>PERCEPTION</w:t>
      </w:r>
      <w:r>
        <w:rPr>
          <w:b/>
          <w:spacing w:val="-2"/>
          <w:sz w:val="24"/>
        </w:rPr>
        <w:t> STUDY</w:t>
      </w:r>
    </w:p>
    <w:p>
      <w:pPr>
        <w:pStyle w:val="BodyText"/>
        <w:spacing w:line="360" w:lineRule="auto" w:before="132"/>
        <w:ind w:right="5083"/>
      </w:pPr>
      <w:r>
        <w:rPr/>
        <w:t>Peace</w:t>
      </w:r>
      <w:r>
        <w:rPr>
          <w:spacing w:val="-9"/>
        </w:rPr>
        <w:t> </w:t>
      </w:r>
      <w:r>
        <w:rPr/>
        <w:t>and</w:t>
      </w:r>
      <w:r>
        <w:rPr>
          <w:spacing w:val="-10"/>
        </w:rPr>
        <w:t> </w:t>
      </w:r>
      <w:r>
        <w:rPr/>
        <w:t>Conflict</w:t>
      </w:r>
      <w:r>
        <w:rPr>
          <w:spacing w:val="-10"/>
        </w:rPr>
        <w:t> </w:t>
      </w:r>
      <w:r>
        <w:rPr/>
        <w:t>Studies</w:t>
      </w:r>
      <w:r>
        <w:rPr>
          <w:spacing w:val="-10"/>
        </w:rPr>
        <w:t> </w:t>
      </w:r>
      <w:r>
        <w:rPr/>
        <w:t>Programme Institute of African Studies</w:t>
      </w:r>
    </w:p>
    <w:p>
      <w:pPr>
        <w:pStyle w:val="BodyText"/>
        <w:spacing w:line="720" w:lineRule="auto"/>
        <w:ind w:right="7075"/>
      </w:pPr>
      <w:r>
        <w:rPr/>
        <w:t>University</w:t>
      </w:r>
      <w:r>
        <w:rPr>
          <w:spacing w:val="-15"/>
        </w:rPr>
        <w:t> </w:t>
      </w:r>
      <w:r>
        <w:rPr/>
        <w:t>of</w:t>
      </w:r>
      <w:r>
        <w:rPr>
          <w:spacing w:val="-15"/>
        </w:rPr>
        <w:t> </w:t>
      </w:r>
      <w:r>
        <w:rPr/>
        <w:t>Ibadan </w:t>
      </w:r>
      <w:r>
        <w:rPr>
          <w:spacing w:val="-2"/>
        </w:rPr>
        <w:t>Questionnaire</w:t>
      </w:r>
    </w:p>
    <w:p>
      <w:pPr>
        <w:pStyle w:val="BodyText"/>
        <w:jc w:val="both"/>
      </w:pPr>
      <w:r>
        <w:rPr/>
        <w:t>Dear</w:t>
      </w:r>
      <w:r>
        <w:rPr>
          <w:spacing w:val="-3"/>
        </w:rPr>
        <w:t> </w:t>
      </w:r>
      <w:r>
        <w:rPr>
          <w:spacing w:val="-2"/>
        </w:rPr>
        <w:t>Respondent,</w:t>
      </w:r>
    </w:p>
    <w:p>
      <w:pPr>
        <w:pStyle w:val="BodyText"/>
        <w:spacing w:line="360" w:lineRule="auto" w:before="138"/>
        <w:ind w:right="1259" w:firstLine="482"/>
        <w:jc w:val="both"/>
      </w:pPr>
      <w:r>
        <w:rPr/>
        <w:t>I am a Ph.D student in the Department of Peace and Conflict Studies, University of Ibadan. This questionnaire is meant for the Assessment of the Joint Task Force impact on the Niger Delta Conflict. Your answers to the questions asked below are intended for academic purpose and will therefore be treated in strict confidence.</w:t>
      </w:r>
    </w:p>
    <w:p>
      <w:pPr>
        <w:pStyle w:val="BodyText"/>
        <w:spacing w:line="360" w:lineRule="auto"/>
        <w:ind w:right="1262" w:firstLine="480"/>
        <w:jc w:val="both"/>
      </w:pPr>
      <w:r>
        <w:rPr/>
        <w:t>Hence, your co-operation in this exercise would be highly appreciated. There is no right or wrong answers. Simply indicate the answers which best matches your </w:t>
      </w:r>
      <w:r>
        <w:rPr>
          <w:spacing w:val="-2"/>
        </w:rPr>
        <w:t>opinion.</w:t>
      </w:r>
    </w:p>
    <w:p>
      <w:pPr>
        <w:pStyle w:val="BodyText"/>
        <w:spacing w:before="1"/>
        <w:jc w:val="both"/>
      </w:pPr>
      <w:r>
        <w:rPr/>
        <w:t>SECTION</w:t>
      </w:r>
      <w:r>
        <w:rPr>
          <w:spacing w:val="-2"/>
        </w:rPr>
        <w:t> </w:t>
      </w:r>
      <w:r>
        <w:rPr/>
        <w:t>A:</w:t>
      </w:r>
      <w:r>
        <w:rPr>
          <w:spacing w:val="-1"/>
        </w:rPr>
        <w:t> </w:t>
      </w:r>
      <w:r>
        <w:rPr/>
        <w:t>Socio</w:t>
      </w:r>
      <w:r>
        <w:rPr>
          <w:spacing w:val="-1"/>
        </w:rPr>
        <w:t> </w:t>
      </w:r>
      <w:r>
        <w:rPr/>
        <w:t>–</w:t>
      </w:r>
      <w:r>
        <w:rPr>
          <w:spacing w:val="-1"/>
        </w:rPr>
        <w:t> </w:t>
      </w:r>
      <w:r>
        <w:rPr/>
        <w:t>Demographic</w:t>
      </w:r>
      <w:r>
        <w:rPr>
          <w:spacing w:val="-1"/>
        </w:rPr>
        <w:t> </w:t>
      </w:r>
      <w:r>
        <w:rPr>
          <w:spacing w:val="-4"/>
        </w:rPr>
        <w:t>Data</w:t>
      </w:r>
    </w:p>
    <w:p>
      <w:pPr>
        <w:pStyle w:val="ListParagraph"/>
        <w:numPr>
          <w:ilvl w:val="0"/>
          <w:numId w:val="33"/>
        </w:numPr>
        <w:tabs>
          <w:tab w:pos="2160" w:val="left" w:leader="none"/>
          <w:tab w:pos="9241" w:val="left" w:leader="none"/>
        </w:tabs>
        <w:spacing w:line="240" w:lineRule="auto" w:before="142" w:after="0"/>
        <w:ind w:left="2160" w:right="0" w:hanging="720"/>
        <w:jc w:val="left"/>
        <w:rPr>
          <w:sz w:val="24"/>
        </w:rPr>
      </w:pPr>
      <w:r>
        <w:rPr>
          <w:sz w:val="24"/>
        </w:rPr>
        <w:t>State</w:t>
      </w:r>
      <w:r>
        <w:rPr>
          <w:spacing w:val="-3"/>
          <w:sz w:val="24"/>
        </w:rPr>
        <w:t> </w:t>
      </w:r>
      <w:r>
        <w:rPr>
          <w:spacing w:val="-2"/>
          <w:sz w:val="24"/>
        </w:rPr>
        <w:t>Bayelsa</w:t>
      </w:r>
      <w:r>
        <w:rPr>
          <w:sz w:val="24"/>
        </w:rPr>
        <w:tab/>
        <w:t>(</w:t>
      </w:r>
      <w:r>
        <w:rPr>
          <w:spacing w:val="-13"/>
          <w:sz w:val="24"/>
        </w:rPr>
        <w:t> </w:t>
      </w:r>
      <w:r>
        <w:rPr>
          <w:spacing w:val="-10"/>
          <w:sz w:val="24"/>
        </w:rPr>
        <w:t>)</w:t>
      </w:r>
    </w:p>
    <w:p>
      <w:pPr>
        <w:pStyle w:val="BodyText"/>
        <w:tabs>
          <w:tab w:pos="9241" w:val="left" w:leader="none"/>
        </w:tabs>
        <w:spacing w:before="142"/>
        <w:ind w:left="2160"/>
      </w:pPr>
      <w:r>
        <w:rPr>
          <w:spacing w:val="-2"/>
        </w:rPr>
        <w:t>Delta</w:t>
      </w:r>
      <w:r>
        <w:rPr/>
        <w:tab/>
        <w:t>( </w:t>
      </w:r>
      <w:r>
        <w:rPr>
          <w:spacing w:val="-10"/>
        </w:rPr>
        <w:t>)</w:t>
      </w:r>
    </w:p>
    <w:p>
      <w:pPr>
        <w:pStyle w:val="BodyText"/>
        <w:tabs>
          <w:tab w:pos="8968" w:val="left" w:leader="none"/>
        </w:tabs>
        <w:spacing w:before="137"/>
        <w:ind w:left="2100"/>
      </w:pPr>
      <w:r>
        <w:rPr>
          <w:spacing w:val="-2"/>
        </w:rPr>
        <w:t>Rivers</w:t>
      </w:r>
      <w:r>
        <w:rPr/>
        <w:tab/>
        <w:t>( </w:t>
      </w:r>
      <w:r>
        <w:rPr>
          <w:spacing w:val="-10"/>
        </w:rPr>
        <w:t>)</w:t>
      </w:r>
    </w:p>
    <w:p>
      <w:pPr>
        <w:pStyle w:val="ListParagraph"/>
        <w:numPr>
          <w:ilvl w:val="0"/>
          <w:numId w:val="33"/>
        </w:numPr>
        <w:tabs>
          <w:tab w:pos="2160" w:val="left" w:leader="none"/>
        </w:tabs>
        <w:spacing w:line="240" w:lineRule="auto" w:before="139" w:after="0"/>
        <w:ind w:left="2160" w:right="0" w:hanging="720"/>
        <w:jc w:val="left"/>
        <w:rPr>
          <w:sz w:val="24"/>
        </w:rPr>
      </w:pPr>
      <w:r>
        <w:rPr>
          <w:sz w:val="24"/>
        </w:rPr>
        <w:t>Location</w:t>
      </w:r>
      <w:r>
        <w:rPr>
          <w:spacing w:val="-1"/>
          <w:sz w:val="24"/>
        </w:rPr>
        <w:t> </w:t>
      </w:r>
      <w:r>
        <w:rPr>
          <w:sz w:val="24"/>
        </w:rPr>
        <w:t>in</w:t>
      </w:r>
      <w:r>
        <w:rPr>
          <w:spacing w:val="-2"/>
          <w:sz w:val="24"/>
        </w:rPr>
        <w:t> </w:t>
      </w:r>
      <w:r>
        <w:rPr>
          <w:sz w:val="24"/>
        </w:rPr>
        <w:t>the</w:t>
      </w:r>
      <w:r>
        <w:rPr>
          <w:spacing w:val="-1"/>
          <w:sz w:val="24"/>
        </w:rPr>
        <w:t> </w:t>
      </w:r>
      <w:r>
        <w:rPr>
          <w:spacing w:val="-2"/>
          <w:sz w:val="24"/>
        </w:rPr>
        <w:t>state</w:t>
      </w:r>
    </w:p>
    <w:p>
      <w:pPr>
        <w:pStyle w:val="ListParagraph"/>
        <w:numPr>
          <w:ilvl w:val="0"/>
          <w:numId w:val="33"/>
        </w:numPr>
        <w:tabs>
          <w:tab w:pos="2040" w:val="left" w:leader="none"/>
        </w:tabs>
        <w:spacing w:line="240" w:lineRule="auto" w:before="137" w:after="0"/>
        <w:ind w:left="2040" w:right="0" w:hanging="600"/>
        <w:jc w:val="left"/>
        <w:rPr>
          <w:sz w:val="24"/>
        </w:rPr>
      </w:pPr>
      <w:r>
        <w:rPr>
          <w:sz w:val="24"/>
        </w:rPr>
        <w:t>Gender</w:t>
      </w:r>
      <w:r>
        <w:rPr>
          <w:spacing w:val="-1"/>
          <w:sz w:val="24"/>
        </w:rPr>
        <w:t> </w:t>
      </w:r>
      <w:r>
        <w:rPr>
          <w:sz w:val="24"/>
        </w:rPr>
        <w:t>of</w:t>
      </w:r>
      <w:r>
        <w:rPr>
          <w:spacing w:val="-1"/>
          <w:sz w:val="24"/>
        </w:rPr>
        <w:t> </w:t>
      </w:r>
      <w:r>
        <w:rPr>
          <w:spacing w:val="-2"/>
          <w:sz w:val="24"/>
        </w:rPr>
        <w:t>respondent:</w:t>
      </w:r>
    </w:p>
    <w:p>
      <w:pPr>
        <w:pStyle w:val="BodyText"/>
        <w:tabs>
          <w:tab w:pos="9181" w:val="left" w:leader="none"/>
        </w:tabs>
        <w:spacing w:before="139"/>
        <w:ind w:left="2040"/>
      </w:pPr>
      <w:r>
        <w:rPr>
          <w:spacing w:val="-4"/>
        </w:rPr>
        <w:t>Male</w:t>
      </w:r>
      <w:r>
        <w:rPr/>
        <w:tab/>
        <w:t>(</w:t>
      </w:r>
      <w:r>
        <w:rPr>
          <w:spacing w:val="-2"/>
        </w:rPr>
        <w:t> </w:t>
      </w:r>
      <w:r>
        <w:rPr/>
        <w:t>)</w:t>
      </w:r>
      <w:r>
        <w:rPr>
          <w:spacing w:val="-2"/>
        </w:rPr>
        <w:t> </w:t>
      </w:r>
      <w:r>
        <w:rPr>
          <w:spacing w:val="-10"/>
        </w:rPr>
        <w:t>1</w:t>
      </w:r>
    </w:p>
    <w:p>
      <w:pPr>
        <w:pStyle w:val="BodyText"/>
        <w:tabs>
          <w:tab w:pos="9121" w:val="left" w:leader="none"/>
        </w:tabs>
        <w:spacing w:before="137"/>
        <w:ind w:left="2040"/>
      </w:pPr>
      <w:r>
        <w:rPr>
          <w:spacing w:val="-2"/>
        </w:rPr>
        <w:t>Female</w:t>
      </w:r>
      <w:r>
        <w:rPr/>
        <w:tab/>
        <w:t>(</w:t>
      </w:r>
      <w:r>
        <w:rPr>
          <w:spacing w:val="-2"/>
        </w:rPr>
        <w:t> </w:t>
      </w:r>
      <w:r>
        <w:rPr/>
        <w:t>)</w:t>
      </w:r>
      <w:r>
        <w:rPr>
          <w:spacing w:val="-2"/>
        </w:rPr>
        <w:t> </w:t>
      </w:r>
      <w:r>
        <w:rPr>
          <w:spacing w:val="-10"/>
        </w:rPr>
        <w:t>2</w:t>
      </w:r>
    </w:p>
    <w:p>
      <w:pPr>
        <w:pStyle w:val="ListParagraph"/>
        <w:numPr>
          <w:ilvl w:val="0"/>
          <w:numId w:val="33"/>
        </w:numPr>
        <w:tabs>
          <w:tab w:pos="2040" w:val="left" w:leader="none"/>
        </w:tabs>
        <w:spacing w:line="240" w:lineRule="auto" w:before="139" w:after="0"/>
        <w:ind w:left="2040" w:right="0" w:hanging="600"/>
        <w:jc w:val="left"/>
        <w:rPr>
          <w:sz w:val="24"/>
        </w:rPr>
      </w:pPr>
      <w:r>
        <w:rPr>
          <w:spacing w:val="-4"/>
          <w:sz w:val="24"/>
        </w:rPr>
        <w:t>Age:</w:t>
      </w:r>
    </w:p>
    <w:p>
      <w:pPr>
        <w:pStyle w:val="BodyText"/>
        <w:tabs>
          <w:tab w:pos="9181" w:val="left" w:leader="none"/>
        </w:tabs>
        <w:spacing w:before="137"/>
        <w:ind w:left="2071"/>
      </w:pPr>
      <w:r>
        <w:rPr/>
        <w:t>15 – </w:t>
      </w:r>
      <w:r>
        <w:rPr>
          <w:spacing w:val="-5"/>
        </w:rPr>
        <w:t>24</w:t>
      </w:r>
      <w:r>
        <w:rPr/>
        <w:tab/>
        <w:t>(</w:t>
      </w:r>
      <w:r>
        <w:rPr>
          <w:spacing w:val="-2"/>
        </w:rPr>
        <w:t> </w:t>
      </w:r>
      <w:r>
        <w:rPr/>
        <w:t>)</w:t>
      </w:r>
      <w:r>
        <w:rPr>
          <w:spacing w:val="-2"/>
        </w:rPr>
        <w:t> </w:t>
      </w:r>
      <w:r>
        <w:rPr>
          <w:spacing w:val="-10"/>
        </w:rPr>
        <w:t>1</w:t>
      </w:r>
    </w:p>
    <w:p>
      <w:pPr>
        <w:pStyle w:val="BodyText"/>
        <w:tabs>
          <w:tab w:pos="9181" w:val="left" w:leader="none"/>
        </w:tabs>
        <w:spacing w:before="139"/>
        <w:ind w:left="2071"/>
      </w:pPr>
      <w:r>
        <w:rPr/>
        <w:t>25 – </w:t>
      </w:r>
      <w:r>
        <w:rPr>
          <w:spacing w:val="-5"/>
        </w:rPr>
        <w:t>34</w:t>
      </w:r>
      <w:r>
        <w:rPr/>
        <w:tab/>
        <w:t>(</w:t>
      </w:r>
      <w:r>
        <w:rPr>
          <w:spacing w:val="-2"/>
        </w:rPr>
        <w:t> </w:t>
      </w:r>
      <w:r>
        <w:rPr/>
        <w:t>)</w:t>
      </w:r>
      <w:r>
        <w:rPr>
          <w:spacing w:val="-2"/>
        </w:rPr>
        <w:t> </w:t>
      </w:r>
      <w:r>
        <w:rPr>
          <w:spacing w:val="-10"/>
        </w:rPr>
        <w:t>2</w:t>
      </w:r>
    </w:p>
    <w:p>
      <w:pPr>
        <w:pStyle w:val="BodyText"/>
        <w:tabs>
          <w:tab w:pos="9121" w:val="left" w:leader="none"/>
        </w:tabs>
        <w:spacing w:before="137"/>
        <w:ind w:left="2071"/>
      </w:pPr>
      <w:r>
        <w:rPr/>
        <w:t>35 – </w:t>
      </w:r>
      <w:r>
        <w:rPr>
          <w:spacing w:val="-5"/>
        </w:rPr>
        <w:t>49</w:t>
      </w:r>
      <w:r>
        <w:rPr/>
        <w:tab/>
        <w:t>(</w:t>
      </w:r>
      <w:r>
        <w:rPr>
          <w:spacing w:val="-2"/>
        </w:rPr>
        <w:t> </w:t>
      </w:r>
      <w:r>
        <w:rPr/>
        <w:t>)</w:t>
      </w:r>
      <w:r>
        <w:rPr>
          <w:spacing w:val="-2"/>
        </w:rPr>
        <w:t> </w:t>
      </w:r>
      <w:r>
        <w:rPr>
          <w:spacing w:val="-10"/>
        </w:rPr>
        <w:t>3</w:t>
      </w:r>
    </w:p>
    <w:p>
      <w:pPr>
        <w:pStyle w:val="BodyText"/>
        <w:tabs>
          <w:tab w:pos="9121" w:val="left" w:leader="none"/>
        </w:tabs>
        <w:spacing w:before="140"/>
        <w:ind w:left="2071"/>
      </w:pPr>
      <w:r>
        <w:rPr/>
        <w:t>50 – </w:t>
      </w:r>
      <w:r>
        <w:rPr>
          <w:spacing w:val="-5"/>
        </w:rPr>
        <w:t>60</w:t>
      </w:r>
      <w:r>
        <w:rPr/>
        <w:tab/>
        <w:t>(</w:t>
      </w:r>
      <w:r>
        <w:rPr>
          <w:spacing w:val="-2"/>
        </w:rPr>
        <w:t> </w:t>
      </w:r>
      <w:r>
        <w:rPr/>
        <w:t>)</w:t>
      </w:r>
      <w:r>
        <w:rPr>
          <w:spacing w:val="-2"/>
        </w:rPr>
        <w:t> </w:t>
      </w:r>
      <w:r>
        <w:rPr>
          <w:spacing w:val="-10"/>
        </w:rPr>
        <w:t>4</w:t>
      </w:r>
    </w:p>
    <w:p>
      <w:pPr>
        <w:pStyle w:val="BodyText"/>
        <w:tabs>
          <w:tab w:pos="9121" w:val="left" w:leader="none"/>
        </w:tabs>
        <w:spacing w:before="136"/>
        <w:ind w:left="1980"/>
      </w:pPr>
      <w:r>
        <w:rPr/>
        <w:t>61</w:t>
      </w:r>
      <w:r>
        <w:rPr>
          <w:spacing w:val="-1"/>
        </w:rPr>
        <w:t> </w:t>
      </w:r>
      <w:r>
        <w:rPr/>
        <w:t>years</w:t>
      </w:r>
      <w:r>
        <w:rPr>
          <w:spacing w:val="-2"/>
        </w:rPr>
        <w:t> </w:t>
      </w:r>
      <w:r>
        <w:rPr/>
        <w:t>and </w:t>
      </w:r>
      <w:r>
        <w:rPr>
          <w:spacing w:val="-2"/>
        </w:rPr>
        <w:t>above</w:t>
      </w:r>
      <w:r>
        <w:rPr/>
        <w:tab/>
        <w:t>(</w:t>
      </w:r>
      <w:r>
        <w:rPr>
          <w:spacing w:val="-2"/>
        </w:rPr>
        <w:t> </w:t>
      </w:r>
      <w:r>
        <w:rPr/>
        <w:t>)</w:t>
      </w:r>
      <w:r>
        <w:rPr>
          <w:spacing w:val="-2"/>
        </w:rPr>
        <w:t> </w:t>
      </w:r>
      <w:r>
        <w:rPr>
          <w:spacing w:val="-10"/>
        </w:rPr>
        <w:t>5</w:t>
      </w:r>
    </w:p>
    <w:p>
      <w:pPr>
        <w:pStyle w:val="ListParagraph"/>
        <w:numPr>
          <w:ilvl w:val="0"/>
          <w:numId w:val="33"/>
        </w:numPr>
        <w:tabs>
          <w:tab w:pos="1980" w:val="left" w:leader="none"/>
        </w:tabs>
        <w:spacing w:line="240" w:lineRule="auto" w:before="140" w:after="0"/>
        <w:ind w:left="1980" w:right="0" w:hanging="540"/>
        <w:jc w:val="left"/>
        <w:rPr>
          <w:sz w:val="24"/>
        </w:rPr>
      </w:pPr>
      <w:r>
        <w:rPr>
          <w:sz w:val="24"/>
        </w:rPr>
        <w:t>What</w:t>
      </w:r>
      <w:r>
        <w:rPr>
          <w:spacing w:val="-2"/>
          <w:sz w:val="24"/>
        </w:rPr>
        <w:t> </w:t>
      </w:r>
      <w:r>
        <w:rPr>
          <w:sz w:val="24"/>
        </w:rPr>
        <w:t>is</w:t>
      </w:r>
      <w:r>
        <w:rPr>
          <w:spacing w:val="1"/>
          <w:sz w:val="24"/>
        </w:rPr>
        <w:t> </w:t>
      </w:r>
      <w:r>
        <w:rPr>
          <w:sz w:val="24"/>
        </w:rPr>
        <w:t>your</w:t>
      </w:r>
      <w:r>
        <w:rPr>
          <w:spacing w:val="-2"/>
          <w:sz w:val="24"/>
        </w:rPr>
        <w:t> </w:t>
      </w:r>
      <w:r>
        <w:rPr>
          <w:sz w:val="24"/>
        </w:rPr>
        <w:t>highest</w:t>
      </w:r>
      <w:r>
        <w:rPr>
          <w:spacing w:val="-1"/>
          <w:sz w:val="24"/>
        </w:rPr>
        <w:t> </w:t>
      </w:r>
      <w:r>
        <w:rPr>
          <w:sz w:val="24"/>
        </w:rPr>
        <w:t>level</w:t>
      </w:r>
      <w:r>
        <w:rPr>
          <w:spacing w:val="-1"/>
          <w:sz w:val="24"/>
        </w:rPr>
        <w:t> </w:t>
      </w:r>
      <w:r>
        <w:rPr>
          <w:sz w:val="24"/>
        </w:rPr>
        <w:t>of</w:t>
      </w:r>
      <w:r>
        <w:rPr>
          <w:spacing w:val="-1"/>
          <w:sz w:val="24"/>
        </w:rPr>
        <w:t> </w:t>
      </w:r>
      <w:r>
        <w:rPr>
          <w:spacing w:val="-2"/>
          <w:sz w:val="24"/>
        </w:rPr>
        <w:t>education?</w:t>
      </w:r>
    </w:p>
    <w:p>
      <w:pPr>
        <w:pStyle w:val="BodyText"/>
        <w:tabs>
          <w:tab w:pos="9181" w:val="left" w:leader="none"/>
        </w:tabs>
        <w:spacing w:before="137"/>
        <w:ind w:left="1980"/>
      </w:pPr>
      <w:r>
        <w:rPr/>
        <w:t>Non-formal,</w:t>
      </w:r>
      <w:r>
        <w:rPr>
          <w:spacing w:val="-2"/>
        </w:rPr>
        <w:t> </w:t>
      </w:r>
      <w:r>
        <w:rPr/>
        <w:t>religious</w:t>
      </w:r>
      <w:r>
        <w:rPr>
          <w:spacing w:val="-1"/>
        </w:rPr>
        <w:t> </w:t>
      </w:r>
      <w:r>
        <w:rPr/>
        <w:t>literacy</w:t>
      </w:r>
      <w:r>
        <w:rPr>
          <w:spacing w:val="-6"/>
        </w:rPr>
        <w:t> </w:t>
      </w:r>
      <w:r>
        <w:rPr/>
        <w:t>class,</w:t>
      </w:r>
      <w:r>
        <w:rPr>
          <w:spacing w:val="-1"/>
        </w:rPr>
        <w:t> </w:t>
      </w:r>
      <w:r>
        <w:rPr/>
        <w:t>or adult</w:t>
      </w:r>
      <w:r>
        <w:rPr>
          <w:spacing w:val="-1"/>
        </w:rPr>
        <w:t> </w:t>
      </w:r>
      <w:r>
        <w:rPr>
          <w:spacing w:val="-2"/>
        </w:rPr>
        <w:t>education</w:t>
      </w:r>
      <w:r>
        <w:rPr/>
        <w:tab/>
        <w:t>(</w:t>
      </w:r>
      <w:r>
        <w:rPr>
          <w:spacing w:val="-2"/>
        </w:rPr>
        <w:t> </w:t>
      </w:r>
      <w:r>
        <w:rPr/>
        <w:t>)</w:t>
      </w:r>
      <w:r>
        <w:rPr>
          <w:spacing w:val="-2"/>
        </w:rPr>
        <w:t> </w:t>
      </w:r>
      <w:r>
        <w:rPr>
          <w:spacing w:val="-10"/>
        </w:rPr>
        <w:t>1</w:t>
      </w:r>
    </w:p>
    <w:p>
      <w:pPr>
        <w:spacing w:after="0"/>
        <w:sectPr>
          <w:pgSz w:w="11910" w:h="16840"/>
          <w:pgMar w:header="0" w:footer="1561" w:top="1360" w:bottom="1760" w:left="720" w:right="180"/>
        </w:sectPr>
      </w:pPr>
    </w:p>
    <w:p>
      <w:pPr>
        <w:pStyle w:val="BodyText"/>
        <w:tabs>
          <w:tab w:pos="9301" w:val="left" w:leader="none"/>
        </w:tabs>
        <w:spacing w:before="60"/>
        <w:ind w:left="2071"/>
      </w:pPr>
      <w:r>
        <w:rPr/>
        <mc:AlternateContent>
          <mc:Choice Requires="wps">
            <w:drawing>
              <wp:anchor distT="0" distB="0" distL="0" distR="0" allowOverlap="1" layoutInCell="1" locked="0" behindDoc="1" simplePos="0" relativeHeight="480701440">
                <wp:simplePos x="0" y="0"/>
                <wp:positionH relativeFrom="page">
                  <wp:posOffset>-1537026</wp:posOffset>
                </wp:positionH>
                <wp:positionV relativeFrom="page">
                  <wp:posOffset>4900424</wp:posOffset>
                </wp:positionV>
                <wp:extent cx="10669905" cy="914400"/>
                <wp:effectExtent l="0" t="0" r="0" b="0"/>
                <wp:wrapNone/>
                <wp:docPr id="377" name="Textbox 377"/>
                <wp:cNvGraphicFramePr>
                  <a:graphicFrameLocks/>
                </wp:cNvGraphicFramePr>
                <a:graphic>
                  <a:graphicData uri="http://schemas.microsoft.com/office/word/2010/wordprocessingShape">
                    <wps:wsp>
                      <wps:cNvPr id="377" name="Textbox 377"/>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15040;rotation:306" type="#_x0000_t136" fillcolor="#ff5400" stroked="f">
                <o:extrusion v:ext="view" autorotationcenter="t"/>
                <v:textpath style="font-family:&quot;Arial MT&quot;;font-size:72pt;v-text-kern:t;mso-text-shadow:auto" string="UNIVERSITY OF IBADAN"/>
                <w10:wrap type="none"/>
              </v:shape>
            </w:pict>
          </mc:Fallback>
        </mc:AlternateContent>
      </w:r>
      <w:r>
        <w:rPr/>
        <w:t>Primary</w:t>
      </w:r>
      <w:r>
        <w:rPr>
          <w:spacing w:val="-5"/>
        </w:rPr>
        <w:t> </w:t>
      </w:r>
      <w:r>
        <w:rPr>
          <w:spacing w:val="-2"/>
        </w:rPr>
        <w:t>School</w:t>
      </w:r>
      <w:r>
        <w:rPr/>
        <w:tab/>
        <w:t>(</w:t>
      </w:r>
      <w:r>
        <w:rPr>
          <w:spacing w:val="-2"/>
        </w:rPr>
        <w:t> </w:t>
      </w:r>
      <w:r>
        <w:rPr/>
        <w:t>)</w:t>
      </w:r>
      <w:r>
        <w:rPr>
          <w:spacing w:val="-2"/>
        </w:rPr>
        <w:t> </w:t>
      </w:r>
      <w:r>
        <w:rPr>
          <w:spacing w:val="-10"/>
        </w:rPr>
        <w:t>2</w:t>
      </w:r>
    </w:p>
    <w:p>
      <w:pPr>
        <w:pStyle w:val="BodyText"/>
        <w:tabs>
          <w:tab w:pos="9301" w:val="left" w:leader="none"/>
        </w:tabs>
        <w:spacing w:before="138"/>
        <w:ind w:left="2040"/>
      </w:pPr>
      <w:r>
        <w:rPr/>
        <w:t>Secondary/Technical/teachers</w:t>
      </w:r>
      <w:r>
        <w:rPr>
          <w:spacing w:val="-7"/>
        </w:rPr>
        <w:t> </w:t>
      </w:r>
      <w:r>
        <w:rPr>
          <w:spacing w:val="-2"/>
        </w:rPr>
        <w:t>College</w:t>
      </w:r>
      <w:r>
        <w:rPr/>
        <w:tab/>
        <w:t>(</w:t>
      </w:r>
      <w:r>
        <w:rPr>
          <w:spacing w:val="-2"/>
        </w:rPr>
        <w:t> </w:t>
      </w:r>
      <w:r>
        <w:rPr/>
        <w:t>)</w:t>
      </w:r>
      <w:r>
        <w:rPr>
          <w:spacing w:val="-2"/>
        </w:rPr>
        <w:t> </w:t>
      </w:r>
      <w:r>
        <w:rPr>
          <w:spacing w:val="-10"/>
        </w:rPr>
        <w:t>3</w:t>
      </w:r>
    </w:p>
    <w:p>
      <w:pPr>
        <w:pStyle w:val="BodyText"/>
        <w:tabs>
          <w:tab w:pos="9301" w:val="left" w:leader="none"/>
        </w:tabs>
        <w:spacing w:before="139"/>
        <w:ind w:left="1920"/>
      </w:pPr>
      <w:r>
        <w:rPr/>
        <w:t>Post</w:t>
      </w:r>
      <w:r>
        <w:rPr>
          <w:spacing w:val="-1"/>
        </w:rPr>
        <w:t> </w:t>
      </w:r>
      <w:r>
        <w:rPr/>
        <w:t>secondary</w:t>
      </w:r>
      <w:r>
        <w:rPr>
          <w:spacing w:val="-5"/>
        </w:rPr>
        <w:t> </w:t>
      </w:r>
      <w:r>
        <w:rPr/>
        <w:t>polytechnic/college</w:t>
      </w:r>
      <w:r>
        <w:rPr>
          <w:spacing w:val="-1"/>
        </w:rPr>
        <w:t> </w:t>
      </w:r>
      <w:r>
        <w:rPr/>
        <w:t>of </w:t>
      </w:r>
      <w:r>
        <w:rPr>
          <w:spacing w:val="-2"/>
        </w:rPr>
        <w:t>education</w:t>
      </w:r>
      <w:r>
        <w:rPr/>
        <w:tab/>
        <w:t>(</w:t>
      </w:r>
      <w:r>
        <w:rPr>
          <w:spacing w:val="-2"/>
        </w:rPr>
        <w:t> </w:t>
      </w:r>
      <w:r>
        <w:rPr/>
        <w:t>)</w:t>
      </w:r>
      <w:r>
        <w:rPr>
          <w:spacing w:val="-2"/>
        </w:rPr>
        <w:t> </w:t>
      </w:r>
      <w:r>
        <w:rPr>
          <w:spacing w:val="-10"/>
        </w:rPr>
        <w:t>4</w:t>
      </w:r>
    </w:p>
    <w:p>
      <w:pPr>
        <w:pStyle w:val="BodyText"/>
        <w:tabs>
          <w:tab w:pos="9301" w:val="left" w:leader="none"/>
        </w:tabs>
        <w:spacing w:before="137"/>
        <w:ind w:left="1920"/>
      </w:pPr>
      <w:r>
        <w:rPr>
          <w:spacing w:val="-2"/>
        </w:rPr>
        <w:t>University</w:t>
      </w:r>
      <w:r>
        <w:rPr/>
        <w:tab/>
        <w:t>(</w:t>
      </w:r>
      <w:r>
        <w:rPr>
          <w:spacing w:val="-2"/>
        </w:rPr>
        <w:t> </w:t>
      </w:r>
      <w:r>
        <w:rPr/>
        <w:t>)</w:t>
      </w:r>
      <w:r>
        <w:rPr>
          <w:spacing w:val="-2"/>
        </w:rPr>
        <w:t> </w:t>
      </w:r>
      <w:r>
        <w:rPr>
          <w:spacing w:val="-10"/>
        </w:rPr>
        <w:t>5</w:t>
      </w:r>
    </w:p>
    <w:p>
      <w:pPr>
        <w:pStyle w:val="Heading2"/>
        <w:numPr>
          <w:ilvl w:val="0"/>
          <w:numId w:val="33"/>
        </w:numPr>
        <w:tabs>
          <w:tab w:pos="1439" w:val="left" w:leader="none"/>
        </w:tabs>
        <w:spacing w:line="240" w:lineRule="auto" w:before="144" w:after="0"/>
        <w:ind w:left="1439" w:right="0" w:hanging="359"/>
        <w:jc w:val="left"/>
      </w:pPr>
      <w:r>
        <w:rPr>
          <w:spacing w:val="-2"/>
        </w:rPr>
        <w:t>Occupation:</w:t>
      </w:r>
    </w:p>
    <w:p>
      <w:pPr>
        <w:pStyle w:val="BodyText"/>
        <w:tabs>
          <w:tab w:pos="9241" w:val="left" w:leader="none"/>
        </w:tabs>
        <w:spacing w:before="132"/>
      </w:pPr>
      <w:r>
        <w:rPr>
          <w:spacing w:val="-2"/>
        </w:rPr>
        <w:t>Unemployed</w:t>
      </w:r>
      <w:r>
        <w:rPr/>
        <w:tab/>
        <w:t>(</w:t>
      </w:r>
      <w:r>
        <w:rPr>
          <w:spacing w:val="-2"/>
        </w:rPr>
        <w:t> </w:t>
      </w:r>
      <w:r>
        <w:rPr/>
        <w:t>)</w:t>
      </w:r>
      <w:r>
        <w:rPr>
          <w:spacing w:val="-2"/>
        </w:rPr>
        <w:t> </w:t>
      </w:r>
      <w:r>
        <w:rPr>
          <w:spacing w:val="-10"/>
        </w:rPr>
        <w:t>1</w:t>
      </w:r>
    </w:p>
    <w:p>
      <w:pPr>
        <w:pStyle w:val="BodyText"/>
        <w:tabs>
          <w:tab w:pos="9301" w:val="left" w:leader="none"/>
        </w:tabs>
        <w:spacing w:before="139"/>
      </w:pPr>
      <w:r>
        <w:rPr/>
        <w:t>Farming,</w:t>
      </w:r>
      <w:r>
        <w:rPr>
          <w:spacing w:val="-2"/>
        </w:rPr>
        <w:t> </w:t>
      </w:r>
      <w:r>
        <w:rPr/>
        <w:t>fishermen,</w:t>
      </w:r>
      <w:r>
        <w:rPr>
          <w:spacing w:val="-1"/>
        </w:rPr>
        <w:t> </w:t>
      </w:r>
      <w:r>
        <w:rPr/>
        <w:t>petty</w:t>
      </w:r>
      <w:r>
        <w:rPr>
          <w:spacing w:val="-4"/>
        </w:rPr>
        <w:t> </w:t>
      </w:r>
      <w:r>
        <w:rPr/>
        <w:t>trading</w:t>
      </w:r>
      <w:r>
        <w:rPr>
          <w:spacing w:val="-4"/>
        </w:rPr>
        <w:t> </w:t>
      </w:r>
      <w:r>
        <w:rPr/>
        <w:t>self</w:t>
      </w:r>
      <w:r>
        <w:rPr>
          <w:spacing w:val="-1"/>
        </w:rPr>
        <w:t> </w:t>
      </w:r>
      <w:r>
        <w:rPr/>
        <w:t>employed</w:t>
      </w:r>
      <w:r>
        <w:rPr>
          <w:spacing w:val="-1"/>
        </w:rPr>
        <w:t> </w:t>
      </w:r>
      <w:r>
        <w:rPr>
          <w:spacing w:val="-2"/>
        </w:rPr>
        <w:t>artisan</w:t>
      </w:r>
      <w:r>
        <w:rPr/>
        <w:tab/>
        <w:t>(</w:t>
      </w:r>
      <w:r>
        <w:rPr>
          <w:spacing w:val="-2"/>
        </w:rPr>
        <w:t> </w:t>
      </w:r>
      <w:r>
        <w:rPr/>
        <w:t>)</w:t>
      </w:r>
      <w:r>
        <w:rPr>
          <w:spacing w:val="-2"/>
        </w:rPr>
        <w:t> </w:t>
      </w:r>
      <w:r>
        <w:rPr>
          <w:spacing w:val="-10"/>
        </w:rPr>
        <w:t>2</w:t>
      </w:r>
    </w:p>
    <w:p>
      <w:pPr>
        <w:pStyle w:val="BodyText"/>
        <w:tabs>
          <w:tab w:pos="9301" w:val="left" w:leader="none"/>
        </w:tabs>
        <w:spacing w:before="137"/>
      </w:pPr>
      <w:r>
        <w:rPr/>
        <w:t>Junior</w:t>
      </w:r>
      <w:r>
        <w:rPr>
          <w:spacing w:val="-1"/>
        </w:rPr>
        <w:t> </w:t>
      </w:r>
      <w:r>
        <w:rPr/>
        <w:t>Staff</w:t>
      </w:r>
      <w:r>
        <w:rPr>
          <w:spacing w:val="-1"/>
        </w:rPr>
        <w:t> </w:t>
      </w:r>
      <w:r>
        <w:rPr/>
        <w:t>of</w:t>
      </w:r>
      <w:r>
        <w:rPr>
          <w:spacing w:val="-1"/>
        </w:rPr>
        <w:t> </w:t>
      </w:r>
      <w:r>
        <w:rPr/>
        <w:t>government</w:t>
      </w:r>
      <w:r>
        <w:rPr>
          <w:spacing w:val="-1"/>
        </w:rPr>
        <w:t> </w:t>
      </w:r>
      <w:r>
        <w:rPr/>
        <w:t>or </w:t>
      </w:r>
      <w:r>
        <w:rPr>
          <w:spacing w:val="-2"/>
        </w:rPr>
        <w:t>companies</w:t>
      </w:r>
      <w:r>
        <w:rPr/>
        <w:tab/>
        <w:t>(</w:t>
      </w:r>
      <w:r>
        <w:rPr>
          <w:spacing w:val="-2"/>
        </w:rPr>
        <w:t> </w:t>
      </w:r>
      <w:r>
        <w:rPr/>
        <w:t>)</w:t>
      </w:r>
      <w:r>
        <w:rPr>
          <w:spacing w:val="-2"/>
        </w:rPr>
        <w:t> </w:t>
      </w:r>
      <w:r>
        <w:rPr>
          <w:spacing w:val="-10"/>
        </w:rPr>
        <w:t>3</w:t>
      </w:r>
    </w:p>
    <w:p>
      <w:pPr>
        <w:pStyle w:val="BodyText"/>
        <w:tabs>
          <w:tab w:pos="9301" w:val="left" w:leader="none"/>
        </w:tabs>
        <w:spacing w:before="139"/>
      </w:pPr>
      <w:r>
        <w:rPr/>
        <w:t>Intermediate</w:t>
      </w:r>
      <w:r>
        <w:rPr>
          <w:spacing w:val="-3"/>
        </w:rPr>
        <w:t> </w:t>
      </w:r>
      <w:r>
        <w:rPr/>
        <w:t>staff</w:t>
      </w:r>
      <w:r>
        <w:rPr>
          <w:spacing w:val="-4"/>
        </w:rPr>
        <w:t> </w:t>
      </w:r>
      <w:r>
        <w:rPr/>
        <w:t>of government</w:t>
      </w:r>
      <w:r>
        <w:rPr>
          <w:spacing w:val="-2"/>
        </w:rPr>
        <w:t> </w:t>
      </w:r>
      <w:r>
        <w:rPr/>
        <w:t>or </w:t>
      </w:r>
      <w:r>
        <w:rPr>
          <w:spacing w:val="-2"/>
        </w:rPr>
        <w:t>companies</w:t>
      </w:r>
      <w:r>
        <w:rPr/>
        <w:tab/>
        <w:t>(</w:t>
      </w:r>
      <w:r>
        <w:rPr>
          <w:spacing w:val="-2"/>
        </w:rPr>
        <w:t> </w:t>
      </w:r>
      <w:r>
        <w:rPr/>
        <w:t>)</w:t>
      </w:r>
      <w:r>
        <w:rPr>
          <w:spacing w:val="-2"/>
        </w:rPr>
        <w:t> </w:t>
      </w:r>
      <w:r>
        <w:rPr>
          <w:spacing w:val="-10"/>
        </w:rPr>
        <w:t>4</w:t>
      </w:r>
    </w:p>
    <w:p>
      <w:pPr>
        <w:pStyle w:val="BodyText"/>
        <w:tabs>
          <w:tab w:pos="9241" w:val="left" w:leader="none"/>
        </w:tabs>
        <w:spacing w:before="137"/>
      </w:pPr>
      <w:r>
        <w:rPr/>
        <w:t>Self</w:t>
      </w:r>
      <w:r>
        <w:rPr>
          <w:spacing w:val="-1"/>
        </w:rPr>
        <w:t> </w:t>
      </w:r>
      <w:r>
        <w:rPr>
          <w:spacing w:val="-2"/>
        </w:rPr>
        <w:t>employed</w:t>
      </w:r>
      <w:r>
        <w:rPr/>
        <w:tab/>
        <w:t>(</w:t>
      </w:r>
      <w:r>
        <w:rPr>
          <w:spacing w:val="-2"/>
        </w:rPr>
        <w:t> </w:t>
      </w:r>
      <w:r>
        <w:rPr/>
        <w:t>)</w:t>
      </w:r>
      <w:r>
        <w:rPr>
          <w:spacing w:val="-2"/>
        </w:rPr>
        <w:t> </w:t>
      </w:r>
      <w:r>
        <w:rPr>
          <w:spacing w:val="-10"/>
        </w:rPr>
        <w:t>5</w:t>
      </w:r>
    </w:p>
    <w:p>
      <w:pPr>
        <w:pStyle w:val="BodyText"/>
        <w:tabs>
          <w:tab w:pos="9241" w:val="left" w:leader="none"/>
        </w:tabs>
        <w:spacing w:before="140"/>
      </w:pPr>
      <w:r>
        <w:rPr>
          <w:spacing w:val="-2"/>
        </w:rPr>
        <w:t>Retired</w:t>
      </w:r>
      <w:r>
        <w:rPr/>
        <w:tab/>
        <w:t>(</w:t>
      </w:r>
      <w:r>
        <w:rPr>
          <w:spacing w:val="-2"/>
        </w:rPr>
        <w:t> </w:t>
      </w:r>
      <w:r>
        <w:rPr/>
        <w:t>)</w:t>
      </w:r>
      <w:r>
        <w:rPr>
          <w:spacing w:val="-2"/>
        </w:rPr>
        <w:t> </w:t>
      </w:r>
      <w:r>
        <w:rPr>
          <w:spacing w:val="-10"/>
        </w:rPr>
        <w:t>6</w:t>
      </w:r>
    </w:p>
    <w:p>
      <w:pPr>
        <w:pStyle w:val="BodyText"/>
        <w:tabs>
          <w:tab w:pos="9241" w:val="left" w:leader="none"/>
        </w:tabs>
        <w:spacing w:before="136"/>
      </w:pPr>
      <w:r>
        <w:rPr/>
        <w:t>Development</w:t>
      </w:r>
      <w:r>
        <w:rPr>
          <w:spacing w:val="-2"/>
        </w:rPr>
        <w:t> </w:t>
      </w:r>
      <w:r>
        <w:rPr/>
        <w:t>or</w:t>
      </w:r>
      <w:r>
        <w:rPr>
          <w:spacing w:val="-1"/>
        </w:rPr>
        <w:t> </w:t>
      </w:r>
      <w:r>
        <w:rPr/>
        <w:t>social</w:t>
      </w:r>
      <w:r>
        <w:rPr>
          <w:spacing w:val="-1"/>
        </w:rPr>
        <w:t> </w:t>
      </w:r>
      <w:r>
        <w:rPr>
          <w:spacing w:val="-2"/>
        </w:rPr>
        <w:t>worker</w:t>
      </w:r>
      <w:r>
        <w:rPr/>
        <w:tab/>
        <w:t>(</w:t>
      </w:r>
      <w:r>
        <w:rPr>
          <w:spacing w:val="-2"/>
        </w:rPr>
        <w:t> </w:t>
      </w:r>
      <w:r>
        <w:rPr/>
        <w:t>)</w:t>
      </w:r>
      <w:r>
        <w:rPr>
          <w:spacing w:val="-2"/>
        </w:rPr>
        <w:t> </w:t>
      </w:r>
      <w:r>
        <w:rPr>
          <w:spacing w:val="-10"/>
        </w:rPr>
        <w:t>7</w:t>
      </w:r>
    </w:p>
    <w:p>
      <w:pPr>
        <w:pStyle w:val="BodyText"/>
        <w:spacing w:before="140"/>
      </w:pPr>
      <w:r>
        <w:rPr/>
        <w:t>Others</w:t>
      </w:r>
      <w:r>
        <w:rPr>
          <w:spacing w:val="-2"/>
        </w:rPr>
        <w:t> </w:t>
      </w:r>
      <w:r>
        <w:rPr/>
        <w:t>(please</w:t>
      </w:r>
      <w:r>
        <w:rPr>
          <w:spacing w:val="-2"/>
        </w:rPr>
        <w:t> specify)</w:t>
      </w:r>
    </w:p>
    <w:p>
      <w:pPr>
        <w:pStyle w:val="ListParagraph"/>
        <w:numPr>
          <w:ilvl w:val="0"/>
          <w:numId w:val="33"/>
        </w:numPr>
        <w:tabs>
          <w:tab w:pos="1439" w:val="left" w:leader="none"/>
        </w:tabs>
        <w:spacing w:line="240" w:lineRule="auto" w:before="137" w:after="0"/>
        <w:ind w:left="1439" w:right="0" w:hanging="359"/>
        <w:jc w:val="left"/>
        <w:rPr>
          <w:sz w:val="24"/>
        </w:rPr>
      </w:pPr>
      <w:r>
        <w:rPr>
          <w:sz w:val="24"/>
        </w:rPr>
        <w:t>If</w:t>
      </w:r>
      <w:r>
        <w:rPr>
          <w:spacing w:val="-1"/>
          <w:sz w:val="24"/>
        </w:rPr>
        <w:t> </w:t>
      </w:r>
      <w:r>
        <w:rPr>
          <w:sz w:val="24"/>
        </w:rPr>
        <w:t>retired</w:t>
      </w:r>
      <w:r>
        <w:rPr>
          <w:spacing w:val="-2"/>
          <w:sz w:val="24"/>
        </w:rPr>
        <w:t> </w:t>
      </w:r>
      <w:r>
        <w:rPr>
          <w:sz w:val="24"/>
        </w:rPr>
        <w:t>what</w:t>
      </w:r>
      <w:r>
        <w:rPr>
          <w:spacing w:val="-2"/>
          <w:sz w:val="24"/>
        </w:rPr>
        <w:t> </w:t>
      </w:r>
      <w:r>
        <w:rPr>
          <w:sz w:val="24"/>
        </w:rPr>
        <w:t>was</w:t>
      </w:r>
      <w:r>
        <w:rPr>
          <w:spacing w:val="1"/>
          <w:sz w:val="24"/>
        </w:rPr>
        <w:t> </w:t>
      </w:r>
      <w:r>
        <w:rPr>
          <w:sz w:val="24"/>
        </w:rPr>
        <w:t>your</w:t>
      </w:r>
      <w:r>
        <w:rPr>
          <w:spacing w:val="-2"/>
          <w:sz w:val="24"/>
        </w:rPr>
        <w:t> </w:t>
      </w:r>
      <w:r>
        <w:rPr>
          <w:sz w:val="24"/>
        </w:rPr>
        <w:t>last</w:t>
      </w:r>
      <w:r>
        <w:rPr>
          <w:spacing w:val="-1"/>
          <w:sz w:val="24"/>
        </w:rPr>
        <w:t> </w:t>
      </w:r>
      <w:r>
        <w:rPr>
          <w:spacing w:val="-2"/>
          <w:sz w:val="24"/>
        </w:rPr>
        <w:t>occupation?</w:t>
      </w:r>
    </w:p>
    <w:p>
      <w:pPr>
        <w:pStyle w:val="BodyText"/>
        <w:spacing w:before="156"/>
        <w:ind w:left="0"/>
        <w:rPr>
          <w:sz w:val="20"/>
        </w:rPr>
      </w:pPr>
      <w:r>
        <w:rPr/>
        <mc:AlternateContent>
          <mc:Choice Requires="wps">
            <w:drawing>
              <wp:anchor distT="0" distB="0" distL="0" distR="0" allowOverlap="1" layoutInCell="1" locked="0" behindDoc="1" simplePos="0" relativeHeight="487730688">
                <wp:simplePos x="0" y="0"/>
                <wp:positionH relativeFrom="page">
                  <wp:posOffset>1371853</wp:posOffset>
                </wp:positionH>
                <wp:positionV relativeFrom="paragraph">
                  <wp:posOffset>260411</wp:posOffset>
                </wp:positionV>
                <wp:extent cx="4876800" cy="1270"/>
                <wp:effectExtent l="0" t="0" r="0" b="0"/>
                <wp:wrapTopAndBottom/>
                <wp:docPr id="378" name="Graphic 378"/>
                <wp:cNvGraphicFramePr>
                  <a:graphicFrameLocks/>
                </wp:cNvGraphicFramePr>
                <a:graphic>
                  <a:graphicData uri="http://schemas.microsoft.com/office/word/2010/wordprocessingShape">
                    <wps:wsp>
                      <wps:cNvPr id="378" name="Graphic 378"/>
                      <wps:cNvSpPr/>
                      <wps:spPr>
                        <a:xfrm>
                          <a:off x="0" y="0"/>
                          <a:ext cx="4876800" cy="1270"/>
                        </a:xfrm>
                        <a:custGeom>
                          <a:avLst/>
                          <a:gdLst/>
                          <a:ahLst/>
                          <a:cxnLst/>
                          <a:rect l="l" t="t" r="r" b="b"/>
                          <a:pathLst>
                            <a:path w="4876800" h="0">
                              <a:moveTo>
                                <a:pt x="0" y="0"/>
                              </a:moveTo>
                              <a:lnTo>
                                <a:pt x="4876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8.019997pt;margin-top:20.504841pt;width:384pt;height:.1pt;mso-position-horizontal-relative:page;mso-position-vertical-relative:paragraph;z-index:-15585792;mso-wrap-distance-left:0;mso-wrap-distance-right:0" id="docshape141" coordorigin="2160,410" coordsize="7680,0" path="m2160,410l9840,410e" filled="false" stroked="true" strokeweight=".487125pt" strokecolor="#000000">
                <v:path arrowok="t"/>
                <v:stroke dashstyle="solid"/>
                <w10:wrap type="topAndBottom"/>
              </v:shape>
            </w:pict>
          </mc:Fallback>
        </mc:AlternateContent>
      </w:r>
    </w:p>
    <w:p>
      <w:pPr>
        <w:pStyle w:val="Heading2"/>
        <w:spacing w:before="141"/>
      </w:pPr>
      <w:r>
        <w:rPr/>
        <w:t>Marital</w:t>
      </w:r>
      <w:r>
        <w:rPr>
          <w:spacing w:val="-4"/>
        </w:rPr>
        <w:t> </w:t>
      </w:r>
      <w:r>
        <w:rPr>
          <w:spacing w:val="-2"/>
        </w:rPr>
        <w:t>status:</w:t>
      </w:r>
    </w:p>
    <w:p>
      <w:pPr>
        <w:pStyle w:val="BodyText"/>
        <w:tabs>
          <w:tab w:pos="9181" w:val="left" w:leader="none"/>
        </w:tabs>
        <w:spacing w:before="135"/>
      </w:pPr>
      <w:r>
        <w:rPr>
          <w:spacing w:val="-2"/>
        </w:rPr>
        <w:t>Single</w:t>
      </w:r>
      <w:r>
        <w:rPr/>
        <w:tab/>
        <w:t>(</w:t>
      </w:r>
      <w:r>
        <w:rPr>
          <w:spacing w:val="-2"/>
        </w:rPr>
        <w:t> </w:t>
      </w:r>
      <w:r>
        <w:rPr/>
        <w:t>)</w:t>
      </w:r>
      <w:r>
        <w:rPr>
          <w:spacing w:val="-2"/>
        </w:rPr>
        <w:t> </w:t>
      </w:r>
      <w:r>
        <w:rPr>
          <w:spacing w:val="-10"/>
        </w:rPr>
        <w:t>1</w:t>
      </w:r>
    </w:p>
    <w:p>
      <w:pPr>
        <w:pStyle w:val="BodyText"/>
        <w:tabs>
          <w:tab w:pos="9181" w:val="left" w:leader="none"/>
        </w:tabs>
        <w:spacing w:before="137"/>
      </w:pPr>
      <w:r>
        <w:rPr>
          <w:spacing w:val="-2"/>
        </w:rPr>
        <w:t>Married</w:t>
      </w:r>
      <w:r>
        <w:rPr/>
        <w:tab/>
        <w:t>(</w:t>
      </w:r>
      <w:r>
        <w:rPr>
          <w:spacing w:val="-2"/>
        </w:rPr>
        <w:t> </w:t>
      </w:r>
      <w:r>
        <w:rPr/>
        <w:t>)</w:t>
      </w:r>
      <w:r>
        <w:rPr>
          <w:spacing w:val="-2"/>
        </w:rPr>
        <w:t> </w:t>
      </w:r>
      <w:r>
        <w:rPr>
          <w:spacing w:val="-10"/>
        </w:rPr>
        <w:t>2</w:t>
      </w:r>
    </w:p>
    <w:p>
      <w:pPr>
        <w:pStyle w:val="BodyText"/>
        <w:tabs>
          <w:tab w:pos="9181" w:val="left" w:leader="none"/>
        </w:tabs>
        <w:spacing w:before="139"/>
      </w:pPr>
      <w:r>
        <w:rPr>
          <w:spacing w:val="-2"/>
        </w:rPr>
        <w:t>Divorced</w:t>
      </w:r>
      <w:r>
        <w:rPr/>
        <w:tab/>
        <w:t>(</w:t>
      </w:r>
      <w:r>
        <w:rPr>
          <w:spacing w:val="-2"/>
        </w:rPr>
        <w:t> </w:t>
      </w:r>
      <w:r>
        <w:rPr/>
        <w:t>)</w:t>
      </w:r>
      <w:r>
        <w:rPr>
          <w:spacing w:val="-2"/>
        </w:rPr>
        <w:t> </w:t>
      </w:r>
      <w:r>
        <w:rPr>
          <w:spacing w:val="-10"/>
        </w:rPr>
        <w:t>3</w:t>
      </w:r>
    </w:p>
    <w:p>
      <w:pPr>
        <w:pStyle w:val="BodyText"/>
        <w:tabs>
          <w:tab w:pos="9121" w:val="left" w:leader="none"/>
        </w:tabs>
        <w:spacing w:before="137"/>
      </w:pPr>
      <w:r>
        <w:rPr>
          <w:spacing w:val="-2"/>
        </w:rPr>
        <w:t>Widow</w:t>
      </w:r>
      <w:r>
        <w:rPr/>
        <w:tab/>
        <w:t>(</w:t>
      </w:r>
      <w:r>
        <w:rPr>
          <w:spacing w:val="-2"/>
        </w:rPr>
        <w:t> </w:t>
      </w:r>
      <w:r>
        <w:rPr/>
        <w:t>)</w:t>
      </w:r>
      <w:r>
        <w:rPr>
          <w:spacing w:val="-2"/>
        </w:rPr>
        <w:t> </w:t>
      </w:r>
      <w:r>
        <w:rPr>
          <w:spacing w:val="-10"/>
        </w:rPr>
        <w:t>4</w:t>
      </w:r>
    </w:p>
    <w:p>
      <w:pPr>
        <w:pStyle w:val="BodyText"/>
        <w:spacing w:before="139"/>
      </w:pPr>
      <w:r>
        <w:rPr>
          <w:spacing w:val="-2"/>
        </w:rPr>
        <w:t>Others</w:t>
      </w:r>
    </w:p>
    <w:p>
      <w:pPr>
        <w:pStyle w:val="Heading2"/>
        <w:spacing w:before="142"/>
      </w:pPr>
      <w:r>
        <w:rPr>
          <w:spacing w:val="-2"/>
        </w:rPr>
        <w:t>Religion:</w:t>
      </w:r>
    </w:p>
    <w:p>
      <w:pPr>
        <w:pStyle w:val="BodyText"/>
        <w:tabs>
          <w:tab w:pos="9121" w:val="left" w:leader="none"/>
        </w:tabs>
        <w:spacing w:before="134"/>
      </w:pPr>
      <w:r>
        <w:rPr>
          <w:spacing w:val="-2"/>
        </w:rPr>
        <w:t>Christianity</w:t>
      </w:r>
      <w:r>
        <w:rPr/>
        <w:tab/>
        <w:t>(</w:t>
      </w:r>
      <w:r>
        <w:rPr>
          <w:spacing w:val="-2"/>
        </w:rPr>
        <w:t> </w:t>
      </w:r>
      <w:r>
        <w:rPr/>
        <w:t>)</w:t>
      </w:r>
      <w:r>
        <w:rPr>
          <w:spacing w:val="-2"/>
        </w:rPr>
        <w:t> </w:t>
      </w:r>
      <w:r>
        <w:rPr>
          <w:spacing w:val="-10"/>
        </w:rPr>
        <w:t>1</w:t>
      </w:r>
    </w:p>
    <w:p>
      <w:pPr>
        <w:pStyle w:val="BodyText"/>
        <w:tabs>
          <w:tab w:pos="9121" w:val="left" w:leader="none"/>
        </w:tabs>
        <w:spacing w:before="137"/>
      </w:pPr>
      <w:r>
        <w:rPr>
          <w:spacing w:val="-2"/>
        </w:rPr>
        <w:t>Islam</w:t>
      </w:r>
      <w:r>
        <w:rPr/>
        <w:tab/>
        <w:t>(</w:t>
      </w:r>
      <w:r>
        <w:rPr>
          <w:spacing w:val="-2"/>
        </w:rPr>
        <w:t> </w:t>
      </w:r>
      <w:r>
        <w:rPr/>
        <w:t>)</w:t>
      </w:r>
      <w:r>
        <w:rPr>
          <w:spacing w:val="-2"/>
        </w:rPr>
        <w:t> </w:t>
      </w:r>
      <w:r>
        <w:rPr>
          <w:spacing w:val="-10"/>
        </w:rPr>
        <w:t>2</w:t>
      </w:r>
    </w:p>
    <w:p>
      <w:pPr>
        <w:pStyle w:val="BodyText"/>
        <w:tabs>
          <w:tab w:pos="9121" w:val="left" w:leader="none"/>
        </w:tabs>
        <w:spacing w:before="139"/>
      </w:pPr>
      <w:r>
        <w:rPr>
          <w:spacing w:val="-2"/>
        </w:rPr>
        <w:t>Traditional</w:t>
      </w:r>
      <w:r>
        <w:rPr/>
        <w:tab/>
        <w:t>(</w:t>
      </w:r>
      <w:r>
        <w:rPr>
          <w:spacing w:val="-2"/>
        </w:rPr>
        <w:t> </w:t>
      </w:r>
      <w:r>
        <w:rPr/>
        <w:t>)</w:t>
      </w:r>
      <w:r>
        <w:rPr>
          <w:spacing w:val="-2"/>
        </w:rPr>
        <w:t> </w:t>
      </w:r>
      <w:r>
        <w:rPr>
          <w:spacing w:val="-10"/>
        </w:rPr>
        <w:t>3</w:t>
      </w:r>
    </w:p>
    <w:p>
      <w:pPr>
        <w:pStyle w:val="BodyText"/>
        <w:tabs>
          <w:tab w:pos="9121" w:val="left" w:leader="none"/>
        </w:tabs>
        <w:spacing w:before="137"/>
      </w:pPr>
      <w:r>
        <w:rPr/>
        <w:t>Others</w:t>
      </w:r>
      <w:r>
        <w:rPr>
          <w:spacing w:val="-1"/>
        </w:rPr>
        <w:t> </w:t>
      </w:r>
      <w:r>
        <w:rPr>
          <w:spacing w:val="-2"/>
        </w:rPr>
        <w:t>(specify)</w:t>
      </w:r>
      <w:r>
        <w:rPr/>
        <w:tab/>
        <w:t>(</w:t>
      </w:r>
      <w:r>
        <w:rPr>
          <w:spacing w:val="-2"/>
        </w:rPr>
        <w:t> </w:t>
      </w:r>
      <w:r>
        <w:rPr/>
        <w:t>)</w:t>
      </w:r>
      <w:r>
        <w:rPr>
          <w:spacing w:val="-2"/>
        </w:rPr>
        <w:t> </w:t>
      </w:r>
      <w:r>
        <w:rPr>
          <w:spacing w:val="-10"/>
        </w:rPr>
        <w:t>4</w:t>
      </w:r>
    </w:p>
    <w:p>
      <w:pPr>
        <w:pStyle w:val="Heading2"/>
        <w:spacing w:before="144"/>
      </w:pPr>
      <w:r>
        <w:rPr/>
        <w:t>How</w:t>
      </w:r>
      <w:r>
        <w:rPr>
          <w:spacing w:val="1"/>
        </w:rPr>
        <w:t> </w:t>
      </w:r>
      <w:r>
        <w:rPr/>
        <w:t>long have</w:t>
      </w:r>
      <w:r>
        <w:rPr>
          <w:spacing w:val="-1"/>
        </w:rPr>
        <w:t> </w:t>
      </w:r>
      <w:r>
        <w:rPr/>
        <w:t>you</w:t>
      </w:r>
      <w:r>
        <w:rPr>
          <w:spacing w:val="-1"/>
        </w:rPr>
        <w:t> </w:t>
      </w:r>
      <w:r>
        <w:rPr/>
        <w:t>live</w:t>
      </w:r>
      <w:r>
        <w:rPr>
          <w:spacing w:val="-4"/>
        </w:rPr>
        <w:t> </w:t>
      </w:r>
      <w:r>
        <w:rPr/>
        <w:t>in</w:t>
      </w:r>
      <w:r>
        <w:rPr>
          <w:spacing w:val="1"/>
        </w:rPr>
        <w:t> </w:t>
      </w:r>
      <w:r>
        <w:rPr/>
        <w:t>your</w:t>
      </w:r>
      <w:r>
        <w:rPr>
          <w:spacing w:val="-1"/>
        </w:rPr>
        <w:t> </w:t>
      </w:r>
      <w:r>
        <w:rPr>
          <w:spacing w:val="-4"/>
        </w:rPr>
        <w:t>area?</w:t>
      </w:r>
    </w:p>
    <w:p>
      <w:pPr>
        <w:pStyle w:val="BodyText"/>
        <w:tabs>
          <w:tab w:pos="9121" w:val="left" w:leader="none"/>
        </w:tabs>
        <w:spacing w:before="133"/>
      </w:pPr>
      <w:r>
        <w:rPr/>
        <w:t>Less</w:t>
      </w:r>
      <w:r>
        <w:rPr>
          <w:spacing w:val="-2"/>
        </w:rPr>
        <w:t> </w:t>
      </w:r>
      <w:r>
        <w:rPr/>
        <w:t>than 1</w:t>
      </w:r>
      <w:r>
        <w:rPr>
          <w:spacing w:val="3"/>
        </w:rPr>
        <w:t> </w:t>
      </w:r>
      <w:r>
        <w:rPr>
          <w:spacing w:val="-4"/>
        </w:rPr>
        <w:t>year</w:t>
      </w:r>
      <w:r>
        <w:rPr/>
        <w:tab/>
        <w:t>(</w:t>
      </w:r>
      <w:r>
        <w:rPr>
          <w:spacing w:val="-2"/>
        </w:rPr>
        <w:t> </w:t>
      </w:r>
      <w:r>
        <w:rPr/>
        <w:t>)</w:t>
      </w:r>
      <w:r>
        <w:rPr>
          <w:spacing w:val="-2"/>
        </w:rPr>
        <w:t> </w:t>
      </w:r>
      <w:r>
        <w:rPr>
          <w:spacing w:val="-10"/>
        </w:rPr>
        <w:t>1</w:t>
      </w:r>
    </w:p>
    <w:p>
      <w:pPr>
        <w:pStyle w:val="BodyText"/>
        <w:tabs>
          <w:tab w:pos="9061" w:val="left" w:leader="none"/>
        </w:tabs>
        <w:spacing w:before="139"/>
      </w:pPr>
      <w:r>
        <w:rPr/>
        <w:t>1 – 5 </w:t>
      </w:r>
      <w:r>
        <w:rPr>
          <w:spacing w:val="-2"/>
        </w:rPr>
        <w:t>Years</w:t>
      </w:r>
      <w:r>
        <w:rPr/>
        <w:tab/>
        <w:t>(</w:t>
      </w:r>
      <w:r>
        <w:rPr>
          <w:spacing w:val="-2"/>
        </w:rPr>
        <w:t> </w:t>
      </w:r>
      <w:r>
        <w:rPr/>
        <w:t>)</w:t>
      </w:r>
      <w:r>
        <w:rPr>
          <w:spacing w:val="-2"/>
        </w:rPr>
        <w:t> </w:t>
      </w:r>
      <w:r>
        <w:rPr>
          <w:spacing w:val="-10"/>
        </w:rPr>
        <w:t>2</w:t>
      </w:r>
    </w:p>
    <w:p>
      <w:pPr>
        <w:pStyle w:val="BodyText"/>
        <w:tabs>
          <w:tab w:pos="9061" w:val="left" w:leader="none"/>
        </w:tabs>
        <w:spacing w:before="137"/>
      </w:pPr>
      <w:r>
        <w:rPr/>
        <w:t>6 – 9 </w:t>
      </w:r>
      <w:r>
        <w:rPr>
          <w:spacing w:val="-2"/>
        </w:rPr>
        <w:t>Years</w:t>
      </w:r>
      <w:r>
        <w:rPr/>
        <w:tab/>
        <w:t>(</w:t>
      </w:r>
      <w:r>
        <w:rPr>
          <w:spacing w:val="-2"/>
        </w:rPr>
        <w:t> </w:t>
      </w:r>
      <w:r>
        <w:rPr/>
        <w:t>)</w:t>
      </w:r>
      <w:r>
        <w:rPr>
          <w:spacing w:val="-2"/>
        </w:rPr>
        <w:t> </w:t>
      </w:r>
      <w:r>
        <w:rPr>
          <w:spacing w:val="-10"/>
        </w:rPr>
        <w:t>3</w:t>
      </w:r>
    </w:p>
    <w:p>
      <w:pPr>
        <w:pStyle w:val="BodyText"/>
        <w:tabs>
          <w:tab w:pos="9061" w:val="left" w:leader="none"/>
        </w:tabs>
        <w:spacing w:before="139"/>
      </w:pPr>
      <w:r>
        <w:rPr/>
        <w:t>10</w:t>
      </w:r>
      <w:r>
        <w:rPr>
          <w:spacing w:val="-2"/>
        </w:rPr>
        <w:t> </w:t>
      </w:r>
      <w:r>
        <w:rPr/>
        <w:t>Years and</w:t>
      </w:r>
      <w:r>
        <w:rPr>
          <w:spacing w:val="-1"/>
        </w:rPr>
        <w:t> </w:t>
      </w:r>
      <w:r>
        <w:rPr>
          <w:spacing w:val="-2"/>
        </w:rPr>
        <w:t>above</w:t>
      </w:r>
      <w:r>
        <w:rPr/>
        <w:tab/>
        <w:t>(</w:t>
      </w:r>
      <w:r>
        <w:rPr>
          <w:spacing w:val="-2"/>
        </w:rPr>
        <w:t> </w:t>
      </w:r>
      <w:r>
        <w:rPr/>
        <w:t>)</w:t>
      </w:r>
      <w:r>
        <w:rPr>
          <w:spacing w:val="-2"/>
        </w:rPr>
        <w:t> </w:t>
      </w:r>
      <w:r>
        <w:rPr>
          <w:spacing w:val="-10"/>
        </w:rPr>
        <w:t>4</w:t>
      </w:r>
    </w:p>
    <w:p>
      <w:pPr>
        <w:spacing w:after="0"/>
        <w:sectPr>
          <w:pgSz w:w="11910" w:h="16840"/>
          <w:pgMar w:header="0" w:footer="1561" w:top="1360" w:bottom="1760" w:left="720" w:right="180"/>
        </w:sectPr>
      </w:pPr>
    </w:p>
    <w:p>
      <w:pPr>
        <w:pStyle w:val="Heading2"/>
        <w:spacing w:before="65"/>
        <w:ind w:left="1480" w:right="1300"/>
        <w:jc w:val="center"/>
      </w:pPr>
      <w:r>
        <w:rPr/>
        <mc:AlternateContent>
          <mc:Choice Requires="wps">
            <w:drawing>
              <wp:anchor distT="0" distB="0" distL="0" distR="0" allowOverlap="1" layoutInCell="1" locked="0" behindDoc="1" simplePos="0" relativeHeight="480704000">
                <wp:simplePos x="0" y="0"/>
                <wp:positionH relativeFrom="page">
                  <wp:posOffset>-1537026</wp:posOffset>
                </wp:positionH>
                <wp:positionV relativeFrom="page">
                  <wp:posOffset>4900424</wp:posOffset>
                </wp:positionV>
                <wp:extent cx="10669905" cy="914400"/>
                <wp:effectExtent l="0" t="0" r="0" b="0"/>
                <wp:wrapNone/>
                <wp:docPr id="379" name="Textbox 379"/>
                <wp:cNvGraphicFramePr>
                  <a:graphicFrameLocks/>
                </wp:cNvGraphicFramePr>
                <a:graphic>
                  <a:graphicData uri="http://schemas.microsoft.com/office/word/2010/wordprocessingShape">
                    <wps:wsp>
                      <wps:cNvPr id="379" name="Textbox 379"/>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12480;rotation:306" type="#_x0000_t136" fillcolor="#ff5400" stroked="f">
                <o:extrusion v:ext="view" autorotationcenter="t"/>
                <v:textpath style="font-family:&quot;Arial MT&quot;;font-size:72pt;v-text-kern:t;mso-text-shadow:auto" string="UNIVERSITY OF IBADAN"/>
                <w10:wrap type="none"/>
              </v:shape>
            </w:pict>
          </mc:Fallback>
        </mc:AlternateContent>
      </w:r>
      <w:r>
        <w:rPr/>
        <w:t>SECTION</w:t>
      </w:r>
      <w:r>
        <w:rPr>
          <w:spacing w:val="-2"/>
        </w:rPr>
        <w:t> </w:t>
      </w:r>
      <w:r>
        <w:rPr/>
        <w:t>B:</w:t>
      </w:r>
      <w:r>
        <w:rPr>
          <w:spacing w:val="-4"/>
        </w:rPr>
        <w:t> </w:t>
      </w:r>
      <w:r>
        <w:rPr/>
        <w:t>(Main research </w:t>
      </w:r>
      <w:r>
        <w:rPr>
          <w:spacing w:val="-2"/>
        </w:rPr>
        <w:t>Questions)</w:t>
      </w:r>
    </w:p>
    <w:p>
      <w:pPr>
        <w:pStyle w:val="BodyText"/>
        <w:spacing w:before="130"/>
        <w:ind w:right="1260"/>
        <w:jc w:val="both"/>
      </w:pPr>
      <w:r>
        <w:rPr/>
        <w:t>Please read the questions below carefully and tick the appropriate option in the column that best indicate your responses.</w:t>
      </w:r>
    </w:p>
    <w:p>
      <w:pPr>
        <w:pStyle w:val="BodyText"/>
        <w:ind w:right="1261"/>
        <w:jc w:val="both"/>
      </w:pPr>
      <w:r>
        <w:rPr/>
        <w:t>RQ1 in the developed world, good governance is regarded as a mandatory condition for sustainable growth and development. Then why is it that good governance is unattainable in Nigeria? Because……………………………..</w:t>
      </w:r>
    </w:p>
    <w:p>
      <w:pPr>
        <w:pStyle w:val="BodyText"/>
        <w:spacing w:before="54"/>
        <w:ind w:left="0"/>
        <w:rPr>
          <w:sz w:val="20"/>
        </w:rPr>
      </w:pP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05"/>
        <w:gridCol w:w="1056"/>
        <w:gridCol w:w="1017"/>
        <w:gridCol w:w="926"/>
        <w:gridCol w:w="1554"/>
      </w:tblGrid>
      <w:tr>
        <w:trPr>
          <w:trHeight w:val="277" w:hRule="atLeast"/>
        </w:trPr>
        <w:tc>
          <w:tcPr>
            <w:tcW w:w="3905" w:type="dxa"/>
          </w:tcPr>
          <w:p>
            <w:pPr>
              <w:pStyle w:val="TableParagraph"/>
              <w:rPr>
                <w:sz w:val="20"/>
              </w:rPr>
            </w:pPr>
          </w:p>
        </w:tc>
        <w:tc>
          <w:tcPr>
            <w:tcW w:w="1056" w:type="dxa"/>
          </w:tcPr>
          <w:p>
            <w:pPr>
              <w:pStyle w:val="TableParagraph"/>
              <w:spacing w:line="258" w:lineRule="exact"/>
              <w:ind w:left="108"/>
              <w:rPr>
                <w:sz w:val="24"/>
              </w:rPr>
            </w:pPr>
            <w:r>
              <w:rPr>
                <w:spacing w:val="-5"/>
                <w:sz w:val="24"/>
              </w:rPr>
              <w:t>SA</w:t>
            </w:r>
          </w:p>
        </w:tc>
        <w:tc>
          <w:tcPr>
            <w:tcW w:w="1017" w:type="dxa"/>
          </w:tcPr>
          <w:p>
            <w:pPr>
              <w:pStyle w:val="TableParagraph"/>
              <w:spacing w:line="258" w:lineRule="exact"/>
              <w:ind w:left="108"/>
              <w:rPr>
                <w:sz w:val="24"/>
              </w:rPr>
            </w:pPr>
            <w:r>
              <w:rPr>
                <w:spacing w:val="-10"/>
                <w:sz w:val="24"/>
              </w:rPr>
              <w:t>A</w:t>
            </w:r>
          </w:p>
        </w:tc>
        <w:tc>
          <w:tcPr>
            <w:tcW w:w="926" w:type="dxa"/>
          </w:tcPr>
          <w:p>
            <w:pPr>
              <w:pStyle w:val="TableParagraph"/>
              <w:spacing w:line="258" w:lineRule="exact"/>
              <w:ind w:left="109"/>
              <w:rPr>
                <w:sz w:val="24"/>
              </w:rPr>
            </w:pPr>
            <w:r>
              <w:rPr>
                <w:spacing w:val="-5"/>
                <w:sz w:val="24"/>
              </w:rPr>
              <w:t>SD</w:t>
            </w:r>
          </w:p>
        </w:tc>
        <w:tc>
          <w:tcPr>
            <w:tcW w:w="1554" w:type="dxa"/>
          </w:tcPr>
          <w:p>
            <w:pPr>
              <w:pStyle w:val="TableParagraph"/>
              <w:spacing w:line="258" w:lineRule="exact"/>
              <w:ind w:left="110"/>
              <w:rPr>
                <w:sz w:val="24"/>
              </w:rPr>
            </w:pPr>
            <w:r>
              <w:rPr>
                <w:spacing w:val="-10"/>
                <w:sz w:val="24"/>
              </w:rPr>
              <w:t>D</w:t>
            </w:r>
          </w:p>
        </w:tc>
      </w:tr>
      <w:tr>
        <w:trPr>
          <w:trHeight w:val="275" w:hRule="atLeast"/>
        </w:trPr>
        <w:tc>
          <w:tcPr>
            <w:tcW w:w="3905" w:type="dxa"/>
          </w:tcPr>
          <w:p>
            <w:pPr>
              <w:pStyle w:val="TableParagraph"/>
              <w:spacing w:line="256" w:lineRule="exact"/>
              <w:ind w:left="107"/>
              <w:rPr>
                <w:sz w:val="24"/>
              </w:rPr>
            </w:pPr>
            <w:r>
              <w:rPr>
                <w:sz w:val="24"/>
              </w:rPr>
              <w:t>(1)</w:t>
            </w:r>
            <w:r>
              <w:rPr>
                <w:spacing w:val="-1"/>
                <w:sz w:val="24"/>
              </w:rPr>
              <w:t> </w:t>
            </w:r>
            <w:r>
              <w:rPr>
                <w:sz w:val="24"/>
              </w:rPr>
              <w:t>It</w:t>
            </w:r>
            <w:r>
              <w:rPr>
                <w:spacing w:val="-1"/>
                <w:sz w:val="24"/>
              </w:rPr>
              <w:t> </w:t>
            </w:r>
            <w:r>
              <w:rPr>
                <w:sz w:val="24"/>
              </w:rPr>
              <w:t>cannot</w:t>
            </w:r>
            <w:r>
              <w:rPr>
                <w:spacing w:val="-1"/>
                <w:sz w:val="24"/>
              </w:rPr>
              <w:t> </w:t>
            </w:r>
            <w:r>
              <w:rPr>
                <w:sz w:val="24"/>
              </w:rPr>
              <w:t>be</w:t>
            </w:r>
            <w:r>
              <w:rPr>
                <w:spacing w:val="-2"/>
                <w:sz w:val="24"/>
              </w:rPr>
              <w:t> </w:t>
            </w:r>
            <w:r>
              <w:rPr>
                <w:sz w:val="24"/>
              </w:rPr>
              <w:t>achieved</w:t>
            </w:r>
            <w:r>
              <w:rPr>
                <w:spacing w:val="1"/>
                <w:sz w:val="24"/>
              </w:rPr>
              <w:t> </w:t>
            </w:r>
            <w:r>
              <w:rPr>
                <w:sz w:val="24"/>
              </w:rPr>
              <w:t>in</w:t>
            </w:r>
            <w:r>
              <w:rPr>
                <w:spacing w:val="-1"/>
                <w:sz w:val="24"/>
              </w:rPr>
              <w:t> </w:t>
            </w:r>
            <w:r>
              <w:rPr>
                <w:spacing w:val="-2"/>
                <w:sz w:val="24"/>
              </w:rPr>
              <w:t>Nigeria</w:t>
            </w:r>
          </w:p>
        </w:tc>
        <w:tc>
          <w:tcPr>
            <w:tcW w:w="1056" w:type="dxa"/>
          </w:tcPr>
          <w:p>
            <w:pPr>
              <w:pStyle w:val="TableParagraph"/>
              <w:rPr>
                <w:sz w:val="20"/>
              </w:rPr>
            </w:pPr>
          </w:p>
        </w:tc>
        <w:tc>
          <w:tcPr>
            <w:tcW w:w="1017" w:type="dxa"/>
          </w:tcPr>
          <w:p>
            <w:pPr>
              <w:pStyle w:val="TableParagraph"/>
              <w:rPr>
                <w:sz w:val="20"/>
              </w:rPr>
            </w:pPr>
          </w:p>
        </w:tc>
        <w:tc>
          <w:tcPr>
            <w:tcW w:w="926" w:type="dxa"/>
          </w:tcPr>
          <w:p>
            <w:pPr>
              <w:pStyle w:val="TableParagraph"/>
              <w:rPr>
                <w:sz w:val="20"/>
              </w:rPr>
            </w:pPr>
          </w:p>
        </w:tc>
        <w:tc>
          <w:tcPr>
            <w:tcW w:w="1554" w:type="dxa"/>
          </w:tcPr>
          <w:p>
            <w:pPr>
              <w:pStyle w:val="TableParagraph"/>
              <w:rPr>
                <w:sz w:val="20"/>
              </w:rPr>
            </w:pPr>
          </w:p>
        </w:tc>
      </w:tr>
      <w:tr>
        <w:trPr>
          <w:trHeight w:val="551" w:hRule="atLeast"/>
        </w:trPr>
        <w:tc>
          <w:tcPr>
            <w:tcW w:w="3905" w:type="dxa"/>
          </w:tcPr>
          <w:p>
            <w:pPr>
              <w:pStyle w:val="TableParagraph"/>
              <w:spacing w:line="268" w:lineRule="exact"/>
              <w:ind w:left="107"/>
              <w:rPr>
                <w:sz w:val="24"/>
              </w:rPr>
            </w:pPr>
            <w:r>
              <w:rPr>
                <w:sz w:val="24"/>
              </w:rPr>
              <w:t>(2)</w:t>
            </w:r>
            <w:r>
              <w:rPr>
                <w:spacing w:val="6"/>
                <w:sz w:val="24"/>
              </w:rPr>
              <w:t> </w:t>
            </w:r>
            <w:r>
              <w:rPr>
                <w:sz w:val="24"/>
              </w:rPr>
              <w:t>The</w:t>
            </w:r>
            <w:r>
              <w:rPr>
                <w:spacing w:val="10"/>
                <w:sz w:val="24"/>
              </w:rPr>
              <w:t> </w:t>
            </w:r>
            <w:r>
              <w:rPr>
                <w:sz w:val="24"/>
              </w:rPr>
              <w:t>culture</w:t>
            </w:r>
            <w:r>
              <w:rPr>
                <w:spacing w:val="8"/>
                <w:sz w:val="24"/>
              </w:rPr>
              <w:t> </w:t>
            </w:r>
            <w:r>
              <w:rPr>
                <w:sz w:val="24"/>
              </w:rPr>
              <w:t>of</w:t>
            </w:r>
            <w:r>
              <w:rPr>
                <w:spacing w:val="9"/>
                <w:sz w:val="24"/>
              </w:rPr>
              <w:t> </w:t>
            </w:r>
            <w:r>
              <w:rPr>
                <w:sz w:val="24"/>
              </w:rPr>
              <w:t>the</w:t>
            </w:r>
            <w:r>
              <w:rPr>
                <w:spacing w:val="8"/>
                <w:sz w:val="24"/>
              </w:rPr>
              <w:t> </w:t>
            </w:r>
            <w:r>
              <w:rPr>
                <w:sz w:val="24"/>
              </w:rPr>
              <w:t>people</w:t>
            </w:r>
            <w:r>
              <w:rPr>
                <w:spacing w:val="8"/>
                <w:sz w:val="24"/>
              </w:rPr>
              <w:t> </w:t>
            </w:r>
            <w:r>
              <w:rPr>
                <w:sz w:val="24"/>
              </w:rPr>
              <w:t>does</w:t>
            </w:r>
            <w:r>
              <w:rPr>
                <w:spacing w:val="9"/>
                <w:sz w:val="24"/>
              </w:rPr>
              <w:t> </w:t>
            </w:r>
            <w:r>
              <w:rPr>
                <w:spacing w:val="-5"/>
                <w:sz w:val="24"/>
              </w:rPr>
              <w:t>not</w:t>
            </w:r>
          </w:p>
          <w:p>
            <w:pPr>
              <w:pStyle w:val="TableParagraph"/>
              <w:spacing w:line="264" w:lineRule="exact"/>
              <w:ind w:left="107"/>
              <w:rPr>
                <w:sz w:val="24"/>
              </w:rPr>
            </w:pPr>
            <w:r>
              <w:rPr>
                <w:sz w:val="24"/>
              </w:rPr>
              <w:t>allow</w:t>
            </w:r>
            <w:r>
              <w:rPr>
                <w:spacing w:val="-1"/>
                <w:sz w:val="24"/>
              </w:rPr>
              <w:t> </w:t>
            </w:r>
            <w:r>
              <w:rPr>
                <w:spacing w:val="-5"/>
                <w:sz w:val="24"/>
              </w:rPr>
              <w:t>it</w:t>
            </w:r>
          </w:p>
        </w:tc>
        <w:tc>
          <w:tcPr>
            <w:tcW w:w="1056" w:type="dxa"/>
          </w:tcPr>
          <w:p>
            <w:pPr>
              <w:pStyle w:val="TableParagraph"/>
              <w:rPr>
                <w:sz w:val="24"/>
              </w:rPr>
            </w:pPr>
          </w:p>
        </w:tc>
        <w:tc>
          <w:tcPr>
            <w:tcW w:w="1017" w:type="dxa"/>
          </w:tcPr>
          <w:p>
            <w:pPr>
              <w:pStyle w:val="TableParagraph"/>
              <w:rPr>
                <w:sz w:val="24"/>
              </w:rPr>
            </w:pPr>
          </w:p>
        </w:tc>
        <w:tc>
          <w:tcPr>
            <w:tcW w:w="926" w:type="dxa"/>
          </w:tcPr>
          <w:p>
            <w:pPr>
              <w:pStyle w:val="TableParagraph"/>
              <w:rPr>
                <w:sz w:val="24"/>
              </w:rPr>
            </w:pPr>
          </w:p>
        </w:tc>
        <w:tc>
          <w:tcPr>
            <w:tcW w:w="1554" w:type="dxa"/>
          </w:tcPr>
          <w:p>
            <w:pPr>
              <w:pStyle w:val="TableParagraph"/>
              <w:rPr>
                <w:sz w:val="24"/>
              </w:rPr>
            </w:pPr>
          </w:p>
        </w:tc>
      </w:tr>
      <w:tr>
        <w:trPr>
          <w:trHeight w:val="551" w:hRule="atLeast"/>
        </w:trPr>
        <w:tc>
          <w:tcPr>
            <w:tcW w:w="3905" w:type="dxa"/>
          </w:tcPr>
          <w:p>
            <w:pPr>
              <w:pStyle w:val="TableParagraph"/>
              <w:tabs>
                <w:tab w:pos="630" w:val="left" w:leader="none"/>
                <w:tab w:pos="1182" w:val="left" w:leader="none"/>
                <w:tab w:pos="2359" w:val="left" w:leader="none"/>
                <w:tab w:pos="3498" w:val="left" w:leader="none"/>
              </w:tabs>
              <w:spacing w:line="268" w:lineRule="exact"/>
              <w:ind w:left="107"/>
              <w:rPr>
                <w:sz w:val="24"/>
              </w:rPr>
            </w:pPr>
            <w:r>
              <w:rPr>
                <w:spacing w:val="-5"/>
                <w:sz w:val="24"/>
              </w:rPr>
              <w:t>(3)</w:t>
            </w:r>
            <w:r>
              <w:rPr>
                <w:sz w:val="24"/>
              </w:rPr>
              <w:tab/>
            </w:r>
            <w:r>
              <w:rPr>
                <w:spacing w:val="-5"/>
                <w:sz w:val="24"/>
              </w:rPr>
              <w:t>All</w:t>
            </w:r>
            <w:r>
              <w:rPr>
                <w:sz w:val="24"/>
              </w:rPr>
              <w:tab/>
            </w:r>
            <w:r>
              <w:rPr>
                <w:spacing w:val="-2"/>
                <w:sz w:val="24"/>
              </w:rPr>
              <w:t>necessary</w:t>
            </w:r>
            <w:r>
              <w:rPr>
                <w:sz w:val="24"/>
              </w:rPr>
              <w:tab/>
            </w:r>
            <w:r>
              <w:rPr>
                <w:spacing w:val="-2"/>
                <w:sz w:val="24"/>
              </w:rPr>
              <w:t>measures</w:t>
            </w:r>
            <w:r>
              <w:rPr>
                <w:sz w:val="24"/>
              </w:rPr>
              <w:tab/>
            </w:r>
            <w:r>
              <w:rPr>
                <w:spacing w:val="-5"/>
                <w:sz w:val="24"/>
              </w:rPr>
              <w:t>are</w:t>
            </w:r>
          </w:p>
          <w:p>
            <w:pPr>
              <w:pStyle w:val="TableParagraph"/>
              <w:spacing w:line="264" w:lineRule="exact"/>
              <w:ind w:left="107"/>
              <w:rPr>
                <w:sz w:val="24"/>
              </w:rPr>
            </w:pPr>
            <w:r>
              <w:rPr>
                <w:spacing w:val="-2"/>
                <w:sz w:val="24"/>
              </w:rPr>
              <w:t>neglected</w:t>
            </w:r>
          </w:p>
        </w:tc>
        <w:tc>
          <w:tcPr>
            <w:tcW w:w="1056" w:type="dxa"/>
          </w:tcPr>
          <w:p>
            <w:pPr>
              <w:pStyle w:val="TableParagraph"/>
              <w:rPr>
                <w:sz w:val="24"/>
              </w:rPr>
            </w:pPr>
          </w:p>
        </w:tc>
        <w:tc>
          <w:tcPr>
            <w:tcW w:w="1017" w:type="dxa"/>
          </w:tcPr>
          <w:p>
            <w:pPr>
              <w:pStyle w:val="TableParagraph"/>
              <w:rPr>
                <w:sz w:val="24"/>
              </w:rPr>
            </w:pPr>
          </w:p>
        </w:tc>
        <w:tc>
          <w:tcPr>
            <w:tcW w:w="926" w:type="dxa"/>
          </w:tcPr>
          <w:p>
            <w:pPr>
              <w:pStyle w:val="TableParagraph"/>
              <w:rPr>
                <w:sz w:val="24"/>
              </w:rPr>
            </w:pPr>
          </w:p>
        </w:tc>
        <w:tc>
          <w:tcPr>
            <w:tcW w:w="1554" w:type="dxa"/>
          </w:tcPr>
          <w:p>
            <w:pPr>
              <w:pStyle w:val="TableParagraph"/>
              <w:rPr>
                <w:sz w:val="24"/>
              </w:rPr>
            </w:pPr>
          </w:p>
        </w:tc>
      </w:tr>
      <w:tr>
        <w:trPr>
          <w:trHeight w:val="276" w:hRule="atLeast"/>
        </w:trPr>
        <w:tc>
          <w:tcPr>
            <w:tcW w:w="3905" w:type="dxa"/>
          </w:tcPr>
          <w:p>
            <w:pPr>
              <w:pStyle w:val="TableParagraph"/>
              <w:spacing w:line="256" w:lineRule="exact"/>
              <w:ind w:left="107"/>
              <w:rPr>
                <w:sz w:val="24"/>
              </w:rPr>
            </w:pPr>
            <w:r>
              <w:rPr>
                <w:sz w:val="24"/>
              </w:rPr>
              <w:t>(4)</w:t>
            </w:r>
            <w:r>
              <w:rPr>
                <w:spacing w:val="-10"/>
                <w:sz w:val="24"/>
              </w:rPr>
              <w:t> </w:t>
            </w:r>
            <w:r>
              <w:rPr>
                <w:sz w:val="24"/>
              </w:rPr>
              <w:t>Nigerians</w:t>
            </w:r>
            <w:r>
              <w:rPr>
                <w:spacing w:val="-7"/>
                <w:sz w:val="24"/>
              </w:rPr>
              <w:t> </w:t>
            </w:r>
            <w:r>
              <w:rPr>
                <w:sz w:val="24"/>
              </w:rPr>
              <w:t>don‟t</w:t>
            </w:r>
            <w:r>
              <w:rPr>
                <w:spacing w:val="-8"/>
                <w:sz w:val="24"/>
              </w:rPr>
              <w:t> </w:t>
            </w:r>
            <w:r>
              <w:rPr>
                <w:sz w:val="24"/>
              </w:rPr>
              <w:t>deserve</w:t>
            </w:r>
            <w:r>
              <w:rPr>
                <w:spacing w:val="-8"/>
                <w:sz w:val="24"/>
              </w:rPr>
              <w:t> </w:t>
            </w:r>
            <w:r>
              <w:rPr>
                <w:spacing w:val="-5"/>
                <w:sz w:val="24"/>
              </w:rPr>
              <w:t>it</w:t>
            </w:r>
          </w:p>
        </w:tc>
        <w:tc>
          <w:tcPr>
            <w:tcW w:w="1056" w:type="dxa"/>
          </w:tcPr>
          <w:p>
            <w:pPr>
              <w:pStyle w:val="TableParagraph"/>
              <w:rPr>
                <w:sz w:val="20"/>
              </w:rPr>
            </w:pPr>
          </w:p>
        </w:tc>
        <w:tc>
          <w:tcPr>
            <w:tcW w:w="1017" w:type="dxa"/>
          </w:tcPr>
          <w:p>
            <w:pPr>
              <w:pStyle w:val="TableParagraph"/>
              <w:rPr>
                <w:sz w:val="20"/>
              </w:rPr>
            </w:pPr>
          </w:p>
        </w:tc>
        <w:tc>
          <w:tcPr>
            <w:tcW w:w="926" w:type="dxa"/>
          </w:tcPr>
          <w:p>
            <w:pPr>
              <w:pStyle w:val="TableParagraph"/>
              <w:rPr>
                <w:sz w:val="20"/>
              </w:rPr>
            </w:pPr>
          </w:p>
        </w:tc>
        <w:tc>
          <w:tcPr>
            <w:tcW w:w="1554" w:type="dxa"/>
          </w:tcPr>
          <w:p>
            <w:pPr>
              <w:pStyle w:val="TableParagraph"/>
              <w:rPr>
                <w:sz w:val="20"/>
              </w:rPr>
            </w:pPr>
          </w:p>
        </w:tc>
      </w:tr>
    </w:tbl>
    <w:p>
      <w:pPr>
        <w:pStyle w:val="BodyText"/>
        <w:spacing w:before="270" w:after="9"/>
        <w:ind w:right="1262"/>
        <w:jc w:val="both"/>
      </w:pPr>
      <w:r>
        <w:rPr/>
        <w:t>RQ2 Do you subscribe to the assertion that, severe “corruption” among other factors</w:t>
      </w:r>
      <w:r>
        <w:rPr>
          <w:spacing w:val="40"/>
        </w:rPr>
        <w:t> </w:t>
      </w:r>
      <w:r>
        <w:rPr/>
        <w:t>is most responsible for the underdevelopment of the Niger Delta region?</w:t>
      </w: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28"/>
        <w:gridCol w:w="1025"/>
        <w:gridCol w:w="979"/>
        <w:gridCol w:w="905"/>
        <w:gridCol w:w="1524"/>
      </w:tblGrid>
      <w:tr>
        <w:trPr>
          <w:trHeight w:val="275" w:hRule="atLeast"/>
        </w:trPr>
        <w:tc>
          <w:tcPr>
            <w:tcW w:w="4028" w:type="dxa"/>
          </w:tcPr>
          <w:p>
            <w:pPr>
              <w:pStyle w:val="TableParagraph"/>
              <w:rPr>
                <w:sz w:val="20"/>
              </w:rPr>
            </w:pPr>
          </w:p>
        </w:tc>
        <w:tc>
          <w:tcPr>
            <w:tcW w:w="1025" w:type="dxa"/>
          </w:tcPr>
          <w:p>
            <w:pPr>
              <w:pStyle w:val="TableParagraph"/>
              <w:spacing w:line="256" w:lineRule="exact"/>
              <w:ind w:left="107"/>
              <w:rPr>
                <w:sz w:val="24"/>
              </w:rPr>
            </w:pPr>
            <w:r>
              <w:rPr>
                <w:spacing w:val="-5"/>
                <w:sz w:val="24"/>
              </w:rPr>
              <w:t>SA</w:t>
            </w:r>
          </w:p>
        </w:tc>
        <w:tc>
          <w:tcPr>
            <w:tcW w:w="979" w:type="dxa"/>
          </w:tcPr>
          <w:p>
            <w:pPr>
              <w:pStyle w:val="TableParagraph"/>
              <w:spacing w:line="256" w:lineRule="exact"/>
              <w:ind w:left="107"/>
              <w:rPr>
                <w:sz w:val="24"/>
              </w:rPr>
            </w:pPr>
            <w:r>
              <w:rPr>
                <w:spacing w:val="-10"/>
                <w:sz w:val="24"/>
              </w:rPr>
              <w:t>A</w:t>
            </w:r>
          </w:p>
        </w:tc>
        <w:tc>
          <w:tcPr>
            <w:tcW w:w="905" w:type="dxa"/>
          </w:tcPr>
          <w:p>
            <w:pPr>
              <w:pStyle w:val="TableParagraph"/>
              <w:spacing w:line="256" w:lineRule="exact"/>
              <w:ind w:left="107"/>
              <w:rPr>
                <w:sz w:val="24"/>
              </w:rPr>
            </w:pPr>
            <w:r>
              <w:rPr>
                <w:spacing w:val="-5"/>
                <w:sz w:val="24"/>
              </w:rPr>
              <w:t>SD</w:t>
            </w:r>
          </w:p>
        </w:tc>
        <w:tc>
          <w:tcPr>
            <w:tcW w:w="1524" w:type="dxa"/>
          </w:tcPr>
          <w:p>
            <w:pPr>
              <w:pStyle w:val="TableParagraph"/>
              <w:spacing w:line="256" w:lineRule="exact"/>
              <w:ind w:left="108"/>
              <w:rPr>
                <w:sz w:val="24"/>
              </w:rPr>
            </w:pPr>
            <w:r>
              <w:rPr>
                <w:spacing w:val="-10"/>
                <w:sz w:val="24"/>
              </w:rPr>
              <w:t>D</w:t>
            </w:r>
          </w:p>
        </w:tc>
      </w:tr>
      <w:tr>
        <w:trPr>
          <w:trHeight w:val="553" w:hRule="atLeast"/>
        </w:trPr>
        <w:tc>
          <w:tcPr>
            <w:tcW w:w="4028" w:type="dxa"/>
          </w:tcPr>
          <w:p>
            <w:pPr>
              <w:pStyle w:val="TableParagraph"/>
              <w:spacing w:line="270" w:lineRule="exact"/>
              <w:ind w:left="107"/>
              <w:rPr>
                <w:sz w:val="24"/>
              </w:rPr>
            </w:pPr>
            <w:r>
              <w:rPr>
                <w:sz w:val="24"/>
              </w:rPr>
              <w:t>(5)</w:t>
            </w:r>
            <w:r>
              <w:rPr>
                <w:spacing w:val="35"/>
                <w:sz w:val="24"/>
              </w:rPr>
              <w:t>  </w:t>
            </w:r>
            <w:r>
              <w:rPr>
                <w:sz w:val="24"/>
              </w:rPr>
              <w:t>Yes,</w:t>
            </w:r>
            <w:r>
              <w:rPr>
                <w:spacing w:val="37"/>
                <w:sz w:val="24"/>
              </w:rPr>
              <w:t>  </w:t>
            </w:r>
            <w:r>
              <w:rPr>
                <w:sz w:val="24"/>
              </w:rPr>
              <w:t>the</w:t>
            </w:r>
            <w:r>
              <w:rPr>
                <w:spacing w:val="37"/>
                <w:sz w:val="24"/>
              </w:rPr>
              <w:t>  </w:t>
            </w:r>
            <w:r>
              <w:rPr>
                <w:sz w:val="24"/>
              </w:rPr>
              <w:t>stakeholders</w:t>
            </w:r>
            <w:r>
              <w:rPr>
                <w:spacing w:val="36"/>
                <w:sz w:val="24"/>
              </w:rPr>
              <w:t>  </w:t>
            </w:r>
            <w:r>
              <w:rPr>
                <w:spacing w:val="-2"/>
                <w:sz w:val="24"/>
              </w:rPr>
              <w:t>entrench</w:t>
            </w:r>
          </w:p>
          <w:p>
            <w:pPr>
              <w:pStyle w:val="TableParagraph"/>
              <w:spacing w:line="264" w:lineRule="exact"/>
              <w:ind w:left="107"/>
              <w:rPr>
                <w:sz w:val="24"/>
              </w:rPr>
            </w:pPr>
            <w:r>
              <w:rPr>
                <w:sz w:val="24"/>
              </w:rPr>
              <w:t>corruption</w:t>
            </w:r>
            <w:r>
              <w:rPr>
                <w:spacing w:val="-1"/>
                <w:sz w:val="24"/>
              </w:rPr>
              <w:t> </w:t>
            </w:r>
            <w:r>
              <w:rPr>
                <w:sz w:val="24"/>
              </w:rPr>
              <w:t>practices</w:t>
            </w:r>
            <w:r>
              <w:rPr>
                <w:spacing w:val="-1"/>
                <w:sz w:val="24"/>
              </w:rPr>
              <w:t> </w:t>
            </w:r>
            <w:r>
              <w:rPr>
                <w:sz w:val="24"/>
              </w:rPr>
              <w:t>in</w:t>
            </w:r>
            <w:r>
              <w:rPr>
                <w:spacing w:val="-1"/>
                <w:sz w:val="24"/>
              </w:rPr>
              <w:t> </w:t>
            </w:r>
            <w:r>
              <w:rPr>
                <w:sz w:val="24"/>
              </w:rPr>
              <w:t>the</w:t>
            </w:r>
            <w:r>
              <w:rPr>
                <w:spacing w:val="1"/>
                <w:sz w:val="24"/>
              </w:rPr>
              <w:t> </w:t>
            </w:r>
            <w:r>
              <w:rPr>
                <w:spacing w:val="-2"/>
                <w:sz w:val="24"/>
              </w:rPr>
              <w:t>region</w:t>
            </w:r>
          </w:p>
        </w:tc>
        <w:tc>
          <w:tcPr>
            <w:tcW w:w="1025" w:type="dxa"/>
          </w:tcPr>
          <w:p>
            <w:pPr>
              <w:pStyle w:val="TableParagraph"/>
              <w:rPr>
                <w:sz w:val="24"/>
              </w:rPr>
            </w:pPr>
          </w:p>
        </w:tc>
        <w:tc>
          <w:tcPr>
            <w:tcW w:w="979" w:type="dxa"/>
          </w:tcPr>
          <w:p>
            <w:pPr>
              <w:pStyle w:val="TableParagraph"/>
              <w:rPr>
                <w:sz w:val="24"/>
              </w:rPr>
            </w:pPr>
          </w:p>
        </w:tc>
        <w:tc>
          <w:tcPr>
            <w:tcW w:w="905" w:type="dxa"/>
          </w:tcPr>
          <w:p>
            <w:pPr>
              <w:pStyle w:val="TableParagraph"/>
              <w:rPr>
                <w:sz w:val="24"/>
              </w:rPr>
            </w:pPr>
          </w:p>
        </w:tc>
        <w:tc>
          <w:tcPr>
            <w:tcW w:w="1524" w:type="dxa"/>
          </w:tcPr>
          <w:p>
            <w:pPr>
              <w:pStyle w:val="TableParagraph"/>
              <w:rPr>
                <w:sz w:val="24"/>
              </w:rPr>
            </w:pPr>
          </w:p>
        </w:tc>
      </w:tr>
      <w:tr>
        <w:trPr>
          <w:trHeight w:val="551" w:hRule="atLeast"/>
        </w:trPr>
        <w:tc>
          <w:tcPr>
            <w:tcW w:w="4028" w:type="dxa"/>
          </w:tcPr>
          <w:p>
            <w:pPr>
              <w:pStyle w:val="TableParagraph"/>
              <w:spacing w:line="268" w:lineRule="exact"/>
              <w:ind w:left="107"/>
              <w:rPr>
                <w:sz w:val="24"/>
              </w:rPr>
            </w:pPr>
            <w:r>
              <w:rPr>
                <w:sz w:val="24"/>
              </w:rPr>
              <w:t>(6)</w:t>
            </w:r>
            <w:r>
              <w:rPr>
                <w:spacing w:val="19"/>
                <w:sz w:val="24"/>
              </w:rPr>
              <w:t> </w:t>
            </w:r>
            <w:r>
              <w:rPr>
                <w:sz w:val="24"/>
              </w:rPr>
              <w:t>No,</w:t>
            </w:r>
            <w:r>
              <w:rPr>
                <w:spacing w:val="22"/>
                <w:sz w:val="24"/>
              </w:rPr>
              <w:t> </w:t>
            </w:r>
            <w:r>
              <w:rPr>
                <w:sz w:val="24"/>
              </w:rPr>
              <w:t>the</w:t>
            </w:r>
            <w:r>
              <w:rPr>
                <w:spacing w:val="22"/>
                <w:sz w:val="24"/>
              </w:rPr>
              <w:t> </w:t>
            </w:r>
            <w:r>
              <w:rPr>
                <w:sz w:val="24"/>
              </w:rPr>
              <w:t>corrupt</w:t>
            </w:r>
            <w:r>
              <w:rPr>
                <w:spacing w:val="22"/>
                <w:sz w:val="24"/>
              </w:rPr>
              <w:t> </w:t>
            </w:r>
            <w:r>
              <w:rPr>
                <w:sz w:val="24"/>
              </w:rPr>
              <w:t>practices</w:t>
            </w:r>
            <w:r>
              <w:rPr>
                <w:spacing w:val="23"/>
                <w:sz w:val="24"/>
              </w:rPr>
              <w:t> </w:t>
            </w:r>
            <w:r>
              <w:rPr>
                <w:sz w:val="24"/>
              </w:rPr>
              <w:t>could</w:t>
            </w:r>
            <w:r>
              <w:rPr>
                <w:spacing w:val="23"/>
                <w:sz w:val="24"/>
              </w:rPr>
              <w:t> </w:t>
            </w:r>
            <w:r>
              <w:rPr>
                <w:spacing w:val="-5"/>
                <w:sz w:val="24"/>
              </w:rPr>
              <w:t>not</w:t>
            </w:r>
          </w:p>
          <w:p>
            <w:pPr>
              <w:pStyle w:val="TableParagraph"/>
              <w:spacing w:line="264" w:lineRule="exact"/>
              <w:ind w:left="107"/>
              <w:rPr>
                <w:sz w:val="24"/>
              </w:rPr>
            </w:pPr>
            <w:r>
              <w:rPr>
                <w:sz w:val="24"/>
              </w:rPr>
              <w:t>have</w:t>
            </w:r>
            <w:r>
              <w:rPr>
                <w:spacing w:val="-3"/>
                <w:sz w:val="24"/>
              </w:rPr>
              <w:t> </w:t>
            </w:r>
            <w:r>
              <w:rPr>
                <w:sz w:val="24"/>
              </w:rPr>
              <w:t>resulted</w:t>
            </w:r>
            <w:r>
              <w:rPr>
                <w:spacing w:val="-1"/>
                <w:sz w:val="24"/>
              </w:rPr>
              <w:t> </w:t>
            </w:r>
            <w:r>
              <w:rPr>
                <w:sz w:val="24"/>
              </w:rPr>
              <w:t>to</w:t>
            </w:r>
            <w:r>
              <w:rPr>
                <w:spacing w:val="-1"/>
                <w:sz w:val="24"/>
              </w:rPr>
              <w:t> </w:t>
            </w:r>
            <w:r>
              <w:rPr>
                <w:spacing w:val="-2"/>
                <w:sz w:val="24"/>
              </w:rPr>
              <w:t>underdevelopment</w:t>
            </w:r>
          </w:p>
        </w:tc>
        <w:tc>
          <w:tcPr>
            <w:tcW w:w="1025" w:type="dxa"/>
          </w:tcPr>
          <w:p>
            <w:pPr>
              <w:pStyle w:val="TableParagraph"/>
              <w:rPr>
                <w:sz w:val="24"/>
              </w:rPr>
            </w:pPr>
          </w:p>
        </w:tc>
        <w:tc>
          <w:tcPr>
            <w:tcW w:w="979" w:type="dxa"/>
          </w:tcPr>
          <w:p>
            <w:pPr>
              <w:pStyle w:val="TableParagraph"/>
              <w:rPr>
                <w:sz w:val="24"/>
              </w:rPr>
            </w:pPr>
          </w:p>
        </w:tc>
        <w:tc>
          <w:tcPr>
            <w:tcW w:w="905" w:type="dxa"/>
          </w:tcPr>
          <w:p>
            <w:pPr>
              <w:pStyle w:val="TableParagraph"/>
              <w:rPr>
                <w:sz w:val="24"/>
              </w:rPr>
            </w:pPr>
          </w:p>
        </w:tc>
        <w:tc>
          <w:tcPr>
            <w:tcW w:w="1524" w:type="dxa"/>
          </w:tcPr>
          <w:p>
            <w:pPr>
              <w:pStyle w:val="TableParagraph"/>
              <w:rPr>
                <w:sz w:val="24"/>
              </w:rPr>
            </w:pPr>
          </w:p>
        </w:tc>
      </w:tr>
      <w:tr>
        <w:trPr>
          <w:trHeight w:val="551" w:hRule="atLeast"/>
        </w:trPr>
        <w:tc>
          <w:tcPr>
            <w:tcW w:w="4028" w:type="dxa"/>
          </w:tcPr>
          <w:p>
            <w:pPr>
              <w:pStyle w:val="TableParagraph"/>
              <w:spacing w:line="268" w:lineRule="exact"/>
              <w:ind w:left="107"/>
              <w:rPr>
                <w:sz w:val="24"/>
              </w:rPr>
            </w:pPr>
            <w:r>
              <w:rPr>
                <w:sz w:val="24"/>
              </w:rPr>
              <w:t>(7)</w:t>
            </w:r>
            <w:r>
              <w:rPr>
                <w:spacing w:val="71"/>
                <w:sz w:val="24"/>
              </w:rPr>
              <w:t> </w:t>
            </w:r>
            <w:r>
              <w:rPr>
                <w:sz w:val="24"/>
              </w:rPr>
              <w:t>No</w:t>
            </w:r>
            <w:r>
              <w:rPr>
                <w:spacing w:val="75"/>
                <w:sz w:val="24"/>
              </w:rPr>
              <w:t> </w:t>
            </w:r>
            <w:r>
              <w:rPr>
                <w:sz w:val="24"/>
              </w:rPr>
              <w:t>attempts</w:t>
            </w:r>
            <w:r>
              <w:rPr>
                <w:spacing w:val="74"/>
                <w:sz w:val="24"/>
              </w:rPr>
              <w:t> </w:t>
            </w:r>
            <w:r>
              <w:rPr>
                <w:sz w:val="24"/>
              </w:rPr>
              <w:t>have</w:t>
            </w:r>
            <w:r>
              <w:rPr>
                <w:spacing w:val="74"/>
                <w:sz w:val="24"/>
              </w:rPr>
              <w:t> </w:t>
            </w:r>
            <w:r>
              <w:rPr>
                <w:sz w:val="24"/>
              </w:rPr>
              <w:t>been</w:t>
            </w:r>
            <w:r>
              <w:rPr>
                <w:spacing w:val="74"/>
                <w:sz w:val="24"/>
              </w:rPr>
              <w:t> </w:t>
            </w:r>
            <w:r>
              <w:rPr>
                <w:sz w:val="24"/>
              </w:rPr>
              <w:t>made</w:t>
            </w:r>
            <w:r>
              <w:rPr>
                <w:spacing w:val="73"/>
                <w:sz w:val="24"/>
              </w:rPr>
              <w:t> </w:t>
            </w:r>
            <w:r>
              <w:rPr>
                <w:spacing w:val="-5"/>
                <w:sz w:val="24"/>
              </w:rPr>
              <w:t>to</w:t>
            </w:r>
          </w:p>
          <w:p>
            <w:pPr>
              <w:pStyle w:val="TableParagraph"/>
              <w:spacing w:line="264" w:lineRule="exact"/>
              <w:ind w:left="107"/>
              <w:rPr>
                <w:sz w:val="24"/>
              </w:rPr>
            </w:pPr>
            <w:r>
              <w:rPr>
                <w:sz w:val="24"/>
              </w:rPr>
              <w:t>develop</w:t>
            </w:r>
            <w:r>
              <w:rPr>
                <w:spacing w:val="-1"/>
                <w:sz w:val="24"/>
              </w:rPr>
              <w:t> </w:t>
            </w:r>
            <w:r>
              <w:rPr>
                <w:sz w:val="24"/>
              </w:rPr>
              <w:t>the</w:t>
            </w:r>
            <w:r>
              <w:rPr>
                <w:spacing w:val="-2"/>
                <w:sz w:val="24"/>
              </w:rPr>
              <w:t> region</w:t>
            </w:r>
          </w:p>
        </w:tc>
        <w:tc>
          <w:tcPr>
            <w:tcW w:w="1025" w:type="dxa"/>
          </w:tcPr>
          <w:p>
            <w:pPr>
              <w:pStyle w:val="TableParagraph"/>
              <w:rPr>
                <w:sz w:val="24"/>
              </w:rPr>
            </w:pPr>
          </w:p>
        </w:tc>
        <w:tc>
          <w:tcPr>
            <w:tcW w:w="979" w:type="dxa"/>
          </w:tcPr>
          <w:p>
            <w:pPr>
              <w:pStyle w:val="TableParagraph"/>
              <w:rPr>
                <w:sz w:val="24"/>
              </w:rPr>
            </w:pPr>
          </w:p>
        </w:tc>
        <w:tc>
          <w:tcPr>
            <w:tcW w:w="905" w:type="dxa"/>
          </w:tcPr>
          <w:p>
            <w:pPr>
              <w:pStyle w:val="TableParagraph"/>
              <w:rPr>
                <w:sz w:val="24"/>
              </w:rPr>
            </w:pPr>
          </w:p>
        </w:tc>
        <w:tc>
          <w:tcPr>
            <w:tcW w:w="1524" w:type="dxa"/>
          </w:tcPr>
          <w:p>
            <w:pPr>
              <w:pStyle w:val="TableParagraph"/>
              <w:rPr>
                <w:sz w:val="24"/>
              </w:rPr>
            </w:pPr>
          </w:p>
        </w:tc>
      </w:tr>
      <w:tr>
        <w:trPr>
          <w:trHeight w:val="827" w:hRule="atLeast"/>
        </w:trPr>
        <w:tc>
          <w:tcPr>
            <w:tcW w:w="4028" w:type="dxa"/>
          </w:tcPr>
          <w:p>
            <w:pPr>
              <w:pStyle w:val="TableParagraph"/>
              <w:ind w:left="107"/>
              <w:rPr>
                <w:sz w:val="24"/>
              </w:rPr>
            </w:pPr>
            <w:r>
              <w:rPr>
                <w:sz w:val="24"/>
              </w:rPr>
              <w:t>(8)</w:t>
            </w:r>
            <w:r>
              <w:rPr>
                <w:spacing w:val="-5"/>
                <w:sz w:val="24"/>
              </w:rPr>
              <w:t> </w:t>
            </w:r>
            <w:r>
              <w:rPr>
                <w:sz w:val="24"/>
              </w:rPr>
              <w:t>The</w:t>
            </w:r>
            <w:r>
              <w:rPr>
                <w:spacing w:val="-3"/>
                <w:sz w:val="24"/>
              </w:rPr>
              <w:t> </w:t>
            </w:r>
            <w:r>
              <w:rPr>
                <w:sz w:val="24"/>
              </w:rPr>
              <w:t>resources</w:t>
            </w:r>
            <w:r>
              <w:rPr>
                <w:spacing w:val="-3"/>
                <w:sz w:val="24"/>
              </w:rPr>
              <w:t> </w:t>
            </w:r>
            <w:r>
              <w:rPr>
                <w:sz w:val="24"/>
              </w:rPr>
              <w:t>that</w:t>
            </w:r>
            <w:r>
              <w:rPr>
                <w:spacing w:val="-2"/>
                <w:sz w:val="24"/>
              </w:rPr>
              <w:t> </w:t>
            </w:r>
            <w:r>
              <w:rPr>
                <w:sz w:val="24"/>
              </w:rPr>
              <w:t>are</w:t>
            </w:r>
            <w:r>
              <w:rPr>
                <w:spacing w:val="-4"/>
                <w:sz w:val="24"/>
              </w:rPr>
              <w:t> </w:t>
            </w:r>
            <w:r>
              <w:rPr>
                <w:sz w:val="24"/>
              </w:rPr>
              <w:t>meant</w:t>
            </w:r>
            <w:r>
              <w:rPr>
                <w:spacing w:val="-3"/>
                <w:sz w:val="24"/>
              </w:rPr>
              <w:t> </w:t>
            </w:r>
            <w:r>
              <w:rPr>
                <w:sz w:val="24"/>
              </w:rPr>
              <w:t>for</w:t>
            </w:r>
            <w:r>
              <w:rPr>
                <w:spacing w:val="-4"/>
                <w:sz w:val="24"/>
              </w:rPr>
              <w:t> </w:t>
            </w:r>
            <w:r>
              <w:rPr>
                <w:sz w:val="24"/>
              </w:rPr>
              <w:t>the region</w:t>
            </w:r>
            <w:r>
              <w:rPr>
                <w:spacing w:val="26"/>
                <w:sz w:val="24"/>
              </w:rPr>
              <w:t>  </w:t>
            </w:r>
            <w:r>
              <w:rPr>
                <w:sz w:val="24"/>
              </w:rPr>
              <w:t>have</w:t>
            </w:r>
            <w:r>
              <w:rPr>
                <w:spacing w:val="29"/>
                <w:sz w:val="24"/>
              </w:rPr>
              <w:t>  </w:t>
            </w:r>
            <w:r>
              <w:rPr>
                <w:sz w:val="24"/>
              </w:rPr>
              <w:t>been</w:t>
            </w:r>
            <w:r>
              <w:rPr>
                <w:spacing w:val="28"/>
                <w:sz w:val="24"/>
              </w:rPr>
              <w:t>  </w:t>
            </w:r>
            <w:r>
              <w:rPr>
                <w:sz w:val="24"/>
              </w:rPr>
              <w:t>siphoned</w:t>
            </w:r>
            <w:r>
              <w:rPr>
                <w:spacing w:val="29"/>
                <w:sz w:val="24"/>
              </w:rPr>
              <w:t>  </w:t>
            </w:r>
            <w:r>
              <w:rPr>
                <w:sz w:val="24"/>
              </w:rPr>
              <w:t>by</w:t>
            </w:r>
            <w:r>
              <w:rPr>
                <w:spacing w:val="84"/>
                <w:w w:val="150"/>
                <w:sz w:val="24"/>
              </w:rPr>
              <w:t> </w:t>
            </w:r>
            <w:r>
              <w:rPr>
                <w:spacing w:val="-5"/>
                <w:sz w:val="24"/>
              </w:rPr>
              <w:t>th</w:t>
            </w:r>
            <w:r>
              <w:rPr>
                <w:spacing w:val="-5"/>
                <w:sz w:val="24"/>
              </w:rPr>
              <w:t>e</w:t>
            </w:r>
          </w:p>
          <w:p>
            <w:pPr>
              <w:pStyle w:val="TableParagraph"/>
              <w:spacing w:line="264" w:lineRule="exact"/>
              <w:ind w:left="107"/>
              <w:rPr>
                <w:sz w:val="24"/>
              </w:rPr>
            </w:pPr>
            <w:r>
              <w:rPr>
                <w:spacing w:val="-2"/>
                <w:sz w:val="24"/>
              </w:rPr>
              <w:t>leaders</w:t>
            </w:r>
          </w:p>
        </w:tc>
        <w:tc>
          <w:tcPr>
            <w:tcW w:w="1025" w:type="dxa"/>
          </w:tcPr>
          <w:p>
            <w:pPr>
              <w:pStyle w:val="TableParagraph"/>
              <w:rPr>
                <w:sz w:val="24"/>
              </w:rPr>
            </w:pPr>
          </w:p>
        </w:tc>
        <w:tc>
          <w:tcPr>
            <w:tcW w:w="979" w:type="dxa"/>
          </w:tcPr>
          <w:p>
            <w:pPr>
              <w:pStyle w:val="TableParagraph"/>
              <w:rPr>
                <w:sz w:val="24"/>
              </w:rPr>
            </w:pPr>
          </w:p>
        </w:tc>
        <w:tc>
          <w:tcPr>
            <w:tcW w:w="905" w:type="dxa"/>
          </w:tcPr>
          <w:p>
            <w:pPr>
              <w:pStyle w:val="TableParagraph"/>
              <w:rPr>
                <w:sz w:val="24"/>
              </w:rPr>
            </w:pPr>
          </w:p>
        </w:tc>
        <w:tc>
          <w:tcPr>
            <w:tcW w:w="1524" w:type="dxa"/>
          </w:tcPr>
          <w:p>
            <w:pPr>
              <w:pStyle w:val="TableParagraph"/>
              <w:rPr>
                <w:sz w:val="24"/>
              </w:rPr>
            </w:pPr>
          </w:p>
        </w:tc>
      </w:tr>
    </w:tbl>
    <w:p>
      <w:pPr>
        <w:pStyle w:val="BodyText"/>
        <w:spacing w:before="271"/>
        <w:ind w:right="1263"/>
        <w:jc w:val="both"/>
      </w:pPr>
      <w:r>
        <w:rPr/>
        <w:t>RQ3</w:t>
      </w:r>
      <w:r>
        <w:rPr>
          <w:spacing w:val="40"/>
        </w:rPr>
        <w:t>  </w:t>
      </w:r>
      <w:r>
        <w:rPr/>
        <w:t>Do</w:t>
      </w:r>
      <w:r>
        <w:rPr>
          <w:spacing w:val="25"/>
        </w:rPr>
        <w:t> </w:t>
      </w:r>
      <w:r>
        <w:rPr/>
        <w:t>you</w:t>
      </w:r>
      <w:r>
        <w:rPr>
          <w:spacing w:val="23"/>
        </w:rPr>
        <w:t> </w:t>
      </w:r>
      <w:r>
        <w:rPr/>
        <w:t>subscribe</w:t>
      </w:r>
      <w:r>
        <w:rPr>
          <w:spacing w:val="22"/>
        </w:rPr>
        <w:t> </w:t>
      </w:r>
      <w:r>
        <w:rPr/>
        <w:t>to</w:t>
      </w:r>
      <w:r>
        <w:rPr>
          <w:spacing w:val="23"/>
        </w:rPr>
        <w:t> </w:t>
      </w:r>
      <w:r>
        <w:rPr/>
        <w:t>the</w:t>
      </w:r>
      <w:r>
        <w:rPr>
          <w:spacing w:val="22"/>
        </w:rPr>
        <w:t> </w:t>
      </w:r>
      <w:r>
        <w:rPr/>
        <w:t>assertion</w:t>
      </w:r>
      <w:r>
        <w:rPr>
          <w:spacing w:val="23"/>
        </w:rPr>
        <w:t> </w:t>
      </w:r>
      <w:r>
        <w:rPr/>
        <w:t>that</w:t>
      </w:r>
      <w:r>
        <w:rPr>
          <w:spacing w:val="23"/>
        </w:rPr>
        <w:t> </w:t>
      </w:r>
      <w:r>
        <w:rPr/>
        <w:t>says:</w:t>
      </w:r>
      <w:r>
        <w:rPr>
          <w:spacing w:val="23"/>
        </w:rPr>
        <w:t> </w:t>
      </w:r>
      <w:r>
        <w:rPr/>
        <w:t>All the</w:t>
      </w:r>
      <w:r>
        <w:rPr>
          <w:spacing w:val="22"/>
        </w:rPr>
        <w:t> </w:t>
      </w:r>
      <w:r>
        <w:rPr/>
        <w:t>resources</w:t>
      </w:r>
      <w:r>
        <w:rPr>
          <w:spacing w:val="23"/>
        </w:rPr>
        <w:t> </w:t>
      </w:r>
      <w:r>
        <w:rPr/>
        <w:t>that</w:t>
      </w:r>
      <w:r>
        <w:rPr>
          <w:spacing w:val="23"/>
        </w:rPr>
        <w:t> </w:t>
      </w:r>
      <w:r>
        <w:rPr/>
        <w:t>are</w:t>
      </w:r>
      <w:r>
        <w:rPr>
          <w:spacing w:val="22"/>
        </w:rPr>
        <w:t> </w:t>
      </w:r>
      <w:r>
        <w:rPr/>
        <w:t>meant for the development in Niger Delta region have been siphoned by the corrupt leaders and thereby leading to……………….</w:t>
      </w:r>
    </w:p>
    <w:p>
      <w:pPr>
        <w:pStyle w:val="BodyText"/>
        <w:spacing w:before="54"/>
        <w:ind w:left="0"/>
        <w:rPr>
          <w:sz w:val="20"/>
        </w:rPr>
      </w:pP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92"/>
        <w:gridCol w:w="1037"/>
        <w:gridCol w:w="996"/>
        <w:gridCol w:w="910"/>
        <w:gridCol w:w="883"/>
      </w:tblGrid>
      <w:tr>
        <w:trPr>
          <w:trHeight w:val="275" w:hRule="atLeast"/>
        </w:trPr>
        <w:tc>
          <w:tcPr>
            <w:tcW w:w="4592" w:type="dxa"/>
          </w:tcPr>
          <w:p>
            <w:pPr>
              <w:pStyle w:val="TableParagraph"/>
              <w:rPr>
                <w:sz w:val="20"/>
              </w:rPr>
            </w:pPr>
          </w:p>
        </w:tc>
        <w:tc>
          <w:tcPr>
            <w:tcW w:w="1037" w:type="dxa"/>
          </w:tcPr>
          <w:p>
            <w:pPr>
              <w:pStyle w:val="TableParagraph"/>
              <w:spacing w:line="256" w:lineRule="exact"/>
              <w:ind w:left="107"/>
              <w:rPr>
                <w:sz w:val="24"/>
              </w:rPr>
            </w:pPr>
            <w:r>
              <w:rPr>
                <w:spacing w:val="-5"/>
                <w:sz w:val="24"/>
              </w:rPr>
              <w:t>SA</w:t>
            </w:r>
          </w:p>
        </w:tc>
        <w:tc>
          <w:tcPr>
            <w:tcW w:w="996" w:type="dxa"/>
          </w:tcPr>
          <w:p>
            <w:pPr>
              <w:pStyle w:val="TableParagraph"/>
              <w:spacing w:line="256" w:lineRule="exact"/>
              <w:ind w:left="107"/>
              <w:rPr>
                <w:sz w:val="24"/>
              </w:rPr>
            </w:pPr>
            <w:r>
              <w:rPr>
                <w:spacing w:val="-10"/>
                <w:sz w:val="24"/>
              </w:rPr>
              <w:t>A</w:t>
            </w:r>
          </w:p>
        </w:tc>
        <w:tc>
          <w:tcPr>
            <w:tcW w:w="910" w:type="dxa"/>
          </w:tcPr>
          <w:p>
            <w:pPr>
              <w:pStyle w:val="TableParagraph"/>
              <w:spacing w:line="256" w:lineRule="exact"/>
              <w:ind w:left="107"/>
              <w:rPr>
                <w:sz w:val="24"/>
              </w:rPr>
            </w:pPr>
            <w:r>
              <w:rPr>
                <w:spacing w:val="-5"/>
                <w:sz w:val="24"/>
              </w:rPr>
              <w:t>SD</w:t>
            </w:r>
          </w:p>
        </w:tc>
        <w:tc>
          <w:tcPr>
            <w:tcW w:w="883" w:type="dxa"/>
          </w:tcPr>
          <w:p>
            <w:pPr>
              <w:pStyle w:val="TableParagraph"/>
              <w:spacing w:line="256" w:lineRule="exact"/>
              <w:ind w:left="107"/>
              <w:rPr>
                <w:sz w:val="24"/>
              </w:rPr>
            </w:pPr>
            <w:r>
              <w:rPr>
                <w:spacing w:val="-10"/>
                <w:sz w:val="24"/>
              </w:rPr>
              <w:t>D</w:t>
            </w:r>
          </w:p>
        </w:tc>
      </w:tr>
      <w:tr>
        <w:trPr>
          <w:trHeight w:val="275" w:hRule="atLeast"/>
        </w:trPr>
        <w:tc>
          <w:tcPr>
            <w:tcW w:w="4592" w:type="dxa"/>
          </w:tcPr>
          <w:p>
            <w:pPr>
              <w:pStyle w:val="TableParagraph"/>
              <w:spacing w:line="256" w:lineRule="exact"/>
              <w:ind w:left="107"/>
              <w:rPr>
                <w:sz w:val="24"/>
              </w:rPr>
            </w:pPr>
            <w:r>
              <w:rPr>
                <w:spacing w:val="-2"/>
                <w:sz w:val="24"/>
              </w:rPr>
              <w:t>Unemployment</w:t>
            </w:r>
          </w:p>
        </w:tc>
        <w:tc>
          <w:tcPr>
            <w:tcW w:w="1037" w:type="dxa"/>
          </w:tcPr>
          <w:p>
            <w:pPr>
              <w:pStyle w:val="TableParagraph"/>
              <w:rPr>
                <w:sz w:val="20"/>
              </w:rPr>
            </w:pPr>
          </w:p>
        </w:tc>
        <w:tc>
          <w:tcPr>
            <w:tcW w:w="996" w:type="dxa"/>
          </w:tcPr>
          <w:p>
            <w:pPr>
              <w:pStyle w:val="TableParagraph"/>
              <w:rPr>
                <w:sz w:val="20"/>
              </w:rPr>
            </w:pPr>
          </w:p>
        </w:tc>
        <w:tc>
          <w:tcPr>
            <w:tcW w:w="910" w:type="dxa"/>
          </w:tcPr>
          <w:p>
            <w:pPr>
              <w:pStyle w:val="TableParagraph"/>
              <w:rPr>
                <w:sz w:val="20"/>
              </w:rPr>
            </w:pPr>
          </w:p>
        </w:tc>
        <w:tc>
          <w:tcPr>
            <w:tcW w:w="883" w:type="dxa"/>
          </w:tcPr>
          <w:p>
            <w:pPr>
              <w:pStyle w:val="TableParagraph"/>
              <w:rPr>
                <w:sz w:val="20"/>
              </w:rPr>
            </w:pPr>
          </w:p>
        </w:tc>
      </w:tr>
      <w:tr>
        <w:trPr>
          <w:trHeight w:val="277" w:hRule="atLeast"/>
        </w:trPr>
        <w:tc>
          <w:tcPr>
            <w:tcW w:w="4592" w:type="dxa"/>
          </w:tcPr>
          <w:p>
            <w:pPr>
              <w:pStyle w:val="TableParagraph"/>
              <w:spacing w:line="258" w:lineRule="exact"/>
              <w:ind w:left="107"/>
              <w:rPr>
                <w:sz w:val="24"/>
              </w:rPr>
            </w:pPr>
            <w:r>
              <w:rPr>
                <w:spacing w:val="-2"/>
                <w:sz w:val="24"/>
              </w:rPr>
              <w:t>Criminality</w:t>
            </w:r>
          </w:p>
        </w:tc>
        <w:tc>
          <w:tcPr>
            <w:tcW w:w="1037" w:type="dxa"/>
          </w:tcPr>
          <w:p>
            <w:pPr>
              <w:pStyle w:val="TableParagraph"/>
              <w:rPr>
                <w:sz w:val="20"/>
              </w:rPr>
            </w:pPr>
          </w:p>
        </w:tc>
        <w:tc>
          <w:tcPr>
            <w:tcW w:w="996" w:type="dxa"/>
          </w:tcPr>
          <w:p>
            <w:pPr>
              <w:pStyle w:val="TableParagraph"/>
              <w:rPr>
                <w:sz w:val="20"/>
              </w:rPr>
            </w:pPr>
          </w:p>
        </w:tc>
        <w:tc>
          <w:tcPr>
            <w:tcW w:w="910" w:type="dxa"/>
          </w:tcPr>
          <w:p>
            <w:pPr>
              <w:pStyle w:val="TableParagraph"/>
              <w:rPr>
                <w:sz w:val="20"/>
              </w:rPr>
            </w:pPr>
          </w:p>
        </w:tc>
        <w:tc>
          <w:tcPr>
            <w:tcW w:w="883" w:type="dxa"/>
          </w:tcPr>
          <w:p>
            <w:pPr>
              <w:pStyle w:val="TableParagraph"/>
              <w:rPr>
                <w:sz w:val="20"/>
              </w:rPr>
            </w:pPr>
          </w:p>
        </w:tc>
      </w:tr>
      <w:tr>
        <w:trPr>
          <w:trHeight w:val="275" w:hRule="atLeast"/>
        </w:trPr>
        <w:tc>
          <w:tcPr>
            <w:tcW w:w="4592" w:type="dxa"/>
          </w:tcPr>
          <w:p>
            <w:pPr>
              <w:pStyle w:val="TableParagraph"/>
              <w:spacing w:line="256" w:lineRule="exact"/>
              <w:ind w:left="107"/>
              <w:rPr>
                <w:sz w:val="24"/>
              </w:rPr>
            </w:pPr>
            <w:r>
              <w:rPr>
                <w:sz w:val="24"/>
              </w:rPr>
              <w:t>Youth </w:t>
            </w:r>
            <w:r>
              <w:rPr>
                <w:spacing w:val="-2"/>
                <w:sz w:val="24"/>
              </w:rPr>
              <w:t>Agitation</w:t>
            </w:r>
          </w:p>
        </w:tc>
        <w:tc>
          <w:tcPr>
            <w:tcW w:w="1037" w:type="dxa"/>
          </w:tcPr>
          <w:p>
            <w:pPr>
              <w:pStyle w:val="TableParagraph"/>
              <w:rPr>
                <w:sz w:val="20"/>
              </w:rPr>
            </w:pPr>
          </w:p>
        </w:tc>
        <w:tc>
          <w:tcPr>
            <w:tcW w:w="996" w:type="dxa"/>
          </w:tcPr>
          <w:p>
            <w:pPr>
              <w:pStyle w:val="TableParagraph"/>
              <w:rPr>
                <w:sz w:val="20"/>
              </w:rPr>
            </w:pPr>
          </w:p>
        </w:tc>
        <w:tc>
          <w:tcPr>
            <w:tcW w:w="910" w:type="dxa"/>
          </w:tcPr>
          <w:p>
            <w:pPr>
              <w:pStyle w:val="TableParagraph"/>
              <w:rPr>
                <w:sz w:val="20"/>
              </w:rPr>
            </w:pPr>
          </w:p>
        </w:tc>
        <w:tc>
          <w:tcPr>
            <w:tcW w:w="883" w:type="dxa"/>
          </w:tcPr>
          <w:p>
            <w:pPr>
              <w:pStyle w:val="TableParagraph"/>
              <w:rPr>
                <w:sz w:val="20"/>
              </w:rPr>
            </w:pPr>
          </w:p>
        </w:tc>
      </w:tr>
      <w:tr>
        <w:trPr>
          <w:trHeight w:val="275" w:hRule="atLeast"/>
        </w:trPr>
        <w:tc>
          <w:tcPr>
            <w:tcW w:w="4592" w:type="dxa"/>
          </w:tcPr>
          <w:p>
            <w:pPr>
              <w:pStyle w:val="TableParagraph"/>
              <w:spacing w:line="256" w:lineRule="exact"/>
              <w:ind w:left="107"/>
              <w:rPr>
                <w:sz w:val="24"/>
              </w:rPr>
            </w:pPr>
            <w:r>
              <w:rPr>
                <w:sz w:val="24"/>
              </w:rPr>
              <w:t>Violent </w:t>
            </w:r>
            <w:r>
              <w:rPr>
                <w:spacing w:val="-2"/>
                <w:sz w:val="24"/>
              </w:rPr>
              <w:t>Conflict</w:t>
            </w:r>
          </w:p>
        </w:tc>
        <w:tc>
          <w:tcPr>
            <w:tcW w:w="1037" w:type="dxa"/>
          </w:tcPr>
          <w:p>
            <w:pPr>
              <w:pStyle w:val="TableParagraph"/>
              <w:rPr>
                <w:sz w:val="20"/>
              </w:rPr>
            </w:pPr>
          </w:p>
        </w:tc>
        <w:tc>
          <w:tcPr>
            <w:tcW w:w="996" w:type="dxa"/>
          </w:tcPr>
          <w:p>
            <w:pPr>
              <w:pStyle w:val="TableParagraph"/>
              <w:rPr>
                <w:sz w:val="20"/>
              </w:rPr>
            </w:pPr>
          </w:p>
        </w:tc>
        <w:tc>
          <w:tcPr>
            <w:tcW w:w="910" w:type="dxa"/>
          </w:tcPr>
          <w:p>
            <w:pPr>
              <w:pStyle w:val="TableParagraph"/>
              <w:rPr>
                <w:sz w:val="20"/>
              </w:rPr>
            </w:pPr>
          </w:p>
        </w:tc>
        <w:tc>
          <w:tcPr>
            <w:tcW w:w="883" w:type="dxa"/>
          </w:tcPr>
          <w:p>
            <w:pPr>
              <w:pStyle w:val="TableParagraph"/>
              <w:rPr>
                <w:sz w:val="20"/>
              </w:rPr>
            </w:pPr>
          </w:p>
        </w:tc>
      </w:tr>
    </w:tbl>
    <w:p>
      <w:pPr>
        <w:pStyle w:val="BodyText"/>
        <w:spacing w:before="270"/>
        <w:ind w:left="0"/>
      </w:pPr>
    </w:p>
    <w:p>
      <w:pPr>
        <w:pStyle w:val="BodyText"/>
        <w:spacing w:before="1"/>
        <w:ind w:right="1265"/>
        <w:jc w:val="both"/>
      </w:pPr>
      <w:r>
        <w:rPr/>
        <w:t>RQ4</w:t>
      </w:r>
      <w:r>
        <w:rPr>
          <w:spacing w:val="40"/>
        </w:rPr>
        <w:t>  </w:t>
      </w:r>
      <w:r>
        <w:rPr/>
        <w:t>Do you agree to the idea of using the language Niger Delta Youths “Militant” to describe those agitating for resource control?</w:t>
      </w:r>
    </w:p>
    <w:p>
      <w:pPr>
        <w:pStyle w:val="BodyText"/>
        <w:tabs>
          <w:tab w:pos="2760" w:val="left" w:leader="none"/>
          <w:tab w:pos="3900" w:val="left" w:leader="none"/>
          <w:tab w:pos="5580" w:val="left" w:leader="none"/>
        </w:tabs>
        <w:jc w:val="both"/>
      </w:pPr>
      <w:r>
        <w:rPr>
          <w:spacing w:val="-5"/>
        </w:rPr>
        <w:t>SA</w:t>
      </w:r>
      <w:r>
        <w:rPr/>
        <w:tab/>
      </w:r>
      <w:r>
        <w:rPr>
          <w:spacing w:val="-10"/>
        </w:rPr>
        <w:t>A</w:t>
      </w:r>
      <w:r>
        <w:rPr/>
        <w:tab/>
      </w:r>
      <w:r>
        <w:rPr>
          <w:spacing w:val="-5"/>
        </w:rPr>
        <w:t>SD</w:t>
      </w:r>
      <w:r>
        <w:rPr/>
        <w:tab/>
      </w:r>
      <w:r>
        <w:rPr>
          <w:spacing w:val="-10"/>
        </w:rPr>
        <w:t>D</w:t>
      </w:r>
    </w:p>
    <w:p>
      <w:pPr>
        <w:pStyle w:val="BodyText"/>
        <w:spacing w:before="7"/>
        <w:ind w:left="0"/>
        <w:rPr>
          <w:sz w:val="3"/>
        </w:rPr>
      </w:pPr>
      <w:r>
        <w:rPr/>
        <mc:AlternateContent>
          <mc:Choice Requires="wps">
            <w:drawing>
              <wp:anchor distT="0" distB="0" distL="0" distR="0" allowOverlap="1" layoutInCell="1" locked="0" behindDoc="1" simplePos="0" relativeHeight="487731712">
                <wp:simplePos x="0" y="0"/>
                <wp:positionH relativeFrom="page">
                  <wp:posOffset>1366837</wp:posOffset>
                </wp:positionH>
                <wp:positionV relativeFrom="paragraph">
                  <wp:posOffset>41908</wp:posOffset>
                </wp:positionV>
                <wp:extent cx="238125" cy="123825"/>
                <wp:effectExtent l="0" t="0" r="0" b="0"/>
                <wp:wrapTopAndBottom/>
                <wp:docPr id="380" name="Group 380"/>
                <wp:cNvGraphicFramePr>
                  <a:graphicFrameLocks/>
                </wp:cNvGraphicFramePr>
                <a:graphic>
                  <a:graphicData uri="http://schemas.microsoft.com/office/word/2010/wordprocessingGroup">
                    <wpg:wgp>
                      <wpg:cNvPr id="380" name="Group 380"/>
                      <wpg:cNvGrpSpPr/>
                      <wpg:grpSpPr>
                        <a:xfrm>
                          <a:off x="0" y="0"/>
                          <a:ext cx="238125" cy="123825"/>
                          <a:chExt cx="238125" cy="123825"/>
                        </a:xfrm>
                      </wpg:grpSpPr>
                      <wps:wsp>
                        <wps:cNvPr id="381" name="Graphic 381"/>
                        <wps:cNvSpPr/>
                        <wps:spPr>
                          <a:xfrm>
                            <a:off x="4762" y="4762"/>
                            <a:ext cx="228600" cy="114300"/>
                          </a:xfrm>
                          <a:custGeom>
                            <a:avLst/>
                            <a:gdLst/>
                            <a:ahLst/>
                            <a:cxnLst/>
                            <a:rect l="l" t="t" r="r" b="b"/>
                            <a:pathLst>
                              <a:path w="228600" h="114300">
                                <a:moveTo>
                                  <a:pt x="228600" y="0"/>
                                </a:moveTo>
                                <a:lnTo>
                                  <a:pt x="0" y="0"/>
                                </a:lnTo>
                                <a:lnTo>
                                  <a:pt x="0" y="114300"/>
                                </a:lnTo>
                                <a:lnTo>
                                  <a:pt x="228600" y="114300"/>
                                </a:lnTo>
                                <a:lnTo>
                                  <a:pt x="228600" y="0"/>
                                </a:lnTo>
                                <a:close/>
                              </a:path>
                            </a:pathLst>
                          </a:custGeom>
                          <a:solidFill>
                            <a:srgbClr val="FFFFFF"/>
                          </a:solidFill>
                        </wps:spPr>
                        <wps:bodyPr wrap="square" lIns="0" tIns="0" rIns="0" bIns="0" rtlCol="0">
                          <a:prstTxWarp prst="textNoShape">
                            <a:avLst/>
                          </a:prstTxWarp>
                          <a:noAutofit/>
                        </wps:bodyPr>
                      </wps:wsp>
                      <wps:wsp>
                        <wps:cNvPr id="382" name="Graphic 382"/>
                        <wps:cNvSpPr/>
                        <wps:spPr>
                          <a:xfrm>
                            <a:off x="4762" y="4762"/>
                            <a:ext cx="228600" cy="114300"/>
                          </a:xfrm>
                          <a:custGeom>
                            <a:avLst/>
                            <a:gdLst/>
                            <a:ahLst/>
                            <a:cxnLst/>
                            <a:rect l="l" t="t" r="r" b="b"/>
                            <a:pathLst>
                              <a:path w="228600" h="114300">
                                <a:moveTo>
                                  <a:pt x="0" y="114300"/>
                                </a:moveTo>
                                <a:lnTo>
                                  <a:pt x="228600" y="114300"/>
                                </a:lnTo>
                                <a:lnTo>
                                  <a:pt x="228600" y="0"/>
                                </a:lnTo>
                                <a:lnTo>
                                  <a:pt x="0" y="0"/>
                                </a:lnTo>
                                <a:lnTo>
                                  <a:pt x="0" y="1143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7.625pt;margin-top:3.299854pt;width:18.75pt;height:9.75pt;mso-position-horizontal-relative:page;mso-position-vertical-relative:paragraph;z-index:-15584768;mso-wrap-distance-left:0;mso-wrap-distance-right:0" id="docshapegroup142" coordorigin="2153,66" coordsize="375,195">
                <v:rect style="position:absolute;left:2160;top:73;width:360;height:180" id="docshape143" filled="true" fillcolor="#ffffff" stroked="false">
                  <v:fill type="solid"/>
                </v:rect>
                <v:rect style="position:absolute;left:2160;top:73;width:360;height:180" id="docshape144" filled="false" stroked="true" strokeweight=".75pt" strokecolor="#000000">
                  <v:stroke dashstyle="solid"/>
                </v:rect>
                <w10:wrap type="topAndBottom"/>
              </v:group>
            </w:pict>
          </mc:Fallback>
        </mc:AlternateContent>
      </w:r>
      <w:r>
        <w:rPr/>
        <mc:AlternateContent>
          <mc:Choice Requires="wps">
            <w:drawing>
              <wp:anchor distT="0" distB="0" distL="0" distR="0" allowOverlap="1" layoutInCell="1" locked="0" behindDoc="1" simplePos="0" relativeHeight="487732224">
                <wp:simplePos x="0" y="0"/>
                <wp:positionH relativeFrom="page">
                  <wp:posOffset>2166937</wp:posOffset>
                </wp:positionH>
                <wp:positionV relativeFrom="paragraph">
                  <wp:posOffset>41908</wp:posOffset>
                </wp:positionV>
                <wp:extent cx="238125" cy="123825"/>
                <wp:effectExtent l="0" t="0" r="0" b="0"/>
                <wp:wrapTopAndBottom/>
                <wp:docPr id="383" name="Group 383"/>
                <wp:cNvGraphicFramePr>
                  <a:graphicFrameLocks/>
                </wp:cNvGraphicFramePr>
                <a:graphic>
                  <a:graphicData uri="http://schemas.microsoft.com/office/word/2010/wordprocessingGroup">
                    <wpg:wgp>
                      <wpg:cNvPr id="383" name="Group 383"/>
                      <wpg:cNvGrpSpPr/>
                      <wpg:grpSpPr>
                        <a:xfrm>
                          <a:off x="0" y="0"/>
                          <a:ext cx="238125" cy="123825"/>
                          <a:chExt cx="238125" cy="123825"/>
                        </a:xfrm>
                      </wpg:grpSpPr>
                      <wps:wsp>
                        <wps:cNvPr id="384" name="Graphic 384"/>
                        <wps:cNvSpPr/>
                        <wps:spPr>
                          <a:xfrm>
                            <a:off x="4762" y="4762"/>
                            <a:ext cx="228600" cy="114300"/>
                          </a:xfrm>
                          <a:custGeom>
                            <a:avLst/>
                            <a:gdLst/>
                            <a:ahLst/>
                            <a:cxnLst/>
                            <a:rect l="l" t="t" r="r" b="b"/>
                            <a:pathLst>
                              <a:path w="228600" h="114300">
                                <a:moveTo>
                                  <a:pt x="228600" y="0"/>
                                </a:moveTo>
                                <a:lnTo>
                                  <a:pt x="0" y="0"/>
                                </a:lnTo>
                                <a:lnTo>
                                  <a:pt x="0" y="114300"/>
                                </a:lnTo>
                                <a:lnTo>
                                  <a:pt x="228600" y="114300"/>
                                </a:lnTo>
                                <a:lnTo>
                                  <a:pt x="228600" y="0"/>
                                </a:lnTo>
                                <a:close/>
                              </a:path>
                            </a:pathLst>
                          </a:custGeom>
                          <a:solidFill>
                            <a:srgbClr val="FFFFFF"/>
                          </a:solidFill>
                        </wps:spPr>
                        <wps:bodyPr wrap="square" lIns="0" tIns="0" rIns="0" bIns="0" rtlCol="0">
                          <a:prstTxWarp prst="textNoShape">
                            <a:avLst/>
                          </a:prstTxWarp>
                          <a:noAutofit/>
                        </wps:bodyPr>
                      </wps:wsp>
                      <wps:wsp>
                        <wps:cNvPr id="385" name="Graphic 385"/>
                        <wps:cNvSpPr/>
                        <wps:spPr>
                          <a:xfrm>
                            <a:off x="4762" y="4762"/>
                            <a:ext cx="228600" cy="114300"/>
                          </a:xfrm>
                          <a:custGeom>
                            <a:avLst/>
                            <a:gdLst/>
                            <a:ahLst/>
                            <a:cxnLst/>
                            <a:rect l="l" t="t" r="r" b="b"/>
                            <a:pathLst>
                              <a:path w="228600" h="114300">
                                <a:moveTo>
                                  <a:pt x="0" y="114300"/>
                                </a:moveTo>
                                <a:lnTo>
                                  <a:pt x="228600" y="114300"/>
                                </a:lnTo>
                                <a:lnTo>
                                  <a:pt x="228600" y="0"/>
                                </a:lnTo>
                                <a:lnTo>
                                  <a:pt x="0" y="0"/>
                                </a:lnTo>
                                <a:lnTo>
                                  <a:pt x="0" y="1143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0.625pt;margin-top:3.299854pt;width:18.75pt;height:9.75pt;mso-position-horizontal-relative:page;mso-position-vertical-relative:paragraph;z-index:-15584256;mso-wrap-distance-left:0;mso-wrap-distance-right:0" id="docshapegroup145" coordorigin="3413,66" coordsize="375,195">
                <v:rect style="position:absolute;left:3420;top:73;width:360;height:180" id="docshape146" filled="true" fillcolor="#ffffff" stroked="false">
                  <v:fill type="solid"/>
                </v:rect>
                <v:rect style="position:absolute;left:3420;top:73;width:360;height:180" id="docshape147" filled="false" stroked="true" strokeweight=".75pt" strokecolor="#000000">
                  <v:stroke dashstyle="solid"/>
                </v:rect>
                <w10:wrap type="topAndBottom"/>
              </v:group>
            </w:pict>
          </mc:Fallback>
        </mc:AlternateContent>
      </w:r>
      <w:r>
        <w:rPr/>
        <mc:AlternateContent>
          <mc:Choice Requires="wps">
            <w:drawing>
              <wp:anchor distT="0" distB="0" distL="0" distR="0" allowOverlap="1" layoutInCell="1" locked="0" behindDoc="1" simplePos="0" relativeHeight="487732736">
                <wp:simplePos x="0" y="0"/>
                <wp:positionH relativeFrom="page">
                  <wp:posOffset>2967037</wp:posOffset>
                </wp:positionH>
                <wp:positionV relativeFrom="paragraph">
                  <wp:posOffset>41908</wp:posOffset>
                </wp:positionV>
                <wp:extent cx="238125" cy="123825"/>
                <wp:effectExtent l="0" t="0" r="0" b="0"/>
                <wp:wrapTopAndBottom/>
                <wp:docPr id="386" name="Group 386"/>
                <wp:cNvGraphicFramePr>
                  <a:graphicFrameLocks/>
                </wp:cNvGraphicFramePr>
                <a:graphic>
                  <a:graphicData uri="http://schemas.microsoft.com/office/word/2010/wordprocessingGroup">
                    <wpg:wgp>
                      <wpg:cNvPr id="386" name="Group 386"/>
                      <wpg:cNvGrpSpPr/>
                      <wpg:grpSpPr>
                        <a:xfrm>
                          <a:off x="0" y="0"/>
                          <a:ext cx="238125" cy="123825"/>
                          <a:chExt cx="238125" cy="123825"/>
                        </a:xfrm>
                      </wpg:grpSpPr>
                      <wps:wsp>
                        <wps:cNvPr id="387" name="Graphic 387"/>
                        <wps:cNvSpPr/>
                        <wps:spPr>
                          <a:xfrm>
                            <a:off x="4762" y="4762"/>
                            <a:ext cx="228600" cy="114300"/>
                          </a:xfrm>
                          <a:custGeom>
                            <a:avLst/>
                            <a:gdLst/>
                            <a:ahLst/>
                            <a:cxnLst/>
                            <a:rect l="l" t="t" r="r" b="b"/>
                            <a:pathLst>
                              <a:path w="228600" h="114300">
                                <a:moveTo>
                                  <a:pt x="228600" y="0"/>
                                </a:moveTo>
                                <a:lnTo>
                                  <a:pt x="0" y="0"/>
                                </a:lnTo>
                                <a:lnTo>
                                  <a:pt x="0" y="114300"/>
                                </a:lnTo>
                                <a:lnTo>
                                  <a:pt x="228600" y="114300"/>
                                </a:lnTo>
                                <a:lnTo>
                                  <a:pt x="228600" y="0"/>
                                </a:lnTo>
                                <a:close/>
                              </a:path>
                            </a:pathLst>
                          </a:custGeom>
                          <a:solidFill>
                            <a:srgbClr val="FFFFFF"/>
                          </a:solidFill>
                        </wps:spPr>
                        <wps:bodyPr wrap="square" lIns="0" tIns="0" rIns="0" bIns="0" rtlCol="0">
                          <a:prstTxWarp prst="textNoShape">
                            <a:avLst/>
                          </a:prstTxWarp>
                          <a:noAutofit/>
                        </wps:bodyPr>
                      </wps:wsp>
                      <wps:wsp>
                        <wps:cNvPr id="388" name="Graphic 388"/>
                        <wps:cNvSpPr/>
                        <wps:spPr>
                          <a:xfrm>
                            <a:off x="4762" y="4762"/>
                            <a:ext cx="228600" cy="114300"/>
                          </a:xfrm>
                          <a:custGeom>
                            <a:avLst/>
                            <a:gdLst/>
                            <a:ahLst/>
                            <a:cxnLst/>
                            <a:rect l="l" t="t" r="r" b="b"/>
                            <a:pathLst>
                              <a:path w="228600" h="114300">
                                <a:moveTo>
                                  <a:pt x="0" y="114300"/>
                                </a:moveTo>
                                <a:lnTo>
                                  <a:pt x="228600" y="114300"/>
                                </a:lnTo>
                                <a:lnTo>
                                  <a:pt x="228600" y="0"/>
                                </a:lnTo>
                                <a:lnTo>
                                  <a:pt x="0" y="0"/>
                                </a:lnTo>
                                <a:lnTo>
                                  <a:pt x="0" y="1143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3.625pt;margin-top:3.299854pt;width:18.75pt;height:9.75pt;mso-position-horizontal-relative:page;mso-position-vertical-relative:paragraph;z-index:-15583744;mso-wrap-distance-left:0;mso-wrap-distance-right:0" id="docshapegroup148" coordorigin="4673,66" coordsize="375,195">
                <v:rect style="position:absolute;left:4680;top:73;width:360;height:180" id="docshape149" filled="true" fillcolor="#ffffff" stroked="false">
                  <v:fill type="solid"/>
                </v:rect>
                <v:rect style="position:absolute;left:4680;top:73;width:360;height:180" id="docshape150" filled="false" stroked="true" strokeweight=".75pt" strokecolor="#000000">
                  <v:stroke dashstyle="solid"/>
                </v:rect>
                <w10:wrap type="topAndBottom"/>
              </v:group>
            </w:pict>
          </mc:Fallback>
        </mc:AlternateContent>
      </w:r>
      <w:r>
        <w:rPr/>
        <mc:AlternateContent>
          <mc:Choice Requires="wps">
            <w:drawing>
              <wp:anchor distT="0" distB="0" distL="0" distR="0" allowOverlap="1" layoutInCell="1" locked="0" behindDoc="1" simplePos="0" relativeHeight="487733248">
                <wp:simplePos x="0" y="0"/>
                <wp:positionH relativeFrom="page">
                  <wp:posOffset>3995737</wp:posOffset>
                </wp:positionH>
                <wp:positionV relativeFrom="paragraph">
                  <wp:posOffset>41908</wp:posOffset>
                </wp:positionV>
                <wp:extent cx="238125" cy="123825"/>
                <wp:effectExtent l="0" t="0" r="0" b="0"/>
                <wp:wrapTopAndBottom/>
                <wp:docPr id="389" name="Group 389"/>
                <wp:cNvGraphicFramePr>
                  <a:graphicFrameLocks/>
                </wp:cNvGraphicFramePr>
                <a:graphic>
                  <a:graphicData uri="http://schemas.microsoft.com/office/word/2010/wordprocessingGroup">
                    <wpg:wgp>
                      <wpg:cNvPr id="389" name="Group 389"/>
                      <wpg:cNvGrpSpPr/>
                      <wpg:grpSpPr>
                        <a:xfrm>
                          <a:off x="0" y="0"/>
                          <a:ext cx="238125" cy="123825"/>
                          <a:chExt cx="238125" cy="123825"/>
                        </a:xfrm>
                      </wpg:grpSpPr>
                      <wps:wsp>
                        <wps:cNvPr id="390" name="Graphic 390"/>
                        <wps:cNvSpPr/>
                        <wps:spPr>
                          <a:xfrm>
                            <a:off x="4762" y="4762"/>
                            <a:ext cx="228600" cy="114300"/>
                          </a:xfrm>
                          <a:custGeom>
                            <a:avLst/>
                            <a:gdLst/>
                            <a:ahLst/>
                            <a:cxnLst/>
                            <a:rect l="l" t="t" r="r" b="b"/>
                            <a:pathLst>
                              <a:path w="228600" h="114300">
                                <a:moveTo>
                                  <a:pt x="228600" y="0"/>
                                </a:moveTo>
                                <a:lnTo>
                                  <a:pt x="0" y="0"/>
                                </a:lnTo>
                                <a:lnTo>
                                  <a:pt x="0" y="114300"/>
                                </a:lnTo>
                                <a:lnTo>
                                  <a:pt x="228600" y="114300"/>
                                </a:lnTo>
                                <a:lnTo>
                                  <a:pt x="228600" y="0"/>
                                </a:lnTo>
                                <a:close/>
                              </a:path>
                            </a:pathLst>
                          </a:custGeom>
                          <a:solidFill>
                            <a:srgbClr val="FFFFFF"/>
                          </a:solidFill>
                        </wps:spPr>
                        <wps:bodyPr wrap="square" lIns="0" tIns="0" rIns="0" bIns="0" rtlCol="0">
                          <a:prstTxWarp prst="textNoShape">
                            <a:avLst/>
                          </a:prstTxWarp>
                          <a:noAutofit/>
                        </wps:bodyPr>
                      </wps:wsp>
                      <wps:wsp>
                        <wps:cNvPr id="391" name="Graphic 391"/>
                        <wps:cNvSpPr/>
                        <wps:spPr>
                          <a:xfrm>
                            <a:off x="4762" y="4762"/>
                            <a:ext cx="228600" cy="114300"/>
                          </a:xfrm>
                          <a:custGeom>
                            <a:avLst/>
                            <a:gdLst/>
                            <a:ahLst/>
                            <a:cxnLst/>
                            <a:rect l="l" t="t" r="r" b="b"/>
                            <a:pathLst>
                              <a:path w="228600" h="114300">
                                <a:moveTo>
                                  <a:pt x="0" y="114300"/>
                                </a:moveTo>
                                <a:lnTo>
                                  <a:pt x="228600" y="114300"/>
                                </a:lnTo>
                                <a:lnTo>
                                  <a:pt x="228600" y="0"/>
                                </a:lnTo>
                                <a:lnTo>
                                  <a:pt x="0" y="0"/>
                                </a:lnTo>
                                <a:lnTo>
                                  <a:pt x="0" y="1143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4.625pt;margin-top:3.299854pt;width:18.75pt;height:9.75pt;mso-position-horizontal-relative:page;mso-position-vertical-relative:paragraph;z-index:-15583232;mso-wrap-distance-left:0;mso-wrap-distance-right:0" id="docshapegroup151" coordorigin="6293,66" coordsize="375,195">
                <v:rect style="position:absolute;left:6300;top:73;width:360;height:180" id="docshape152" filled="true" fillcolor="#ffffff" stroked="false">
                  <v:fill type="solid"/>
                </v:rect>
                <v:rect style="position:absolute;left:6300;top:73;width:360;height:180" id="docshape153" filled="false" stroked="true" strokeweight=".75pt" strokecolor="#000000">
                  <v:stroke dashstyle="solid"/>
                </v:rect>
                <w10:wrap type="topAndBottom"/>
              </v:group>
            </w:pict>
          </mc:Fallback>
        </mc:AlternateContent>
      </w:r>
    </w:p>
    <w:p>
      <w:pPr>
        <w:spacing w:after="0"/>
        <w:rPr>
          <w:sz w:val="3"/>
        </w:rPr>
        <w:sectPr>
          <w:pgSz w:w="11910" w:h="16840"/>
          <w:pgMar w:header="0" w:footer="1561" w:top="1360" w:bottom="1760" w:left="720" w:right="180"/>
        </w:sectPr>
      </w:pPr>
    </w:p>
    <w:p>
      <w:pPr>
        <w:pStyle w:val="BodyText"/>
        <w:tabs>
          <w:tab w:pos="2220" w:val="left" w:leader="none"/>
        </w:tabs>
        <w:spacing w:before="78"/>
      </w:pPr>
      <w:r>
        <w:rPr/>
        <mc:AlternateContent>
          <mc:Choice Requires="wps">
            <w:drawing>
              <wp:anchor distT="0" distB="0" distL="0" distR="0" allowOverlap="1" layoutInCell="1" locked="0" behindDoc="1" simplePos="0" relativeHeight="480704512">
                <wp:simplePos x="0" y="0"/>
                <wp:positionH relativeFrom="page">
                  <wp:posOffset>-1537026</wp:posOffset>
                </wp:positionH>
                <wp:positionV relativeFrom="page">
                  <wp:posOffset>4900424</wp:posOffset>
                </wp:positionV>
                <wp:extent cx="10669905" cy="914400"/>
                <wp:effectExtent l="0" t="0" r="0" b="0"/>
                <wp:wrapNone/>
                <wp:docPr id="392" name="Textbox 392"/>
                <wp:cNvGraphicFramePr>
                  <a:graphicFrameLocks/>
                </wp:cNvGraphicFramePr>
                <a:graphic>
                  <a:graphicData uri="http://schemas.microsoft.com/office/word/2010/wordprocessingShape">
                    <wps:wsp>
                      <wps:cNvPr id="392" name="Textbox 392"/>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11968;rotation:306" type="#_x0000_t136" fillcolor="#ff5400" stroked="f">
                <o:extrusion v:ext="view" autorotationcenter="t"/>
                <v:textpath style="font-family:&quot;Arial MT&quot;;font-size:72pt;v-text-kern:t;mso-text-shadow:auto" string="UNIVERSITY OF IBADAN"/>
                <w10:wrap type="none"/>
              </v:shape>
            </w:pict>
          </mc:Fallback>
        </mc:AlternateContent>
      </w:r>
      <w:r>
        <w:rPr>
          <w:spacing w:val="-5"/>
        </w:rPr>
        <w:t>RQ5</w:t>
      </w:r>
      <w:r>
        <w:rPr/>
        <w:tab/>
        <w:t>The</w:t>
      </w:r>
      <w:r>
        <w:rPr>
          <w:spacing w:val="-3"/>
        </w:rPr>
        <w:t> </w:t>
      </w:r>
      <w:r>
        <w:rPr/>
        <w:t>“militant”</w:t>
      </w:r>
      <w:r>
        <w:rPr>
          <w:spacing w:val="-2"/>
        </w:rPr>
        <w:t> </w:t>
      </w:r>
      <w:r>
        <w:rPr/>
        <w:t>groups</w:t>
      </w:r>
      <w:r>
        <w:rPr>
          <w:spacing w:val="-2"/>
        </w:rPr>
        <w:t> </w:t>
      </w:r>
      <w:r>
        <w:rPr/>
        <w:t>in</w:t>
      </w:r>
      <w:r>
        <w:rPr>
          <w:spacing w:val="-1"/>
        </w:rPr>
        <w:t> </w:t>
      </w:r>
      <w:r>
        <w:rPr/>
        <w:t>the</w:t>
      </w:r>
      <w:r>
        <w:rPr>
          <w:spacing w:val="-1"/>
        </w:rPr>
        <w:t> </w:t>
      </w:r>
      <w:r>
        <w:rPr/>
        <w:t>Niger</w:t>
      </w:r>
      <w:r>
        <w:rPr>
          <w:spacing w:val="-3"/>
        </w:rPr>
        <w:t> </w:t>
      </w:r>
      <w:r>
        <w:rPr/>
        <w:t>Delta</w:t>
      </w:r>
      <w:r>
        <w:rPr>
          <w:spacing w:val="1"/>
        </w:rPr>
        <w:t> </w:t>
      </w:r>
      <w:r>
        <w:rPr>
          <w:spacing w:val="-4"/>
        </w:rPr>
        <w:t>are?</w:t>
      </w:r>
    </w:p>
    <w:p>
      <w:pPr>
        <w:pStyle w:val="BodyText"/>
        <w:spacing w:before="54" w:after="1"/>
        <w:ind w:left="0"/>
        <w:rPr>
          <w:sz w:val="20"/>
        </w:rPr>
      </w:pP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80"/>
        <w:gridCol w:w="1037"/>
        <w:gridCol w:w="996"/>
        <w:gridCol w:w="1549"/>
        <w:gridCol w:w="884"/>
      </w:tblGrid>
      <w:tr>
        <w:trPr>
          <w:trHeight w:val="275" w:hRule="atLeast"/>
        </w:trPr>
        <w:tc>
          <w:tcPr>
            <w:tcW w:w="3980" w:type="dxa"/>
          </w:tcPr>
          <w:p>
            <w:pPr>
              <w:pStyle w:val="TableParagraph"/>
              <w:rPr>
                <w:sz w:val="20"/>
              </w:rPr>
            </w:pPr>
          </w:p>
        </w:tc>
        <w:tc>
          <w:tcPr>
            <w:tcW w:w="1037" w:type="dxa"/>
          </w:tcPr>
          <w:p>
            <w:pPr>
              <w:pStyle w:val="TableParagraph"/>
              <w:spacing w:line="256" w:lineRule="exact"/>
              <w:ind w:left="107"/>
              <w:rPr>
                <w:sz w:val="24"/>
              </w:rPr>
            </w:pPr>
            <w:r>
              <w:rPr>
                <w:spacing w:val="-5"/>
                <w:sz w:val="24"/>
              </w:rPr>
              <w:t>SA</w:t>
            </w:r>
          </w:p>
        </w:tc>
        <w:tc>
          <w:tcPr>
            <w:tcW w:w="996" w:type="dxa"/>
          </w:tcPr>
          <w:p>
            <w:pPr>
              <w:pStyle w:val="TableParagraph"/>
              <w:spacing w:line="256" w:lineRule="exact"/>
              <w:ind w:left="107"/>
              <w:rPr>
                <w:sz w:val="24"/>
              </w:rPr>
            </w:pPr>
            <w:r>
              <w:rPr>
                <w:spacing w:val="-10"/>
                <w:sz w:val="24"/>
              </w:rPr>
              <w:t>A</w:t>
            </w:r>
          </w:p>
        </w:tc>
        <w:tc>
          <w:tcPr>
            <w:tcW w:w="1549" w:type="dxa"/>
          </w:tcPr>
          <w:p>
            <w:pPr>
              <w:pStyle w:val="TableParagraph"/>
              <w:spacing w:line="256" w:lineRule="exact"/>
              <w:ind w:left="107"/>
              <w:rPr>
                <w:sz w:val="24"/>
              </w:rPr>
            </w:pPr>
            <w:r>
              <w:rPr>
                <w:spacing w:val="-5"/>
                <w:sz w:val="24"/>
              </w:rPr>
              <w:t>SD</w:t>
            </w:r>
          </w:p>
        </w:tc>
        <w:tc>
          <w:tcPr>
            <w:tcW w:w="884" w:type="dxa"/>
          </w:tcPr>
          <w:p>
            <w:pPr>
              <w:pStyle w:val="TableParagraph"/>
              <w:spacing w:line="256" w:lineRule="exact"/>
              <w:ind w:left="107"/>
              <w:rPr>
                <w:sz w:val="24"/>
              </w:rPr>
            </w:pPr>
            <w:r>
              <w:rPr>
                <w:spacing w:val="-10"/>
                <w:sz w:val="24"/>
              </w:rPr>
              <w:t>D</w:t>
            </w:r>
          </w:p>
        </w:tc>
      </w:tr>
      <w:tr>
        <w:trPr>
          <w:trHeight w:val="275" w:hRule="atLeast"/>
        </w:trPr>
        <w:tc>
          <w:tcPr>
            <w:tcW w:w="3980" w:type="dxa"/>
          </w:tcPr>
          <w:p>
            <w:pPr>
              <w:pStyle w:val="TableParagraph"/>
              <w:spacing w:line="256" w:lineRule="exact"/>
              <w:ind w:left="107"/>
              <w:rPr>
                <w:sz w:val="24"/>
              </w:rPr>
            </w:pPr>
            <w:r>
              <w:rPr>
                <w:spacing w:val="-2"/>
                <w:sz w:val="24"/>
              </w:rPr>
              <w:t>Unemployed</w:t>
            </w:r>
          </w:p>
        </w:tc>
        <w:tc>
          <w:tcPr>
            <w:tcW w:w="1037" w:type="dxa"/>
          </w:tcPr>
          <w:p>
            <w:pPr>
              <w:pStyle w:val="TableParagraph"/>
              <w:rPr>
                <w:sz w:val="20"/>
              </w:rPr>
            </w:pPr>
          </w:p>
        </w:tc>
        <w:tc>
          <w:tcPr>
            <w:tcW w:w="996" w:type="dxa"/>
          </w:tcPr>
          <w:p>
            <w:pPr>
              <w:pStyle w:val="TableParagraph"/>
              <w:rPr>
                <w:sz w:val="20"/>
              </w:rPr>
            </w:pPr>
          </w:p>
        </w:tc>
        <w:tc>
          <w:tcPr>
            <w:tcW w:w="1549" w:type="dxa"/>
          </w:tcPr>
          <w:p>
            <w:pPr>
              <w:pStyle w:val="TableParagraph"/>
              <w:rPr>
                <w:sz w:val="20"/>
              </w:rPr>
            </w:pPr>
          </w:p>
        </w:tc>
        <w:tc>
          <w:tcPr>
            <w:tcW w:w="884" w:type="dxa"/>
          </w:tcPr>
          <w:p>
            <w:pPr>
              <w:pStyle w:val="TableParagraph"/>
              <w:rPr>
                <w:sz w:val="20"/>
              </w:rPr>
            </w:pPr>
          </w:p>
        </w:tc>
      </w:tr>
      <w:tr>
        <w:trPr>
          <w:trHeight w:val="275" w:hRule="atLeast"/>
        </w:trPr>
        <w:tc>
          <w:tcPr>
            <w:tcW w:w="3980" w:type="dxa"/>
          </w:tcPr>
          <w:p>
            <w:pPr>
              <w:pStyle w:val="TableParagraph"/>
              <w:spacing w:line="256" w:lineRule="exact"/>
              <w:ind w:left="107"/>
              <w:rPr>
                <w:sz w:val="24"/>
              </w:rPr>
            </w:pPr>
            <w:r>
              <w:rPr>
                <w:sz w:val="24"/>
              </w:rPr>
              <w:t>Unemployed</w:t>
            </w:r>
            <w:r>
              <w:rPr>
                <w:spacing w:val="-4"/>
                <w:sz w:val="24"/>
              </w:rPr>
              <w:t> </w:t>
            </w:r>
            <w:r>
              <w:rPr>
                <w:spacing w:val="-2"/>
                <w:sz w:val="24"/>
              </w:rPr>
              <w:t>Youths</w:t>
            </w:r>
          </w:p>
        </w:tc>
        <w:tc>
          <w:tcPr>
            <w:tcW w:w="1037" w:type="dxa"/>
          </w:tcPr>
          <w:p>
            <w:pPr>
              <w:pStyle w:val="TableParagraph"/>
              <w:rPr>
                <w:sz w:val="20"/>
              </w:rPr>
            </w:pPr>
          </w:p>
        </w:tc>
        <w:tc>
          <w:tcPr>
            <w:tcW w:w="996" w:type="dxa"/>
          </w:tcPr>
          <w:p>
            <w:pPr>
              <w:pStyle w:val="TableParagraph"/>
              <w:rPr>
                <w:sz w:val="20"/>
              </w:rPr>
            </w:pPr>
          </w:p>
        </w:tc>
        <w:tc>
          <w:tcPr>
            <w:tcW w:w="1549" w:type="dxa"/>
          </w:tcPr>
          <w:p>
            <w:pPr>
              <w:pStyle w:val="TableParagraph"/>
              <w:rPr>
                <w:sz w:val="20"/>
              </w:rPr>
            </w:pPr>
          </w:p>
        </w:tc>
        <w:tc>
          <w:tcPr>
            <w:tcW w:w="884" w:type="dxa"/>
          </w:tcPr>
          <w:p>
            <w:pPr>
              <w:pStyle w:val="TableParagraph"/>
              <w:rPr>
                <w:sz w:val="20"/>
              </w:rPr>
            </w:pPr>
          </w:p>
        </w:tc>
      </w:tr>
      <w:tr>
        <w:trPr>
          <w:trHeight w:val="277" w:hRule="atLeast"/>
        </w:trPr>
        <w:tc>
          <w:tcPr>
            <w:tcW w:w="3980" w:type="dxa"/>
          </w:tcPr>
          <w:p>
            <w:pPr>
              <w:pStyle w:val="TableParagraph"/>
              <w:spacing w:line="258" w:lineRule="exact"/>
              <w:ind w:left="107"/>
              <w:rPr>
                <w:sz w:val="24"/>
              </w:rPr>
            </w:pPr>
            <w:r>
              <w:rPr>
                <w:sz w:val="24"/>
              </w:rPr>
              <w:t>Greedy</w:t>
            </w:r>
            <w:r>
              <w:rPr>
                <w:spacing w:val="-3"/>
                <w:sz w:val="24"/>
              </w:rPr>
              <w:t> </w:t>
            </w:r>
            <w:r>
              <w:rPr>
                <w:spacing w:val="-2"/>
                <w:sz w:val="24"/>
              </w:rPr>
              <w:t>Youths</w:t>
            </w:r>
          </w:p>
        </w:tc>
        <w:tc>
          <w:tcPr>
            <w:tcW w:w="1037" w:type="dxa"/>
          </w:tcPr>
          <w:p>
            <w:pPr>
              <w:pStyle w:val="TableParagraph"/>
              <w:rPr>
                <w:sz w:val="20"/>
              </w:rPr>
            </w:pPr>
          </w:p>
        </w:tc>
        <w:tc>
          <w:tcPr>
            <w:tcW w:w="996" w:type="dxa"/>
          </w:tcPr>
          <w:p>
            <w:pPr>
              <w:pStyle w:val="TableParagraph"/>
              <w:rPr>
                <w:sz w:val="20"/>
              </w:rPr>
            </w:pPr>
          </w:p>
        </w:tc>
        <w:tc>
          <w:tcPr>
            <w:tcW w:w="1549" w:type="dxa"/>
          </w:tcPr>
          <w:p>
            <w:pPr>
              <w:pStyle w:val="TableParagraph"/>
              <w:rPr>
                <w:sz w:val="20"/>
              </w:rPr>
            </w:pPr>
          </w:p>
        </w:tc>
        <w:tc>
          <w:tcPr>
            <w:tcW w:w="884" w:type="dxa"/>
          </w:tcPr>
          <w:p>
            <w:pPr>
              <w:pStyle w:val="TableParagraph"/>
              <w:rPr>
                <w:sz w:val="20"/>
              </w:rPr>
            </w:pPr>
          </w:p>
        </w:tc>
      </w:tr>
      <w:tr>
        <w:trPr>
          <w:trHeight w:val="275" w:hRule="atLeast"/>
        </w:trPr>
        <w:tc>
          <w:tcPr>
            <w:tcW w:w="3980" w:type="dxa"/>
          </w:tcPr>
          <w:p>
            <w:pPr>
              <w:pStyle w:val="TableParagraph"/>
              <w:spacing w:line="256" w:lineRule="exact"/>
              <w:ind w:left="107"/>
              <w:rPr>
                <w:sz w:val="24"/>
              </w:rPr>
            </w:pPr>
            <w:r>
              <w:rPr>
                <w:sz w:val="24"/>
              </w:rPr>
              <w:t>Lazy</w:t>
            </w:r>
            <w:r>
              <w:rPr>
                <w:spacing w:val="-3"/>
                <w:sz w:val="24"/>
              </w:rPr>
              <w:t> </w:t>
            </w:r>
            <w:r>
              <w:rPr>
                <w:spacing w:val="-2"/>
                <w:sz w:val="24"/>
              </w:rPr>
              <w:t>Youths</w:t>
            </w:r>
          </w:p>
        </w:tc>
        <w:tc>
          <w:tcPr>
            <w:tcW w:w="1037" w:type="dxa"/>
          </w:tcPr>
          <w:p>
            <w:pPr>
              <w:pStyle w:val="TableParagraph"/>
              <w:rPr>
                <w:sz w:val="20"/>
              </w:rPr>
            </w:pPr>
          </w:p>
        </w:tc>
        <w:tc>
          <w:tcPr>
            <w:tcW w:w="996" w:type="dxa"/>
          </w:tcPr>
          <w:p>
            <w:pPr>
              <w:pStyle w:val="TableParagraph"/>
              <w:rPr>
                <w:sz w:val="20"/>
              </w:rPr>
            </w:pPr>
          </w:p>
        </w:tc>
        <w:tc>
          <w:tcPr>
            <w:tcW w:w="1549" w:type="dxa"/>
          </w:tcPr>
          <w:p>
            <w:pPr>
              <w:pStyle w:val="TableParagraph"/>
              <w:rPr>
                <w:sz w:val="20"/>
              </w:rPr>
            </w:pPr>
          </w:p>
        </w:tc>
        <w:tc>
          <w:tcPr>
            <w:tcW w:w="884" w:type="dxa"/>
          </w:tcPr>
          <w:p>
            <w:pPr>
              <w:pStyle w:val="TableParagraph"/>
              <w:rPr>
                <w:sz w:val="20"/>
              </w:rPr>
            </w:pPr>
          </w:p>
        </w:tc>
      </w:tr>
    </w:tbl>
    <w:p>
      <w:pPr>
        <w:pStyle w:val="BodyText"/>
        <w:tabs>
          <w:tab w:pos="2220" w:val="left" w:leader="none"/>
        </w:tabs>
        <w:spacing w:before="271" w:after="8"/>
        <w:ind w:right="1260"/>
      </w:pPr>
      <w:r>
        <w:rPr>
          <w:spacing w:val="-4"/>
        </w:rPr>
        <w:t>RQ6</w:t>
      </w:r>
      <w:r>
        <w:rPr/>
        <w:tab/>
        <w:t>What</w:t>
      </w:r>
      <w:r>
        <w:rPr>
          <w:spacing w:val="40"/>
        </w:rPr>
        <w:t> </w:t>
      </w:r>
      <w:r>
        <w:rPr/>
        <w:t>are</w:t>
      </w:r>
      <w:r>
        <w:rPr>
          <w:spacing w:val="40"/>
        </w:rPr>
        <w:t> </w:t>
      </w:r>
      <w:r>
        <w:rPr/>
        <w:t>the</w:t>
      </w:r>
      <w:r>
        <w:rPr>
          <w:spacing w:val="40"/>
        </w:rPr>
        <w:t> </w:t>
      </w:r>
      <w:r>
        <w:rPr/>
        <w:t>causes</w:t>
      </w:r>
      <w:r>
        <w:rPr>
          <w:spacing w:val="40"/>
        </w:rPr>
        <w:t> </w:t>
      </w:r>
      <w:r>
        <w:rPr/>
        <w:t>of</w:t>
      </w:r>
      <w:r>
        <w:rPr>
          <w:spacing w:val="40"/>
        </w:rPr>
        <w:t> </w:t>
      </w:r>
      <w:r>
        <w:rPr/>
        <w:t>the</w:t>
      </w:r>
      <w:r>
        <w:rPr>
          <w:spacing w:val="40"/>
        </w:rPr>
        <w:t> </w:t>
      </w:r>
      <w:r>
        <w:rPr/>
        <w:t>militants‟</w:t>
      </w:r>
      <w:r>
        <w:rPr>
          <w:spacing w:val="40"/>
        </w:rPr>
        <w:t> </w:t>
      </w:r>
      <w:r>
        <w:rPr/>
        <w:t>acts</w:t>
      </w:r>
      <w:r>
        <w:rPr>
          <w:spacing w:val="40"/>
        </w:rPr>
        <w:t> </w:t>
      </w:r>
      <w:r>
        <w:rPr/>
        <w:t>in</w:t>
      </w:r>
      <w:r>
        <w:rPr>
          <w:spacing w:val="40"/>
        </w:rPr>
        <w:t> </w:t>
      </w:r>
      <w:r>
        <w:rPr/>
        <w:t>the</w:t>
      </w:r>
      <w:r>
        <w:rPr>
          <w:spacing w:val="40"/>
        </w:rPr>
        <w:t> </w:t>
      </w:r>
      <w:r>
        <w:rPr/>
        <w:t>Niger</w:t>
      </w:r>
      <w:r>
        <w:rPr>
          <w:spacing w:val="40"/>
        </w:rPr>
        <w:t> </w:t>
      </w:r>
      <w:r>
        <w:rPr/>
        <w:t>Delta</w:t>
      </w:r>
      <w:r>
        <w:rPr>
          <w:spacing w:val="40"/>
        </w:rPr>
        <w:t> </w:t>
      </w:r>
      <w:r>
        <w:rPr/>
        <w:t>region</w:t>
      </w:r>
      <w:r>
        <w:rPr>
          <w:spacing w:val="40"/>
        </w:rPr>
        <w:t> </w:t>
      </w:r>
      <w:r>
        <w:rPr/>
        <w:t>of</w:t>
      </w:r>
      <w:r>
        <w:rPr>
          <w:spacing w:val="80"/>
          <w:w w:val="150"/>
        </w:rPr>
        <w:t> </w:t>
      </w:r>
      <w:r>
        <w:rPr>
          <w:spacing w:val="-2"/>
        </w:rPr>
        <w:t>Nigeria?</w:t>
      </w: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70"/>
        <w:gridCol w:w="1039"/>
        <w:gridCol w:w="998"/>
        <w:gridCol w:w="1373"/>
        <w:gridCol w:w="885"/>
      </w:tblGrid>
      <w:tr>
        <w:trPr>
          <w:trHeight w:val="275" w:hRule="atLeast"/>
        </w:trPr>
        <w:tc>
          <w:tcPr>
            <w:tcW w:w="3970" w:type="dxa"/>
          </w:tcPr>
          <w:p>
            <w:pPr>
              <w:pStyle w:val="TableParagraph"/>
              <w:rPr>
                <w:sz w:val="20"/>
              </w:rPr>
            </w:pPr>
          </w:p>
        </w:tc>
        <w:tc>
          <w:tcPr>
            <w:tcW w:w="1039" w:type="dxa"/>
          </w:tcPr>
          <w:p>
            <w:pPr>
              <w:pStyle w:val="TableParagraph"/>
              <w:spacing w:line="256" w:lineRule="exact"/>
              <w:ind w:left="108"/>
              <w:rPr>
                <w:sz w:val="24"/>
              </w:rPr>
            </w:pPr>
            <w:r>
              <w:rPr>
                <w:spacing w:val="-5"/>
                <w:sz w:val="24"/>
              </w:rPr>
              <w:t>SA</w:t>
            </w:r>
          </w:p>
        </w:tc>
        <w:tc>
          <w:tcPr>
            <w:tcW w:w="998" w:type="dxa"/>
          </w:tcPr>
          <w:p>
            <w:pPr>
              <w:pStyle w:val="TableParagraph"/>
              <w:spacing w:line="256" w:lineRule="exact"/>
              <w:ind w:left="108"/>
              <w:rPr>
                <w:sz w:val="24"/>
              </w:rPr>
            </w:pPr>
            <w:r>
              <w:rPr>
                <w:spacing w:val="-10"/>
                <w:sz w:val="24"/>
              </w:rPr>
              <w:t>A</w:t>
            </w:r>
          </w:p>
        </w:tc>
        <w:tc>
          <w:tcPr>
            <w:tcW w:w="1373" w:type="dxa"/>
          </w:tcPr>
          <w:p>
            <w:pPr>
              <w:pStyle w:val="TableParagraph"/>
              <w:spacing w:line="256" w:lineRule="exact"/>
              <w:ind w:left="109"/>
              <w:rPr>
                <w:sz w:val="24"/>
              </w:rPr>
            </w:pPr>
            <w:r>
              <w:rPr>
                <w:spacing w:val="-5"/>
                <w:sz w:val="24"/>
              </w:rPr>
              <w:t>SD</w:t>
            </w:r>
          </w:p>
        </w:tc>
        <w:tc>
          <w:tcPr>
            <w:tcW w:w="885" w:type="dxa"/>
          </w:tcPr>
          <w:p>
            <w:pPr>
              <w:pStyle w:val="TableParagraph"/>
              <w:spacing w:line="256" w:lineRule="exact"/>
              <w:ind w:left="109"/>
              <w:rPr>
                <w:sz w:val="24"/>
              </w:rPr>
            </w:pPr>
            <w:r>
              <w:rPr>
                <w:spacing w:val="-10"/>
                <w:sz w:val="24"/>
              </w:rPr>
              <w:t>D</w:t>
            </w:r>
          </w:p>
        </w:tc>
      </w:tr>
      <w:tr>
        <w:trPr>
          <w:trHeight w:val="551" w:hRule="atLeast"/>
        </w:trPr>
        <w:tc>
          <w:tcPr>
            <w:tcW w:w="3970" w:type="dxa"/>
          </w:tcPr>
          <w:p>
            <w:pPr>
              <w:pStyle w:val="TableParagraph"/>
              <w:tabs>
                <w:tab w:pos="801" w:val="left" w:leader="none"/>
                <w:tab w:pos="1468" w:val="left" w:leader="none"/>
                <w:tab w:pos="2216" w:val="left" w:leader="none"/>
                <w:tab w:pos="2791" w:val="left" w:leader="none"/>
              </w:tabs>
              <w:spacing w:line="268" w:lineRule="exact"/>
              <w:ind w:left="107"/>
              <w:rPr>
                <w:sz w:val="24"/>
              </w:rPr>
            </w:pPr>
            <w:r>
              <w:rPr>
                <w:spacing w:val="-4"/>
                <w:sz w:val="24"/>
              </w:rPr>
              <w:t>(17)</w:t>
            </w:r>
            <w:r>
              <w:rPr>
                <w:sz w:val="24"/>
              </w:rPr>
              <w:tab/>
            </w:r>
            <w:r>
              <w:rPr>
                <w:spacing w:val="-5"/>
                <w:sz w:val="24"/>
              </w:rPr>
              <w:t>The</w:t>
            </w:r>
            <w:r>
              <w:rPr>
                <w:sz w:val="24"/>
              </w:rPr>
              <w:tab/>
            </w:r>
            <w:r>
              <w:rPr>
                <w:spacing w:val="-4"/>
                <w:sz w:val="24"/>
              </w:rPr>
              <w:t>need</w:t>
            </w:r>
            <w:r>
              <w:rPr>
                <w:sz w:val="24"/>
              </w:rPr>
              <w:tab/>
            </w:r>
            <w:r>
              <w:rPr>
                <w:spacing w:val="-5"/>
                <w:sz w:val="24"/>
              </w:rPr>
              <w:t>for</w:t>
            </w:r>
            <w:r>
              <w:rPr>
                <w:sz w:val="24"/>
              </w:rPr>
              <w:tab/>
            </w:r>
            <w:r>
              <w:rPr>
                <w:spacing w:val="-2"/>
                <w:sz w:val="24"/>
              </w:rPr>
              <w:t>sustainable</w:t>
            </w:r>
          </w:p>
          <w:p>
            <w:pPr>
              <w:pStyle w:val="TableParagraph"/>
              <w:spacing w:line="264" w:lineRule="exact"/>
              <w:ind w:left="107"/>
              <w:rPr>
                <w:sz w:val="24"/>
              </w:rPr>
            </w:pPr>
            <w:r>
              <w:rPr>
                <w:spacing w:val="-2"/>
                <w:sz w:val="24"/>
              </w:rPr>
              <w:t>democracy</w:t>
            </w:r>
          </w:p>
        </w:tc>
        <w:tc>
          <w:tcPr>
            <w:tcW w:w="1039" w:type="dxa"/>
          </w:tcPr>
          <w:p>
            <w:pPr>
              <w:pStyle w:val="TableParagraph"/>
              <w:rPr>
                <w:sz w:val="24"/>
              </w:rPr>
            </w:pPr>
          </w:p>
        </w:tc>
        <w:tc>
          <w:tcPr>
            <w:tcW w:w="998" w:type="dxa"/>
          </w:tcPr>
          <w:p>
            <w:pPr>
              <w:pStyle w:val="TableParagraph"/>
              <w:rPr>
                <w:sz w:val="24"/>
              </w:rPr>
            </w:pPr>
          </w:p>
        </w:tc>
        <w:tc>
          <w:tcPr>
            <w:tcW w:w="1373" w:type="dxa"/>
          </w:tcPr>
          <w:p>
            <w:pPr>
              <w:pStyle w:val="TableParagraph"/>
              <w:rPr>
                <w:sz w:val="24"/>
              </w:rPr>
            </w:pPr>
          </w:p>
        </w:tc>
        <w:tc>
          <w:tcPr>
            <w:tcW w:w="885" w:type="dxa"/>
          </w:tcPr>
          <w:p>
            <w:pPr>
              <w:pStyle w:val="TableParagraph"/>
              <w:rPr>
                <w:sz w:val="24"/>
              </w:rPr>
            </w:pPr>
          </w:p>
        </w:tc>
      </w:tr>
      <w:tr>
        <w:trPr>
          <w:trHeight w:val="552" w:hRule="atLeast"/>
        </w:trPr>
        <w:tc>
          <w:tcPr>
            <w:tcW w:w="3970" w:type="dxa"/>
          </w:tcPr>
          <w:p>
            <w:pPr>
              <w:pStyle w:val="TableParagraph"/>
              <w:spacing w:line="268" w:lineRule="exact"/>
              <w:ind w:left="107"/>
              <w:rPr>
                <w:sz w:val="24"/>
              </w:rPr>
            </w:pPr>
            <w:r>
              <w:rPr>
                <w:sz w:val="24"/>
              </w:rPr>
              <w:t>(18)</w:t>
            </w:r>
            <w:r>
              <w:rPr>
                <w:spacing w:val="37"/>
                <w:sz w:val="24"/>
              </w:rPr>
              <w:t>  </w:t>
            </w:r>
            <w:r>
              <w:rPr>
                <w:sz w:val="24"/>
              </w:rPr>
              <w:t>The</w:t>
            </w:r>
            <w:r>
              <w:rPr>
                <w:spacing w:val="37"/>
                <w:sz w:val="24"/>
              </w:rPr>
              <w:t>  </w:t>
            </w:r>
            <w:r>
              <w:rPr>
                <w:sz w:val="24"/>
              </w:rPr>
              <w:t>need</w:t>
            </w:r>
            <w:r>
              <w:rPr>
                <w:spacing w:val="38"/>
                <w:sz w:val="24"/>
              </w:rPr>
              <w:t>  </w:t>
            </w:r>
            <w:r>
              <w:rPr>
                <w:sz w:val="24"/>
              </w:rPr>
              <w:t>for</w:t>
            </w:r>
            <w:r>
              <w:rPr>
                <w:spacing w:val="38"/>
                <w:sz w:val="24"/>
              </w:rPr>
              <w:t>  </w:t>
            </w:r>
            <w:r>
              <w:rPr>
                <w:sz w:val="24"/>
              </w:rPr>
              <w:t>amenities</w:t>
            </w:r>
            <w:r>
              <w:rPr>
                <w:spacing w:val="38"/>
                <w:sz w:val="24"/>
              </w:rPr>
              <w:t>  </w:t>
            </w:r>
            <w:r>
              <w:rPr>
                <w:spacing w:val="-5"/>
                <w:sz w:val="24"/>
              </w:rPr>
              <w:t>and</w:t>
            </w:r>
          </w:p>
          <w:p>
            <w:pPr>
              <w:pStyle w:val="TableParagraph"/>
              <w:spacing w:line="264" w:lineRule="exact"/>
              <w:ind w:left="107"/>
              <w:rPr>
                <w:sz w:val="24"/>
              </w:rPr>
            </w:pPr>
            <w:r>
              <w:rPr>
                <w:spacing w:val="-2"/>
                <w:sz w:val="24"/>
              </w:rPr>
              <w:t>development</w:t>
            </w:r>
          </w:p>
        </w:tc>
        <w:tc>
          <w:tcPr>
            <w:tcW w:w="1039" w:type="dxa"/>
          </w:tcPr>
          <w:p>
            <w:pPr>
              <w:pStyle w:val="TableParagraph"/>
              <w:rPr>
                <w:sz w:val="24"/>
              </w:rPr>
            </w:pPr>
          </w:p>
        </w:tc>
        <w:tc>
          <w:tcPr>
            <w:tcW w:w="998" w:type="dxa"/>
          </w:tcPr>
          <w:p>
            <w:pPr>
              <w:pStyle w:val="TableParagraph"/>
              <w:rPr>
                <w:sz w:val="24"/>
              </w:rPr>
            </w:pPr>
          </w:p>
        </w:tc>
        <w:tc>
          <w:tcPr>
            <w:tcW w:w="1373" w:type="dxa"/>
          </w:tcPr>
          <w:p>
            <w:pPr>
              <w:pStyle w:val="TableParagraph"/>
              <w:rPr>
                <w:sz w:val="24"/>
              </w:rPr>
            </w:pPr>
          </w:p>
        </w:tc>
        <w:tc>
          <w:tcPr>
            <w:tcW w:w="885" w:type="dxa"/>
          </w:tcPr>
          <w:p>
            <w:pPr>
              <w:pStyle w:val="TableParagraph"/>
              <w:rPr>
                <w:sz w:val="24"/>
              </w:rPr>
            </w:pPr>
          </w:p>
        </w:tc>
      </w:tr>
      <w:tr>
        <w:trPr>
          <w:trHeight w:val="278" w:hRule="atLeast"/>
        </w:trPr>
        <w:tc>
          <w:tcPr>
            <w:tcW w:w="3970" w:type="dxa"/>
          </w:tcPr>
          <w:p>
            <w:pPr>
              <w:pStyle w:val="TableParagraph"/>
              <w:spacing w:line="258" w:lineRule="exact"/>
              <w:ind w:left="107"/>
              <w:rPr>
                <w:sz w:val="24"/>
              </w:rPr>
            </w:pPr>
            <w:r>
              <w:rPr>
                <w:sz w:val="24"/>
              </w:rPr>
              <w:t>(19)</w:t>
            </w:r>
            <w:r>
              <w:rPr>
                <w:spacing w:val="-3"/>
                <w:sz w:val="24"/>
              </w:rPr>
              <w:t> </w:t>
            </w:r>
            <w:r>
              <w:rPr>
                <w:sz w:val="24"/>
              </w:rPr>
              <w:t>Selfish</w:t>
            </w:r>
            <w:r>
              <w:rPr>
                <w:spacing w:val="-1"/>
                <w:sz w:val="24"/>
              </w:rPr>
              <w:t> </w:t>
            </w:r>
            <w:r>
              <w:rPr>
                <w:sz w:val="24"/>
              </w:rPr>
              <w:t>interest</w:t>
            </w:r>
            <w:r>
              <w:rPr>
                <w:spacing w:val="-1"/>
                <w:sz w:val="24"/>
              </w:rPr>
              <w:t> </w:t>
            </w:r>
            <w:r>
              <w:rPr>
                <w:sz w:val="24"/>
              </w:rPr>
              <w:t>and </w:t>
            </w:r>
            <w:r>
              <w:rPr>
                <w:spacing w:val="-4"/>
                <w:sz w:val="24"/>
              </w:rPr>
              <w:t>greed</w:t>
            </w:r>
          </w:p>
        </w:tc>
        <w:tc>
          <w:tcPr>
            <w:tcW w:w="1039" w:type="dxa"/>
          </w:tcPr>
          <w:p>
            <w:pPr>
              <w:pStyle w:val="TableParagraph"/>
              <w:rPr>
                <w:sz w:val="20"/>
              </w:rPr>
            </w:pPr>
          </w:p>
        </w:tc>
        <w:tc>
          <w:tcPr>
            <w:tcW w:w="998" w:type="dxa"/>
          </w:tcPr>
          <w:p>
            <w:pPr>
              <w:pStyle w:val="TableParagraph"/>
              <w:rPr>
                <w:sz w:val="20"/>
              </w:rPr>
            </w:pPr>
          </w:p>
        </w:tc>
        <w:tc>
          <w:tcPr>
            <w:tcW w:w="1373" w:type="dxa"/>
          </w:tcPr>
          <w:p>
            <w:pPr>
              <w:pStyle w:val="TableParagraph"/>
              <w:rPr>
                <w:sz w:val="20"/>
              </w:rPr>
            </w:pPr>
          </w:p>
        </w:tc>
        <w:tc>
          <w:tcPr>
            <w:tcW w:w="885" w:type="dxa"/>
          </w:tcPr>
          <w:p>
            <w:pPr>
              <w:pStyle w:val="TableParagraph"/>
              <w:rPr>
                <w:sz w:val="20"/>
              </w:rPr>
            </w:pPr>
          </w:p>
        </w:tc>
      </w:tr>
      <w:tr>
        <w:trPr>
          <w:trHeight w:val="275" w:hRule="atLeast"/>
        </w:trPr>
        <w:tc>
          <w:tcPr>
            <w:tcW w:w="3970" w:type="dxa"/>
          </w:tcPr>
          <w:p>
            <w:pPr>
              <w:pStyle w:val="TableParagraph"/>
              <w:spacing w:line="256" w:lineRule="exact"/>
              <w:ind w:left="107"/>
              <w:rPr>
                <w:sz w:val="24"/>
              </w:rPr>
            </w:pPr>
            <w:r>
              <w:rPr>
                <w:sz w:val="24"/>
              </w:rPr>
              <w:t>(20)</w:t>
            </w:r>
            <w:r>
              <w:rPr>
                <w:spacing w:val="-3"/>
                <w:sz w:val="24"/>
              </w:rPr>
              <w:t> </w:t>
            </w:r>
            <w:r>
              <w:rPr>
                <w:sz w:val="24"/>
              </w:rPr>
              <w:t>Resource</w:t>
            </w:r>
            <w:r>
              <w:rPr>
                <w:spacing w:val="-1"/>
                <w:sz w:val="24"/>
              </w:rPr>
              <w:t> </w:t>
            </w:r>
            <w:r>
              <w:rPr>
                <w:spacing w:val="-2"/>
                <w:sz w:val="24"/>
              </w:rPr>
              <w:t>Control</w:t>
            </w:r>
          </w:p>
        </w:tc>
        <w:tc>
          <w:tcPr>
            <w:tcW w:w="1039" w:type="dxa"/>
          </w:tcPr>
          <w:p>
            <w:pPr>
              <w:pStyle w:val="TableParagraph"/>
              <w:rPr>
                <w:sz w:val="20"/>
              </w:rPr>
            </w:pPr>
          </w:p>
        </w:tc>
        <w:tc>
          <w:tcPr>
            <w:tcW w:w="998" w:type="dxa"/>
          </w:tcPr>
          <w:p>
            <w:pPr>
              <w:pStyle w:val="TableParagraph"/>
              <w:rPr>
                <w:sz w:val="20"/>
              </w:rPr>
            </w:pPr>
          </w:p>
        </w:tc>
        <w:tc>
          <w:tcPr>
            <w:tcW w:w="1373" w:type="dxa"/>
          </w:tcPr>
          <w:p>
            <w:pPr>
              <w:pStyle w:val="TableParagraph"/>
              <w:rPr>
                <w:sz w:val="20"/>
              </w:rPr>
            </w:pPr>
          </w:p>
        </w:tc>
        <w:tc>
          <w:tcPr>
            <w:tcW w:w="885" w:type="dxa"/>
          </w:tcPr>
          <w:p>
            <w:pPr>
              <w:pStyle w:val="TableParagraph"/>
              <w:rPr>
                <w:sz w:val="20"/>
              </w:rPr>
            </w:pPr>
          </w:p>
        </w:tc>
      </w:tr>
      <w:tr>
        <w:trPr>
          <w:trHeight w:val="275" w:hRule="atLeast"/>
        </w:trPr>
        <w:tc>
          <w:tcPr>
            <w:tcW w:w="3970" w:type="dxa"/>
          </w:tcPr>
          <w:p>
            <w:pPr>
              <w:pStyle w:val="TableParagraph"/>
              <w:spacing w:line="256" w:lineRule="exact"/>
              <w:ind w:left="107"/>
              <w:rPr>
                <w:sz w:val="24"/>
              </w:rPr>
            </w:pPr>
            <w:r>
              <w:rPr>
                <w:sz w:val="24"/>
              </w:rPr>
              <w:t>(21)</w:t>
            </w:r>
            <w:r>
              <w:rPr>
                <w:spacing w:val="-3"/>
                <w:sz w:val="24"/>
              </w:rPr>
              <w:t> </w:t>
            </w:r>
            <w:r>
              <w:rPr>
                <w:sz w:val="24"/>
              </w:rPr>
              <w:t>Environmental </w:t>
            </w:r>
            <w:r>
              <w:rPr>
                <w:spacing w:val="-2"/>
                <w:sz w:val="24"/>
              </w:rPr>
              <w:t>degradation</w:t>
            </w:r>
          </w:p>
        </w:tc>
        <w:tc>
          <w:tcPr>
            <w:tcW w:w="1039" w:type="dxa"/>
          </w:tcPr>
          <w:p>
            <w:pPr>
              <w:pStyle w:val="TableParagraph"/>
              <w:rPr>
                <w:sz w:val="20"/>
              </w:rPr>
            </w:pPr>
          </w:p>
        </w:tc>
        <w:tc>
          <w:tcPr>
            <w:tcW w:w="998" w:type="dxa"/>
          </w:tcPr>
          <w:p>
            <w:pPr>
              <w:pStyle w:val="TableParagraph"/>
              <w:rPr>
                <w:sz w:val="20"/>
              </w:rPr>
            </w:pPr>
          </w:p>
        </w:tc>
        <w:tc>
          <w:tcPr>
            <w:tcW w:w="1373" w:type="dxa"/>
          </w:tcPr>
          <w:p>
            <w:pPr>
              <w:pStyle w:val="TableParagraph"/>
              <w:rPr>
                <w:sz w:val="20"/>
              </w:rPr>
            </w:pPr>
          </w:p>
        </w:tc>
        <w:tc>
          <w:tcPr>
            <w:tcW w:w="885" w:type="dxa"/>
          </w:tcPr>
          <w:p>
            <w:pPr>
              <w:pStyle w:val="TableParagraph"/>
              <w:rPr>
                <w:sz w:val="20"/>
              </w:rPr>
            </w:pPr>
          </w:p>
        </w:tc>
      </w:tr>
      <w:tr>
        <w:trPr>
          <w:trHeight w:val="275" w:hRule="atLeast"/>
        </w:trPr>
        <w:tc>
          <w:tcPr>
            <w:tcW w:w="3970" w:type="dxa"/>
          </w:tcPr>
          <w:p>
            <w:pPr>
              <w:pStyle w:val="TableParagraph"/>
              <w:spacing w:line="256" w:lineRule="exact"/>
              <w:ind w:left="107"/>
              <w:rPr>
                <w:sz w:val="24"/>
              </w:rPr>
            </w:pPr>
            <w:r>
              <w:rPr>
                <w:sz w:val="24"/>
              </w:rPr>
              <w:t>(22)</w:t>
            </w:r>
            <w:r>
              <w:rPr>
                <w:spacing w:val="-4"/>
                <w:sz w:val="24"/>
              </w:rPr>
              <w:t> </w:t>
            </w:r>
            <w:r>
              <w:rPr>
                <w:sz w:val="24"/>
              </w:rPr>
              <w:t>All of the</w:t>
            </w:r>
            <w:r>
              <w:rPr>
                <w:spacing w:val="-1"/>
                <w:sz w:val="24"/>
              </w:rPr>
              <w:t> </w:t>
            </w:r>
            <w:r>
              <w:rPr>
                <w:spacing w:val="-4"/>
                <w:sz w:val="24"/>
              </w:rPr>
              <w:t>above</w:t>
            </w:r>
          </w:p>
        </w:tc>
        <w:tc>
          <w:tcPr>
            <w:tcW w:w="1039" w:type="dxa"/>
          </w:tcPr>
          <w:p>
            <w:pPr>
              <w:pStyle w:val="TableParagraph"/>
              <w:rPr>
                <w:sz w:val="20"/>
              </w:rPr>
            </w:pPr>
          </w:p>
        </w:tc>
        <w:tc>
          <w:tcPr>
            <w:tcW w:w="998" w:type="dxa"/>
          </w:tcPr>
          <w:p>
            <w:pPr>
              <w:pStyle w:val="TableParagraph"/>
              <w:rPr>
                <w:sz w:val="20"/>
              </w:rPr>
            </w:pPr>
          </w:p>
        </w:tc>
        <w:tc>
          <w:tcPr>
            <w:tcW w:w="1373" w:type="dxa"/>
          </w:tcPr>
          <w:p>
            <w:pPr>
              <w:pStyle w:val="TableParagraph"/>
              <w:rPr>
                <w:sz w:val="20"/>
              </w:rPr>
            </w:pPr>
          </w:p>
        </w:tc>
        <w:tc>
          <w:tcPr>
            <w:tcW w:w="885" w:type="dxa"/>
          </w:tcPr>
          <w:p>
            <w:pPr>
              <w:pStyle w:val="TableParagraph"/>
              <w:rPr>
                <w:sz w:val="20"/>
              </w:rPr>
            </w:pPr>
          </w:p>
        </w:tc>
      </w:tr>
    </w:tbl>
    <w:p>
      <w:pPr>
        <w:pStyle w:val="BodyText"/>
        <w:tabs>
          <w:tab w:pos="2220" w:val="left" w:leader="none"/>
        </w:tabs>
        <w:spacing w:before="270" w:after="9"/>
      </w:pPr>
      <w:r>
        <w:rPr>
          <w:spacing w:val="-5"/>
        </w:rPr>
        <w:t>RQ7</w:t>
      </w:r>
      <w:r>
        <w:rPr/>
        <w:tab/>
        <w:t>What</w:t>
      </w:r>
      <w:r>
        <w:rPr>
          <w:spacing w:val="-3"/>
        </w:rPr>
        <w:t> </w:t>
      </w:r>
      <w:r>
        <w:rPr/>
        <w:t>are</w:t>
      </w:r>
      <w:r>
        <w:rPr>
          <w:spacing w:val="-2"/>
        </w:rPr>
        <w:t> </w:t>
      </w:r>
      <w:r>
        <w:rPr/>
        <w:t>the</w:t>
      </w:r>
      <w:r>
        <w:rPr>
          <w:spacing w:val="-1"/>
        </w:rPr>
        <w:t> </w:t>
      </w:r>
      <w:r>
        <w:rPr/>
        <w:t>best</w:t>
      </w:r>
      <w:r>
        <w:rPr>
          <w:spacing w:val="-1"/>
        </w:rPr>
        <w:t> </w:t>
      </w:r>
      <w:r>
        <w:rPr/>
        <w:t>ways of</w:t>
      </w:r>
      <w:r>
        <w:rPr>
          <w:spacing w:val="-1"/>
        </w:rPr>
        <w:t> </w:t>
      </w:r>
      <w:r>
        <w:rPr/>
        <w:t>conflict</w:t>
      </w:r>
      <w:r>
        <w:rPr>
          <w:spacing w:val="-2"/>
        </w:rPr>
        <w:t> </w:t>
      </w:r>
      <w:r>
        <w:rPr/>
        <w:t>management</w:t>
      </w:r>
      <w:r>
        <w:rPr>
          <w:spacing w:val="-1"/>
        </w:rPr>
        <w:t> </w:t>
      </w:r>
      <w:r>
        <w:rPr/>
        <w:t>in</w:t>
      </w:r>
      <w:r>
        <w:rPr>
          <w:spacing w:val="-1"/>
        </w:rPr>
        <w:t> </w:t>
      </w:r>
      <w:r>
        <w:rPr/>
        <w:t>the</w:t>
      </w:r>
      <w:r>
        <w:rPr>
          <w:spacing w:val="-1"/>
        </w:rPr>
        <w:t> </w:t>
      </w:r>
      <w:r>
        <w:rPr/>
        <w:t>Niger</w:t>
      </w:r>
      <w:r>
        <w:rPr>
          <w:spacing w:val="-1"/>
        </w:rPr>
        <w:t> </w:t>
      </w:r>
      <w:r>
        <w:rPr>
          <w:spacing w:val="-2"/>
        </w:rPr>
        <w:t>Delta?</w:t>
      </w: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61"/>
        <w:gridCol w:w="1045"/>
        <w:gridCol w:w="1004"/>
        <w:gridCol w:w="1374"/>
        <w:gridCol w:w="891"/>
      </w:tblGrid>
      <w:tr>
        <w:trPr>
          <w:trHeight w:val="275" w:hRule="atLeast"/>
        </w:trPr>
        <w:tc>
          <w:tcPr>
            <w:tcW w:w="3961" w:type="dxa"/>
          </w:tcPr>
          <w:p>
            <w:pPr>
              <w:pStyle w:val="TableParagraph"/>
              <w:rPr>
                <w:sz w:val="20"/>
              </w:rPr>
            </w:pPr>
          </w:p>
        </w:tc>
        <w:tc>
          <w:tcPr>
            <w:tcW w:w="1045" w:type="dxa"/>
          </w:tcPr>
          <w:p>
            <w:pPr>
              <w:pStyle w:val="TableParagraph"/>
              <w:spacing w:line="256" w:lineRule="exact"/>
              <w:ind w:left="107"/>
              <w:rPr>
                <w:sz w:val="24"/>
              </w:rPr>
            </w:pPr>
            <w:r>
              <w:rPr>
                <w:spacing w:val="-5"/>
                <w:sz w:val="24"/>
              </w:rPr>
              <w:t>SA</w:t>
            </w:r>
          </w:p>
        </w:tc>
        <w:tc>
          <w:tcPr>
            <w:tcW w:w="1004" w:type="dxa"/>
          </w:tcPr>
          <w:p>
            <w:pPr>
              <w:pStyle w:val="TableParagraph"/>
              <w:spacing w:line="256" w:lineRule="exact"/>
              <w:ind w:left="106"/>
              <w:rPr>
                <w:sz w:val="24"/>
              </w:rPr>
            </w:pPr>
            <w:r>
              <w:rPr>
                <w:spacing w:val="-10"/>
                <w:sz w:val="24"/>
              </w:rPr>
              <w:t>A</w:t>
            </w:r>
          </w:p>
        </w:tc>
        <w:tc>
          <w:tcPr>
            <w:tcW w:w="1374" w:type="dxa"/>
          </w:tcPr>
          <w:p>
            <w:pPr>
              <w:pStyle w:val="TableParagraph"/>
              <w:spacing w:line="256" w:lineRule="exact"/>
              <w:ind w:left="105"/>
              <w:rPr>
                <w:sz w:val="24"/>
              </w:rPr>
            </w:pPr>
            <w:r>
              <w:rPr>
                <w:spacing w:val="-5"/>
                <w:sz w:val="24"/>
              </w:rPr>
              <w:t>SD</w:t>
            </w:r>
          </w:p>
        </w:tc>
        <w:tc>
          <w:tcPr>
            <w:tcW w:w="891" w:type="dxa"/>
          </w:tcPr>
          <w:p>
            <w:pPr>
              <w:pStyle w:val="TableParagraph"/>
              <w:spacing w:line="256" w:lineRule="exact"/>
              <w:ind w:left="105"/>
              <w:rPr>
                <w:sz w:val="24"/>
              </w:rPr>
            </w:pPr>
            <w:r>
              <w:rPr>
                <w:spacing w:val="-10"/>
                <w:sz w:val="24"/>
              </w:rPr>
              <w:t>D</w:t>
            </w:r>
          </w:p>
        </w:tc>
      </w:tr>
      <w:tr>
        <w:trPr>
          <w:trHeight w:val="275" w:hRule="atLeast"/>
        </w:trPr>
        <w:tc>
          <w:tcPr>
            <w:tcW w:w="3961" w:type="dxa"/>
          </w:tcPr>
          <w:p>
            <w:pPr>
              <w:pStyle w:val="TableParagraph"/>
              <w:spacing w:line="256" w:lineRule="exact"/>
              <w:ind w:left="107"/>
              <w:rPr>
                <w:sz w:val="24"/>
              </w:rPr>
            </w:pPr>
            <w:r>
              <w:rPr>
                <w:sz w:val="24"/>
              </w:rPr>
              <w:t>(23)</w:t>
            </w:r>
            <w:r>
              <w:rPr>
                <w:spacing w:val="-2"/>
                <w:sz w:val="24"/>
              </w:rPr>
              <w:t> Avoidance</w:t>
            </w:r>
          </w:p>
        </w:tc>
        <w:tc>
          <w:tcPr>
            <w:tcW w:w="1045" w:type="dxa"/>
          </w:tcPr>
          <w:p>
            <w:pPr>
              <w:pStyle w:val="TableParagraph"/>
              <w:rPr>
                <w:sz w:val="20"/>
              </w:rPr>
            </w:pPr>
          </w:p>
        </w:tc>
        <w:tc>
          <w:tcPr>
            <w:tcW w:w="1004" w:type="dxa"/>
          </w:tcPr>
          <w:p>
            <w:pPr>
              <w:pStyle w:val="TableParagraph"/>
              <w:rPr>
                <w:sz w:val="20"/>
              </w:rPr>
            </w:pPr>
          </w:p>
        </w:tc>
        <w:tc>
          <w:tcPr>
            <w:tcW w:w="1374" w:type="dxa"/>
          </w:tcPr>
          <w:p>
            <w:pPr>
              <w:pStyle w:val="TableParagraph"/>
              <w:rPr>
                <w:sz w:val="20"/>
              </w:rPr>
            </w:pPr>
          </w:p>
        </w:tc>
        <w:tc>
          <w:tcPr>
            <w:tcW w:w="891" w:type="dxa"/>
          </w:tcPr>
          <w:p>
            <w:pPr>
              <w:pStyle w:val="TableParagraph"/>
              <w:rPr>
                <w:sz w:val="20"/>
              </w:rPr>
            </w:pPr>
          </w:p>
        </w:tc>
      </w:tr>
      <w:tr>
        <w:trPr>
          <w:trHeight w:val="277" w:hRule="atLeast"/>
        </w:trPr>
        <w:tc>
          <w:tcPr>
            <w:tcW w:w="3961" w:type="dxa"/>
          </w:tcPr>
          <w:p>
            <w:pPr>
              <w:pStyle w:val="TableParagraph"/>
              <w:spacing w:line="258" w:lineRule="exact"/>
              <w:ind w:left="107"/>
              <w:rPr>
                <w:sz w:val="24"/>
              </w:rPr>
            </w:pPr>
            <w:r>
              <w:rPr>
                <w:sz w:val="24"/>
              </w:rPr>
              <w:t>(24)</w:t>
            </w:r>
            <w:r>
              <w:rPr>
                <w:spacing w:val="-2"/>
                <w:sz w:val="24"/>
              </w:rPr>
              <w:t> </w:t>
            </w:r>
            <w:r>
              <w:rPr>
                <w:sz w:val="24"/>
              </w:rPr>
              <w:t>Third</w:t>
            </w:r>
            <w:r>
              <w:rPr>
                <w:spacing w:val="1"/>
                <w:sz w:val="24"/>
              </w:rPr>
              <w:t> </w:t>
            </w:r>
            <w:r>
              <w:rPr>
                <w:sz w:val="24"/>
              </w:rPr>
              <w:t>party </w:t>
            </w:r>
            <w:r>
              <w:rPr>
                <w:spacing w:val="-2"/>
                <w:sz w:val="24"/>
              </w:rPr>
              <w:t>Intervention</w:t>
            </w:r>
          </w:p>
        </w:tc>
        <w:tc>
          <w:tcPr>
            <w:tcW w:w="1045" w:type="dxa"/>
          </w:tcPr>
          <w:p>
            <w:pPr>
              <w:pStyle w:val="TableParagraph"/>
              <w:rPr>
                <w:sz w:val="20"/>
              </w:rPr>
            </w:pPr>
          </w:p>
        </w:tc>
        <w:tc>
          <w:tcPr>
            <w:tcW w:w="1004" w:type="dxa"/>
          </w:tcPr>
          <w:p>
            <w:pPr>
              <w:pStyle w:val="TableParagraph"/>
              <w:rPr>
                <w:sz w:val="20"/>
              </w:rPr>
            </w:pPr>
          </w:p>
        </w:tc>
        <w:tc>
          <w:tcPr>
            <w:tcW w:w="1374" w:type="dxa"/>
          </w:tcPr>
          <w:p>
            <w:pPr>
              <w:pStyle w:val="TableParagraph"/>
              <w:rPr>
                <w:sz w:val="20"/>
              </w:rPr>
            </w:pPr>
          </w:p>
        </w:tc>
        <w:tc>
          <w:tcPr>
            <w:tcW w:w="891" w:type="dxa"/>
          </w:tcPr>
          <w:p>
            <w:pPr>
              <w:pStyle w:val="TableParagraph"/>
              <w:rPr>
                <w:sz w:val="20"/>
              </w:rPr>
            </w:pPr>
          </w:p>
        </w:tc>
      </w:tr>
      <w:tr>
        <w:trPr>
          <w:trHeight w:val="827" w:hRule="atLeast"/>
        </w:trPr>
        <w:tc>
          <w:tcPr>
            <w:tcW w:w="3961" w:type="dxa"/>
          </w:tcPr>
          <w:p>
            <w:pPr>
              <w:pStyle w:val="TableParagraph"/>
              <w:tabs>
                <w:tab w:pos="942" w:val="left" w:leader="none"/>
                <w:tab w:pos="1849" w:val="left" w:leader="none"/>
                <w:tab w:pos="3084" w:val="left" w:leader="none"/>
              </w:tabs>
              <w:spacing w:line="268" w:lineRule="exact"/>
              <w:ind w:left="107"/>
              <w:rPr>
                <w:sz w:val="24"/>
              </w:rPr>
            </w:pPr>
            <w:r>
              <w:rPr>
                <w:spacing w:val="-4"/>
                <w:sz w:val="24"/>
              </w:rPr>
              <w:t>(25)</w:t>
            </w:r>
            <w:r>
              <w:rPr>
                <w:sz w:val="24"/>
              </w:rPr>
              <w:tab/>
            </w:r>
            <w:r>
              <w:rPr>
                <w:spacing w:val="-2"/>
                <w:sz w:val="24"/>
              </w:rPr>
              <w:t>Joint</w:t>
            </w:r>
            <w:r>
              <w:rPr>
                <w:sz w:val="24"/>
              </w:rPr>
              <w:tab/>
            </w:r>
            <w:r>
              <w:rPr>
                <w:spacing w:val="-2"/>
                <w:sz w:val="24"/>
              </w:rPr>
              <w:t>problem</w:t>
            </w:r>
            <w:r>
              <w:rPr>
                <w:sz w:val="24"/>
              </w:rPr>
              <w:tab/>
            </w:r>
            <w:r>
              <w:rPr>
                <w:spacing w:val="-2"/>
                <w:sz w:val="24"/>
              </w:rPr>
              <w:t>solving,</w:t>
            </w:r>
          </w:p>
          <w:p>
            <w:pPr>
              <w:pStyle w:val="TableParagraph"/>
              <w:tabs>
                <w:tab w:pos="1844" w:val="left" w:leader="none"/>
                <w:tab w:pos="2664" w:val="left" w:leader="none"/>
              </w:tabs>
              <w:spacing w:line="270" w:lineRule="atLeast"/>
              <w:ind w:left="107" w:right="98"/>
              <w:rPr>
                <w:sz w:val="24"/>
              </w:rPr>
            </w:pPr>
            <w:r>
              <w:rPr>
                <w:spacing w:val="-2"/>
                <w:sz w:val="24"/>
              </w:rPr>
              <w:t>collaboration</w:t>
            </w:r>
            <w:r>
              <w:rPr>
                <w:sz w:val="24"/>
              </w:rPr>
              <w:tab/>
            </w:r>
            <w:r>
              <w:rPr>
                <w:spacing w:val="-4"/>
                <w:sz w:val="24"/>
              </w:rPr>
              <w:t>and</w:t>
            </w:r>
            <w:r>
              <w:rPr>
                <w:sz w:val="24"/>
              </w:rPr>
              <w:tab/>
            </w:r>
            <w:r>
              <w:rPr>
                <w:spacing w:val="-2"/>
                <w:sz w:val="24"/>
              </w:rPr>
              <w:t>compromise approach</w:t>
            </w:r>
          </w:p>
        </w:tc>
        <w:tc>
          <w:tcPr>
            <w:tcW w:w="1045" w:type="dxa"/>
          </w:tcPr>
          <w:p>
            <w:pPr>
              <w:pStyle w:val="TableParagraph"/>
              <w:rPr>
                <w:sz w:val="24"/>
              </w:rPr>
            </w:pPr>
          </w:p>
        </w:tc>
        <w:tc>
          <w:tcPr>
            <w:tcW w:w="1004" w:type="dxa"/>
          </w:tcPr>
          <w:p>
            <w:pPr>
              <w:pStyle w:val="TableParagraph"/>
              <w:rPr>
                <w:sz w:val="24"/>
              </w:rPr>
            </w:pPr>
          </w:p>
        </w:tc>
        <w:tc>
          <w:tcPr>
            <w:tcW w:w="1374" w:type="dxa"/>
          </w:tcPr>
          <w:p>
            <w:pPr>
              <w:pStyle w:val="TableParagraph"/>
              <w:rPr>
                <w:sz w:val="24"/>
              </w:rPr>
            </w:pPr>
          </w:p>
        </w:tc>
        <w:tc>
          <w:tcPr>
            <w:tcW w:w="891" w:type="dxa"/>
          </w:tcPr>
          <w:p>
            <w:pPr>
              <w:pStyle w:val="TableParagraph"/>
              <w:rPr>
                <w:sz w:val="24"/>
              </w:rPr>
            </w:pPr>
          </w:p>
        </w:tc>
      </w:tr>
      <w:tr>
        <w:trPr>
          <w:trHeight w:val="276" w:hRule="atLeast"/>
        </w:trPr>
        <w:tc>
          <w:tcPr>
            <w:tcW w:w="3961" w:type="dxa"/>
          </w:tcPr>
          <w:p>
            <w:pPr>
              <w:pStyle w:val="TableParagraph"/>
              <w:spacing w:line="256" w:lineRule="exact"/>
              <w:ind w:left="107"/>
              <w:rPr>
                <w:sz w:val="24"/>
              </w:rPr>
            </w:pPr>
            <w:r>
              <w:rPr>
                <w:sz w:val="24"/>
              </w:rPr>
              <w:t>(26)</w:t>
            </w:r>
            <w:r>
              <w:rPr>
                <w:spacing w:val="-3"/>
                <w:sz w:val="24"/>
              </w:rPr>
              <w:t> </w:t>
            </w:r>
            <w:r>
              <w:rPr>
                <w:sz w:val="24"/>
              </w:rPr>
              <w:t>Military</w:t>
            </w:r>
            <w:r>
              <w:rPr>
                <w:spacing w:val="-3"/>
                <w:sz w:val="24"/>
              </w:rPr>
              <w:t> </w:t>
            </w:r>
            <w:r>
              <w:rPr>
                <w:sz w:val="24"/>
              </w:rPr>
              <w:t>and Para-</w:t>
            </w:r>
            <w:r>
              <w:rPr>
                <w:spacing w:val="-2"/>
                <w:sz w:val="24"/>
              </w:rPr>
              <w:t>military</w:t>
            </w:r>
          </w:p>
        </w:tc>
        <w:tc>
          <w:tcPr>
            <w:tcW w:w="1045" w:type="dxa"/>
          </w:tcPr>
          <w:p>
            <w:pPr>
              <w:pStyle w:val="TableParagraph"/>
              <w:rPr>
                <w:sz w:val="20"/>
              </w:rPr>
            </w:pPr>
          </w:p>
        </w:tc>
        <w:tc>
          <w:tcPr>
            <w:tcW w:w="1004" w:type="dxa"/>
          </w:tcPr>
          <w:p>
            <w:pPr>
              <w:pStyle w:val="TableParagraph"/>
              <w:rPr>
                <w:sz w:val="20"/>
              </w:rPr>
            </w:pPr>
          </w:p>
        </w:tc>
        <w:tc>
          <w:tcPr>
            <w:tcW w:w="1374" w:type="dxa"/>
          </w:tcPr>
          <w:p>
            <w:pPr>
              <w:pStyle w:val="TableParagraph"/>
              <w:rPr>
                <w:sz w:val="20"/>
              </w:rPr>
            </w:pPr>
          </w:p>
        </w:tc>
        <w:tc>
          <w:tcPr>
            <w:tcW w:w="891" w:type="dxa"/>
          </w:tcPr>
          <w:p>
            <w:pPr>
              <w:pStyle w:val="TableParagraph"/>
              <w:rPr>
                <w:sz w:val="20"/>
              </w:rPr>
            </w:pPr>
          </w:p>
        </w:tc>
      </w:tr>
      <w:tr>
        <w:trPr>
          <w:trHeight w:val="551" w:hRule="atLeast"/>
        </w:trPr>
        <w:tc>
          <w:tcPr>
            <w:tcW w:w="3961" w:type="dxa"/>
          </w:tcPr>
          <w:p>
            <w:pPr>
              <w:pStyle w:val="TableParagraph"/>
              <w:tabs>
                <w:tab w:pos="743" w:val="left" w:leader="none"/>
                <w:tab w:pos="1973" w:val="left" w:leader="none"/>
                <w:tab w:pos="3504" w:val="left" w:leader="none"/>
              </w:tabs>
              <w:spacing w:line="268" w:lineRule="exact"/>
              <w:ind w:left="107"/>
              <w:rPr>
                <w:sz w:val="24"/>
              </w:rPr>
            </w:pPr>
            <w:r>
              <w:rPr>
                <w:spacing w:val="-4"/>
                <w:sz w:val="24"/>
              </w:rPr>
              <w:t>(27)</w:t>
            </w:r>
            <w:r>
              <w:rPr>
                <w:sz w:val="24"/>
              </w:rPr>
              <w:tab/>
            </w:r>
            <w:r>
              <w:rPr>
                <w:spacing w:val="-2"/>
                <w:sz w:val="24"/>
              </w:rPr>
              <w:t>Militancy,</w:t>
            </w:r>
            <w:r>
              <w:rPr>
                <w:sz w:val="24"/>
              </w:rPr>
              <w:tab/>
            </w:r>
            <w:r>
              <w:rPr>
                <w:spacing w:val="-2"/>
                <w:sz w:val="24"/>
              </w:rPr>
              <w:t>confrontation</w:t>
            </w:r>
            <w:r>
              <w:rPr>
                <w:sz w:val="24"/>
              </w:rPr>
              <w:tab/>
            </w:r>
            <w:r>
              <w:rPr>
                <w:spacing w:val="-5"/>
                <w:sz w:val="24"/>
              </w:rPr>
              <w:t>and</w:t>
            </w:r>
          </w:p>
          <w:p>
            <w:pPr>
              <w:pStyle w:val="TableParagraph"/>
              <w:spacing w:line="264" w:lineRule="exact"/>
              <w:ind w:left="107"/>
              <w:rPr>
                <w:sz w:val="24"/>
              </w:rPr>
            </w:pPr>
            <w:r>
              <w:rPr>
                <w:spacing w:val="-2"/>
                <w:sz w:val="24"/>
              </w:rPr>
              <w:t>sabotage</w:t>
            </w:r>
          </w:p>
        </w:tc>
        <w:tc>
          <w:tcPr>
            <w:tcW w:w="1045" w:type="dxa"/>
          </w:tcPr>
          <w:p>
            <w:pPr>
              <w:pStyle w:val="TableParagraph"/>
              <w:rPr>
                <w:sz w:val="24"/>
              </w:rPr>
            </w:pPr>
          </w:p>
        </w:tc>
        <w:tc>
          <w:tcPr>
            <w:tcW w:w="1004" w:type="dxa"/>
          </w:tcPr>
          <w:p>
            <w:pPr>
              <w:pStyle w:val="TableParagraph"/>
              <w:rPr>
                <w:sz w:val="24"/>
              </w:rPr>
            </w:pPr>
          </w:p>
        </w:tc>
        <w:tc>
          <w:tcPr>
            <w:tcW w:w="1374" w:type="dxa"/>
          </w:tcPr>
          <w:p>
            <w:pPr>
              <w:pStyle w:val="TableParagraph"/>
              <w:rPr>
                <w:sz w:val="24"/>
              </w:rPr>
            </w:pPr>
          </w:p>
        </w:tc>
        <w:tc>
          <w:tcPr>
            <w:tcW w:w="891" w:type="dxa"/>
          </w:tcPr>
          <w:p>
            <w:pPr>
              <w:pStyle w:val="TableParagraph"/>
              <w:rPr>
                <w:sz w:val="24"/>
              </w:rPr>
            </w:pPr>
          </w:p>
        </w:tc>
      </w:tr>
    </w:tbl>
    <w:p>
      <w:pPr>
        <w:pStyle w:val="BodyText"/>
        <w:tabs>
          <w:tab w:pos="2220" w:val="left" w:leader="none"/>
        </w:tabs>
        <w:spacing w:before="271" w:after="8"/>
        <w:ind w:right="1264"/>
      </w:pPr>
      <w:r>
        <w:rPr>
          <w:spacing w:val="-4"/>
        </w:rPr>
        <w:t>RQ8</w:t>
      </w:r>
      <w:r>
        <w:rPr/>
        <w:tab/>
        <w:t>Why is it that the joint problem solving approach has not been employed in</w:t>
      </w:r>
      <w:r>
        <w:rPr>
          <w:spacing w:val="80"/>
        </w:rPr>
        <w:t> </w:t>
      </w:r>
      <w:r>
        <w:rPr/>
        <w:t>the Niger Delta conflict?</w:t>
      </w: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61"/>
        <w:gridCol w:w="1042"/>
        <w:gridCol w:w="1001"/>
        <w:gridCol w:w="1378"/>
        <w:gridCol w:w="1080"/>
      </w:tblGrid>
      <w:tr>
        <w:trPr>
          <w:trHeight w:val="275" w:hRule="atLeast"/>
        </w:trPr>
        <w:tc>
          <w:tcPr>
            <w:tcW w:w="3961" w:type="dxa"/>
          </w:tcPr>
          <w:p>
            <w:pPr>
              <w:pStyle w:val="TableParagraph"/>
              <w:rPr>
                <w:sz w:val="20"/>
              </w:rPr>
            </w:pPr>
          </w:p>
        </w:tc>
        <w:tc>
          <w:tcPr>
            <w:tcW w:w="1042" w:type="dxa"/>
          </w:tcPr>
          <w:p>
            <w:pPr>
              <w:pStyle w:val="TableParagraph"/>
              <w:spacing w:line="256" w:lineRule="exact"/>
              <w:ind w:left="107"/>
              <w:rPr>
                <w:sz w:val="24"/>
              </w:rPr>
            </w:pPr>
            <w:r>
              <w:rPr>
                <w:spacing w:val="-5"/>
                <w:sz w:val="24"/>
              </w:rPr>
              <w:t>SA</w:t>
            </w:r>
          </w:p>
        </w:tc>
        <w:tc>
          <w:tcPr>
            <w:tcW w:w="1001" w:type="dxa"/>
          </w:tcPr>
          <w:p>
            <w:pPr>
              <w:pStyle w:val="TableParagraph"/>
              <w:spacing w:line="256" w:lineRule="exact"/>
              <w:ind w:left="107"/>
              <w:rPr>
                <w:sz w:val="24"/>
              </w:rPr>
            </w:pPr>
            <w:r>
              <w:rPr>
                <w:spacing w:val="-10"/>
                <w:sz w:val="24"/>
              </w:rPr>
              <w:t>A</w:t>
            </w:r>
          </w:p>
        </w:tc>
        <w:tc>
          <w:tcPr>
            <w:tcW w:w="1378" w:type="dxa"/>
          </w:tcPr>
          <w:p>
            <w:pPr>
              <w:pStyle w:val="TableParagraph"/>
              <w:spacing w:line="256" w:lineRule="exact"/>
              <w:ind w:left="107"/>
              <w:rPr>
                <w:sz w:val="24"/>
              </w:rPr>
            </w:pPr>
            <w:r>
              <w:rPr>
                <w:spacing w:val="-5"/>
                <w:sz w:val="24"/>
              </w:rPr>
              <w:t>SD</w:t>
            </w:r>
          </w:p>
        </w:tc>
        <w:tc>
          <w:tcPr>
            <w:tcW w:w="1080" w:type="dxa"/>
          </w:tcPr>
          <w:p>
            <w:pPr>
              <w:pStyle w:val="TableParagraph"/>
              <w:spacing w:line="256" w:lineRule="exact"/>
              <w:ind w:left="107"/>
              <w:rPr>
                <w:sz w:val="24"/>
              </w:rPr>
            </w:pPr>
            <w:r>
              <w:rPr>
                <w:spacing w:val="-10"/>
                <w:sz w:val="24"/>
              </w:rPr>
              <w:t>D</w:t>
            </w:r>
          </w:p>
        </w:tc>
      </w:tr>
      <w:tr>
        <w:trPr>
          <w:trHeight w:val="551" w:hRule="atLeast"/>
        </w:trPr>
        <w:tc>
          <w:tcPr>
            <w:tcW w:w="3961" w:type="dxa"/>
          </w:tcPr>
          <w:p>
            <w:pPr>
              <w:pStyle w:val="TableParagraph"/>
              <w:spacing w:line="269" w:lineRule="exact"/>
              <w:ind w:left="107"/>
              <w:rPr>
                <w:sz w:val="24"/>
              </w:rPr>
            </w:pPr>
            <w:r>
              <w:rPr>
                <w:sz w:val="24"/>
              </w:rPr>
              <w:t>(28)</w:t>
            </w:r>
            <w:r>
              <w:rPr>
                <w:spacing w:val="24"/>
                <w:sz w:val="24"/>
              </w:rPr>
              <w:t> </w:t>
            </w:r>
            <w:r>
              <w:rPr>
                <w:sz w:val="24"/>
              </w:rPr>
              <w:t>It</w:t>
            </w:r>
            <w:r>
              <w:rPr>
                <w:spacing w:val="25"/>
                <w:sz w:val="24"/>
              </w:rPr>
              <w:t> </w:t>
            </w:r>
            <w:r>
              <w:rPr>
                <w:sz w:val="24"/>
              </w:rPr>
              <w:t>is</w:t>
            </w:r>
            <w:r>
              <w:rPr>
                <w:spacing w:val="25"/>
                <w:sz w:val="24"/>
              </w:rPr>
              <w:t> </w:t>
            </w:r>
            <w:r>
              <w:rPr>
                <w:sz w:val="24"/>
              </w:rPr>
              <w:t>not</w:t>
            </w:r>
            <w:r>
              <w:rPr>
                <w:spacing w:val="25"/>
                <w:sz w:val="24"/>
              </w:rPr>
              <w:t> </w:t>
            </w:r>
            <w:r>
              <w:rPr>
                <w:sz w:val="24"/>
              </w:rPr>
              <w:t>the</w:t>
            </w:r>
            <w:r>
              <w:rPr>
                <w:spacing w:val="24"/>
                <w:sz w:val="24"/>
              </w:rPr>
              <w:t> </w:t>
            </w:r>
            <w:r>
              <w:rPr>
                <w:sz w:val="24"/>
              </w:rPr>
              <w:t>best</w:t>
            </w:r>
            <w:r>
              <w:rPr>
                <w:spacing w:val="25"/>
                <w:sz w:val="24"/>
              </w:rPr>
              <w:t> </w:t>
            </w:r>
            <w:r>
              <w:rPr>
                <w:sz w:val="24"/>
              </w:rPr>
              <w:t>approach</w:t>
            </w:r>
            <w:r>
              <w:rPr>
                <w:spacing w:val="25"/>
                <w:sz w:val="24"/>
              </w:rPr>
              <w:t> </w:t>
            </w:r>
            <w:r>
              <w:rPr>
                <w:sz w:val="24"/>
              </w:rPr>
              <w:t>to</w:t>
            </w:r>
            <w:r>
              <w:rPr>
                <w:spacing w:val="26"/>
                <w:sz w:val="24"/>
              </w:rPr>
              <w:t> </w:t>
            </w:r>
            <w:r>
              <w:rPr>
                <w:spacing w:val="-5"/>
                <w:sz w:val="24"/>
              </w:rPr>
              <w:t>the</w:t>
            </w:r>
          </w:p>
          <w:p>
            <w:pPr>
              <w:pStyle w:val="TableParagraph"/>
              <w:spacing w:line="263" w:lineRule="exact"/>
              <w:ind w:left="107"/>
              <w:rPr>
                <w:sz w:val="24"/>
              </w:rPr>
            </w:pPr>
            <w:r>
              <w:rPr>
                <w:sz w:val="24"/>
              </w:rPr>
              <w:t>Niger</w:t>
            </w:r>
            <w:r>
              <w:rPr>
                <w:spacing w:val="-3"/>
                <w:sz w:val="24"/>
              </w:rPr>
              <w:t> </w:t>
            </w:r>
            <w:r>
              <w:rPr>
                <w:sz w:val="24"/>
              </w:rPr>
              <w:t>Delta</w:t>
            </w:r>
            <w:r>
              <w:rPr>
                <w:spacing w:val="-2"/>
                <w:sz w:val="24"/>
              </w:rPr>
              <w:t> </w:t>
            </w:r>
            <w:r>
              <w:rPr>
                <w:sz w:val="24"/>
              </w:rPr>
              <w:t>region</w:t>
            </w:r>
            <w:r>
              <w:rPr>
                <w:spacing w:val="-2"/>
                <w:sz w:val="24"/>
              </w:rPr>
              <w:t> conflict</w:t>
            </w:r>
          </w:p>
        </w:tc>
        <w:tc>
          <w:tcPr>
            <w:tcW w:w="1042" w:type="dxa"/>
          </w:tcPr>
          <w:p>
            <w:pPr>
              <w:pStyle w:val="TableParagraph"/>
              <w:rPr>
                <w:sz w:val="24"/>
              </w:rPr>
            </w:pPr>
          </w:p>
        </w:tc>
        <w:tc>
          <w:tcPr>
            <w:tcW w:w="1001" w:type="dxa"/>
          </w:tcPr>
          <w:p>
            <w:pPr>
              <w:pStyle w:val="TableParagraph"/>
              <w:rPr>
                <w:sz w:val="24"/>
              </w:rPr>
            </w:pPr>
          </w:p>
        </w:tc>
        <w:tc>
          <w:tcPr>
            <w:tcW w:w="1378" w:type="dxa"/>
          </w:tcPr>
          <w:p>
            <w:pPr>
              <w:pStyle w:val="TableParagraph"/>
              <w:rPr>
                <w:sz w:val="24"/>
              </w:rPr>
            </w:pPr>
          </w:p>
        </w:tc>
        <w:tc>
          <w:tcPr>
            <w:tcW w:w="1080" w:type="dxa"/>
          </w:tcPr>
          <w:p>
            <w:pPr>
              <w:pStyle w:val="TableParagraph"/>
              <w:rPr>
                <w:sz w:val="24"/>
              </w:rPr>
            </w:pPr>
          </w:p>
        </w:tc>
      </w:tr>
      <w:tr>
        <w:trPr>
          <w:trHeight w:val="278" w:hRule="atLeast"/>
        </w:trPr>
        <w:tc>
          <w:tcPr>
            <w:tcW w:w="3961" w:type="dxa"/>
          </w:tcPr>
          <w:p>
            <w:pPr>
              <w:pStyle w:val="TableParagraph"/>
              <w:spacing w:line="258" w:lineRule="exact"/>
              <w:ind w:left="107"/>
              <w:rPr>
                <w:sz w:val="24"/>
              </w:rPr>
            </w:pPr>
            <w:r>
              <w:rPr>
                <w:sz w:val="24"/>
              </w:rPr>
              <w:t>(29)</w:t>
            </w:r>
            <w:r>
              <w:rPr>
                <w:spacing w:val="-3"/>
                <w:sz w:val="24"/>
              </w:rPr>
              <w:t> </w:t>
            </w:r>
            <w:r>
              <w:rPr>
                <w:sz w:val="24"/>
              </w:rPr>
              <w:t>Conflictuals are not </w:t>
            </w:r>
            <w:r>
              <w:rPr>
                <w:spacing w:val="-2"/>
                <w:sz w:val="24"/>
              </w:rPr>
              <w:t>sincere</w:t>
            </w:r>
          </w:p>
        </w:tc>
        <w:tc>
          <w:tcPr>
            <w:tcW w:w="1042" w:type="dxa"/>
          </w:tcPr>
          <w:p>
            <w:pPr>
              <w:pStyle w:val="TableParagraph"/>
              <w:rPr>
                <w:sz w:val="20"/>
              </w:rPr>
            </w:pPr>
          </w:p>
        </w:tc>
        <w:tc>
          <w:tcPr>
            <w:tcW w:w="1001" w:type="dxa"/>
          </w:tcPr>
          <w:p>
            <w:pPr>
              <w:pStyle w:val="TableParagraph"/>
              <w:rPr>
                <w:sz w:val="20"/>
              </w:rPr>
            </w:pPr>
          </w:p>
        </w:tc>
        <w:tc>
          <w:tcPr>
            <w:tcW w:w="1378" w:type="dxa"/>
          </w:tcPr>
          <w:p>
            <w:pPr>
              <w:pStyle w:val="TableParagraph"/>
              <w:rPr>
                <w:sz w:val="20"/>
              </w:rPr>
            </w:pPr>
          </w:p>
        </w:tc>
        <w:tc>
          <w:tcPr>
            <w:tcW w:w="1080" w:type="dxa"/>
          </w:tcPr>
          <w:p>
            <w:pPr>
              <w:pStyle w:val="TableParagraph"/>
              <w:rPr>
                <w:sz w:val="20"/>
              </w:rPr>
            </w:pPr>
          </w:p>
        </w:tc>
      </w:tr>
      <w:tr>
        <w:trPr>
          <w:trHeight w:val="551" w:hRule="atLeast"/>
        </w:trPr>
        <w:tc>
          <w:tcPr>
            <w:tcW w:w="3961" w:type="dxa"/>
          </w:tcPr>
          <w:p>
            <w:pPr>
              <w:pStyle w:val="TableParagraph"/>
              <w:spacing w:line="268" w:lineRule="exact"/>
              <w:ind w:left="107"/>
              <w:rPr>
                <w:sz w:val="24"/>
              </w:rPr>
            </w:pPr>
            <w:r>
              <w:rPr>
                <w:sz w:val="24"/>
              </w:rPr>
              <w:t>(30)</w:t>
            </w:r>
            <w:r>
              <w:rPr>
                <w:spacing w:val="31"/>
                <w:sz w:val="24"/>
              </w:rPr>
              <w:t>  </w:t>
            </w:r>
            <w:r>
              <w:rPr>
                <w:sz w:val="24"/>
              </w:rPr>
              <w:t>There</w:t>
            </w:r>
            <w:r>
              <w:rPr>
                <w:spacing w:val="31"/>
                <w:sz w:val="24"/>
              </w:rPr>
              <w:t>  </w:t>
            </w:r>
            <w:r>
              <w:rPr>
                <w:sz w:val="24"/>
              </w:rPr>
              <w:t>is</w:t>
            </w:r>
            <w:r>
              <w:rPr>
                <w:spacing w:val="32"/>
                <w:sz w:val="24"/>
              </w:rPr>
              <w:t>  </w:t>
            </w:r>
            <w:r>
              <w:rPr>
                <w:sz w:val="24"/>
              </w:rPr>
              <w:t>no</w:t>
            </w:r>
            <w:r>
              <w:rPr>
                <w:spacing w:val="32"/>
                <w:sz w:val="24"/>
              </w:rPr>
              <w:t>  </w:t>
            </w:r>
            <w:r>
              <w:rPr>
                <w:sz w:val="24"/>
              </w:rPr>
              <w:t>need</w:t>
            </w:r>
            <w:r>
              <w:rPr>
                <w:spacing w:val="32"/>
                <w:sz w:val="24"/>
              </w:rPr>
              <w:t>  </w:t>
            </w:r>
            <w:r>
              <w:rPr>
                <w:sz w:val="24"/>
              </w:rPr>
              <w:t>for</w:t>
            </w:r>
            <w:r>
              <w:rPr>
                <w:spacing w:val="31"/>
                <w:sz w:val="24"/>
              </w:rPr>
              <w:t>  </w:t>
            </w:r>
            <w:r>
              <w:rPr>
                <w:spacing w:val="-4"/>
                <w:sz w:val="24"/>
              </w:rPr>
              <w:t>peace</w:t>
            </w:r>
          </w:p>
          <w:p>
            <w:pPr>
              <w:pStyle w:val="TableParagraph"/>
              <w:spacing w:line="264" w:lineRule="exact"/>
              <w:ind w:left="107"/>
              <w:rPr>
                <w:sz w:val="24"/>
              </w:rPr>
            </w:pPr>
            <w:r>
              <w:rPr>
                <w:spacing w:val="-2"/>
                <w:sz w:val="24"/>
              </w:rPr>
              <w:t>negotiation</w:t>
            </w:r>
          </w:p>
        </w:tc>
        <w:tc>
          <w:tcPr>
            <w:tcW w:w="1042" w:type="dxa"/>
          </w:tcPr>
          <w:p>
            <w:pPr>
              <w:pStyle w:val="TableParagraph"/>
              <w:rPr>
                <w:sz w:val="24"/>
              </w:rPr>
            </w:pPr>
          </w:p>
        </w:tc>
        <w:tc>
          <w:tcPr>
            <w:tcW w:w="1001" w:type="dxa"/>
          </w:tcPr>
          <w:p>
            <w:pPr>
              <w:pStyle w:val="TableParagraph"/>
              <w:rPr>
                <w:sz w:val="24"/>
              </w:rPr>
            </w:pPr>
          </w:p>
        </w:tc>
        <w:tc>
          <w:tcPr>
            <w:tcW w:w="1378" w:type="dxa"/>
          </w:tcPr>
          <w:p>
            <w:pPr>
              <w:pStyle w:val="TableParagraph"/>
              <w:rPr>
                <w:sz w:val="24"/>
              </w:rPr>
            </w:pPr>
          </w:p>
        </w:tc>
        <w:tc>
          <w:tcPr>
            <w:tcW w:w="1080" w:type="dxa"/>
          </w:tcPr>
          <w:p>
            <w:pPr>
              <w:pStyle w:val="TableParagraph"/>
              <w:rPr>
                <w:sz w:val="24"/>
              </w:rPr>
            </w:pPr>
          </w:p>
        </w:tc>
      </w:tr>
      <w:tr>
        <w:trPr>
          <w:trHeight w:val="275" w:hRule="atLeast"/>
        </w:trPr>
        <w:tc>
          <w:tcPr>
            <w:tcW w:w="3961" w:type="dxa"/>
          </w:tcPr>
          <w:p>
            <w:pPr>
              <w:pStyle w:val="TableParagraph"/>
              <w:spacing w:line="256" w:lineRule="exact"/>
              <w:ind w:left="107"/>
              <w:rPr>
                <w:sz w:val="24"/>
              </w:rPr>
            </w:pPr>
            <w:r>
              <w:rPr>
                <w:sz w:val="24"/>
              </w:rPr>
              <w:t>(31)</w:t>
            </w:r>
            <w:r>
              <w:rPr>
                <w:spacing w:val="-4"/>
                <w:sz w:val="24"/>
              </w:rPr>
              <w:t> </w:t>
            </w:r>
            <w:r>
              <w:rPr>
                <w:sz w:val="24"/>
              </w:rPr>
              <w:t>Stakeholders</w:t>
            </w:r>
            <w:r>
              <w:rPr>
                <w:spacing w:val="1"/>
                <w:sz w:val="24"/>
              </w:rPr>
              <w:t> </w:t>
            </w:r>
            <w:r>
              <w:rPr>
                <w:sz w:val="24"/>
              </w:rPr>
              <w:t>are</w:t>
            </w:r>
            <w:r>
              <w:rPr>
                <w:spacing w:val="-3"/>
                <w:sz w:val="24"/>
              </w:rPr>
              <w:t> </w:t>
            </w:r>
            <w:r>
              <w:rPr>
                <w:sz w:val="24"/>
              </w:rPr>
              <w:t>the </w:t>
            </w:r>
            <w:r>
              <w:rPr>
                <w:spacing w:val="-2"/>
                <w:sz w:val="24"/>
              </w:rPr>
              <w:t>problem</w:t>
            </w:r>
          </w:p>
        </w:tc>
        <w:tc>
          <w:tcPr>
            <w:tcW w:w="1042" w:type="dxa"/>
          </w:tcPr>
          <w:p>
            <w:pPr>
              <w:pStyle w:val="TableParagraph"/>
              <w:rPr>
                <w:sz w:val="20"/>
              </w:rPr>
            </w:pPr>
          </w:p>
        </w:tc>
        <w:tc>
          <w:tcPr>
            <w:tcW w:w="1001" w:type="dxa"/>
          </w:tcPr>
          <w:p>
            <w:pPr>
              <w:pStyle w:val="TableParagraph"/>
              <w:rPr>
                <w:sz w:val="20"/>
              </w:rPr>
            </w:pPr>
          </w:p>
        </w:tc>
        <w:tc>
          <w:tcPr>
            <w:tcW w:w="1378" w:type="dxa"/>
          </w:tcPr>
          <w:p>
            <w:pPr>
              <w:pStyle w:val="TableParagraph"/>
              <w:rPr>
                <w:sz w:val="20"/>
              </w:rPr>
            </w:pPr>
          </w:p>
        </w:tc>
        <w:tc>
          <w:tcPr>
            <w:tcW w:w="1080" w:type="dxa"/>
          </w:tcPr>
          <w:p>
            <w:pPr>
              <w:pStyle w:val="TableParagraph"/>
              <w:rPr>
                <w:sz w:val="20"/>
              </w:rPr>
            </w:pPr>
          </w:p>
        </w:tc>
      </w:tr>
    </w:tbl>
    <w:p>
      <w:pPr>
        <w:spacing w:after="0"/>
        <w:rPr>
          <w:sz w:val="20"/>
        </w:rPr>
        <w:sectPr>
          <w:pgSz w:w="11910" w:h="16840"/>
          <w:pgMar w:header="0" w:footer="1561" w:top="1340" w:bottom="1760" w:left="720" w:right="180"/>
        </w:sectPr>
      </w:pPr>
    </w:p>
    <w:p>
      <w:pPr>
        <w:pStyle w:val="BodyText"/>
        <w:spacing w:before="78" w:after="9"/>
        <w:ind w:right="1260"/>
      </w:pPr>
      <w:r>
        <w:rPr/>
        <mc:AlternateContent>
          <mc:Choice Requires="wps">
            <w:drawing>
              <wp:anchor distT="0" distB="0" distL="0" distR="0" allowOverlap="1" layoutInCell="1" locked="0" behindDoc="1" simplePos="0" relativeHeight="480705024">
                <wp:simplePos x="0" y="0"/>
                <wp:positionH relativeFrom="page">
                  <wp:posOffset>-1537026</wp:posOffset>
                </wp:positionH>
                <wp:positionV relativeFrom="page">
                  <wp:posOffset>4900424</wp:posOffset>
                </wp:positionV>
                <wp:extent cx="10669905" cy="914400"/>
                <wp:effectExtent l="0" t="0" r="0" b="0"/>
                <wp:wrapNone/>
                <wp:docPr id="393" name="Textbox 393"/>
                <wp:cNvGraphicFramePr>
                  <a:graphicFrameLocks/>
                </wp:cNvGraphicFramePr>
                <a:graphic>
                  <a:graphicData uri="http://schemas.microsoft.com/office/word/2010/wordprocessingShape">
                    <wps:wsp>
                      <wps:cNvPr id="393" name="Textbox 393"/>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11456;rotation:306" type="#_x0000_t136" fillcolor="#ff5400" stroked="f">
                <o:extrusion v:ext="view" autorotationcenter="t"/>
                <v:textpath style="font-family:&quot;Arial MT&quot;;font-size:72pt;v-text-kern:t;mso-text-shadow:auto" string="UNIVERSITY OF IBADAN"/>
                <w10:wrap type="none"/>
              </v:shape>
            </w:pict>
          </mc:Fallback>
        </mc:AlternateContent>
      </w:r>
      <w:r>
        <w:rPr/>
        <w:t>RQ9</w:t>
      </w:r>
      <w:r>
        <w:rPr>
          <w:spacing w:val="-3"/>
        </w:rPr>
        <w:t> </w:t>
      </w:r>
      <w:r>
        <w:rPr/>
        <w:t>Has</w:t>
      </w:r>
      <w:r>
        <w:rPr>
          <w:spacing w:val="-3"/>
        </w:rPr>
        <w:t> </w:t>
      </w:r>
      <w:r>
        <w:rPr/>
        <w:t>the</w:t>
      </w:r>
      <w:r>
        <w:rPr>
          <w:spacing w:val="-3"/>
        </w:rPr>
        <w:t> </w:t>
      </w:r>
      <w:r>
        <w:rPr/>
        <w:t>JTF</w:t>
      </w:r>
      <w:r>
        <w:rPr>
          <w:spacing w:val="-5"/>
        </w:rPr>
        <w:t> </w:t>
      </w:r>
      <w:r>
        <w:rPr/>
        <w:t>intervention</w:t>
      </w:r>
      <w:r>
        <w:rPr>
          <w:spacing w:val="-3"/>
        </w:rPr>
        <w:t> </w:t>
      </w:r>
      <w:r>
        <w:rPr/>
        <w:t>in</w:t>
      </w:r>
      <w:r>
        <w:rPr>
          <w:spacing w:val="-3"/>
        </w:rPr>
        <w:t> </w:t>
      </w:r>
      <w:r>
        <w:rPr/>
        <w:t>the</w:t>
      </w:r>
      <w:r>
        <w:rPr>
          <w:spacing w:val="-4"/>
        </w:rPr>
        <w:t> </w:t>
      </w:r>
      <w:r>
        <w:rPr/>
        <w:t>Niger</w:t>
      </w:r>
      <w:r>
        <w:rPr>
          <w:spacing w:val="-3"/>
        </w:rPr>
        <w:t> </w:t>
      </w:r>
      <w:r>
        <w:rPr/>
        <w:t>Delta</w:t>
      </w:r>
      <w:r>
        <w:rPr>
          <w:spacing w:val="-2"/>
        </w:rPr>
        <w:t> </w:t>
      </w:r>
      <w:r>
        <w:rPr/>
        <w:t>conflict</w:t>
      </w:r>
      <w:r>
        <w:rPr>
          <w:spacing w:val="-3"/>
        </w:rPr>
        <w:t> </w:t>
      </w:r>
      <w:r>
        <w:rPr/>
        <w:t>helped</w:t>
      </w:r>
      <w:r>
        <w:rPr>
          <w:spacing w:val="-3"/>
        </w:rPr>
        <w:t> </w:t>
      </w:r>
      <w:r>
        <w:rPr/>
        <w:t>to</w:t>
      </w:r>
      <w:r>
        <w:rPr>
          <w:spacing w:val="-3"/>
        </w:rPr>
        <w:t> </w:t>
      </w:r>
      <w:r>
        <w:rPr/>
        <w:t>achieve</w:t>
      </w:r>
      <w:r>
        <w:rPr>
          <w:spacing w:val="-3"/>
        </w:rPr>
        <w:t> </w:t>
      </w:r>
      <w:r>
        <w:rPr/>
        <w:t>the</w:t>
      </w:r>
      <w:r>
        <w:rPr>
          <w:spacing w:val="-3"/>
        </w:rPr>
        <w:t> </w:t>
      </w:r>
      <w:r>
        <w:rPr/>
        <w:t>needed sustainable peace?</w:t>
      </w: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39"/>
        <w:gridCol w:w="1047"/>
        <w:gridCol w:w="1008"/>
        <w:gridCol w:w="920"/>
        <w:gridCol w:w="1548"/>
      </w:tblGrid>
      <w:tr>
        <w:trPr>
          <w:trHeight w:val="275" w:hRule="atLeast"/>
        </w:trPr>
        <w:tc>
          <w:tcPr>
            <w:tcW w:w="3939" w:type="dxa"/>
          </w:tcPr>
          <w:p>
            <w:pPr>
              <w:pStyle w:val="TableParagraph"/>
              <w:rPr>
                <w:sz w:val="20"/>
              </w:rPr>
            </w:pPr>
          </w:p>
        </w:tc>
        <w:tc>
          <w:tcPr>
            <w:tcW w:w="1047" w:type="dxa"/>
          </w:tcPr>
          <w:p>
            <w:pPr>
              <w:pStyle w:val="TableParagraph"/>
              <w:spacing w:line="256" w:lineRule="exact"/>
              <w:ind w:left="107"/>
              <w:rPr>
                <w:sz w:val="24"/>
              </w:rPr>
            </w:pPr>
            <w:r>
              <w:rPr>
                <w:spacing w:val="-5"/>
                <w:sz w:val="24"/>
              </w:rPr>
              <w:t>SA</w:t>
            </w:r>
          </w:p>
        </w:tc>
        <w:tc>
          <w:tcPr>
            <w:tcW w:w="1008" w:type="dxa"/>
          </w:tcPr>
          <w:p>
            <w:pPr>
              <w:pStyle w:val="TableParagraph"/>
              <w:spacing w:line="256" w:lineRule="exact"/>
              <w:ind w:left="107"/>
              <w:rPr>
                <w:sz w:val="24"/>
              </w:rPr>
            </w:pPr>
            <w:r>
              <w:rPr>
                <w:spacing w:val="-10"/>
                <w:sz w:val="24"/>
              </w:rPr>
              <w:t>A</w:t>
            </w:r>
          </w:p>
        </w:tc>
        <w:tc>
          <w:tcPr>
            <w:tcW w:w="920" w:type="dxa"/>
          </w:tcPr>
          <w:p>
            <w:pPr>
              <w:pStyle w:val="TableParagraph"/>
              <w:spacing w:line="256" w:lineRule="exact"/>
              <w:ind w:left="107"/>
              <w:rPr>
                <w:sz w:val="24"/>
              </w:rPr>
            </w:pPr>
            <w:r>
              <w:rPr>
                <w:spacing w:val="-5"/>
                <w:sz w:val="24"/>
              </w:rPr>
              <w:t>SD</w:t>
            </w:r>
          </w:p>
        </w:tc>
        <w:tc>
          <w:tcPr>
            <w:tcW w:w="1548" w:type="dxa"/>
          </w:tcPr>
          <w:p>
            <w:pPr>
              <w:pStyle w:val="TableParagraph"/>
              <w:spacing w:line="256" w:lineRule="exact"/>
              <w:ind w:left="107"/>
              <w:rPr>
                <w:sz w:val="24"/>
              </w:rPr>
            </w:pPr>
            <w:r>
              <w:rPr>
                <w:spacing w:val="-10"/>
                <w:sz w:val="24"/>
              </w:rPr>
              <w:t>D</w:t>
            </w:r>
          </w:p>
        </w:tc>
      </w:tr>
      <w:tr>
        <w:trPr>
          <w:trHeight w:val="551" w:hRule="atLeast"/>
        </w:trPr>
        <w:tc>
          <w:tcPr>
            <w:tcW w:w="3939" w:type="dxa"/>
          </w:tcPr>
          <w:p>
            <w:pPr>
              <w:pStyle w:val="TableParagraph"/>
              <w:spacing w:line="268" w:lineRule="exact"/>
              <w:ind w:left="107"/>
              <w:rPr>
                <w:sz w:val="24"/>
              </w:rPr>
            </w:pPr>
            <w:r>
              <w:rPr>
                <w:sz w:val="24"/>
              </w:rPr>
              <w:t>(32)</w:t>
            </w:r>
            <w:r>
              <w:rPr>
                <w:spacing w:val="33"/>
                <w:sz w:val="24"/>
              </w:rPr>
              <w:t> </w:t>
            </w:r>
            <w:r>
              <w:rPr>
                <w:sz w:val="24"/>
              </w:rPr>
              <w:t>Yes,</w:t>
            </w:r>
            <w:r>
              <w:rPr>
                <w:spacing w:val="36"/>
                <w:sz w:val="24"/>
              </w:rPr>
              <w:t> </w:t>
            </w:r>
            <w:r>
              <w:rPr>
                <w:sz w:val="24"/>
              </w:rPr>
              <w:t>it</w:t>
            </w:r>
            <w:r>
              <w:rPr>
                <w:spacing w:val="36"/>
                <w:sz w:val="24"/>
              </w:rPr>
              <w:t> </w:t>
            </w:r>
            <w:r>
              <w:rPr>
                <w:sz w:val="24"/>
              </w:rPr>
              <w:t>has</w:t>
            </w:r>
            <w:r>
              <w:rPr>
                <w:spacing w:val="38"/>
                <w:sz w:val="24"/>
              </w:rPr>
              <w:t> </w:t>
            </w:r>
            <w:r>
              <w:rPr>
                <w:sz w:val="24"/>
              </w:rPr>
              <w:t>helped</w:t>
            </w:r>
            <w:r>
              <w:rPr>
                <w:spacing w:val="37"/>
                <w:sz w:val="24"/>
              </w:rPr>
              <w:t> </w:t>
            </w:r>
            <w:r>
              <w:rPr>
                <w:sz w:val="24"/>
              </w:rPr>
              <w:t>to</w:t>
            </w:r>
            <w:r>
              <w:rPr>
                <w:spacing w:val="36"/>
                <w:sz w:val="24"/>
              </w:rPr>
              <w:t> </w:t>
            </w:r>
            <w:r>
              <w:rPr>
                <w:sz w:val="24"/>
              </w:rPr>
              <w:t>reduce</w:t>
            </w:r>
            <w:r>
              <w:rPr>
                <w:spacing w:val="34"/>
                <w:sz w:val="24"/>
              </w:rPr>
              <w:t> </w:t>
            </w:r>
            <w:r>
              <w:rPr>
                <w:spacing w:val="-5"/>
                <w:sz w:val="24"/>
              </w:rPr>
              <w:t>the</w:t>
            </w:r>
          </w:p>
          <w:p>
            <w:pPr>
              <w:pStyle w:val="TableParagraph"/>
              <w:spacing w:line="264" w:lineRule="exact"/>
              <w:ind w:left="107"/>
              <w:rPr>
                <w:sz w:val="24"/>
              </w:rPr>
            </w:pPr>
            <w:r>
              <w:rPr>
                <w:sz w:val="24"/>
              </w:rPr>
              <w:t>conflict</w:t>
            </w:r>
            <w:r>
              <w:rPr>
                <w:spacing w:val="-2"/>
                <w:sz w:val="24"/>
              </w:rPr>
              <w:t> proliferation</w:t>
            </w:r>
          </w:p>
        </w:tc>
        <w:tc>
          <w:tcPr>
            <w:tcW w:w="1047" w:type="dxa"/>
          </w:tcPr>
          <w:p>
            <w:pPr>
              <w:pStyle w:val="TableParagraph"/>
              <w:rPr>
                <w:sz w:val="24"/>
              </w:rPr>
            </w:pPr>
          </w:p>
        </w:tc>
        <w:tc>
          <w:tcPr>
            <w:tcW w:w="1008" w:type="dxa"/>
          </w:tcPr>
          <w:p>
            <w:pPr>
              <w:pStyle w:val="TableParagraph"/>
              <w:rPr>
                <w:sz w:val="24"/>
              </w:rPr>
            </w:pPr>
          </w:p>
        </w:tc>
        <w:tc>
          <w:tcPr>
            <w:tcW w:w="920" w:type="dxa"/>
          </w:tcPr>
          <w:p>
            <w:pPr>
              <w:pStyle w:val="TableParagraph"/>
              <w:rPr>
                <w:sz w:val="24"/>
              </w:rPr>
            </w:pPr>
          </w:p>
        </w:tc>
        <w:tc>
          <w:tcPr>
            <w:tcW w:w="1548" w:type="dxa"/>
          </w:tcPr>
          <w:p>
            <w:pPr>
              <w:pStyle w:val="TableParagraph"/>
              <w:rPr>
                <w:sz w:val="24"/>
              </w:rPr>
            </w:pPr>
          </w:p>
        </w:tc>
      </w:tr>
      <w:tr>
        <w:trPr>
          <w:trHeight w:val="551" w:hRule="atLeast"/>
        </w:trPr>
        <w:tc>
          <w:tcPr>
            <w:tcW w:w="3939" w:type="dxa"/>
          </w:tcPr>
          <w:p>
            <w:pPr>
              <w:pStyle w:val="TableParagraph"/>
              <w:spacing w:line="268" w:lineRule="exact"/>
              <w:ind w:left="107"/>
              <w:rPr>
                <w:sz w:val="24"/>
              </w:rPr>
            </w:pPr>
            <w:r>
              <w:rPr>
                <w:sz w:val="24"/>
              </w:rPr>
              <w:t>(33)</w:t>
            </w:r>
            <w:r>
              <w:rPr>
                <w:spacing w:val="54"/>
                <w:sz w:val="24"/>
              </w:rPr>
              <w:t> </w:t>
            </w:r>
            <w:r>
              <w:rPr>
                <w:sz w:val="24"/>
              </w:rPr>
              <w:t>Yes,</w:t>
            </w:r>
            <w:r>
              <w:rPr>
                <w:spacing w:val="56"/>
                <w:sz w:val="24"/>
              </w:rPr>
              <w:t> </w:t>
            </w:r>
            <w:r>
              <w:rPr>
                <w:sz w:val="24"/>
              </w:rPr>
              <w:t>it</w:t>
            </w:r>
            <w:r>
              <w:rPr>
                <w:spacing w:val="58"/>
                <w:sz w:val="24"/>
              </w:rPr>
              <w:t> </w:t>
            </w:r>
            <w:r>
              <w:rPr>
                <w:sz w:val="24"/>
              </w:rPr>
              <w:t>has</w:t>
            </w:r>
            <w:r>
              <w:rPr>
                <w:spacing w:val="56"/>
                <w:sz w:val="24"/>
              </w:rPr>
              <w:t> </w:t>
            </w:r>
            <w:r>
              <w:rPr>
                <w:sz w:val="24"/>
              </w:rPr>
              <w:t>helped</w:t>
            </w:r>
            <w:r>
              <w:rPr>
                <w:spacing w:val="58"/>
                <w:sz w:val="24"/>
              </w:rPr>
              <w:t> </w:t>
            </w:r>
            <w:r>
              <w:rPr>
                <w:sz w:val="24"/>
              </w:rPr>
              <w:t>to</w:t>
            </w:r>
            <w:r>
              <w:rPr>
                <w:spacing w:val="57"/>
                <w:sz w:val="24"/>
              </w:rPr>
              <w:t> </w:t>
            </w:r>
            <w:r>
              <w:rPr>
                <w:spacing w:val="-2"/>
                <w:sz w:val="24"/>
              </w:rPr>
              <w:t>terminate</w:t>
            </w:r>
          </w:p>
          <w:p>
            <w:pPr>
              <w:pStyle w:val="TableParagraph"/>
              <w:spacing w:line="264" w:lineRule="exact"/>
              <w:ind w:left="107"/>
              <w:rPr>
                <w:sz w:val="24"/>
              </w:rPr>
            </w:pPr>
            <w:r>
              <w:rPr>
                <w:sz w:val="24"/>
              </w:rPr>
              <w:t>the</w:t>
            </w:r>
            <w:r>
              <w:rPr>
                <w:spacing w:val="-2"/>
                <w:sz w:val="24"/>
              </w:rPr>
              <w:t> </w:t>
            </w:r>
            <w:r>
              <w:rPr>
                <w:sz w:val="24"/>
              </w:rPr>
              <w:t>conflict</w:t>
            </w:r>
            <w:r>
              <w:rPr>
                <w:spacing w:val="-1"/>
                <w:sz w:val="24"/>
              </w:rPr>
              <w:t> </w:t>
            </w:r>
            <w:r>
              <w:rPr>
                <w:spacing w:val="-2"/>
                <w:sz w:val="24"/>
              </w:rPr>
              <w:t>totally</w:t>
            </w:r>
          </w:p>
        </w:tc>
        <w:tc>
          <w:tcPr>
            <w:tcW w:w="1047" w:type="dxa"/>
          </w:tcPr>
          <w:p>
            <w:pPr>
              <w:pStyle w:val="TableParagraph"/>
              <w:rPr>
                <w:sz w:val="24"/>
              </w:rPr>
            </w:pPr>
          </w:p>
        </w:tc>
        <w:tc>
          <w:tcPr>
            <w:tcW w:w="1008" w:type="dxa"/>
          </w:tcPr>
          <w:p>
            <w:pPr>
              <w:pStyle w:val="TableParagraph"/>
              <w:rPr>
                <w:sz w:val="24"/>
              </w:rPr>
            </w:pPr>
          </w:p>
        </w:tc>
        <w:tc>
          <w:tcPr>
            <w:tcW w:w="920" w:type="dxa"/>
          </w:tcPr>
          <w:p>
            <w:pPr>
              <w:pStyle w:val="TableParagraph"/>
              <w:rPr>
                <w:sz w:val="24"/>
              </w:rPr>
            </w:pPr>
          </w:p>
        </w:tc>
        <w:tc>
          <w:tcPr>
            <w:tcW w:w="1548" w:type="dxa"/>
          </w:tcPr>
          <w:p>
            <w:pPr>
              <w:pStyle w:val="TableParagraph"/>
              <w:rPr>
                <w:sz w:val="24"/>
              </w:rPr>
            </w:pPr>
          </w:p>
        </w:tc>
      </w:tr>
      <w:tr>
        <w:trPr>
          <w:trHeight w:val="830" w:hRule="atLeast"/>
        </w:trPr>
        <w:tc>
          <w:tcPr>
            <w:tcW w:w="3939" w:type="dxa"/>
          </w:tcPr>
          <w:p>
            <w:pPr>
              <w:pStyle w:val="TableParagraph"/>
              <w:ind w:left="107" w:right="95"/>
              <w:rPr>
                <w:sz w:val="24"/>
              </w:rPr>
            </w:pPr>
            <w:r>
              <w:rPr>
                <w:sz w:val="24"/>
              </w:rPr>
              <w:t>(34)</w:t>
            </w:r>
            <w:r>
              <w:rPr>
                <w:spacing w:val="-8"/>
                <w:sz w:val="24"/>
              </w:rPr>
              <w:t> </w:t>
            </w:r>
            <w:r>
              <w:rPr>
                <w:sz w:val="24"/>
              </w:rPr>
              <w:t>No,</w:t>
            </w:r>
            <w:r>
              <w:rPr>
                <w:spacing w:val="-6"/>
                <w:sz w:val="24"/>
              </w:rPr>
              <w:t> </w:t>
            </w:r>
            <w:r>
              <w:rPr>
                <w:sz w:val="24"/>
              </w:rPr>
              <w:t>the</w:t>
            </w:r>
            <w:r>
              <w:rPr>
                <w:spacing w:val="-5"/>
                <w:sz w:val="24"/>
              </w:rPr>
              <w:t> </w:t>
            </w:r>
            <w:r>
              <w:rPr>
                <w:sz w:val="24"/>
              </w:rPr>
              <w:t>aim</w:t>
            </w:r>
            <w:r>
              <w:rPr>
                <w:spacing w:val="-6"/>
                <w:sz w:val="24"/>
              </w:rPr>
              <w:t> </w:t>
            </w:r>
            <w:r>
              <w:rPr>
                <w:sz w:val="24"/>
              </w:rPr>
              <w:t>and</w:t>
            </w:r>
            <w:r>
              <w:rPr>
                <w:spacing w:val="-4"/>
                <w:sz w:val="24"/>
              </w:rPr>
              <w:t> </w:t>
            </w:r>
            <w:r>
              <w:rPr>
                <w:sz w:val="24"/>
              </w:rPr>
              <w:t>objectives</w:t>
            </w:r>
            <w:r>
              <w:rPr>
                <w:spacing w:val="-6"/>
                <w:sz w:val="24"/>
              </w:rPr>
              <w:t> </w:t>
            </w:r>
            <w:r>
              <w:rPr>
                <w:sz w:val="24"/>
              </w:rPr>
              <w:t>of</w:t>
            </w:r>
            <w:r>
              <w:rPr>
                <w:spacing w:val="-6"/>
                <w:sz w:val="24"/>
              </w:rPr>
              <w:t> </w:t>
            </w:r>
            <w:r>
              <w:rPr>
                <w:sz w:val="24"/>
              </w:rPr>
              <w:t>JTF have</w:t>
            </w:r>
            <w:r>
              <w:rPr>
                <w:spacing w:val="-2"/>
                <w:sz w:val="24"/>
              </w:rPr>
              <w:t> </w:t>
            </w:r>
            <w:r>
              <w:rPr>
                <w:sz w:val="24"/>
              </w:rPr>
              <w:t>not been</w:t>
            </w:r>
            <w:r>
              <w:rPr>
                <w:spacing w:val="2"/>
                <w:sz w:val="24"/>
              </w:rPr>
              <w:t> </w:t>
            </w:r>
            <w:r>
              <w:rPr>
                <w:sz w:val="24"/>
              </w:rPr>
              <w:t>achieved</w:t>
            </w:r>
            <w:r>
              <w:rPr>
                <w:spacing w:val="-1"/>
                <w:sz w:val="24"/>
              </w:rPr>
              <w:t> </w:t>
            </w:r>
            <w:r>
              <w:rPr>
                <w:sz w:val="24"/>
              </w:rPr>
              <w:t>because</w:t>
            </w:r>
            <w:r>
              <w:rPr>
                <w:spacing w:val="1"/>
                <w:sz w:val="24"/>
              </w:rPr>
              <w:t> </w:t>
            </w:r>
            <w:r>
              <w:rPr>
                <w:sz w:val="24"/>
              </w:rPr>
              <w:t>JTF</w:t>
            </w:r>
            <w:r>
              <w:rPr>
                <w:spacing w:val="-2"/>
                <w:sz w:val="24"/>
              </w:rPr>
              <w:t> </w:t>
            </w:r>
            <w:r>
              <w:rPr>
                <w:spacing w:val="-5"/>
                <w:sz w:val="24"/>
              </w:rPr>
              <w:t>i</w:t>
            </w:r>
            <w:r>
              <w:rPr>
                <w:spacing w:val="-5"/>
                <w:sz w:val="24"/>
              </w:rPr>
              <w:t>s</w:t>
            </w:r>
          </w:p>
          <w:p>
            <w:pPr>
              <w:pStyle w:val="TableParagraph"/>
              <w:spacing w:line="264" w:lineRule="exact"/>
              <w:ind w:left="107"/>
              <w:rPr>
                <w:sz w:val="24"/>
              </w:rPr>
            </w:pPr>
            <w:r>
              <w:rPr>
                <w:spacing w:val="-2"/>
                <w:sz w:val="24"/>
              </w:rPr>
              <w:t>partisan</w:t>
            </w:r>
          </w:p>
        </w:tc>
        <w:tc>
          <w:tcPr>
            <w:tcW w:w="1047" w:type="dxa"/>
          </w:tcPr>
          <w:p>
            <w:pPr>
              <w:pStyle w:val="TableParagraph"/>
              <w:rPr>
                <w:sz w:val="24"/>
              </w:rPr>
            </w:pPr>
          </w:p>
        </w:tc>
        <w:tc>
          <w:tcPr>
            <w:tcW w:w="1008" w:type="dxa"/>
          </w:tcPr>
          <w:p>
            <w:pPr>
              <w:pStyle w:val="TableParagraph"/>
              <w:rPr>
                <w:sz w:val="24"/>
              </w:rPr>
            </w:pPr>
          </w:p>
        </w:tc>
        <w:tc>
          <w:tcPr>
            <w:tcW w:w="920" w:type="dxa"/>
          </w:tcPr>
          <w:p>
            <w:pPr>
              <w:pStyle w:val="TableParagraph"/>
              <w:rPr>
                <w:sz w:val="24"/>
              </w:rPr>
            </w:pPr>
          </w:p>
        </w:tc>
        <w:tc>
          <w:tcPr>
            <w:tcW w:w="1548" w:type="dxa"/>
          </w:tcPr>
          <w:p>
            <w:pPr>
              <w:pStyle w:val="TableParagraph"/>
              <w:rPr>
                <w:sz w:val="24"/>
              </w:rPr>
            </w:pPr>
          </w:p>
        </w:tc>
      </w:tr>
      <w:tr>
        <w:trPr>
          <w:trHeight w:val="551" w:hRule="atLeast"/>
        </w:trPr>
        <w:tc>
          <w:tcPr>
            <w:tcW w:w="3939" w:type="dxa"/>
          </w:tcPr>
          <w:p>
            <w:pPr>
              <w:pStyle w:val="TableParagraph"/>
              <w:spacing w:line="268" w:lineRule="exact"/>
              <w:ind w:left="107"/>
              <w:rPr>
                <w:sz w:val="24"/>
              </w:rPr>
            </w:pPr>
            <w:r>
              <w:rPr>
                <w:sz w:val="24"/>
              </w:rPr>
              <w:t>(35)</w:t>
            </w:r>
            <w:r>
              <w:rPr>
                <w:spacing w:val="20"/>
                <w:sz w:val="24"/>
              </w:rPr>
              <w:t> </w:t>
            </w:r>
            <w:r>
              <w:rPr>
                <w:sz w:val="24"/>
              </w:rPr>
              <w:t>Forceful</w:t>
            </w:r>
            <w:r>
              <w:rPr>
                <w:spacing w:val="21"/>
                <w:sz w:val="24"/>
              </w:rPr>
              <w:t> </w:t>
            </w:r>
            <w:r>
              <w:rPr>
                <w:sz w:val="24"/>
              </w:rPr>
              <w:t>combat</w:t>
            </w:r>
            <w:r>
              <w:rPr>
                <w:spacing w:val="23"/>
                <w:sz w:val="24"/>
              </w:rPr>
              <w:t> </w:t>
            </w:r>
            <w:r>
              <w:rPr>
                <w:sz w:val="24"/>
              </w:rPr>
              <w:t>operation</w:t>
            </w:r>
            <w:r>
              <w:rPr>
                <w:spacing w:val="21"/>
                <w:sz w:val="24"/>
              </w:rPr>
              <w:t> </w:t>
            </w:r>
            <w:r>
              <w:rPr>
                <w:sz w:val="24"/>
              </w:rPr>
              <w:t>was</w:t>
            </w:r>
            <w:r>
              <w:rPr>
                <w:spacing w:val="23"/>
                <w:sz w:val="24"/>
              </w:rPr>
              <w:t> </w:t>
            </w:r>
            <w:r>
              <w:rPr>
                <w:spacing w:val="-10"/>
                <w:sz w:val="24"/>
              </w:rPr>
              <w:t>a</w:t>
            </w:r>
          </w:p>
          <w:p>
            <w:pPr>
              <w:pStyle w:val="TableParagraph"/>
              <w:spacing w:line="264" w:lineRule="exact"/>
              <w:ind w:left="107"/>
              <w:rPr>
                <w:sz w:val="24"/>
              </w:rPr>
            </w:pPr>
            <w:r>
              <w:rPr>
                <w:sz w:val="24"/>
              </w:rPr>
              <w:t>total</w:t>
            </w:r>
            <w:r>
              <w:rPr>
                <w:spacing w:val="-1"/>
                <w:sz w:val="24"/>
              </w:rPr>
              <w:t> </w:t>
            </w:r>
            <w:r>
              <w:rPr>
                <w:sz w:val="24"/>
              </w:rPr>
              <w:t>wrong</w:t>
            </w:r>
            <w:r>
              <w:rPr>
                <w:spacing w:val="-1"/>
                <w:sz w:val="24"/>
              </w:rPr>
              <w:t> </w:t>
            </w:r>
            <w:r>
              <w:rPr>
                <w:spacing w:val="-2"/>
                <w:sz w:val="24"/>
              </w:rPr>
              <w:t>approach</w:t>
            </w:r>
          </w:p>
        </w:tc>
        <w:tc>
          <w:tcPr>
            <w:tcW w:w="1047" w:type="dxa"/>
          </w:tcPr>
          <w:p>
            <w:pPr>
              <w:pStyle w:val="TableParagraph"/>
              <w:rPr>
                <w:sz w:val="24"/>
              </w:rPr>
            </w:pPr>
          </w:p>
        </w:tc>
        <w:tc>
          <w:tcPr>
            <w:tcW w:w="1008" w:type="dxa"/>
          </w:tcPr>
          <w:p>
            <w:pPr>
              <w:pStyle w:val="TableParagraph"/>
              <w:rPr>
                <w:sz w:val="24"/>
              </w:rPr>
            </w:pPr>
          </w:p>
        </w:tc>
        <w:tc>
          <w:tcPr>
            <w:tcW w:w="920" w:type="dxa"/>
          </w:tcPr>
          <w:p>
            <w:pPr>
              <w:pStyle w:val="TableParagraph"/>
              <w:rPr>
                <w:sz w:val="24"/>
              </w:rPr>
            </w:pPr>
          </w:p>
        </w:tc>
        <w:tc>
          <w:tcPr>
            <w:tcW w:w="1548" w:type="dxa"/>
          </w:tcPr>
          <w:p>
            <w:pPr>
              <w:pStyle w:val="TableParagraph"/>
              <w:rPr>
                <w:sz w:val="24"/>
              </w:rPr>
            </w:pPr>
          </w:p>
        </w:tc>
      </w:tr>
    </w:tbl>
    <w:p>
      <w:pPr>
        <w:pStyle w:val="BodyText"/>
        <w:spacing w:before="270" w:after="8"/>
      </w:pPr>
      <w:r>
        <w:rPr/>
        <w:t>RQ</w:t>
      </w:r>
      <w:r>
        <w:rPr>
          <w:spacing w:val="-1"/>
        </w:rPr>
        <w:t> </w:t>
      </w:r>
      <w:r>
        <w:rPr/>
        <w:t>10</w:t>
      </w:r>
      <w:r>
        <w:rPr>
          <w:spacing w:val="-1"/>
        </w:rPr>
        <w:t> </w:t>
      </w:r>
      <w:r>
        <w:rPr/>
        <w:t>How</w:t>
      </w:r>
      <w:r>
        <w:rPr>
          <w:spacing w:val="-1"/>
        </w:rPr>
        <w:t> </w:t>
      </w:r>
      <w:r>
        <w:rPr/>
        <w:t>do</w:t>
      </w:r>
      <w:r>
        <w:rPr>
          <w:spacing w:val="-1"/>
        </w:rPr>
        <w:t> </w:t>
      </w:r>
      <w:r>
        <w:rPr/>
        <w:t>active</w:t>
      </w:r>
      <w:r>
        <w:rPr>
          <w:spacing w:val="-2"/>
        </w:rPr>
        <w:t> </w:t>
      </w:r>
      <w:r>
        <w:rPr/>
        <w:t>Niger</w:t>
      </w:r>
      <w:r>
        <w:rPr>
          <w:spacing w:val="-1"/>
        </w:rPr>
        <w:t> </w:t>
      </w:r>
      <w:r>
        <w:rPr/>
        <w:t>Delta</w:t>
      </w:r>
      <w:r>
        <w:rPr>
          <w:spacing w:val="1"/>
        </w:rPr>
        <w:t> </w:t>
      </w:r>
      <w:r>
        <w:rPr/>
        <w:t>youths</w:t>
      </w:r>
      <w:r>
        <w:rPr>
          <w:spacing w:val="-1"/>
        </w:rPr>
        <w:t> </w:t>
      </w:r>
      <w:r>
        <w:rPr/>
        <w:t>perceive</w:t>
      </w:r>
      <w:r>
        <w:rPr>
          <w:spacing w:val="-2"/>
        </w:rPr>
        <w:t> </w:t>
      </w:r>
      <w:r>
        <w:rPr/>
        <w:t>the</w:t>
      </w:r>
      <w:r>
        <w:rPr>
          <w:spacing w:val="-1"/>
        </w:rPr>
        <w:t> </w:t>
      </w:r>
      <w:r>
        <w:rPr/>
        <w:t>JTF</w:t>
      </w:r>
      <w:r>
        <w:rPr>
          <w:spacing w:val="-2"/>
        </w:rPr>
        <w:t> operation?</w:t>
      </w:r>
    </w:p>
    <w:tbl>
      <w:tblPr>
        <w:tblW w:w="0" w:type="auto"/>
        <w:jc w:val="left"/>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69"/>
        <w:gridCol w:w="1081"/>
        <w:gridCol w:w="901"/>
        <w:gridCol w:w="902"/>
        <w:gridCol w:w="1578"/>
      </w:tblGrid>
      <w:tr>
        <w:trPr>
          <w:trHeight w:val="276" w:hRule="atLeast"/>
        </w:trPr>
        <w:tc>
          <w:tcPr>
            <w:tcW w:w="4069" w:type="dxa"/>
          </w:tcPr>
          <w:p>
            <w:pPr>
              <w:pStyle w:val="TableParagraph"/>
              <w:rPr>
                <w:sz w:val="20"/>
              </w:rPr>
            </w:pPr>
          </w:p>
        </w:tc>
        <w:tc>
          <w:tcPr>
            <w:tcW w:w="1081" w:type="dxa"/>
          </w:tcPr>
          <w:p>
            <w:pPr>
              <w:pStyle w:val="TableParagraph"/>
              <w:spacing w:line="256" w:lineRule="exact"/>
              <w:ind w:left="107"/>
              <w:rPr>
                <w:b/>
                <w:sz w:val="24"/>
              </w:rPr>
            </w:pPr>
            <w:r>
              <w:rPr>
                <w:b/>
                <w:spacing w:val="-5"/>
                <w:sz w:val="24"/>
              </w:rPr>
              <w:t>SA</w:t>
            </w:r>
          </w:p>
        </w:tc>
        <w:tc>
          <w:tcPr>
            <w:tcW w:w="901" w:type="dxa"/>
          </w:tcPr>
          <w:p>
            <w:pPr>
              <w:pStyle w:val="TableParagraph"/>
              <w:spacing w:line="256" w:lineRule="exact"/>
              <w:ind w:left="106"/>
              <w:rPr>
                <w:b/>
                <w:sz w:val="24"/>
              </w:rPr>
            </w:pPr>
            <w:r>
              <w:rPr>
                <w:b/>
                <w:spacing w:val="-10"/>
                <w:sz w:val="24"/>
              </w:rPr>
              <w:t>A</w:t>
            </w:r>
          </w:p>
        </w:tc>
        <w:tc>
          <w:tcPr>
            <w:tcW w:w="902" w:type="dxa"/>
          </w:tcPr>
          <w:p>
            <w:pPr>
              <w:pStyle w:val="TableParagraph"/>
              <w:spacing w:line="256" w:lineRule="exact"/>
              <w:ind w:left="105"/>
              <w:rPr>
                <w:b/>
                <w:sz w:val="24"/>
              </w:rPr>
            </w:pPr>
            <w:r>
              <w:rPr>
                <w:b/>
                <w:spacing w:val="-5"/>
                <w:sz w:val="24"/>
              </w:rPr>
              <w:t>SD</w:t>
            </w:r>
          </w:p>
        </w:tc>
        <w:tc>
          <w:tcPr>
            <w:tcW w:w="1578" w:type="dxa"/>
          </w:tcPr>
          <w:p>
            <w:pPr>
              <w:pStyle w:val="TableParagraph"/>
              <w:spacing w:line="256" w:lineRule="exact"/>
              <w:ind w:left="104"/>
              <w:rPr>
                <w:b/>
                <w:sz w:val="24"/>
              </w:rPr>
            </w:pPr>
            <w:r>
              <w:rPr>
                <w:b/>
                <w:spacing w:val="-10"/>
                <w:sz w:val="24"/>
              </w:rPr>
              <w:t>D</w:t>
            </w:r>
          </w:p>
        </w:tc>
      </w:tr>
      <w:tr>
        <w:trPr>
          <w:trHeight w:val="551" w:hRule="atLeast"/>
        </w:trPr>
        <w:tc>
          <w:tcPr>
            <w:tcW w:w="4069" w:type="dxa"/>
          </w:tcPr>
          <w:p>
            <w:pPr>
              <w:pStyle w:val="TableParagraph"/>
              <w:tabs>
                <w:tab w:pos="815" w:val="left" w:leader="none"/>
                <w:tab w:pos="1300" w:val="left" w:leader="none"/>
                <w:tab w:pos="2928" w:val="left" w:leader="none"/>
                <w:tab w:pos="3756" w:val="left" w:leader="none"/>
              </w:tabs>
              <w:spacing w:line="268" w:lineRule="exact"/>
              <w:ind w:left="107"/>
              <w:rPr>
                <w:sz w:val="24"/>
              </w:rPr>
            </w:pPr>
            <w:r>
              <w:rPr>
                <w:spacing w:val="-4"/>
                <w:sz w:val="24"/>
              </w:rPr>
              <w:t>(36)</w:t>
            </w:r>
            <w:r>
              <w:rPr>
                <w:sz w:val="24"/>
              </w:rPr>
              <w:tab/>
            </w:r>
            <w:r>
              <w:rPr>
                <w:spacing w:val="-10"/>
                <w:sz w:val="24"/>
              </w:rPr>
              <w:t>A</w:t>
            </w:r>
            <w:r>
              <w:rPr>
                <w:sz w:val="24"/>
              </w:rPr>
              <w:tab/>
            </w:r>
            <w:r>
              <w:rPr>
                <w:spacing w:val="-2"/>
                <w:sz w:val="24"/>
              </w:rPr>
              <w:t>governmental</w:t>
            </w:r>
            <w:r>
              <w:rPr>
                <w:sz w:val="24"/>
              </w:rPr>
              <w:tab/>
            </w:r>
            <w:r>
              <w:rPr>
                <w:spacing w:val="-4"/>
                <w:sz w:val="24"/>
              </w:rPr>
              <w:t>agent</w:t>
            </w:r>
            <w:r>
              <w:rPr>
                <w:sz w:val="24"/>
              </w:rPr>
              <w:tab/>
            </w:r>
            <w:r>
              <w:rPr>
                <w:spacing w:val="-5"/>
                <w:sz w:val="24"/>
              </w:rPr>
              <w:t>of</w:t>
            </w:r>
          </w:p>
          <w:p>
            <w:pPr>
              <w:pStyle w:val="TableParagraph"/>
              <w:spacing w:line="264" w:lineRule="exact"/>
              <w:ind w:left="107"/>
              <w:rPr>
                <w:sz w:val="24"/>
              </w:rPr>
            </w:pPr>
            <w:r>
              <w:rPr>
                <w:sz w:val="24"/>
              </w:rPr>
              <w:t>oppression</w:t>
            </w:r>
            <w:r>
              <w:rPr>
                <w:spacing w:val="-2"/>
                <w:sz w:val="24"/>
              </w:rPr>
              <w:t> </w:t>
            </w:r>
            <w:r>
              <w:rPr>
                <w:sz w:val="24"/>
              </w:rPr>
              <w:t>and</w:t>
            </w:r>
            <w:r>
              <w:rPr>
                <w:spacing w:val="-1"/>
                <w:sz w:val="24"/>
              </w:rPr>
              <w:t> </w:t>
            </w:r>
            <w:r>
              <w:rPr>
                <w:spacing w:val="-2"/>
                <w:sz w:val="24"/>
              </w:rPr>
              <w:t>tyranny</w:t>
            </w:r>
          </w:p>
        </w:tc>
        <w:tc>
          <w:tcPr>
            <w:tcW w:w="1081" w:type="dxa"/>
          </w:tcPr>
          <w:p>
            <w:pPr>
              <w:pStyle w:val="TableParagraph"/>
              <w:rPr>
                <w:sz w:val="24"/>
              </w:rPr>
            </w:pPr>
          </w:p>
        </w:tc>
        <w:tc>
          <w:tcPr>
            <w:tcW w:w="901" w:type="dxa"/>
          </w:tcPr>
          <w:p>
            <w:pPr>
              <w:pStyle w:val="TableParagraph"/>
              <w:rPr>
                <w:sz w:val="24"/>
              </w:rPr>
            </w:pPr>
          </w:p>
        </w:tc>
        <w:tc>
          <w:tcPr>
            <w:tcW w:w="902" w:type="dxa"/>
          </w:tcPr>
          <w:p>
            <w:pPr>
              <w:pStyle w:val="TableParagraph"/>
              <w:rPr>
                <w:sz w:val="24"/>
              </w:rPr>
            </w:pPr>
          </w:p>
        </w:tc>
        <w:tc>
          <w:tcPr>
            <w:tcW w:w="1578" w:type="dxa"/>
          </w:tcPr>
          <w:p>
            <w:pPr>
              <w:pStyle w:val="TableParagraph"/>
              <w:rPr>
                <w:sz w:val="24"/>
              </w:rPr>
            </w:pPr>
          </w:p>
        </w:tc>
      </w:tr>
      <w:tr>
        <w:trPr>
          <w:trHeight w:val="551" w:hRule="atLeast"/>
        </w:trPr>
        <w:tc>
          <w:tcPr>
            <w:tcW w:w="4069" w:type="dxa"/>
          </w:tcPr>
          <w:p>
            <w:pPr>
              <w:pStyle w:val="TableParagraph"/>
              <w:spacing w:line="268" w:lineRule="exact"/>
              <w:ind w:left="107"/>
              <w:rPr>
                <w:sz w:val="24"/>
              </w:rPr>
            </w:pPr>
            <w:r>
              <w:rPr>
                <w:sz w:val="24"/>
              </w:rPr>
              <w:t>(37)</w:t>
            </w:r>
            <w:r>
              <w:rPr>
                <w:spacing w:val="76"/>
                <w:w w:val="150"/>
                <w:sz w:val="24"/>
              </w:rPr>
              <w:t> </w:t>
            </w:r>
            <w:r>
              <w:rPr>
                <w:sz w:val="24"/>
              </w:rPr>
              <w:t>Enemy</w:t>
            </w:r>
            <w:r>
              <w:rPr>
                <w:spacing w:val="72"/>
                <w:w w:val="150"/>
                <w:sz w:val="24"/>
              </w:rPr>
              <w:t> </w:t>
            </w:r>
            <w:r>
              <w:rPr>
                <w:sz w:val="24"/>
              </w:rPr>
              <w:t>of</w:t>
            </w:r>
            <w:r>
              <w:rPr>
                <w:spacing w:val="78"/>
                <w:w w:val="150"/>
                <w:sz w:val="24"/>
              </w:rPr>
              <w:t> </w:t>
            </w:r>
            <w:r>
              <w:rPr>
                <w:sz w:val="24"/>
              </w:rPr>
              <w:t>their</w:t>
            </w:r>
            <w:r>
              <w:rPr>
                <w:spacing w:val="79"/>
                <w:w w:val="150"/>
                <w:sz w:val="24"/>
              </w:rPr>
              <w:t> </w:t>
            </w:r>
            <w:r>
              <w:rPr>
                <w:sz w:val="24"/>
              </w:rPr>
              <w:t>ambitions</w:t>
            </w:r>
            <w:r>
              <w:rPr>
                <w:spacing w:val="79"/>
                <w:w w:val="150"/>
                <w:sz w:val="24"/>
              </w:rPr>
              <w:t> </w:t>
            </w:r>
            <w:r>
              <w:rPr>
                <w:spacing w:val="-5"/>
                <w:sz w:val="24"/>
              </w:rPr>
              <w:t>and</w:t>
            </w:r>
          </w:p>
          <w:p>
            <w:pPr>
              <w:pStyle w:val="TableParagraph"/>
              <w:spacing w:line="264" w:lineRule="exact"/>
              <w:ind w:left="107"/>
              <w:rPr>
                <w:sz w:val="24"/>
              </w:rPr>
            </w:pPr>
            <w:r>
              <w:rPr>
                <w:spacing w:val="-2"/>
                <w:sz w:val="24"/>
              </w:rPr>
              <w:t>struggles</w:t>
            </w:r>
          </w:p>
        </w:tc>
        <w:tc>
          <w:tcPr>
            <w:tcW w:w="1081" w:type="dxa"/>
          </w:tcPr>
          <w:p>
            <w:pPr>
              <w:pStyle w:val="TableParagraph"/>
              <w:rPr>
                <w:sz w:val="24"/>
              </w:rPr>
            </w:pPr>
          </w:p>
        </w:tc>
        <w:tc>
          <w:tcPr>
            <w:tcW w:w="901" w:type="dxa"/>
          </w:tcPr>
          <w:p>
            <w:pPr>
              <w:pStyle w:val="TableParagraph"/>
              <w:rPr>
                <w:sz w:val="24"/>
              </w:rPr>
            </w:pPr>
          </w:p>
        </w:tc>
        <w:tc>
          <w:tcPr>
            <w:tcW w:w="902" w:type="dxa"/>
          </w:tcPr>
          <w:p>
            <w:pPr>
              <w:pStyle w:val="TableParagraph"/>
              <w:rPr>
                <w:sz w:val="24"/>
              </w:rPr>
            </w:pPr>
          </w:p>
        </w:tc>
        <w:tc>
          <w:tcPr>
            <w:tcW w:w="1578" w:type="dxa"/>
          </w:tcPr>
          <w:p>
            <w:pPr>
              <w:pStyle w:val="TableParagraph"/>
              <w:rPr>
                <w:sz w:val="24"/>
              </w:rPr>
            </w:pPr>
          </w:p>
        </w:tc>
      </w:tr>
      <w:tr>
        <w:trPr>
          <w:trHeight w:val="275" w:hRule="atLeast"/>
        </w:trPr>
        <w:tc>
          <w:tcPr>
            <w:tcW w:w="4069" w:type="dxa"/>
          </w:tcPr>
          <w:p>
            <w:pPr>
              <w:pStyle w:val="TableParagraph"/>
              <w:spacing w:line="256" w:lineRule="exact"/>
              <w:ind w:left="107"/>
              <w:rPr>
                <w:sz w:val="24"/>
              </w:rPr>
            </w:pPr>
            <w:r>
              <w:rPr>
                <w:sz w:val="24"/>
              </w:rPr>
              <w:t>(38)</w:t>
            </w:r>
            <w:r>
              <w:rPr>
                <w:spacing w:val="-3"/>
                <w:sz w:val="24"/>
              </w:rPr>
              <w:t> </w:t>
            </w:r>
            <w:r>
              <w:rPr>
                <w:sz w:val="24"/>
              </w:rPr>
              <w:t>A peacekeeping</w:t>
            </w:r>
            <w:r>
              <w:rPr>
                <w:spacing w:val="-3"/>
                <w:sz w:val="24"/>
              </w:rPr>
              <w:t> </w:t>
            </w:r>
            <w:r>
              <w:rPr>
                <w:spacing w:val="-4"/>
                <w:sz w:val="24"/>
              </w:rPr>
              <w:t>agent</w:t>
            </w:r>
          </w:p>
        </w:tc>
        <w:tc>
          <w:tcPr>
            <w:tcW w:w="1081" w:type="dxa"/>
          </w:tcPr>
          <w:p>
            <w:pPr>
              <w:pStyle w:val="TableParagraph"/>
              <w:rPr>
                <w:sz w:val="20"/>
              </w:rPr>
            </w:pPr>
          </w:p>
        </w:tc>
        <w:tc>
          <w:tcPr>
            <w:tcW w:w="901" w:type="dxa"/>
          </w:tcPr>
          <w:p>
            <w:pPr>
              <w:pStyle w:val="TableParagraph"/>
              <w:rPr>
                <w:sz w:val="20"/>
              </w:rPr>
            </w:pPr>
          </w:p>
        </w:tc>
        <w:tc>
          <w:tcPr>
            <w:tcW w:w="902" w:type="dxa"/>
          </w:tcPr>
          <w:p>
            <w:pPr>
              <w:pStyle w:val="TableParagraph"/>
              <w:rPr>
                <w:sz w:val="20"/>
              </w:rPr>
            </w:pPr>
          </w:p>
        </w:tc>
        <w:tc>
          <w:tcPr>
            <w:tcW w:w="1578" w:type="dxa"/>
          </w:tcPr>
          <w:p>
            <w:pPr>
              <w:pStyle w:val="TableParagraph"/>
              <w:rPr>
                <w:sz w:val="20"/>
              </w:rPr>
            </w:pPr>
          </w:p>
        </w:tc>
      </w:tr>
      <w:tr>
        <w:trPr>
          <w:trHeight w:val="554" w:hRule="atLeast"/>
        </w:trPr>
        <w:tc>
          <w:tcPr>
            <w:tcW w:w="4069" w:type="dxa"/>
          </w:tcPr>
          <w:p>
            <w:pPr>
              <w:pStyle w:val="TableParagraph"/>
              <w:spacing w:line="270" w:lineRule="exact"/>
              <w:ind w:left="107"/>
              <w:rPr>
                <w:sz w:val="24"/>
              </w:rPr>
            </w:pPr>
            <w:r>
              <w:rPr>
                <w:sz w:val="24"/>
              </w:rPr>
              <w:t>(39)</w:t>
            </w:r>
            <w:r>
              <w:rPr>
                <w:spacing w:val="26"/>
                <w:sz w:val="24"/>
              </w:rPr>
              <w:t>  </w:t>
            </w:r>
            <w:r>
              <w:rPr>
                <w:sz w:val="24"/>
              </w:rPr>
              <w:t>As</w:t>
            </w:r>
            <w:r>
              <w:rPr>
                <w:spacing w:val="27"/>
                <w:sz w:val="24"/>
              </w:rPr>
              <w:t>  </w:t>
            </w:r>
            <w:r>
              <w:rPr>
                <w:sz w:val="24"/>
              </w:rPr>
              <w:t>opportunists</w:t>
            </w:r>
            <w:r>
              <w:rPr>
                <w:spacing w:val="28"/>
                <w:sz w:val="24"/>
              </w:rPr>
              <w:t>  </w:t>
            </w:r>
            <w:r>
              <w:rPr>
                <w:sz w:val="24"/>
              </w:rPr>
              <w:t>who</w:t>
            </w:r>
            <w:r>
              <w:rPr>
                <w:spacing w:val="28"/>
                <w:sz w:val="24"/>
              </w:rPr>
              <w:t>  </w:t>
            </w:r>
            <w:r>
              <w:rPr>
                <w:sz w:val="24"/>
              </w:rPr>
              <w:t>come</w:t>
            </w:r>
            <w:r>
              <w:rPr>
                <w:spacing w:val="27"/>
                <w:sz w:val="24"/>
              </w:rPr>
              <w:t>  </w:t>
            </w:r>
            <w:r>
              <w:rPr>
                <w:spacing w:val="-5"/>
                <w:sz w:val="24"/>
              </w:rPr>
              <w:t>to</w:t>
            </w:r>
          </w:p>
          <w:p>
            <w:pPr>
              <w:pStyle w:val="TableParagraph"/>
              <w:spacing w:line="264" w:lineRule="exact"/>
              <w:ind w:left="107"/>
              <w:rPr>
                <w:sz w:val="24"/>
              </w:rPr>
            </w:pPr>
            <w:r>
              <w:rPr>
                <w:sz w:val="24"/>
              </w:rPr>
              <w:t>make</w:t>
            </w:r>
            <w:r>
              <w:rPr>
                <w:spacing w:val="-4"/>
                <w:sz w:val="24"/>
              </w:rPr>
              <w:t> </w:t>
            </w:r>
            <w:r>
              <w:rPr>
                <w:spacing w:val="-2"/>
                <w:sz w:val="24"/>
              </w:rPr>
              <w:t>fortune</w:t>
            </w:r>
          </w:p>
        </w:tc>
        <w:tc>
          <w:tcPr>
            <w:tcW w:w="1081" w:type="dxa"/>
          </w:tcPr>
          <w:p>
            <w:pPr>
              <w:pStyle w:val="TableParagraph"/>
              <w:rPr>
                <w:sz w:val="24"/>
              </w:rPr>
            </w:pPr>
          </w:p>
        </w:tc>
        <w:tc>
          <w:tcPr>
            <w:tcW w:w="901" w:type="dxa"/>
          </w:tcPr>
          <w:p>
            <w:pPr>
              <w:pStyle w:val="TableParagraph"/>
              <w:rPr>
                <w:sz w:val="24"/>
              </w:rPr>
            </w:pPr>
          </w:p>
        </w:tc>
        <w:tc>
          <w:tcPr>
            <w:tcW w:w="902" w:type="dxa"/>
          </w:tcPr>
          <w:p>
            <w:pPr>
              <w:pStyle w:val="TableParagraph"/>
              <w:rPr>
                <w:sz w:val="24"/>
              </w:rPr>
            </w:pPr>
          </w:p>
        </w:tc>
        <w:tc>
          <w:tcPr>
            <w:tcW w:w="1578" w:type="dxa"/>
          </w:tcPr>
          <w:p>
            <w:pPr>
              <w:pStyle w:val="TableParagraph"/>
              <w:rPr>
                <w:sz w:val="24"/>
              </w:rPr>
            </w:pPr>
          </w:p>
        </w:tc>
      </w:tr>
    </w:tbl>
    <w:p>
      <w:pPr>
        <w:pStyle w:val="BodyText"/>
        <w:spacing w:before="269" w:after="9"/>
      </w:pPr>
      <w:r>
        <w:rPr/>
        <w:t>RQ11</w:t>
      </w:r>
      <w:r>
        <w:rPr>
          <w:spacing w:val="-4"/>
        </w:rPr>
        <w:t> </w:t>
      </w:r>
      <w:r>
        <w:rPr/>
        <w:t>How</w:t>
      </w:r>
      <w:r>
        <w:rPr>
          <w:spacing w:val="-5"/>
        </w:rPr>
        <w:t> </w:t>
      </w:r>
      <w:r>
        <w:rPr/>
        <w:t>do</w:t>
      </w:r>
      <w:r>
        <w:rPr>
          <w:spacing w:val="-3"/>
        </w:rPr>
        <w:t> </w:t>
      </w:r>
      <w:r>
        <w:rPr/>
        <w:t>the</w:t>
      </w:r>
      <w:r>
        <w:rPr>
          <w:spacing w:val="-5"/>
        </w:rPr>
        <w:t> </w:t>
      </w:r>
      <w:r>
        <w:rPr/>
        <w:t>Niger</w:t>
      </w:r>
      <w:r>
        <w:rPr>
          <w:spacing w:val="-3"/>
        </w:rPr>
        <w:t> </w:t>
      </w:r>
      <w:r>
        <w:rPr/>
        <w:t>Delta</w:t>
      </w:r>
      <w:r>
        <w:rPr>
          <w:spacing w:val="-4"/>
        </w:rPr>
        <w:t> </w:t>
      </w:r>
      <w:r>
        <w:rPr/>
        <w:t>NGO‟s</w:t>
      </w:r>
      <w:r>
        <w:rPr>
          <w:spacing w:val="-5"/>
        </w:rPr>
        <w:t> </w:t>
      </w:r>
      <w:r>
        <w:rPr/>
        <w:t>perceive</w:t>
      </w:r>
      <w:r>
        <w:rPr>
          <w:spacing w:val="-3"/>
        </w:rPr>
        <w:t> </w:t>
      </w:r>
      <w:r>
        <w:rPr/>
        <w:t>the</w:t>
      </w:r>
      <w:r>
        <w:rPr>
          <w:spacing w:val="-5"/>
        </w:rPr>
        <w:t> </w:t>
      </w:r>
      <w:r>
        <w:rPr/>
        <w:t>JTF</w:t>
      </w:r>
      <w:r>
        <w:rPr>
          <w:spacing w:val="-5"/>
        </w:rPr>
        <w:t> </w:t>
      </w:r>
      <w:r>
        <w:rPr>
          <w:spacing w:val="-2"/>
        </w:rPr>
        <w:t>intervention?</w:t>
      </w:r>
    </w:p>
    <w:tbl>
      <w:tblPr>
        <w:tblW w:w="0" w:type="auto"/>
        <w:jc w:val="left"/>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69"/>
        <w:gridCol w:w="1081"/>
        <w:gridCol w:w="901"/>
        <w:gridCol w:w="902"/>
        <w:gridCol w:w="1578"/>
      </w:tblGrid>
      <w:tr>
        <w:trPr>
          <w:trHeight w:val="275" w:hRule="atLeast"/>
        </w:trPr>
        <w:tc>
          <w:tcPr>
            <w:tcW w:w="4069" w:type="dxa"/>
          </w:tcPr>
          <w:p>
            <w:pPr>
              <w:pStyle w:val="TableParagraph"/>
              <w:spacing w:line="256" w:lineRule="exact"/>
              <w:ind w:left="107"/>
              <w:rPr>
                <w:sz w:val="24"/>
              </w:rPr>
            </w:pPr>
            <w:r>
              <w:rPr>
                <w:sz w:val="24"/>
              </w:rPr>
              <w:t>Multi-</w:t>
            </w:r>
            <w:r>
              <w:rPr>
                <w:spacing w:val="-2"/>
                <w:sz w:val="24"/>
              </w:rPr>
              <w:t>dimensional</w:t>
            </w:r>
          </w:p>
        </w:tc>
        <w:tc>
          <w:tcPr>
            <w:tcW w:w="1081" w:type="dxa"/>
          </w:tcPr>
          <w:p>
            <w:pPr>
              <w:pStyle w:val="TableParagraph"/>
              <w:spacing w:line="256" w:lineRule="exact"/>
              <w:ind w:left="107"/>
              <w:rPr>
                <w:b/>
                <w:sz w:val="24"/>
              </w:rPr>
            </w:pPr>
            <w:r>
              <w:rPr>
                <w:b/>
                <w:spacing w:val="-5"/>
                <w:sz w:val="24"/>
              </w:rPr>
              <w:t>SA</w:t>
            </w:r>
          </w:p>
        </w:tc>
        <w:tc>
          <w:tcPr>
            <w:tcW w:w="901" w:type="dxa"/>
          </w:tcPr>
          <w:p>
            <w:pPr>
              <w:pStyle w:val="TableParagraph"/>
              <w:spacing w:line="256" w:lineRule="exact"/>
              <w:ind w:left="106"/>
              <w:rPr>
                <w:b/>
                <w:sz w:val="24"/>
              </w:rPr>
            </w:pPr>
            <w:r>
              <w:rPr>
                <w:b/>
                <w:spacing w:val="-10"/>
                <w:sz w:val="24"/>
              </w:rPr>
              <w:t>A</w:t>
            </w:r>
          </w:p>
        </w:tc>
        <w:tc>
          <w:tcPr>
            <w:tcW w:w="902" w:type="dxa"/>
          </w:tcPr>
          <w:p>
            <w:pPr>
              <w:pStyle w:val="TableParagraph"/>
              <w:spacing w:line="256" w:lineRule="exact"/>
              <w:ind w:left="105"/>
              <w:rPr>
                <w:b/>
                <w:sz w:val="24"/>
              </w:rPr>
            </w:pPr>
            <w:r>
              <w:rPr>
                <w:b/>
                <w:spacing w:val="-5"/>
                <w:sz w:val="24"/>
              </w:rPr>
              <w:t>SD</w:t>
            </w:r>
          </w:p>
        </w:tc>
        <w:tc>
          <w:tcPr>
            <w:tcW w:w="1578" w:type="dxa"/>
          </w:tcPr>
          <w:p>
            <w:pPr>
              <w:pStyle w:val="TableParagraph"/>
              <w:spacing w:line="256" w:lineRule="exact"/>
              <w:ind w:left="104"/>
              <w:rPr>
                <w:b/>
                <w:sz w:val="24"/>
              </w:rPr>
            </w:pPr>
            <w:r>
              <w:rPr>
                <w:b/>
                <w:spacing w:val="-10"/>
                <w:sz w:val="24"/>
              </w:rPr>
              <w:t>D</w:t>
            </w:r>
          </w:p>
        </w:tc>
      </w:tr>
      <w:tr>
        <w:trPr>
          <w:trHeight w:val="275" w:hRule="atLeast"/>
        </w:trPr>
        <w:tc>
          <w:tcPr>
            <w:tcW w:w="4069" w:type="dxa"/>
          </w:tcPr>
          <w:p>
            <w:pPr>
              <w:pStyle w:val="TableParagraph"/>
              <w:spacing w:line="256" w:lineRule="exact"/>
              <w:ind w:left="107"/>
              <w:rPr>
                <w:sz w:val="24"/>
              </w:rPr>
            </w:pPr>
            <w:r>
              <w:rPr>
                <w:sz w:val="24"/>
              </w:rPr>
              <w:t>(40)</w:t>
            </w:r>
            <w:r>
              <w:rPr>
                <w:spacing w:val="-3"/>
                <w:sz w:val="24"/>
              </w:rPr>
              <w:t> </w:t>
            </w:r>
            <w:r>
              <w:rPr>
                <w:sz w:val="24"/>
              </w:rPr>
              <w:t>As part of the</w:t>
            </w:r>
            <w:r>
              <w:rPr>
                <w:spacing w:val="-2"/>
                <w:sz w:val="24"/>
              </w:rPr>
              <w:t> multidimensional</w:t>
            </w:r>
          </w:p>
        </w:tc>
        <w:tc>
          <w:tcPr>
            <w:tcW w:w="1081" w:type="dxa"/>
          </w:tcPr>
          <w:p>
            <w:pPr>
              <w:pStyle w:val="TableParagraph"/>
              <w:rPr>
                <w:sz w:val="20"/>
              </w:rPr>
            </w:pPr>
          </w:p>
        </w:tc>
        <w:tc>
          <w:tcPr>
            <w:tcW w:w="901" w:type="dxa"/>
          </w:tcPr>
          <w:p>
            <w:pPr>
              <w:pStyle w:val="TableParagraph"/>
              <w:rPr>
                <w:sz w:val="20"/>
              </w:rPr>
            </w:pPr>
          </w:p>
        </w:tc>
        <w:tc>
          <w:tcPr>
            <w:tcW w:w="902" w:type="dxa"/>
          </w:tcPr>
          <w:p>
            <w:pPr>
              <w:pStyle w:val="TableParagraph"/>
              <w:rPr>
                <w:sz w:val="20"/>
              </w:rPr>
            </w:pPr>
          </w:p>
        </w:tc>
        <w:tc>
          <w:tcPr>
            <w:tcW w:w="1578" w:type="dxa"/>
          </w:tcPr>
          <w:p>
            <w:pPr>
              <w:pStyle w:val="TableParagraph"/>
              <w:rPr>
                <w:sz w:val="20"/>
              </w:rPr>
            </w:pPr>
          </w:p>
        </w:tc>
      </w:tr>
      <w:tr>
        <w:trPr>
          <w:trHeight w:val="551" w:hRule="atLeast"/>
        </w:trPr>
        <w:tc>
          <w:tcPr>
            <w:tcW w:w="4069" w:type="dxa"/>
          </w:tcPr>
          <w:p>
            <w:pPr>
              <w:pStyle w:val="TableParagraph"/>
              <w:spacing w:line="268" w:lineRule="exact"/>
              <w:ind w:left="107"/>
              <w:rPr>
                <w:sz w:val="24"/>
              </w:rPr>
            </w:pPr>
            <w:r>
              <w:rPr>
                <w:sz w:val="24"/>
              </w:rPr>
              <w:t>(41)</w:t>
            </w:r>
            <w:r>
              <w:rPr>
                <w:spacing w:val="28"/>
                <w:sz w:val="24"/>
              </w:rPr>
              <w:t>  </w:t>
            </w:r>
            <w:r>
              <w:rPr>
                <w:sz w:val="24"/>
              </w:rPr>
              <w:t>A</w:t>
            </w:r>
            <w:r>
              <w:rPr>
                <w:spacing w:val="29"/>
                <w:sz w:val="24"/>
              </w:rPr>
              <w:t>  </w:t>
            </w:r>
            <w:r>
              <w:rPr>
                <w:sz w:val="24"/>
              </w:rPr>
              <w:t>well</w:t>
            </w:r>
            <w:r>
              <w:rPr>
                <w:spacing w:val="30"/>
                <w:sz w:val="24"/>
              </w:rPr>
              <w:t>  </w:t>
            </w:r>
            <w:r>
              <w:rPr>
                <w:sz w:val="24"/>
              </w:rPr>
              <w:t>intended</w:t>
            </w:r>
            <w:r>
              <w:rPr>
                <w:spacing w:val="30"/>
                <w:sz w:val="24"/>
              </w:rPr>
              <w:t>  </w:t>
            </w:r>
            <w:r>
              <w:rPr>
                <w:spacing w:val="-2"/>
                <w:sz w:val="24"/>
              </w:rPr>
              <w:t>governmental</w:t>
            </w:r>
          </w:p>
          <w:p>
            <w:pPr>
              <w:pStyle w:val="TableParagraph"/>
              <w:spacing w:line="264" w:lineRule="exact"/>
              <w:ind w:left="107"/>
              <w:rPr>
                <w:sz w:val="24"/>
              </w:rPr>
            </w:pPr>
            <w:r>
              <w:rPr>
                <w:sz w:val="24"/>
              </w:rPr>
              <w:t>intervention</w:t>
            </w:r>
            <w:r>
              <w:rPr>
                <w:spacing w:val="-3"/>
                <w:sz w:val="24"/>
              </w:rPr>
              <w:t> </w:t>
            </w:r>
            <w:r>
              <w:rPr>
                <w:spacing w:val="-2"/>
                <w:sz w:val="24"/>
              </w:rPr>
              <w:t>measures</w:t>
            </w:r>
          </w:p>
        </w:tc>
        <w:tc>
          <w:tcPr>
            <w:tcW w:w="1081" w:type="dxa"/>
          </w:tcPr>
          <w:p>
            <w:pPr>
              <w:pStyle w:val="TableParagraph"/>
              <w:rPr>
                <w:sz w:val="24"/>
              </w:rPr>
            </w:pPr>
          </w:p>
        </w:tc>
        <w:tc>
          <w:tcPr>
            <w:tcW w:w="901" w:type="dxa"/>
          </w:tcPr>
          <w:p>
            <w:pPr>
              <w:pStyle w:val="TableParagraph"/>
              <w:rPr>
                <w:sz w:val="24"/>
              </w:rPr>
            </w:pPr>
          </w:p>
        </w:tc>
        <w:tc>
          <w:tcPr>
            <w:tcW w:w="902" w:type="dxa"/>
          </w:tcPr>
          <w:p>
            <w:pPr>
              <w:pStyle w:val="TableParagraph"/>
              <w:rPr>
                <w:sz w:val="24"/>
              </w:rPr>
            </w:pPr>
          </w:p>
        </w:tc>
        <w:tc>
          <w:tcPr>
            <w:tcW w:w="1578" w:type="dxa"/>
          </w:tcPr>
          <w:p>
            <w:pPr>
              <w:pStyle w:val="TableParagraph"/>
              <w:rPr>
                <w:sz w:val="24"/>
              </w:rPr>
            </w:pPr>
          </w:p>
        </w:tc>
      </w:tr>
      <w:tr>
        <w:trPr>
          <w:trHeight w:val="275" w:hRule="atLeast"/>
        </w:trPr>
        <w:tc>
          <w:tcPr>
            <w:tcW w:w="4069" w:type="dxa"/>
          </w:tcPr>
          <w:p>
            <w:pPr>
              <w:pStyle w:val="TableParagraph"/>
              <w:spacing w:line="256" w:lineRule="exact"/>
              <w:ind w:left="107"/>
              <w:rPr>
                <w:sz w:val="24"/>
              </w:rPr>
            </w:pPr>
            <w:r>
              <w:rPr>
                <w:sz w:val="24"/>
              </w:rPr>
              <w:t>(42)</w:t>
            </w:r>
            <w:r>
              <w:rPr>
                <w:spacing w:val="-4"/>
                <w:sz w:val="24"/>
              </w:rPr>
              <w:t> </w:t>
            </w:r>
            <w:r>
              <w:rPr>
                <w:sz w:val="24"/>
              </w:rPr>
              <w:t>a</w:t>
            </w:r>
            <w:r>
              <w:rPr>
                <w:spacing w:val="-1"/>
                <w:sz w:val="24"/>
              </w:rPr>
              <w:t> </w:t>
            </w:r>
            <w:r>
              <w:rPr>
                <w:sz w:val="24"/>
              </w:rPr>
              <w:t>peacekeeping</w:t>
            </w:r>
            <w:r>
              <w:rPr>
                <w:spacing w:val="-1"/>
                <w:sz w:val="24"/>
              </w:rPr>
              <w:t> </w:t>
            </w:r>
            <w:r>
              <w:rPr>
                <w:spacing w:val="-4"/>
                <w:sz w:val="24"/>
              </w:rPr>
              <w:t>agent</w:t>
            </w:r>
          </w:p>
        </w:tc>
        <w:tc>
          <w:tcPr>
            <w:tcW w:w="1081" w:type="dxa"/>
          </w:tcPr>
          <w:p>
            <w:pPr>
              <w:pStyle w:val="TableParagraph"/>
              <w:rPr>
                <w:sz w:val="20"/>
              </w:rPr>
            </w:pPr>
          </w:p>
        </w:tc>
        <w:tc>
          <w:tcPr>
            <w:tcW w:w="901" w:type="dxa"/>
          </w:tcPr>
          <w:p>
            <w:pPr>
              <w:pStyle w:val="TableParagraph"/>
              <w:rPr>
                <w:sz w:val="20"/>
              </w:rPr>
            </w:pPr>
          </w:p>
        </w:tc>
        <w:tc>
          <w:tcPr>
            <w:tcW w:w="902" w:type="dxa"/>
          </w:tcPr>
          <w:p>
            <w:pPr>
              <w:pStyle w:val="TableParagraph"/>
              <w:rPr>
                <w:sz w:val="20"/>
              </w:rPr>
            </w:pPr>
          </w:p>
        </w:tc>
        <w:tc>
          <w:tcPr>
            <w:tcW w:w="1578" w:type="dxa"/>
          </w:tcPr>
          <w:p>
            <w:pPr>
              <w:pStyle w:val="TableParagraph"/>
              <w:rPr>
                <w:sz w:val="20"/>
              </w:rPr>
            </w:pPr>
          </w:p>
        </w:tc>
      </w:tr>
      <w:tr>
        <w:trPr>
          <w:trHeight w:val="553" w:hRule="atLeast"/>
        </w:trPr>
        <w:tc>
          <w:tcPr>
            <w:tcW w:w="4069" w:type="dxa"/>
          </w:tcPr>
          <w:p>
            <w:pPr>
              <w:pStyle w:val="TableParagraph"/>
              <w:spacing w:line="270" w:lineRule="exact"/>
              <w:ind w:left="107"/>
              <w:rPr>
                <w:sz w:val="24"/>
              </w:rPr>
            </w:pPr>
            <w:r>
              <w:rPr>
                <w:sz w:val="24"/>
              </w:rPr>
              <w:t>(43)</w:t>
            </w:r>
            <w:r>
              <w:rPr>
                <w:spacing w:val="14"/>
                <w:sz w:val="24"/>
              </w:rPr>
              <w:t> </w:t>
            </w:r>
            <w:r>
              <w:rPr>
                <w:sz w:val="24"/>
              </w:rPr>
              <w:t>a</w:t>
            </w:r>
            <w:r>
              <w:rPr>
                <w:spacing w:val="15"/>
                <w:sz w:val="24"/>
              </w:rPr>
              <w:t> </w:t>
            </w:r>
            <w:r>
              <w:rPr>
                <w:sz w:val="24"/>
              </w:rPr>
              <w:t>military</w:t>
            </w:r>
            <w:r>
              <w:rPr>
                <w:spacing w:val="11"/>
                <w:sz w:val="24"/>
              </w:rPr>
              <w:t> </w:t>
            </w:r>
            <w:r>
              <w:rPr>
                <w:sz w:val="24"/>
              </w:rPr>
              <w:t>outfit</w:t>
            </w:r>
            <w:r>
              <w:rPr>
                <w:spacing w:val="16"/>
                <w:sz w:val="24"/>
              </w:rPr>
              <w:t> </w:t>
            </w:r>
            <w:r>
              <w:rPr>
                <w:sz w:val="24"/>
              </w:rPr>
              <w:t>meant</w:t>
            </w:r>
            <w:r>
              <w:rPr>
                <w:spacing w:val="17"/>
                <w:sz w:val="24"/>
              </w:rPr>
              <w:t> </w:t>
            </w:r>
            <w:r>
              <w:rPr>
                <w:sz w:val="24"/>
              </w:rPr>
              <w:t>to</w:t>
            </w:r>
            <w:r>
              <w:rPr>
                <w:spacing w:val="17"/>
                <w:sz w:val="24"/>
              </w:rPr>
              <w:t> </w:t>
            </w:r>
            <w:r>
              <w:rPr>
                <w:sz w:val="24"/>
              </w:rPr>
              <w:t>stem</w:t>
            </w:r>
            <w:r>
              <w:rPr>
                <w:spacing w:val="16"/>
                <w:sz w:val="24"/>
              </w:rPr>
              <w:t> </w:t>
            </w:r>
            <w:r>
              <w:rPr>
                <w:spacing w:val="-5"/>
                <w:sz w:val="24"/>
              </w:rPr>
              <w:t>out</w:t>
            </w:r>
          </w:p>
          <w:p>
            <w:pPr>
              <w:pStyle w:val="TableParagraph"/>
              <w:spacing w:line="264" w:lineRule="exact"/>
              <w:ind w:left="107"/>
              <w:rPr>
                <w:sz w:val="24"/>
              </w:rPr>
            </w:pPr>
            <w:r>
              <w:rPr>
                <w:sz w:val="24"/>
              </w:rPr>
              <w:t>criminality</w:t>
            </w:r>
            <w:r>
              <w:rPr>
                <w:spacing w:val="-8"/>
                <w:sz w:val="24"/>
              </w:rPr>
              <w:t> </w:t>
            </w:r>
            <w:r>
              <w:rPr>
                <w:sz w:val="24"/>
              </w:rPr>
              <w:t>in the</w:t>
            </w:r>
            <w:r>
              <w:rPr>
                <w:spacing w:val="-2"/>
                <w:sz w:val="24"/>
              </w:rPr>
              <w:t> </w:t>
            </w:r>
            <w:r>
              <w:rPr>
                <w:sz w:val="24"/>
              </w:rPr>
              <w:t>Niger</w:t>
            </w:r>
            <w:r>
              <w:rPr>
                <w:spacing w:val="1"/>
                <w:sz w:val="24"/>
              </w:rPr>
              <w:t> </w:t>
            </w:r>
            <w:r>
              <w:rPr>
                <w:spacing w:val="-2"/>
                <w:sz w:val="24"/>
              </w:rPr>
              <w:t>Delta</w:t>
            </w:r>
          </w:p>
        </w:tc>
        <w:tc>
          <w:tcPr>
            <w:tcW w:w="1081" w:type="dxa"/>
          </w:tcPr>
          <w:p>
            <w:pPr>
              <w:pStyle w:val="TableParagraph"/>
              <w:rPr>
                <w:sz w:val="24"/>
              </w:rPr>
            </w:pPr>
          </w:p>
        </w:tc>
        <w:tc>
          <w:tcPr>
            <w:tcW w:w="901" w:type="dxa"/>
          </w:tcPr>
          <w:p>
            <w:pPr>
              <w:pStyle w:val="TableParagraph"/>
              <w:rPr>
                <w:sz w:val="24"/>
              </w:rPr>
            </w:pPr>
          </w:p>
        </w:tc>
        <w:tc>
          <w:tcPr>
            <w:tcW w:w="902" w:type="dxa"/>
          </w:tcPr>
          <w:p>
            <w:pPr>
              <w:pStyle w:val="TableParagraph"/>
              <w:rPr>
                <w:sz w:val="24"/>
              </w:rPr>
            </w:pPr>
          </w:p>
        </w:tc>
        <w:tc>
          <w:tcPr>
            <w:tcW w:w="1578" w:type="dxa"/>
          </w:tcPr>
          <w:p>
            <w:pPr>
              <w:pStyle w:val="TableParagraph"/>
              <w:rPr>
                <w:sz w:val="24"/>
              </w:rPr>
            </w:pPr>
          </w:p>
        </w:tc>
      </w:tr>
    </w:tbl>
    <w:p>
      <w:pPr>
        <w:pStyle w:val="BodyText"/>
        <w:spacing w:before="271" w:after="8"/>
      </w:pPr>
      <w:r>
        <w:rPr/>
        <w:t>RQ12</w:t>
      </w:r>
      <w:r>
        <w:rPr>
          <w:spacing w:val="-1"/>
        </w:rPr>
        <w:t> </w:t>
      </w:r>
      <w:r>
        <w:rPr/>
        <w:t>How do</w:t>
      </w:r>
      <w:r>
        <w:rPr>
          <w:spacing w:val="-1"/>
        </w:rPr>
        <w:t> </w:t>
      </w:r>
      <w:r>
        <w:rPr/>
        <w:t>members</w:t>
      </w:r>
      <w:r>
        <w:rPr>
          <w:spacing w:val="1"/>
        </w:rPr>
        <w:t> </w:t>
      </w:r>
      <w:r>
        <w:rPr/>
        <w:t>of</w:t>
      </w:r>
      <w:r>
        <w:rPr>
          <w:spacing w:val="-1"/>
        </w:rPr>
        <w:t> </w:t>
      </w:r>
      <w:r>
        <w:rPr/>
        <w:t>the public</w:t>
      </w:r>
      <w:r>
        <w:rPr>
          <w:spacing w:val="-1"/>
        </w:rPr>
        <w:t> </w:t>
      </w:r>
      <w:r>
        <w:rPr/>
        <w:t>perceive the JTF</w:t>
      </w:r>
      <w:r>
        <w:rPr>
          <w:spacing w:val="-2"/>
        </w:rPr>
        <w:t> operation?</w:t>
      </w: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79"/>
        <w:gridCol w:w="801"/>
        <w:gridCol w:w="698"/>
        <w:gridCol w:w="868"/>
        <w:gridCol w:w="777"/>
      </w:tblGrid>
      <w:tr>
        <w:trPr>
          <w:trHeight w:val="275" w:hRule="atLeast"/>
        </w:trPr>
        <w:tc>
          <w:tcPr>
            <w:tcW w:w="5379" w:type="dxa"/>
          </w:tcPr>
          <w:p>
            <w:pPr>
              <w:pStyle w:val="TableParagraph"/>
              <w:rPr>
                <w:sz w:val="20"/>
              </w:rPr>
            </w:pPr>
          </w:p>
        </w:tc>
        <w:tc>
          <w:tcPr>
            <w:tcW w:w="801" w:type="dxa"/>
          </w:tcPr>
          <w:p>
            <w:pPr>
              <w:pStyle w:val="TableParagraph"/>
              <w:spacing w:line="256" w:lineRule="exact"/>
              <w:ind w:left="108"/>
              <w:rPr>
                <w:sz w:val="24"/>
              </w:rPr>
            </w:pPr>
            <w:r>
              <w:rPr>
                <w:spacing w:val="-5"/>
                <w:sz w:val="24"/>
              </w:rPr>
              <w:t>SA</w:t>
            </w:r>
          </w:p>
        </w:tc>
        <w:tc>
          <w:tcPr>
            <w:tcW w:w="698" w:type="dxa"/>
          </w:tcPr>
          <w:p>
            <w:pPr>
              <w:pStyle w:val="TableParagraph"/>
              <w:spacing w:line="256" w:lineRule="exact"/>
              <w:ind w:left="108"/>
              <w:rPr>
                <w:sz w:val="24"/>
              </w:rPr>
            </w:pPr>
            <w:r>
              <w:rPr>
                <w:spacing w:val="-10"/>
                <w:sz w:val="24"/>
              </w:rPr>
              <w:t>A</w:t>
            </w:r>
          </w:p>
        </w:tc>
        <w:tc>
          <w:tcPr>
            <w:tcW w:w="868" w:type="dxa"/>
          </w:tcPr>
          <w:p>
            <w:pPr>
              <w:pStyle w:val="TableParagraph"/>
              <w:spacing w:line="256" w:lineRule="exact"/>
              <w:ind w:left="109"/>
              <w:rPr>
                <w:sz w:val="24"/>
              </w:rPr>
            </w:pPr>
            <w:r>
              <w:rPr>
                <w:spacing w:val="-5"/>
                <w:sz w:val="24"/>
              </w:rPr>
              <w:t>SD</w:t>
            </w:r>
          </w:p>
        </w:tc>
        <w:tc>
          <w:tcPr>
            <w:tcW w:w="777" w:type="dxa"/>
          </w:tcPr>
          <w:p>
            <w:pPr>
              <w:pStyle w:val="TableParagraph"/>
              <w:spacing w:line="256" w:lineRule="exact"/>
              <w:ind w:left="110"/>
              <w:rPr>
                <w:sz w:val="24"/>
              </w:rPr>
            </w:pPr>
            <w:r>
              <w:rPr>
                <w:spacing w:val="-10"/>
                <w:sz w:val="24"/>
              </w:rPr>
              <w:t>D</w:t>
            </w:r>
          </w:p>
        </w:tc>
      </w:tr>
      <w:tr>
        <w:trPr>
          <w:trHeight w:val="275" w:hRule="atLeast"/>
        </w:trPr>
        <w:tc>
          <w:tcPr>
            <w:tcW w:w="5379" w:type="dxa"/>
          </w:tcPr>
          <w:p>
            <w:pPr>
              <w:pStyle w:val="TableParagraph"/>
              <w:spacing w:line="256" w:lineRule="exact"/>
              <w:ind w:left="107"/>
              <w:rPr>
                <w:sz w:val="24"/>
              </w:rPr>
            </w:pPr>
            <w:r>
              <w:rPr>
                <w:sz w:val="24"/>
              </w:rPr>
              <w:t>(44)</w:t>
            </w:r>
            <w:r>
              <w:rPr>
                <w:spacing w:val="-4"/>
                <w:sz w:val="24"/>
              </w:rPr>
              <w:t> </w:t>
            </w:r>
            <w:r>
              <w:rPr>
                <w:sz w:val="24"/>
              </w:rPr>
              <w:t>A governmental</w:t>
            </w:r>
            <w:r>
              <w:rPr>
                <w:spacing w:val="-1"/>
                <w:sz w:val="24"/>
              </w:rPr>
              <w:t> </w:t>
            </w:r>
            <w:r>
              <w:rPr>
                <w:sz w:val="24"/>
              </w:rPr>
              <w:t>agent</w:t>
            </w:r>
            <w:r>
              <w:rPr>
                <w:spacing w:val="-1"/>
                <w:sz w:val="24"/>
              </w:rPr>
              <w:t> </w:t>
            </w:r>
            <w:r>
              <w:rPr>
                <w:sz w:val="24"/>
              </w:rPr>
              <w:t>of</w:t>
            </w:r>
            <w:r>
              <w:rPr>
                <w:spacing w:val="-1"/>
                <w:sz w:val="24"/>
              </w:rPr>
              <w:t> </w:t>
            </w:r>
            <w:r>
              <w:rPr>
                <w:sz w:val="24"/>
              </w:rPr>
              <w:t>oppression</w:t>
            </w:r>
            <w:r>
              <w:rPr>
                <w:spacing w:val="-1"/>
                <w:sz w:val="24"/>
              </w:rPr>
              <w:t> </w:t>
            </w:r>
            <w:r>
              <w:rPr>
                <w:sz w:val="24"/>
              </w:rPr>
              <w:t>and</w:t>
            </w:r>
            <w:r>
              <w:rPr>
                <w:spacing w:val="-1"/>
                <w:sz w:val="24"/>
              </w:rPr>
              <w:t> </w:t>
            </w:r>
            <w:r>
              <w:rPr>
                <w:spacing w:val="-2"/>
                <w:sz w:val="24"/>
              </w:rPr>
              <w:t>tyranny</w:t>
            </w:r>
          </w:p>
        </w:tc>
        <w:tc>
          <w:tcPr>
            <w:tcW w:w="801" w:type="dxa"/>
          </w:tcPr>
          <w:p>
            <w:pPr>
              <w:pStyle w:val="TableParagraph"/>
              <w:rPr>
                <w:sz w:val="20"/>
              </w:rPr>
            </w:pPr>
          </w:p>
        </w:tc>
        <w:tc>
          <w:tcPr>
            <w:tcW w:w="698" w:type="dxa"/>
          </w:tcPr>
          <w:p>
            <w:pPr>
              <w:pStyle w:val="TableParagraph"/>
              <w:rPr>
                <w:sz w:val="20"/>
              </w:rPr>
            </w:pPr>
          </w:p>
        </w:tc>
        <w:tc>
          <w:tcPr>
            <w:tcW w:w="868" w:type="dxa"/>
          </w:tcPr>
          <w:p>
            <w:pPr>
              <w:pStyle w:val="TableParagraph"/>
              <w:rPr>
                <w:sz w:val="20"/>
              </w:rPr>
            </w:pPr>
          </w:p>
        </w:tc>
        <w:tc>
          <w:tcPr>
            <w:tcW w:w="777" w:type="dxa"/>
          </w:tcPr>
          <w:p>
            <w:pPr>
              <w:pStyle w:val="TableParagraph"/>
              <w:rPr>
                <w:sz w:val="20"/>
              </w:rPr>
            </w:pPr>
          </w:p>
        </w:tc>
      </w:tr>
      <w:tr>
        <w:trPr>
          <w:trHeight w:val="275" w:hRule="atLeast"/>
        </w:trPr>
        <w:tc>
          <w:tcPr>
            <w:tcW w:w="5379" w:type="dxa"/>
          </w:tcPr>
          <w:p>
            <w:pPr>
              <w:pStyle w:val="TableParagraph"/>
              <w:spacing w:line="256" w:lineRule="exact"/>
              <w:ind w:left="107"/>
              <w:rPr>
                <w:sz w:val="24"/>
              </w:rPr>
            </w:pPr>
            <w:r>
              <w:rPr>
                <w:sz w:val="24"/>
              </w:rPr>
              <w:t>(45)</w:t>
            </w:r>
            <w:r>
              <w:rPr>
                <w:spacing w:val="-3"/>
                <w:sz w:val="24"/>
              </w:rPr>
              <w:t> </w:t>
            </w:r>
            <w:r>
              <w:rPr>
                <w:sz w:val="24"/>
              </w:rPr>
              <w:t>Enemy</w:t>
            </w:r>
            <w:r>
              <w:rPr>
                <w:spacing w:val="-5"/>
                <w:sz w:val="24"/>
              </w:rPr>
              <w:t> </w:t>
            </w:r>
            <w:r>
              <w:rPr>
                <w:sz w:val="24"/>
              </w:rPr>
              <w:t>of their</w:t>
            </w:r>
            <w:r>
              <w:rPr>
                <w:spacing w:val="1"/>
                <w:sz w:val="24"/>
              </w:rPr>
              <w:t> </w:t>
            </w:r>
            <w:r>
              <w:rPr>
                <w:sz w:val="24"/>
              </w:rPr>
              <w:t>ambitious and </w:t>
            </w:r>
            <w:r>
              <w:rPr>
                <w:spacing w:val="-2"/>
                <w:sz w:val="24"/>
              </w:rPr>
              <w:t>struggles</w:t>
            </w:r>
          </w:p>
        </w:tc>
        <w:tc>
          <w:tcPr>
            <w:tcW w:w="801" w:type="dxa"/>
          </w:tcPr>
          <w:p>
            <w:pPr>
              <w:pStyle w:val="TableParagraph"/>
              <w:rPr>
                <w:sz w:val="20"/>
              </w:rPr>
            </w:pPr>
          </w:p>
        </w:tc>
        <w:tc>
          <w:tcPr>
            <w:tcW w:w="698" w:type="dxa"/>
          </w:tcPr>
          <w:p>
            <w:pPr>
              <w:pStyle w:val="TableParagraph"/>
              <w:rPr>
                <w:sz w:val="20"/>
              </w:rPr>
            </w:pPr>
          </w:p>
        </w:tc>
        <w:tc>
          <w:tcPr>
            <w:tcW w:w="868" w:type="dxa"/>
          </w:tcPr>
          <w:p>
            <w:pPr>
              <w:pStyle w:val="TableParagraph"/>
              <w:rPr>
                <w:sz w:val="20"/>
              </w:rPr>
            </w:pPr>
          </w:p>
        </w:tc>
        <w:tc>
          <w:tcPr>
            <w:tcW w:w="777" w:type="dxa"/>
          </w:tcPr>
          <w:p>
            <w:pPr>
              <w:pStyle w:val="TableParagraph"/>
              <w:rPr>
                <w:sz w:val="20"/>
              </w:rPr>
            </w:pPr>
          </w:p>
        </w:tc>
      </w:tr>
      <w:tr>
        <w:trPr>
          <w:trHeight w:val="275" w:hRule="atLeast"/>
        </w:trPr>
        <w:tc>
          <w:tcPr>
            <w:tcW w:w="5379" w:type="dxa"/>
          </w:tcPr>
          <w:p>
            <w:pPr>
              <w:pStyle w:val="TableParagraph"/>
              <w:spacing w:line="256" w:lineRule="exact"/>
              <w:ind w:left="107"/>
              <w:rPr>
                <w:sz w:val="24"/>
              </w:rPr>
            </w:pPr>
            <w:r>
              <w:rPr>
                <w:sz w:val="24"/>
              </w:rPr>
              <w:t>(46)</w:t>
            </w:r>
            <w:r>
              <w:rPr>
                <w:spacing w:val="-2"/>
                <w:sz w:val="24"/>
              </w:rPr>
              <w:t> </w:t>
            </w:r>
            <w:r>
              <w:rPr>
                <w:sz w:val="24"/>
              </w:rPr>
              <w:t>A peace keeping</w:t>
            </w:r>
            <w:r>
              <w:rPr>
                <w:spacing w:val="-3"/>
                <w:sz w:val="24"/>
              </w:rPr>
              <w:t> </w:t>
            </w:r>
            <w:r>
              <w:rPr>
                <w:sz w:val="24"/>
              </w:rPr>
              <w:t>agent of</w:t>
            </w:r>
            <w:r>
              <w:rPr>
                <w:spacing w:val="1"/>
                <w:sz w:val="24"/>
              </w:rPr>
              <w:t> </w:t>
            </w:r>
            <w:r>
              <w:rPr>
                <w:spacing w:val="-4"/>
                <w:sz w:val="24"/>
              </w:rPr>
              <w:t>peace</w:t>
            </w:r>
          </w:p>
        </w:tc>
        <w:tc>
          <w:tcPr>
            <w:tcW w:w="801" w:type="dxa"/>
          </w:tcPr>
          <w:p>
            <w:pPr>
              <w:pStyle w:val="TableParagraph"/>
              <w:rPr>
                <w:sz w:val="20"/>
              </w:rPr>
            </w:pPr>
          </w:p>
        </w:tc>
        <w:tc>
          <w:tcPr>
            <w:tcW w:w="698" w:type="dxa"/>
          </w:tcPr>
          <w:p>
            <w:pPr>
              <w:pStyle w:val="TableParagraph"/>
              <w:rPr>
                <w:sz w:val="20"/>
              </w:rPr>
            </w:pPr>
          </w:p>
        </w:tc>
        <w:tc>
          <w:tcPr>
            <w:tcW w:w="868" w:type="dxa"/>
          </w:tcPr>
          <w:p>
            <w:pPr>
              <w:pStyle w:val="TableParagraph"/>
              <w:rPr>
                <w:sz w:val="20"/>
              </w:rPr>
            </w:pPr>
          </w:p>
        </w:tc>
        <w:tc>
          <w:tcPr>
            <w:tcW w:w="777" w:type="dxa"/>
          </w:tcPr>
          <w:p>
            <w:pPr>
              <w:pStyle w:val="TableParagraph"/>
              <w:rPr>
                <w:sz w:val="20"/>
              </w:rPr>
            </w:pPr>
          </w:p>
        </w:tc>
      </w:tr>
      <w:tr>
        <w:trPr>
          <w:trHeight w:val="554" w:hRule="atLeast"/>
        </w:trPr>
        <w:tc>
          <w:tcPr>
            <w:tcW w:w="5379" w:type="dxa"/>
          </w:tcPr>
          <w:p>
            <w:pPr>
              <w:pStyle w:val="TableParagraph"/>
              <w:spacing w:line="268" w:lineRule="exact"/>
              <w:ind w:left="107"/>
              <w:rPr>
                <w:sz w:val="24"/>
              </w:rPr>
            </w:pPr>
            <w:r>
              <w:rPr>
                <w:sz w:val="24"/>
              </w:rPr>
              <w:t>(47)</w:t>
            </w:r>
            <w:r>
              <w:rPr>
                <w:spacing w:val="6"/>
                <w:sz w:val="24"/>
              </w:rPr>
              <w:t> </w:t>
            </w:r>
            <w:r>
              <w:rPr>
                <w:sz w:val="24"/>
              </w:rPr>
              <w:t>As</w:t>
            </w:r>
            <w:r>
              <w:rPr>
                <w:spacing w:val="8"/>
                <w:sz w:val="24"/>
              </w:rPr>
              <w:t> </w:t>
            </w:r>
            <w:r>
              <w:rPr>
                <w:sz w:val="24"/>
              </w:rPr>
              <w:t>opportunities</w:t>
            </w:r>
            <w:r>
              <w:rPr>
                <w:spacing w:val="9"/>
                <w:sz w:val="24"/>
              </w:rPr>
              <w:t> </w:t>
            </w:r>
            <w:r>
              <w:rPr>
                <w:sz w:val="24"/>
              </w:rPr>
              <w:t>who</w:t>
            </w:r>
            <w:r>
              <w:rPr>
                <w:spacing w:val="7"/>
                <w:sz w:val="24"/>
              </w:rPr>
              <w:t> </w:t>
            </w:r>
            <w:r>
              <w:rPr>
                <w:sz w:val="24"/>
              </w:rPr>
              <w:t>came</w:t>
            </w:r>
            <w:r>
              <w:rPr>
                <w:spacing w:val="8"/>
                <w:sz w:val="24"/>
              </w:rPr>
              <w:t> </w:t>
            </w:r>
            <w:r>
              <w:rPr>
                <w:sz w:val="24"/>
              </w:rPr>
              <w:t>to</w:t>
            </w:r>
            <w:r>
              <w:rPr>
                <w:spacing w:val="8"/>
                <w:sz w:val="24"/>
              </w:rPr>
              <w:t> </w:t>
            </w:r>
            <w:r>
              <w:rPr>
                <w:sz w:val="24"/>
              </w:rPr>
              <w:t>plunder</w:t>
            </w:r>
            <w:r>
              <w:rPr>
                <w:spacing w:val="8"/>
                <w:sz w:val="24"/>
              </w:rPr>
              <w:t> </w:t>
            </w:r>
            <w:r>
              <w:rPr>
                <w:spacing w:val="-2"/>
                <w:sz w:val="24"/>
              </w:rPr>
              <w:t>resources</w:t>
            </w:r>
          </w:p>
          <w:p>
            <w:pPr>
              <w:pStyle w:val="TableParagraph"/>
              <w:spacing w:line="266" w:lineRule="exact"/>
              <w:ind w:left="107"/>
              <w:rPr>
                <w:sz w:val="24"/>
              </w:rPr>
            </w:pPr>
            <w:r>
              <w:rPr>
                <w:spacing w:val="-4"/>
                <w:sz w:val="24"/>
              </w:rPr>
              <w:t>only</w:t>
            </w:r>
          </w:p>
        </w:tc>
        <w:tc>
          <w:tcPr>
            <w:tcW w:w="801" w:type="dxa"/>
          </w:tcPr>
          <w:p>
            <w:pPr>
              <w:pStyle w:val="TableParagraph"/>
              <w:rPr>
                <w:sz w:val="24"/>
              </w:rPr>
            </w:pPr>
          </w:p>
        </w:tc>
        <w:tc>
          <w:tcPr>
            <w:tcW w:w="698" w:type="dxa"/>
          </w:tcPr>
          <w:p>
            <w:pPr>
              <w:pStyle w:val="TableParagraph"/>
              <w:rPr>
                <w:sz w:val="24"/>
              </w:rPr>
            </w:pPr>
          </w:p>
        </w:tc>
        <w:tc>
          <w:tcPr>
            <w:tcW w:w="868" w:type="dxa"/>
          </w:tcPr>
          <w:p>
            <w:pPr>
              <w:pStyle w:val="TableParagraph"/>
              <w:rPr>
                <w:sz w:val="24"/>
              </w:rPr>
            </w:pPr>
          </w:p>
        </w:tc>
        <w:tc>
          <w:tcPr>
            <w:tcW w:w="777" w:type="dxa"/>
          </w:tcPr>
          <w:p>
            <w:pPr>
              <w:pStyle w:val="TableParagraph"/>
              <w:rPr>
                <w:sz w:val="24"/>
              </w:rPr>
            </w:pPr>
          </w:p>
        </w:tc>
      </w:tr>
    </w:tbl>
    <w:p>
      <w:pPr>
        <w:pStyle w:val="BodyText"/>
        <w:spacing w:after="3"/>
        <w:ind w:right="1260"/>
      </w:pPr>
      <w:r>
        <w:rPr/>
        <w:t>RQ13</w:t>
      </w:r>
      <w:r>
        <w:rPr>
          <w:spacing w:val="40"/>
        </w:rPr>
        <w:t> </w:t>
      </w:r>
      <w:r>
        <w:rPr/>
        <w:t>Do</w:t>
      </w:r>
      <w:r>
        <w:rPr>
          <w:spacing w:val="40"/>
        </w:rPr>
        <w:t> </w:t>
      </w:r>
      <w:r>
        <w:rPr/>
        <w:t>the</w:t>
      </w:r>
      <w:r>
        <w:rPr>
          <w:spacing w:val="40"/>
        </w:rPr>
        <w:t> </w:t>
      </w:r>
      <w:r>
        <w:rPr/>
        <w:t>State</w:t>
      </w:r>
      <w:r>
        <w:rPr>
          <w:spacing w:val="40"/>
        </w:rPr>
        <w:t> </w:t>
      </w:r>
      <w:r>
        <w:rPr/>
        <w:t>governments</w:t>
      </w:r>
      <w:r>
        <w:rPr>
          <w:spacing w:val="40"/>
        </w:rPr>
        <w:t> </w:t>
      </w:r>
      <w:r>
        <w:rPr/>
        <w:t>in</w:t>
      </w:r>
      <w:r>
        <w:rPr>
          <w:spacing w:val="40"/>
        </w:rPr>
        <w:t> </w:t>
      </w:r>
      <w:r>
        <w:rPr/>
        <w:t>the</w:t>
      </w:r>
      <w:r>
        <w:rPr>
          <w:spacing w:val="40"/>
        </w:rPr>
        <w:t> </w:t>
      </w:r>
      <w:r>
        <w:rPr/>
        <w:t>Niger</w:t>
      </w:r>
      <w:r>
        <w:rPr>
          <w:spacing w:val="40"/>
        </w:rPr>
        <w:t> </w:t>
      </w:r>
      <w:r>
        <w:rPr/>
        <w:t>Delta</w:t>
      </w:r>
      <w:r>
        <w:rPr>
          <w:spacing w:val="40"/>
        </w:rPr>
        <w:t> </w:t>
      </w:r>
      <w:r>
        <w:rPr/>
        <w:t>region</w:t>
      </w:r>
      <w:r>
        <w:rPr>
          <w:spacing w:val="40"/>
        </w:rPr>
        <w:t> </w:t>
      </w:r>
      <w:r>
        <w:rPr/>
        <w:t>perceive</w:t>
      </w:r>
      <w:r>
        <w:rPr>
          <w:spacing w:val="40"/>
        </w:rPr>
        <w:t> </w:t>
      </w:r>
      <w:r>
        <w:rPr/>
        <w:t>the</w:t>
      </w:r>
      <w:r>
        <w:rPr>
          <w:spacing w:val="40"/>
        </w:rPr>
        <w:t> </w:t>
      </w:r>
      <w:r>
        <w:rPr/>
        <w:t>JTF</w:t>
      </w:r>
      <w:r>
        <w:rPr>
          <w:spacing w:val="40"/>
        </w:rPr>
        <w:t> </w:t>
      </w:r>
      <w:r>
        <w:rPr/>
        <w:t>as</w:t>
      </w:r>
      <w:r>
        <w:rPr>
          <w:spacing w:val="40"/>
        </w:rPr>
        <w:t> </w:t>
      </w:r>
      <w:r>
        <w:rPr/>
        <w:t>a necessary peace mechanism?</w:t>
      </w: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75"/>
        <w:gridCol w:w="802"/>
        <w:gridCol w:w="702"/>
        <w:gridCol w:w="869"/>
        <w:gridCol w:w="780"/>
      </w:tblGrid>
      <w:tr>
        <w:trPr>
          <w:trHeight w:val="275" w:hRule="atLeast"/>
        </w:trPr>
        <w:tc>
          <w:tcPr>
            <w:tcW w:w="5375" w:type="dxa"/>
          </w:tcPr>
          <w:p>
            <w:pPr>
              <w:pStyle w:val="TableParagraph"/>
              <w:rPr>
                <w:sz w:val="20"/>
              </w:rPr>
            </w:pPr>
          </w:p>
        </w:tc>
        <w:tc>
          <w:tcPr>
            <w:tcW w:w="802" w:type="dxa"/>
          </w:tcPr>
          <w:p>
            <w:pPr>
              <w:pStyle w:val="TableParagraph"/>
              <w:spacing w:line="256" w:lineRule="exact"/>
              <w:ind w:left="107"/>
              <w:rPr>
                <w:sz w:val="24"/>
              </w:rPr>
            </w:pPr>
            <w:r>
              <w:rPr>
                <w:spacing w:val="-5"/>
                <w:sz w:val="24"/>
              </w:rPr>
              <w:t>SA</w:t>
            </w:r>
          </w:p>
        </w:tc>
        <w:tc>
          <w:tcPr>
            <w:tcW w:w="702" w:type="dxa"/>
          </w:tcPr>
          <w:p>
            <w:pPr>
              <w:pStyle w:val="TableParagraph"/>
              <w:spacing w:line="256" w:lineRule="exact"/>
              <w:ind w:left="107"/>
              <w:rPr>
                <w:sz w:val="24"/>
              </w:rPr>
            </w:pPr>
            <w:r>
              <w:rPr>
                <w:spacing w:val="-10"/>
                <w:sz w:val="24"/>
              </w:rPr>
              <w:t>A</w:t>
            </w:r>
          </w:p>
        </w:tc>
        <w:tc>
          <w:tcPr>
            <w:tcW w:w="869" w:type="dxa"/>
          </w:tcPr>
          <w:p>
            <w:pPr>
              <w:pStyle w:val="TableParagraph"/>
              <w:spacing w:line="256" w:lineRule="exact"/>
              <w:ind w:left="106"/>
              <w:rPr>
                <w:sz w:val="24"/>
              </w:rPr>
            </w:pPr>
            <w:r>
              <w:rPr>
                <w:spacing w:val="-5"/>
                <w:sz w:val="24"/>
              </w:rPr>
              <w:t>SD</w:t>
            </w:r>
          </w:p>
        </w:tc>
        <w:tc>
          <w:tcPr>
            <w:tcW w:w="780" w:type="dxa"/>
          </w:tcPr>
          <w:p>
            <w:pPr>
              <w:pStyle w:val="TableParagraph"/>
              <w:spacing w:line="256" w:lineRule="exact"/>
              <w:ind w:left="106"/>
              <w:rPr>
                <w:sz w:val="24"/>
              </w:rPr>
            </w:pPr>
            <w:r>
              <w:rPr>
                <w:spacing w:val="-10"/>
                <w:sz w:val="24"/>
              </w:rPr>
              <w:t>D</w:t>
            </w:r>
          </w:p>
        </w:tc>
      </w:tr>
      <w:tr>
        <w:trPr>
          <w:trHeight w:val="275" w:hRule="atLeast"/>
        </w:trPr>
        <w:tc>
          <w:tcPr>
            <w:tcW w:w="5375" w:type="dxa"/>
          </w:tcPr>
          <w:p>
            <w:pPr>
              <w:pStyle w:val="TableParagraph"/>
              <w:spacing w:line="256" w:lineRule="exact"/>
              <w:ind w:left="107"/>
              <w:rPr>
                <w:sz w:val="24"/>
              </w:rPr>
            </w:pPr>
            <w:r>
              <w:rPr>
                <w:sz w:val="24"/>
              </w:rPr>
              <w:t>(48)</w:t>
            </w:r>
            <w:r>
              <w:rPr>
                <w:spacing w:val="-3"/>
                <w:sz w:val="24"/>
              </w:rPr>
              <w:t> </w:t>
            </w:r>
            <w:r>
              <w:rPr>
                <w:sz w:val="24"/>
              </w:rPr>
              <w:t>No,</w:t>
            </w:r>
            <w:r>
              <w:rPr>
                <w:spacing w:val="-1"/>
                <w:sz w:val="24"/>
              </w:rPr>
              <w:t> </w:t>
            </w:r>
            <w:r>
              <w:rPr>
                <w:sz w:val="24"/>
              </w:rPr>
              <w:t>the</w:t>
            </w:r>
            <w:r>
              <w:rPr>
                <w:spacing w:val="1"/>
                <w:sz w:val="24"/>
              </w:rPr>
              <w:t> </w:t>
            </w:r>
            <w:r>
              <w:rPr>
                <w:sz w:val="24"/>
              </w:rPr>
              <w:t>governments</w:t>
            </w:r>
            <w:r>
              <w:rPr>
                <w:spacing w:val="-1"/>
                <w:sz w:val="24"/>
              </w:rPr>
              <w:t> </w:t>
            </w:r>
            <w:r>
              <w:rPr>
                <w:sz w:val="24"/>
              </w:rPr>
              <w:t>in</w:t>
            </w:r>
            <w:r>
              <w:rPr>
                <w:spacing w:val="-1"/>
                <w:sz w:val="24"/>
              </w:rPr>
              <w:t> </w:t>
            </w:r>
            <w:r>
              <w:rPr>
                <w:sz w:val="24"/>
              </w:rPr>
              <w:t>the region</w:t>
            </w:r>
            <w:r>
              <w:rPr>
                <w:spacing w:val="-1"/>
                <w:sz w:val="24"/>
              </w:rPr>
              <w:t> </w:t>
            </w:r>
            <w:r>
              <w:rPr>
                <w:sz w:val="24"/>
              </w:rPr>
              <w:t>do </w:t>
            </w:r>
            <w:r>
              <w:rPr>
                <w:spacing w:val="-5"/>
                <w:sz w:val="24"/>
              </w:rPr>
              <w:t>not</w:t>
            </w:r>
          </w:p>
        </w:tc>
        <w:tc>
          <w:tcPr>
            <w:tcW w:w="802" w:type="dxa"/>
          </w:tcPr>
          <w:p>
            <w:pPr>
              <w:pStyle w:val="TableParagraph"/>
              <w:rPr>
                <w:sz w:val="20"/>
              </w:rPr>
            </w:pPr>
          </w:p>
        </w:tc>
        <w:tc>
          <w:tcPr>
            <w:tcW w:w="702" w:type="dxa"/>
          </w:tcPr>
          <w:p>
            <w:pPr>
              <w:pStyle w:val="TableParagraph"/>
              <w:rPr>
                <w:sz w:val="20"/>
              </w:rPr>
            </w:pPr>
          </w:p>
        </w:tc>
        <w:tc>
          <w:tcPr>
            <w:tcW w:w="869" w:type="dxa"/>
          </w:tcPr>
          <w:p>
            <w:pPr>
              <w:pStyle w:val="TableParagraph"/>
              <w:rPr>
                <w:sz w:val="20"/>
              </w:rPr>
            </w:pPr>
          </w:p>
        </w:tc>
        <w:tc>
          <w:tcPr>
            <w:tcW w:w="780" w:type="dxa"/>
          </w:tcPr>
          <w:p>
            <w:pPr>
              <w:pStyle w:val="TableParagraph"/>
              <w:rPr>
                <w:sz w:val="20"/>
              </w:rPr>
            </w:pPr>
          </w:p>
        </w:tc>
      </w:tr>
      <w:tr>
        <w:trPr>
          <w:trHeight w:val="275" w:hRule="atLeast"/>
        </w:trPr>
        <w:tc>
          <w:tcPr>
            <w:tcW w:w="5375" w:type="dxa"/>
          </w:tcPr>
          <w:p>
            <w:pPr>
              <w:pStyle w:val="TableParagraph"/>
              <w:spacing w:line="256" w:lineRule="exact"/>
              <w:ind w:left="107"/>
              <w:rPr>
                <w:sz w:val="24"/>
              </w:rPr>
            </w:pPr>
            <w:r>
              <w:rPr>
                <w:sz w:val="24"/>
              </w:rPr>
              <w:t>(49)</w:t>
            </w:r>
            <w:r>
              <w:rPr>
                <w:spacing w:val="-6"/>
                <w:sz w:val="24"/>
              </w:rPr>
              <w:t> </w:t>
            </w:r>
            <w:r>
              <w:rPr>
                <w:sz w:val="24"/>
              </w:rPr>
              <w:t>Yes,</w:t>
            </w:r>
            <w:r>
              <w:rPr>
                <w:spacing w:val="-1"/>
                <w:sz w:val="24"/>
              </w:rPr>
              <w:t> </w:t>
            </w:r>
            <w:r>
              <w:rPr>
                <w:sz w:val="24"/>
              </w:rPr>
              <w:t>the governments</w:t>
            </w:r>
            <w:r>
              <w:rPr>
                <w:spacing w:val="-1"/>
                <w:sz w:val="24"/>
              </w:rPr>
              <w:t> </w:t>
            </w:r>
            <w:r>
              <w:rPr>
                <w:sz w:val="24"/>
              </w:rPr>
              <w:t>applause</w:t>
            </w:r>
            <w:r>
              <w:rPr>
                <w:spacing w:val="-3"/>
                <w:sz w:val="24"/>
              </w:rPr>
              <w:t> </w:t>
            </w:r>
            <w:r>
              <w:rPr>
                <w:sz w:val="24"/>
              </w:rPr>
              <w:t>and</w:t>
            </w:r>
            <w:r>
              <w:rPr>
                <w:spacing w:val="1"/>
                <w:sz w:val="24"/>
              </w:rPr>
              <w:t> </w:t>
            </w:r>
            <w:r>
              <w:rPr>
                <w:sz w:val="24"/>
              </w:rPr>
              <w:t>embrace</w:t>
            </w:r>
            <w:r>
              <w:rPr>
                <w:spacing w:val="-2"/>
                <w:sz w:val="24"/>
              </w:rPr>
              <w:t> </w:t>
            </w:r>
            <w:r>
              <w:rPr>
                <w:spacing w:val="-5"/>
                <w:sz w:val="24"/>
              </w:rPr>
              <w:t>it</w:t>
            </w:r>
          </w:p>
        </w:tc>
        <w:tc>
          <w:tcPr>
            <w:tcW w:w="802" w:type="dxa"/>
          </w:tcPr>
          <w:p>
            <w:pPr>
              <w:pStyle w:val="TableParagraph"/>
              <w:rPr>
                <w:sz w:val="20"/>
              </w:rPr>
            </w:pPr>
          </w:p>
        </w:tc>
        <w:tc>
          <w:tcPr>
            <w:tcW w:w="702" w:type="dxa"/>
          </w:tcPr>
          <w:p>
            <w:pPr>
              <w:pStyle w:val="TableParagraph"/>
              <w:rPr>
                <w:sz w:val="20"/>
              </w:rPr>
            </w:pPr>
          </w:p>
        </w:tc>
        <w:tc>
          <w:tcPr>
            <w:tcW w:w="869" w:type="dxa"/>
          </w:tcPr>
          <w:p>
            <w:pPr>
              <w:pStyle w:val="TableParagraph"/>
              <w:rPr>
                <w:sz w:val="20"/>
              </w:rPr>
            </w:pPr>
          </w:p>
        </w:tc>
        <w:tc>
          <w:tcPr>
            <w:tcW w:w="780" w:type="dxa"/>
          </w:tcPr>
          <w:p>
            <w:pPr>
              <w:pStyle w:val="TableParagraph"/>
              <w:rPr>
                <w:sz w:val="20"/>
              </w:rPr>
            </w:pPr>
          </w:p>
        </w:tc>
      </w:tr>
      <w:tr>
        <w:trPr>
          <w:trHeight w:val="551" w:hRule="atLeast"/>
        </w:trPr>
        <w:tc>
          <w:tcPr>
            <w:tcW w:w="5375" w:type="dxa"/>
          </w:tcPr>
          <w:p>
            <w:pPr>
              <w:pStyle w:val="TableParagraph"/>
              <w:spacing w:line="268" w:lineRule="exact"/>
              <w:ind w:left="107"/>
              <w:rPr>
                <w:sz w:val="24"/>
              </w:rPr>
            </w:pPr>
            <w:r>
              <w:rPr>
                <w:sz w:val="24"/>
              </w:rPr>
              <w:t>(50)</w:t>
            </w:r>
            <w:r>
              <w:rPr>
                <w:spacing w:val="40"/>
                <w:sz w:val="24"/>
              </w:rPr>
              <w:t> </w:t>
            </w:r>
            <w:r>
              <w:rPr>
                <w:sz w:val="24"/>
              </w:rPr>
              <w:t>The</w:t>
            </w:r>
            <w:r>
              <w:rPr>
                <w:spacing w:val="40"/>
                <w:sz w:val="24"/>
              </w:rPr>
              <w:t> </w:t>
            </w:r>
            <w:r>
              <w:rPr>
                <w:sz w:val="24"/>
              </w:rPr>
              <w:t>governments</w:t>
            </w:r>
            <w:r>
              <w:rPr>
                <w:spacing w:val="43"/>
                <w:sz w:val="24"/>
              </w:rPr>
              <w:t> </w:t>
            </w:r>
            <w:r>
              <w:rPr>
                <w:sz w:val="24"/>
              </w:rPr>
              <w:t>do</w:t>
            </w:r>
            <w:r>
              <w:rPr>
                <w:spacing w:val="41"/>
                <w:sz w:val="24"/>
              </w:rPr>
              <w:t> </w:t>
            </w:r>
            <w:r>
              <w:rPr>
                <w:sz w:val="24"/>
              </w:rPr>
              <w:t>not</w:t>
            </w:r>
            <w:r>
              <w:rPr>
                <w:spacing w:val="42"/>
                <w:sz w:val="24"/>
              </w:rPr>
              <w:t> </w:t>
            </w:r>
            <w:r>
              <w:rPr>
                <w:sz w:val="24"/>
              </w:rPr>
              <w:t>see</w:t>
            </w:r>
            <w:r>
              <w:rPr>
                <w:spacing w:val="42"/>
                <w:sz w:val="24"/>
              </w:rPr>
              <w:t> </w:t>
            </w:r>
            <w:r>
              <w:rPr>
                <w:sz w:val="24"/>
              </w:rPr>
              <w:t>it</w:t>
            </w:r>
            <w:r>
              <w:rPr>
                <w:spacing w:val="40"/>
                <w:sz w:val="24"/>
              </w:rPr>
              <w:t> </w:t>
            </w:r>
            <w:r>
              <w:rPr>
                <w:sz w:val="24"/>
              </w:rPr>
              <w:t>as</w:t>
            </w:r>
            <w:r>
              <w:rPr>
                <w:spacing w:val="42"/>
                <w:sz w:val="24"/>
              </w:rPr>
              <w:t> </w:t>
            </w:r>
            <w:r>
              <w:rPr>
                <w:sz w:val="24"/>
              </w:rPr>
              <w:t>a</w:t>
            </w:r>
            <w:r>
              <w:rPr>
                <w:spacing w:val="42"/>
                <w:sz w:val="24"/>
              </w:rPr>
              <w:t> </w:t>
            </w:r>
            <w:r>
              <w:rPr>
                <w:spacing w:val="-2"/>
                <w:sz w:val="24"/>
              </w:rPr>
              <w:t>necessary</w:t>
            </w:r>
          </w:p>
          <w:p>
            <w:pPr>
              <w:pStyle w:val="TableParagraph"/>
              <w:spacing w:line="264" w:lineRule="exact"/>
              <w:ind w:left="107"/>
              <w:rPr>
                <w:sz w:val="24"/>
              </w:rPr>
            </w:pPr>
            <w:r>
              <w:rPr>
                <w:spacing w:val="-2"/>
                <w:sz w:val="24"/>
              </w:rPr>
              <w:t>mechanism</w:t>
            </w:r>
          </w:p>
        </w:tc>
        <w:tc>
          <w:tcPr>
            <w:tcW w:w="802" w:type="dxa"/>
          </w:tcPr>
          <w:p>
            <w:pPr>
              <w:pStyle w:val="TableParagraph"/>
              <w:rPr>
                <w:sz w:val="24"/>
              </w:rPr>
            </w:pPr>
          </w:p>
        </w:tc>
        <w:tc>
          <w:tcPr>
            <w:tcW w:w="702" w:type="dxa"/>
          </w:tcPr>
          <w:p>
            <w:pPr>
              <w:pStyle w:val="TableParagraph"/>
              <w:rPr>
                <w:sz w:val="24"/>
              </w:rPr>
            </w:pPr>
          </w:p>
        </w:tc>
        <w:tc>
          <w:tcPr>
            <w:tcW w:w="869" w:type="dxa"/>
          </w:tcPr>
          <w:p>
            <w:pPr>
              <w:pStyle w:val="TableParagraph"/>
              <w:rPr>
                <w:sz w:val="24"/>
              </w:rPr>
            </w:pPr>
          </w:p>
        </w:tc>
        <w:tc>
          <w:tcPr>
            <w:tcW w:w="780" w:type="dxa"/>
          </w:tcPr>
          <w:p>
            <w:pPr>
              <w:pStyle w:val="TableParagraph"/>
              <w:rPr>
                <w:sz w:val="24"/>
              </w:rPr>
            </w:pPr>
          </w:p>
        </w:tc>
      </w:tr>
      <w:tr>
        <w:trPr>
          <w:trHeight w:val="553" w:hRule="atLeast"/>
        </w:trPr>
        <w:tc>
          <w:tcPr>
            <w:tcW w:w="5375" w:type="dxa"/>
          </w:tcPr>
          <w:p>
            <w:pPr>
              <w:pStyle w:val="TableParagraph"/>
              <w:spacing w:line="268" w:lineRule="exact"/>
              <w:ind w:left="107"/>
              <w:rPr>
                <w:sz w:val="24"/>
              </w:rPr>
            </w:pPr>
            <w:r>
              <w:rPr>
                <w:sz w:val="24"/>
              </w:rPr>
              <w:t>(51)</w:t>
            </w:r>
            <w:r>
              <w:rPr>
                <w:spacing w:val="27"/>
                <w:sz w:val="24"/>
              </w:rPr>
              <w:t> </w:t>
            </w:r>
            <w:r>
              <w:rPr>
                <w:sz w:val="24"/>
              </w:rPr>
              <w:t>The</w:t>
            </w:r>
            <w:r>
              <w:rPr>
                <w:spacing w:val="27"/>
                <w:sz w:val="24"/>
              </w:rPr>
              <w:t> </w:t>
            </w:r>
            <w:r>
              <w:rPr>
                <w:sz w:val="24"/>
              </w:rPr>
              <w:t>JTF</w:t>
            </w:r>
            <w:r>
              <w:rPr>
                <w:spacing w:val="26"/>
                <w:sz w:val="24"/>
              </w:rPr>
              <w:t> </w:t>
            </w:r>
            <w:r>
              <w:rPr>
                <w:sz w:val="24"/>
              </w:rPr>
              <w:t>roles</w:t>
            </w:r>
            <w:r>
              <w:rPr>
                <w:spacing w:val="30"/>
                <w:sz w:val="24"/>
              </w:rPr>
              <w:t> </w:t>
            </w:r>
            <w:r>
              <w:rPr>
                <w:sz w:val="24"/>
              </w:rPr>
              <w:t>and</w:t>
            </w:r>
            <w:r>
              <w:rPr>
                <w:spacing w:val="33"/>
                <w:sz w:val="24"/>
              </w:rPr>
              <w:t> </w:t>
            </w:r>
            <w:r>
              <w:rPr>
                <w:sz w:val="24"/>
              </w:rPr>
              <w:t>functions</w:t>
            </w:r>
            <w:r>
              <w:rPr>
                <w:spacing w:val="28"/>
                <w:sz w:val="24"/>
              </w:rPr>
              <w:t> </w:t>
            </w:r>
            <w:r>
              <w:rPr>
                <w:sz w:val="24"/>
              </w:rPr>
              <w:t>were</w:t>
            </w:r>
            <w:r>
              <w:rPr>
                <w:spacing w:val="26"/>
                <w:sz w:val="24"/>
              </w:rPr>
              <w:t> </w:t>
            </w:r>
            <w:r>
              <w:rPr>
                <w:sz w:val="24"/>
              </w:rPr>
              <w:t>described</w:t>
            </w:r>
            <w:r>
              <w:rPr>
                <w:spacing w:val="28"/>
                <w:sz w:val="24"/>
              </w:rPr>
              <w:t> </w:t>
            </w:r>
            <w:r>
              <w:rPr>
                <w:spacing w:val="-5"/>
                <w:sz w:val="24"/>
              </w:rPr>
              <w:t>as</w:t>
            </w:r>
          </w:p>
          <w:p>
            <w:pPr>
              <w:pStyle w:val="TableParagraph"/>
              <w:spacing w:line="266" w:lineRule="exact"/>
              <w:ind w:left="107"/>
              <w:rPr>
                <w:sz w:val="24"/>
              </w:rPr>
            </w:pPr>
            <w:r>
              <w:rPr>
                <w:spacing w:val="-2"/>
                <w:sz w:val="24"/>
              </w:rPr>
              <w:t>magnificent</w:t>
            </w:r>
          </w:p>
        </w:tc>
        <w:tc>
          <w:tcPr>
            <w:tcW w:w="802" w:type="dxa"/>
          </w:tcPr>
          <w:p>
            <w:pPr>
              <w:pStyle w:val="TableParagraph"/>
              <w:rPr>
                <w:sz w:val="24"/>
              </w:rPr>
            </w:pPr>
          </w:p>
        </w:tc>
        <w:tc>
          <w:tcPr>
            <w:tcW w:w="702" w:type="dxa"/>
          </w:tcPr>
          <w:p>
            <w:pPr>
              <w:pStyle w:val="TableParagraph"/>
              <w:rPr>
                <w:sz w:val="24"/>
              </w:rPr>
            </w:pPr>
          </w:p>
        </w:tc>
        <w:tc>
          <w:tcPr>
            <w:tcW w:w="869" w:type="dxa"/>
          </w:tcPr>
          <w:p>
            <w:pPr>
              <w:pStyle w:val="TableParagraph"/>
              <w:rPr>
                <w:sz w:val="24"/>
              </w:rPr>
            </w:pPr>
          </w:p>
        </w:tc>
        <w:tc>
          <w:tcPr>
            <w:tcW w:w="780" w:type="dxa"/>
          </w:tcPr>
          <w:p>
            <w:pPr>
              <w:pStyle w:val="TableParagraph"/>
              <w:rPr>
                <w:sz w:val="24"/>
              </w:rPr>
            </w:pPr>
          </w:p>
        </w:tc>
      </w:tr>
    </w:tbl>
    <w:p>
      <w:pPr>
        <w:spacing w:after="0"/>
        <w:rPr>
          <w:sz w:val="24"/>
        </w:rPr>
        <w:sectPr>
          <w:pgSz w:w="11910" w:h="16840"/>
          <w:pgMar w:header="0" w:footer="1561" w:top="1340" w:bottom="1760" w:left="720" w:right="180"/>
        </w:sectPr>
      </w:pPr>
    </w:p>
    <w:p>
      <w:pPr>
        <w:pStyle w:val="BodyText"/>
        <w:spacing w:before="74" w:after="9"/>
        <w:ind w:right="1260"/>
      </w:pPr>
      <w:r>
        <w:rPr/>
        <mc:AlternateContent>
          <mc:Choice Requires="wps">
            <w:drawing>
              <wp:anchor distT="0" distB="0" distL="0" distR="0" allowOverlap="1" layoutInCell="1" locked="0" behindDoc="1" simplePos="0" relativeHeight="480705536">
                <wp:simplePos x="0" y="0"/>
                <wp:positionH relativeFrom="page">
                  <wp:posOffset>-1537026</wp:posOffset>
                </wp:positionH>
                <wp:positionV relativeFrom="page">
                  <wp:posOffset>4900424</wp:posOffset>
                </wp:positionV>
                <wp:extent cx="10669905" cy="914400"/>
                <wp:effectExtent l="0" t="0" r="0" b="0"/>
                <wp:wrapNone/>
                <wp:docPr id="394" name="Textbox 394"/>
                <wp:cNvGraphicFramePr>
                  <a:graphicFrameLocks/>
                </wp:cNvGraphicFramePr>
                <a:graphic>
                  <a:graphicData uri="http://schemas.microsoft.com/office/word/2010/wordprocessingShape">
                    <wps:wsp>
                      <wps:cNvPr id="394" name="Textbox 394"/>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10944;rotation:306" type="#_x0000_t136" fillcolor="#ff5400" stroked="f">
                <o:extrusion v:ext="view" autorotationcenter="t"/>
                <v:textpath style="font-family:&quot;Arial MT&quot;;font-size:72pt;v-text-kern:t;mso-text-shadow:auto" string="UNIVERSITY OF IBADAN"/>
                <w10:wrap type="none"/>
              </v:shape>
            </w:pict>
          </mc:Fallback>
        </mc:AlternateContent>
      </w:r>
      <w:r>
        <w:rPr/>
        <w:t>RQ14</w:t>
      </w:r>
      <w:r>
        <w:rPr>
          <w:spacing w:val="23"/>
        </w:rPr>
        <w:t> </w:t>
      </w:r>
      <w:r>
        <w:rPr/>
        <w:t>What</w:t>
      </w:r>
      <w:r>
        <w:rPr>
          <w:spacing w:val="24"/>
        </w:rPr>
        <w:t> </w:t>
      </w:r>
      <w:r>
        <w:rPr/>
        <w:t>are</w:t>
      </w:r>
      <w:r>
        <w:rPr>
          <w:spacing w:val="22"/>
        </w:rPr>
        <w:t> </w:t>
      </w:r>
      <w:r>
        <w:rPr/>
        <w:t>the</w:t>
      </w:r>
      <w:r>
        <w:rPr>
          <w:spacing w:val="23"/>
        </w:rPr>
        <w:t> </w:t>
      </w:r>
      <w:r>
        <w:rPr/>
        <w:t>approaches</w:t>
      </w:r>
      <w:r>
        <w:rPr>
          <w:spacing w:val="24"/>
        </w:rPr>
        <w:t> </w:t>
      </w:r>
      <w:r>
        <w:rPr/>
        <w:t>adopted</w:t>
      </w:r>
      <w:r>
        <w:rPr>
          <w:spacing w:val="24"/>
        </w:rPr>
        <w:t> </w:t>
      </w:r>
      <w:r>
        <w:rPr/>
        <w:t>by the</w:t>
      </w:r>
      <w:r>
        <w:rPr>
          <w:spacing w:val="23"/>
        </w:rPr>
        <w:t> </w:t>
      </w:r>
      <w:r>
        <w:rPr/>
        <w:t>JTF</w:t>
      </w:r>
      <w:r>
        <w:rPr>
          <w:spacing w:val="22"/>
        </w:rPr>
        <w:t> </w:t>
      </w:r>
      <w:r>
        <w:rPr/>
        <w:t>in</w:t>
      </w:r>
      <w:r>
        <w:rPr>
          <w:spacing w:val="24"/>
        </w:rPr>
        <w:t> </w:t>
      </w:r>
      <w:r>
        <w:rPr/>
        <w:t>dealing</w:t>
      </w:r>
      <w:r>
        <w:rPr>
          <w:spacing w:val="21"/>
        </w:rPr>
        <w:t> </w:t>
      </w:r>
      <w:r>
        <w:rPr/>
        <w:t>with</w:t>
      </w:r>
      <w:r>
        <w:rPr>
          <w:spacing w:val="24"/>
        </w:rPr>
        <w:t> </w:t>
      </w:r>
      <w:r>
        <w:rPr/>
        <w:t>the</w:t>
      </w:r>
      <w:r>
        <w:rPr>
          <w:spacing w:val="23"/>
        </w:rPr>
        <w:t> </w:t>
      </w:r>
      <w:r>
        <w:rPr/>
        <w:t>Niger</w:t>
      </w:r>
      <w:r>
        <w:rPr>
          <w:spacing w:val="23"/>
        </w:rPr>
        <w:t> </w:t>
      </w:r>
      <w:r>
        <w:rPr/>
        <w:t>Delta </w:t>
      </w:r>
      <w:r>
        <w:rPr>
          <w:spacing w:val="-2"/>
        </w:rPr>
        <w:t>conflict?</w:t>
      </w: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63"/>
        <w:gridCol w:w="807"/>
        <w:gridCol w:w="704"/>
        <w:gridCol w:w="871"/>
        <w:gridCol w:w="782"/>
      </w:tblGrid>
      <w:tr>
        <w:trPr>
          <w:trHeight w:val="275" w:hRule="atLeast"/>
        </w:trPr>
        <w:tc>
          <w:tcPr>
            <w:tcW w:w="5363" w:type="dxa"/>
          </w:tcPr>
          <w:p>
            <w:pPr>
              <w:pStyle w:val="TableParagraph"/>
              <w:rPr>
                <w:sz w:val="20"/>
              </w:rPr>
            </w:pPr>
          </w:p>
        </w:tc>
        <w:tc>
          <w:tcPr>
            <w:tcW w:w="807" w:type="dxa"/>
          </w:tcPr>
          <w:p>
            <w:pPr>
              <w:pStyle w:val="TableParagraph"/>
              <w:spacing w:line="256" w:lineRule="exact"/>
              <w:ind w:left="107"/>
              <w:rPr>
                <w:sz w:val="24"/>
              </w:rPr>
            </w:pPr>
            <w:r>
              <w:rPr>
                <w:spacing w:val="-5"/>
                <w:sz w:val="24"/>
              </w:rPr>
              <w:t>SA</w:t>
            </w:r>
          </w:p>
        </w:tc>
        <w:tc>
          <w:tcPr>
            <w:tcW w:w="704" w:type="dxa"/>
          </w:tcPr>
          <w:p>
            <w:pPr>
              <w:pStyle w:val="TableParagraph"/>
              <w:spacing w:line="256" w:lineRule="exact"/>
              <w:ind w:left="106"/>
              <w:rPr>
                <w:sz w:val="24"/>
              </w:rPr>
            </w:pPr>
            <w:r>
              <w:rPr>
                <w:spacing w:val="-10"/>
                <w:sz w:val="24"/>
              </w:rPr>
              <w:t>A</w:t>
            </w:r>
          </w:p>
        </w:tc>
        <w:tc>
          <w:tcPr>
            <w:tcW w:w="871" w:type="dxa"/>
          </w:tcPr>
          <w:p>
            <w:pPr>
              <w:pStyle w:val="TableParagraph"/>
              <w:spacing w:line="256" w:lineRule="exact"/>
              <w:ind w:left="104"/>
              <w:rPr>
                <w:sz w:val="24"/>
              </w:rPr>
            </w:pPr>
            <w:r>
              <w:rPr>
                <w:spacing w:val="-5"/>
                <w:sz w:val="24"/>
              </w:rPr>
              <w:t>SD</w:t>
            </w:r>
          </w:p>
        </w:tc>
        <w:tc>
          <w:tcPr>
            <w:tcW w:w="782" w:type="dxa"/>
          </w:tcPr>
          <w:p>
            <w:pPr>
              <w:pStyle w:val="TableParagraph"/>
              <w:spacing w:line="256" w:lineRule="exact"/>
              <w:ind w:left="106"/>
              <w:rPr>
                <w:sz w:val="24"/>
              </w:rPr>
            </w:pPr>
            <w:r>
              <w:rPr>
                <w:spacing w:val="-10"/>
                <w:sz w:val="24"/>
              </w:rPr>
              <w:t>D</w:t>
            </w:r>
          </w:p>
        </w:tc>
      </w:tr>
      <w:tr>
        <w:trPr>
          <w:trHeight w:val="275" w:hRule="atLeast"/>
        </w:trPr>
        <w:tc>
          <w:tcPr>
            <w:tcW w:w="5363" w:type="dxa"/>
          </w:tcPr>
          <w:p>
            <w:pPr>
              <w:pStyle w:val="TableParagraph"/>
              <w:spacing w:line="256" w:lineRule="exact"/>
              <w:ind w:left="107"/>
              <w:rPr>
                <w:sz w:val="24"/>
              </w:rPr>
            </w:pPr>
            <w:r>
              <w:rPr>
                <w:sz w:val="24"/>
              </w:rPr>
              <w:t>(52)</w:t>
            </w:r>
            <w:r>
              <w:rPr>
                <w:spacing w:val="-4"/>
                <w:sz w:val="24"/>
              </w:rPr>
              <w:t> </w:t>
            </w:r>
            <w:r>
              <w:rPr>
                <w:sz w:val="24"/>
              </w:rPr>
              <w:t>The</w:t>
            </w:r>
            <w:r>
              <w:rPr>
                <w:spacing w:val="-2"/>
                <w:sz w:val="24"/>
              </w:rPr>
              <w:t> </w:t>
            </w:r>
            <w:r>
              <w:rPr>
                <w:sz w:val="24"/>
              </w:rPr>
              <w:t>use of</w:t>
            </w:r>
            <w:r>
              <w:rPr>
                <w:spacing w:val="1"/>
                <w:sz w:val="24"/>
              </w:rPr>
              <w:t> </w:t>
            </w:r>
            <w:r>
              <w:rPr>
                <w:spacing w:val="-4"/>
                <w:sz w:val="24"/>
              </w:rPr>
              <w:t>force</w:t>
            </w:r>
          </w:p>
        </w:tc>
        <w:tc>
          <w:tcPr>
            <w:tcW w:w="807" w:type="dxa"/>
          </w:tcPr>
          <w:p>
            <w:pPr>
              <w:pStyle w:val="TableParagraph"/>
              <w:rPr>
                <w:sz w:val="20"/>
              </w:rPr>
            </w:pPr>
          </w:p>
        </w:tc>
        <w:tc>
          <w:tcPr>
            <w:tcW w:w="704" w:type="dxa"/>
          </w:tcPr>
          <w:p>
            <w:pPr>
              <w:pStyle w:val="TableParagraph"/>
              <w:rPr>
                <w:sz w:val="20"/>
              </w:rPr>
            </w:pPr>
          </w:p>
        </w:tc>
        <w:tc>
          <w:tcPr>
            <w:tcW w:w="871" w:type="dxa"/>
          </w:tcPr>
          <w:p>
            <w:pPr>
              <w:pStyle w:val="TableParagraph"/>
              <w:rPr>
                <w:sz w:val="20"/>
              </w:rPr>
            </w:pPr>
          </w:p>
        </w:tc>
        <w:tc>
          <w:tcPr>
            <w:tcW w:w="782" w:type="dxa"/>
          </w:tcPr>
          <w:p>
            <w:pPr>
              <w:pStyle w:val="TableParagraph"/>
              <w:rPr>
                <w:sz w:val="20"/>
              </w:rPr>
            </w:pPr>
          </w:p>
        </w:tc>
      </w:tr>
      <w:tr>
        <w:trPr>
          <w:trHeight w:val="275" w:hRule="atLeast"/>
        </w:trPr>
        <w:tc>
          <w:tcPr>
            <w:tcW w:w="5363" w:type="dxa"/>
          </w:tcPr>
          <w:p>
            <w:pPr>
              <w:pStyle w:val="TableParagraph"/>
              <w:spacing w:line="256" w:lineRule="exact"/>
              <w:ind w:left="107"/>
              <w:rPr>
                <w:sz w:val="24"/>
              </w:rPr>
            </w:pPr>
            <w:r>
              <w:rPr>
                <w:sz w:val="24"/>
              </w:rPr>
              <w:t>(53)</w:t>
            </w:r>
            <w:r>
              <w:rPr>
                <w:spacing w:val="-2"/>
                <w:sz w:val="24"/>
              </w:rPr>
              <w:t> </w:t>
            </w:r>
            <w:r>
              <w:rPr>
                <w:sz w:val="24"/>
              </w:rPr>
              <w:t>The</w:t>
            </w:r>
            <w:r>
              <w:rPr>
                <w:spacing w:val="-2"/>
                <w:sz w:val="24"/>
              </w:rPr>
              <w:t> </w:t>
            </w:r>
            <w:r>
              <w:rPr>
                <w:sz w:val="24"/>
              </w:rPr>
              <w:t>use of</w:t>
            </w:r>
            <w:r>
              <w:rPr>
                <w:spacing w:val="1"/>
                <w:sz w:val="24"/>
              </w:rPr>
              <w:t> </w:t>
            </w:r>
            <w:r>
              <w:rPr>
                <w:spacing w:val="-2"/>
                <w:sz w:val="24"/>
              </w:rPr>
              <w:t>dialogue</w:t>
            </w:r>
          </w:p>
        </w:tc>
        <w:tc>
          <w:tcPr>
            <w:tcW w:w="807" w:type="dxa"/>
          </w:tcPr>
          <w:p>
            <w:pPr>
              <w:pStyle w:val="TableParagraph"/>
              <w:rPr>
                <w:sz w:val="20"/>
              </w:rPr>
            </w:pPr>
          </w:p>
        </w:tc>
        <w:tc>
          <w:tcPr>
            <w:tcW w:w="704" w:type="dxa"/>
          </w:tcPr>
          <w:p>
            <w:pPr>
              <w:pStyle w:val="TableParagraph"/>
              <w:rPr>
                <w:sz w:val="20"/>
              </w:rPr>
            </w:pPr>
          </w:p>
        </w:tc>
        <w:tc>
          <w:tcPr>
            <w:tcW w:w="871" w:type="dxa"/>
          </w:tcPr>
          <w:p>
            <w:pPr>
              <w:pStyle w:val="TableParagraph"/>
              <w:rPr>
                <w:sz w:val="20"/>
              </w:rPr>
            </w:pPr>
          </w:p>
        </w:tc>
        <w:tc>
          <w:tcPr>
            <w:tcW w:w="782" w:type="dxa"/>
          </w:tcPr>
          <w:p>
            <w:pPr>
              <w:pStyle w:val="TableParagraph"/>
              <w:rPr>
                <w:sz w:val="20"/>
              </w:rPr>
            </w:pPr>
          </w:p>
        </w:tc>
      </w:tr>
      <w:tr>
        <w:trPr>
          <w:trHeight w:val="278" w:hRule="atLeast"/>
        </w:trPr>
        <w:tc>
          <w:tcPr>
            <w:tcW w:w="5363" w:type="dxa"/>
          </w:tcPr>
          <w:p>
            <w:pPr>
              <w:pStyle w:val="TableParagraph"/>
              <w:spacing w:line="258" w:lineRule="exact"/>
              <w:ind w:left="107"/>
              <w:rPr>
                <w:sz w:val="24"/>
              </w:rPr>
            </w:pPr>
            <w:r>
              <w:rPr>
                <w:sz w:val="24"/>
              </w:rPr>
              <w:t>(54)</w:t>
            </w:r>
            <w:r>
              <w:rPr>
                <w:spacing w:val="-2"/>
                <w:sz w:val="24"/>
              </w:rPr>
              <w:t> </w:t>
            </w:r>
            <w:r>
              <w:rPr>
                <w:sz w:val="24"/>
              </w:rPr>
              <w:t>Use</w:t>
            </w:r>
            <w:r>
              <w:rPr>
                <w:spacing w:val="-2"/>
                <w:sz w:val="24"/>
              </w:rPr>
              <w:t> </w:t>
            </w:r>
            <w:r>
              <w:rPr>
                <w:sz w:val="24"/>
              </w:rPr>
              <w:t>of </w:t>
            </w:r>
            <w:r>
              <w:rPr>
                <w:spacing w:val="-2"/>
                <w:sz w:val="24"/>
              </w:rPr>
              <w:t>negotiation</w:t>
            </w:r>
          </w:p>
        </w:tc>
        <w:tc>
          <w:tcPr>
            <w:tcW w:w="807" w:type="dxa"/>
          </w:tcPr>
          <w:p>
            <w:pPr>
              <w:pStyle w:val="TableParagraph"/>
              <w:rPr>
                <w:sz w:val="20"/>
              </w:rPr>
            </w:pPr>
          </w:p>
        </w:tc>
        <w:tc>
          <w:tcPr>
            <w:tcW w:w="704" w:type="dxa"/>
          </w:tcPr>
          <w:p>
            <w:pPr>
              <w:pStyle w:val="TableParagraph"/>
              <w:rPr>
                <w:sz w:val="20"/>
              </w:rPr>
            </w:pPr>
          </w:p>
        </w:tc>
        <w:tc>
          <w:tcPr>
            <w:tcW w:w="871" w:type="dxa"/>
          </w:tcPr>
          <w:p>
            <w:pPr>
              <w:pStyle w:val="TableParagraph"/>
              <w:rPr>
                <w:sz w:val="20"/>
              </w:rPr>
            </w:pPr>
          </w:p>
        </w:tc>
        <w:tc>
          <w:tcPr>
            <w:tcW w:w="782" w:type="dxa"/>
          </w:tcPr>
          <w:p>
            <w:pPr>
              <w:pStyle w:val="TableParagraph"/>
              <w:rPr>
                <w:sz w:val="20"/>
              </w:rPr>
            </w:pPr>
          </w:p>
        </w:tc>
      </w:tr>
      <w:tr>
        <w:trPr>
          <w:trHeight w:val="275" w:hRule="atLeast"/>
        </w:trPr>
        <w:tc>
          <w:tcPr>
            <w:tcW w:w="5363" w:type="dxa"/>
          </w:tcPr>
          <w:p>
            <w:pPr>
              <w:pStyle w:val="TableParagraph"/>
              <w:spacing w:line="256" w:lineRule="exact"/>
              <w:ind w:left="107"/>
              <w:rPr>
                <w:sz w:val="24"/>
              </w:rPr>
            </w:pPr>
            <w:r>
              <w:rPr>
                <w:sz w:val="24"/>
              </w:rPr>
              <w:t>(55)</w:t>
            </w:r>
            <w:r>
              <w:rPr>
                <w:spacing w:val="-4"/>
                <w:sz w:val="24"/>
              </w:rPr>
              <w:t> </w:t>
            </w:r>
            <w:r>
              <w:rPr>
                <w:sz w:val="24"/>
              </w:rPr>
              <w:t>All of the</w:t>
            </w:r>
            <w:r>
              <w:rPr>
                <w:spacing w:val="-1"/>
                <w:sz w:val="24"/>
              </w:rPr>
              <w:t> </w:t>
            </w:r>
            <w:r>
              <w:rPr>
                <w:spacing w:val="-4"/>
                <w:sz w:val="24"/>
              </w:rPr>
              <w:t>above</w:t>
            </w:r>
          </w:p>
        </w:tc>
        <w:tc>
          <w:tcPr>
            <w:tcW w:w="807" w:type="dxa"/>
          </w:tcPr>
          <w:p>
            <w:pPr>
              <w:pStyle w:val="TableParagraph"/>
              <w:rPr>
                <w:sz w:val="20"/>
              </w:rPr>
            </w:pPr>
          </w:p>
        </w:tc>
        <w:tc>
          <w:tcPr>
            <w:tcW w:w="704" w:type="dxa"/>
          </w:tcPr>
          <w:p>
            <w:pPr>
              <w:pStyle w:val="TableParagraph"/>
              <w:rPr>
                <w:sz w:val="20"/>
              </w:rPr>
            </w:pPr>
          </w:p>
        </w:tc>
        <w:tc>
          <w:tcPr>
            <w:tcW w:w="871" w:type="dxa"/>
          </w:tcPr>
          <w:p>
            <w:pPr>
              <w:pStyle w:val="TableParagraph"/>
              <w:rPr>
                <w:sz w:val="20"/>
              </w:rPr>
            </w:pPr>
          </w:p>
        </w:tc>
        <w:tc>
          <w:tcPr>
            <w:tcW w:w="782" w:type="dxa"/>
          </w:tcPr>
          <w:p>
            <w:pPr>
              <w:pStyle w:val="TableParagraph"/>
              <w:rPr>
                <w:sz w:val="20"/>
              </w:rPr>
            </w:pPr>
          </w:p>
        </w:tc>
      </w:tr>
    </w:tbl>
    <w:p>
      <w:pPr>
        <w:pStyle w:val="BodyText"/>
        <w:spacing w:before="270" w:after="8"/>
      </w:pPr>
      <w:r>
        <w:rPr/>
        <w:t>RQ15</w:t>
      </w:r>
      <w:r>
        <w:rPr>
          <w:spacing w:val="-2"/>
        </w:rPr>
        <w:t> </w:t>
      </w:r>
      <w:r>
        <w:rPr/>
        <w:t>Is</w:t>
      </w:r>
      <w:r>
        <w:rPr>
          <w:spacing w:val="-1"/>
        </w:rPr>
        <w:t> </w:t>
      </w:r>
      <w:r>
        <w:rPr/>
        <w:t>peace</w:t>
      </w:r>
      <w:r>
        <w:rPr>
          <w:spacing w:val="-2"/>
        </w:rPr>
        <w:t> </w:t>
      </w:r>
      <w:r>
        <w:rPr/>
        <w:t>in</w:t>
      </w:r>
      <w:r>
        <w:rPr>
          <w:spacing w:val="-1"/>
        </w:rPr>
        <w:t> </w:t>
      </w:r>
      <w:r>
        <w:rPr/>
        <w:t>the</w:t>
      </w:r>
      <w:r>
        <w:rPr>
          <w:spacing w:val="-2"/>
        </w:rPr>
        <w:t> </w:t>
      </w:r>
      <w:r>
        <w:rPr/>
        <w:t>Niger Delta</w:t>
      </w:r>
      <w:r>
        <w:rPr>
          <w:spacing w:val="-2"/>
        </w:rPr>
        <w:t> </w:t>
      </w:r>
      <w:r>
        <w:rPr/>
        <w:t>in</w:t>
      </w:r>
      <w:r>
        <w:rPr>
          <w:spacing w:val="2"/>
        </w:rPr>
        <w:t> </w:t>
      </w:r>
      <w:r>
        <w:rPr/>
        <w:t>sight</w:t>
      </w:r>
      <w:r>
        <w:rPr>
          <w:spacing w:val="-1"/>
        </w:rPr>
        <w:t> </w:t>
      </w:r>
      <w:r>
        <w:rPr/>
        <w:t>with</w:t>
      </w:r>
      <w:r>
        <w:rPr>
          <w:spacing w:val="-1"/>
        </w:rPr>
        <w:t> </w:t>
      </w:r>
      <w:r>
        <w:rPr/>
        <w:t>JTF</w:t>
      </w:r>
      <w:r>
        <w:rPr>
          <w:spacing w:val="-2"/>
        </w:rPr>
        <w:t> intervention?</w:t>
      </w: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63"/>
        <w:gridCol w:w="807"/>
        <w:gridCol w:w="704"/>
        <w:gridCol w:w="871"/>
        <w:gridCol w:w="782"/>
      </w:tblGrid>
      <w:tr>
        <w:trPr>
          <w:trHeight w:val="275" w:hRule="atLeast"/>
        </w:trPr>
        <w:tc>
          <w:tcPr>
            <w:tcW w:w="5363" w:type="dxa"/>
          </w:tcPr>
          <w:p>
            <w:pPr>
              <w:pStyle w:val="TableParagraph"/>
              <w:rPr>
                <w:sz w:val="20"/>
              </w:rPr>
            </w:pPr>
          </w:p>
        </w:tc>
        <w:tc>
          <w:tcPr>
            <w:tcW w:w="807" w:type="dxa"/>
          </w:tcPr>
          <w:p>
            <w:pPr>
              <w:pStyle w:val="TableParagraph"/>
              <w:spacing w:line="256" w:lineRule="exact"/>
              <w:ind w:left="107"/>
              <w:rPr>
                <w:sz w:val="24"/>
              </w:rPr>
            </w:pPr>
            <w:r>
              <w:rPr>
                <w:spacing w:val="-5"/>
                <w:sz w:val="24"/>
              </w:rPr>
              <w:t>SA</w:t>
            </w:r>
          </w:p>
        </w:tc>
        <w:tc>
          <w:tcPr>
            <w:tcW w:w="704" w:type="dxa"/>
          </w:tcPr>
          <w:p>
            <w:pPr>
              <w:pStyle w:val="TableParagraph"/>
              <w:spacing w:line="256" w:lineRule="exact"/>
              <w:ind w:left="106"/>
              <w:rPr>
                <w:sz w:val="24"/>
              </w:rPr>
            </w:pPr>
            <w:r>
              <w:rPr>
                <w:spacing w:val="-10"/>
                <w:sz w:val="24"/>
              </w:rPr>
              <w:t>A</w:t>
            </w:r>
          </w:p>
        </w:tc>
        <w:tc>
          <w:tcPr>
            <w:tcW w:w="871" w:type="dxa"/>
          </w:tcPr>
          <w:p>
            <w:pPr>
              <w:pStyle w:val="TableParagraph"/>
              <w:spacing w:line="256" w:lineRule="exact"/>
              <w:ind w:left="104"/>
              <w:rPr>
                <w:sz w:val="24"/>
              </w:rPr>
            </w:pPr>
            <w:r>
              <w:rPr>
                <w:spacing w:val="-5"/>
                <w:sz w:val="24"/>
              </w:rPr>
              <w:t>SD</w:t>
            </w:r>
          </w:p>
        </w:tc>
        <w:tc>
          <w:tcPr>
            <w:tcW w:w="782" w:type="dxa"/>
          </w:tcPr>
          <w:p>
            <w:pPr>
              <w:pStyle w:val="TableParagraph"/>
              <w:spacing w:line="256" w:lineRule="exact"/>
              <w:ind w:left="106"/>
              <w:rPr>
                <w:sz w:val="24"/>
              </w:rPr>
            </w:pPr>
            <w:r>
              <w:rPr>
                <w:spacing w:val="-10"/>
                <w:sz w:val="24"/>
              </w:rPr>
              <w:t>D</w:t>
            </w:r>
          </w:p>
        </w:tc>
      </w:tr>
      <w:tr>
        <w:trPr>
          <w:trHeight w:val="275" w:hRule="atLeast"/>
        </w:trPr>
        <w:tc>
          <w:tcPr>
            <w:tcW w:w="5363" w:type="dxa"/>
          </w:tcPr>
          <w:p>
            <w:pPr>
              <w:pStyle w:val="TableParagraph"/>
              <w:spacing w:line="256" w:lineRule="exact"/>
              <w:ind w:left="107"/>
              <w:rPr>
                <w:sz w:val="24"/>
              </w:rPr>
            </w:pPr>
            <w:r>
              <w:rPr>
                <w:sz w:val="24"/>
              </w:rPr>
              <w:t>(56)</w:t>
            </w:r>
            <w:r>
              <w:rPr>
                <w:spacing w:val="-3"/>
                <w:sz w:val="24"/>
              </w:rPr>
              <w:t> </w:t>
            </w:r>
            <w:r>
              <w:rPr>
                <w:sz w:val="24"/>
              </w:rPr>
              <w:t>Yes, peace</w:t>
            </w:r>
            <w:r>
              <w:rPr>
                <w:spacing w:val="-2"/>
                <w:sz w:val="24"/>
              </w:rPr>
              <w:t> </w:t>
            </w:r>
            <w:r>
              <w:rPr>
                <w:sz w:val="24"/>
              </w:rPr>
              <w:t>is attainable</w:t>
            </w:r>
            <w:r>
              <w:rPr>
                <w:spacing w:val="-1"/>
                <w:sz w:val="24"/>
              </w:rPr>
              <w:t> </w:t>
            </w:r>
            <w:r>
              <w:rPr>
                <w:sz w:val="24"/>
              </w:rPr>
              <w:t>in the</w:t>
            </w:r>
            <w:r>
              <w:rPr>
                <w:spacing w:val="-1"/>
                <w:sz w:val="24"/>
              </w:rPr>
              <w:t> </w:t>
            </w:r>
            <w:r>
              <w:rPr>
                <w:sz w:val="24"/>
              </w:rPr>
              <w:t>near</w:t>
            </w:r>
            <w:r>
              <w:rPr>
                <w:spacing w:val="1"/>
                <w:sz w:val="24"/>
              </w:rPr>
              <w:t> </w:t>
            </w:r>
            <w:r>
              <w:rPr>
                <w:spacing w:val="-2"/>
                <w:sz w:val="24"/>
              </w:rPr>
              <w:t>future</w:t>
            </w:r>
          </w:p>
        </w:tc>
        <w:tc>
          <w:tcPr>
            <w:tcW w:w="807" w:type="dxa"/>
          </w:tcPr>
          <w:p>
            <w:pPr>
              <w:pStyle w:val="TableParagraph"/>
              <w:rPr>
                <w:sz w:val="20"/>
              </w:rPr>
            </w:pPr>
          </w:p>
        </w:tc>
        <w:tc>
          <w:tcPr>
            <w:tcW w:w="704" w:type="dxa"/>
          </w:tcPr>
          <w:p>
            <w:pPr>
              <w:pStyle w:val="TableParagraph"/>
              <w:rPr>
                <w:sz w:val="20"/>
              </w:rPr>
            </w:pPr>
          </w:p>
        </w:tc>
        <w:tc>
          <w:tcPr>
            <w:tcW w:w="871" w:type="dxa"/>
          </w:tcPr>
          <w:p>
            <w:pPr>
              <w:pStyle w:val="TableParagraph"/>
              <w:rPr>
                <w:sz w:val="20"/>
              </w:rPr>
            </w:pPr>
          </w:p>
        </w:tc>
        <w:tc>
          <w:tcPr>
            <w:tcW w:w="782" w:type="dxa"/>
          </w:tcPr>
          <w:p>
            <w:pPr>
              <w:pStyle w:val="TableParagraph"/>
              <w:rPr>
                <w:sz w:val="20"/>
              </w:rPr>
            </w:pPr>
          </w:p>
        </w:tc>
      </w:tr>
      <w:tr>
        <w:trPr>
          <w:trHeight w:val="275" w:hRule="atLeast"/>
        </w:trPr>
        <w:tc>
          <w:tcPr>
            <w:tcW w:w="5363" w:type="dxa"/>
          </w:tcPr>
          <w:p>
            <w:pPr>
              <w:pStyle w:val="TableParagraph"/>
              <w:spacing w:line="256" w:lineRule="exact"/>
              <w:ind w:left="107"/>
              <w:rPr>
                <w:sz w:val="24"/>
              </w:rPr>
            </w:pPr>
            <w:r>
              <w:rPr>
                <w:sz w:val="24"/>
              </w:rPr>
              <w:t>(57)</w:t>
            </w:r>
            <w:r>
              <w:rPr>
                <w:spacing w:val="-3"/>
                <w:sz w:val="24"/>
              </w:rPr>
              <w:t> </w:t>
            </w:r>
            <w:r>
              <w:rPr>
                <w:sz w:val="24"/>
              </w:rPr>
              <w:t>No, peace will continue</w:t>
            </w:r>
            <w:r>
              <w:rPr>
                <w:spacing w:val="-2"/>
                <w:sz w:val="24"/>
              </w:rPr>
              <w:t> </w:t>
            </w:r>
            <w:r>
              <w:rPr>
                <w:sz w:val="24"/>
              </w:rPr>
              <w:t>to </w:t>
            </w:r>
            <w:r>
              <w:rPr>
                <w:spacing w:val="-2"/>
                <w:sz w:val="24"/>
              </w:rPr>
              <w:t>elude</w:t>
            </w:r>
          </w:p>
        </w:tc>
        <w:tc>
          <w:tcPr>
            <w:tcW w:w="807" w:type="dxa"/>
          </w:tcPr>
          <w:p>
            <w:pPr>
              <w:pStyle w:val="TableParagraph"/>
              <w:rPr>
                <w:sz w:val="20"/>
              </w:rPr>
            </w:pPr>
          </w:p>
        </w:tc>
        <w:tc>
          <w:tcPr>
            <w:tcW w:w="704" w:type="dxa"/>
          </w:tcPr>
          <w:p>
            <w:pPr>
              <w:pStyle w:val="TableParagraph"/>
              <w:rPr>
                <w:sz w:val="20"/>
              </w:rPr>
            </w:pPr>
          </w:p>
        </w:tc>
        <w:tc>
          <w:tcPr>
            <w:tcW w:w="871" w:type="dxa"/>
          </w:tcPr>
          <w:p>
            <w:pPr>
              <w:pStyle w:val="TableParagraph"/>
              <w:rPr>
                <w:sz w:val="20"/>
              </w:rPr>
            </w:pPr>
          </w:p>
        </w:tc>
        <w:tc>
          <w:tcPr>
            <w:tcW w:w="782" w:type="dxa"/>
          </w:tcPr>
          <w:p>
            <w:pPr>
              <w:pStyle w:val="TableParagraph"/>
              <w:rPr>
                <w:sz w:val="20"/>
              </w:rPr>
            </w:pPr>
          </w:p>
        </w:tc>
      </w:tr>
      <w:tr>
        <w:trPr>
          <w:trHeight w:val="554" w:hRule="atLeast"/>
        </w:trPr>
        <w:tc>
          <w:tcPr>
            <w:tcW w:w="5363" w:type="dxa"/>
          </w:tcPr>
          <w:p>
            <w:pPr>
              <w:pStyle w:val="TableParagraph"/>
              <w:spacing w:line="270" w:lineRule="exact"/>
              <w:ind w:left="107"/>
              <w:rPr>
                <w:sz w:val="24"/>
              </w:rPr>
            </w:pPr>
            <w:r>
              <w:rPr>
                <w:sz w:val="24"/>
              </w:rPr>
              <w:t>(58)</w:t>
            </w:r>
            <w:r>
              <w:rPr>
                <w:spacing w:val="71"/>
                <w:sz w:val="24"/>
              </w:rPr>
              <w:t> </w:t>
            </w:r>
            <w:r>
              <w:rPr>
                <w:sz w:val="24"/>
              </w:rPr>
              <w:t>No,</w:t>
            </w:r>
            <w:r>
              <w:rPr>
                <w:spacing w:val="73"/>
                <w:sz w:val="24"/>
              </w:rPr>
              <w:t> </w:t>
            </w:r>
            <w:r>
              <w:rPr>
                <w:sz w:val="24"/>
              </w:rPr>
              <w:t>JTF</w:t>
            </w:r>
            <w:r>
              <w:rPr>
                <w:spacing w:val="71"/>
                <w:sz w:val="24"/>
              </w:rPr>
              <w:t> </w:t>
            </w:r>
            <w:r>
              <w:rPr>
                <w:sz w:val="24"/>
              </w:rPr>
              <w:t>will</w:t>
            </w:r>
            <w:r>
              <w:rPr>
                <w:spacing w:val="74"/>
                <w:sz w:val="24"/>
              </w:rPr>
              <w:t> </w:t>
            </w:r>
            <w:r>
              <w:rPr>
                <w:sz w:val="24"/>
              </w:rPr>
              <w:t>never</w:t>
            </w:r>
            <w:r>
              <w:rPr>
                <w:spacing w:val="73"/>
                <w:sz w:val="24"/>
              </w:rPr>
              <w:t> </w:t>
            </w:r>
            <w:r>
              <w:rPr>
                <w:sz w:val="24"/>
              </w:rPr>
              <w:t>achieve</w:t>
            </w:r>
            <w:r>
              <w:rPr>
                <w:spacing w:val="72"/>
                <w:sz w:val="24"/>
              </w:rPr>
              <w:t> </w:t>
            </w:r>
            <w:r>
              <w:rPr>
                <w:sz w:val="24"/>
              </w:rPr>
              <w:t>its</w:t>
            </w:r>
            <w:r>
              <w:rPr>
                <w:spacing w:val="74"/>
                <w:sz w:val="24"/>
              </w:rPr>
              <w:t> </w:t>
            </w:r>
            <w:r>
              <w:rPr>
                <w:sz w:val="24"/>
              </w:rPr>
              <w:t>objective</w:t>
            </w:r>
            <w:r>
              <w:rPr>
                <w:spacing w:val="75"/>
                <w:sz w:val="24"/>
              </w:rPr>
              <w:t> </w:t>
            </w:r>
            <w:r>
              <w:rPr>
                <w:spacing w:val="-5"/>
                <w:sz w:val="24"/>
              </w:rPr>
              <w:t>of</w:t>
            </w:r>
          </w:p>
          <w:p>
            <w:pPr>
              <w:pStyle w:val="TableParagraph"/>
              <w:spacing w:line="264" w:lineRule="exact"/>
              <w:ind w:left="107"/>
              <w:rPr>
                <w:sz w:val="24"/>
              </w:rPr>
            </w:pPr>
            <w:r>
              <w:rPr>
                <w:sz w:val="24"/>
              </w:rPr>
              <w:t>sustainable</w:t>
            </w:r>
            <w:r>
              <w:rPr>
                <w:spacing w:val="-4"/>
                <w:sz w:val="24"/>
              </w:rPr>
              <w:t> peace</w:t>
            </w:r>
          </w:p>
        </w:tc>
        <w:tc>
          <w:tcPr>
            <w:tcW w:w="807" w:type="dxa"/>
          </w:tcPr>
          <w:p>
            <w:pPr>
              <w:pStyle w:val="TableParagraph"/>
              <w:rPr>
                <w:sz w:val="24"/>
              </w:rPr>
            </w:pPr>
          </w:p>
        </w:tc>
        <w:tc>
          <w:tcPr>
            <w:tcW w:w="704" w:type="dxa"/>
          </w:tcPr>
          <w:p>
            <w:pPr>
              <w:pStyle w:val="TableParagraph"/>
              <w:rPr>
                <w:sz w:val="24"/>
              </w:rPr>
            </w:pPr>
          </w:p>
        </w:tc>
        <w:tc>
          <w:tcPr>
            <w:tcW w:w="871" w:type="dxa"/>
          </w:tcPr>
          <w:p>
            <w:pPr>
              <w:pStyle w:val="TableParagraph"/>
              <w:rPr>
                <w:sz w:val="24"/>
              </w:rPr>
            </w:pPr>
          </w:p>
        </w:tc>
        <w:tc>
          <w:tcPr>
            <w:tcW w:w="782" w:type="dxa"/>
          </w:tcPr>
          <w:p>
            <w:pPr>
              <w:pStyle w:val="TableParagraph"/>
              <w:rPr>
                <w:sz w:val="24"/>
              </w:rPr>
            </w:pPr>
          </w:p>
        </w:tc>
      </w:tr>
      <w:tr>
        <w:trPr>
          <w:trHeight w:val="551" w:hRule="atLeast"/>
        </w:trPr>
        <w:tc>
          <w:tcPr>
            <w:tcW w:w="5363" w:type="dxa"/>
          </w:tcPr>
          <w:p>
            <w:pPr>
              <w:pStyle w:val="TableParagraph"/>
              <w:spacing w:line="268" w:lineRule="exact"/>
              <w:ind w:left="107"/>
              <w:rPr>
                <w:sz w:val="24"/>
              </w:rPr>
            </w:pPr>
            <w:r>
              <w:rPr>
                <w:sz w:val="24"/>
              </w:rPr>
              <w:t>(59)</w:t>
            </w:r>
            <w:r>
              <w:rPr>
                <w:spacing w:val="14"/>
                <w:sz w:val="24"/>
              </w:rPr>
              <w:t> </w:t>
            </w:r>
            <w:r>
              <w:rPr>
                <w:sz w:val="24"/>
              </w:rPr>
              <w:t>There</w:t>
            </w:r>
            <w:r>
              <w:rPr>
                <w:spacing w:val="15"/>
                <w:sz w:val="24"/>
              </w:rPr>
              <w:t> </w:t>
            </w:r>
            <w:r>
              <w:rPr>
                <w:sz w:val="24"/>
              </w:rPr>
              <w:t>will</w:t>
            </w:r>
            <w:r>
              <w:rPr>
                <w:spacing w:val="16"/>
                <w:sz w:val="24"/>
              </w:rPr>
              <w:t> </w:t>
            </w:r>
            <w:r>
              <w:rPr>
                <w:sz w:val="24"/>
              </w:rPr>
              <w:t>be</w:t>
            </w:r>
            <w:r>
              <w:rPr>
                <w:spacing w:val="15"/>
                <w:sz w:val="24"/>
              </w:rPr>
              <w:t> </w:t>
            </w:r>
            <w:r>
              <w:rPr>
                <w:sz w:val="24"/>
              </w:rPr>
              <w:t>peace</w:t>
            </w:r>
            <w:r>
              <w:rPr>
                <w:spacing w:val="17"/>
                <w:sz w:val="24"/>
              </w:rPr>
              <w:t> </w:t>
            </w:r>
            <w:r>
              <w:rPr>
                <w:sz w:val="24"/>
              </w:rPr>
              <w:t>if</w:t>
            </w:r>
            <w:r>
              <w:rPr>
                <w:spacing w:val="15"/>
                <w:sz w:val="24"/>
              </w:rPr>
              <w:t> </w:t>
            </w:r>
            <w:r>
              <w:rPr>
                <w:sz w:val="24"/>
              </w:rPr>
              <w:t>JTF</w:t>
            </w:r>
            <w:r>
              <w:rPr>
                <w:spacing w:val="14"/>
                <w:sz w:val="24"/>
              </w:rPr>
              <w:t> </w:t>
            </w:r>
            <w:r>
              <w:rPr>
                <w:sz w:val="24"/>
              </w:rPr>
              <w:t>operations</w:t>
            </w:r>
            <w:r>
              <w:rPr>
                <w:spacing w:val="16"/>
                <w:sz w:val="24"/>
              </w:rPr>
              <w:t> </w:t>
            </w:r>
            <w:r>
              <w:rPr>
                <w:spacing w:val="-2"/>
                <w:sz w:val="24"/>
              </w:rPr>
              <w:t>strategies</w:t>
            </w:r>
          </w:p>
          <w:p>
            <w:pPr>
              <w:pStyle w:val="TableParagraph"/>
              <w:spacing w:line="264" w:lineRule="exact"/>
              <w:ind w:left="107"/>
              <w:rPr>
                <w:sz w:val="24"/>
              </w:rPr>
            </w:pPr>
            <w:r>
              <w:rPr>
                <w:sz w:val="24"/>
              </w:rPr>
              <w:t>are</w:t>
            </w:r>
            <w:r>
              <w:rPr>
                <w:spacing w:val="-5"/>
                <w:sz w:val="24"/>
              </w:rPr>
              <w:t> </w:t>
            </w:r>
            <w:r>
              <w:rPr>
                <w:spacing w:val="-2"/>
                <w:sz w:val="24"/>
              </w:rPr>
              <w:t>changed</w:t>
            </w:r>
          </w:p>
        </w:tc>
        <w:tc>
          <w:tcPr>
            <w:tcW w:w="807" w:type="dxa"/>
          </w:tcPr>
          <w:p>
            <w:pPr>
              <w:pStyle w:val="TableParagraph"/>
              <w:rPr>
                <w:sz w:val="24"/>
              </w:rPr>
            </w:pPr>
          </w:p>
        </w:tc>
        <w:tc>
          <w:tcPr>
            <w:tcW w:w="704" w:type="dxa"/>
          </w:tcPr>
          <w:p>
            <w:pPr>
              <w:pStyle w:val="TableParagraph"/>
              <w:rPr>
                <w:sz w:val="24"/>
              </w:rPr>
            </w:pPr>
          </w:p>
        </w:tc>
        <w:tc>
          <w:tcPr>
            <w:tcW w:w="871" w:type="dxa"/>
          </w:tcPr>
          <w:p>
            <w:pPr>
              <w:pStyle w:val="TableParagraph"/>
              <w:rPr>
                <w:sz w:val="24"/>
              </w:rPr>
            </w:pPr>
          </w:p>
        </w:tc>
        <w:tc>
          <w:tcPr>
            <w:tcW w:w="782" w:type="dxa"/>
          </w:tcPr>
          <w:p>
            <w:pPr>
              <w:pStyle w:val="TableParagraph"/>
              <w:rPr>
                <w:sz w:val="24"/>
              </w:rPr>
            </w:pPr>
          </w:p>
        </w:tc>
      </w:tr>
    </w:tbl>
    <w:p>
      <w:pPr>
        <w:pStyle w:val="BodyText"/>
        <w:spacing w:before="270" w:after="9"/>
      </w:pPr>
      <w:r>
        <w:rPr/>
        <w:t>RQ16</w:t>
      </w:r>
      <w:r>
        <w:rPr>
          <w:spacing w:val="-3"/>
        </w:rPr>
        <w:t> </w:t>
      </w:r>
      <w:r>
        <w:rPr/>
        <w:t>What are</w:t>
      </w:r>
      <w:r>
        <w:rPr>
          <w:spacing w:val="-1"/>
        </w:rPr>
        <w:t> </w:t>
      </w:r>
      <w:r>
        <w:rPr/>
        <w:t>the</w:t>
      </w:r>
      <w:r>
        <w:rPr>
          <w:spacing w:val="-1"/>
        </w:rPr>
        <w:t> </w:t>
      </w:r>
      <w:r>
        <w:rPr/>
        <w:t>effects of</w:t>
      </w:r>
      <w:r>
        <w:rPr>
          <w:spacing w:val="-1"/>
        </w:rPr>
        <w:t> </w:t>
      </w:r>
      <w:r>
        <w:rPr/>
        <w:t>the</w:t>
      </w:r>
      <w:r>
        <w:rPr>
          <w:spacing w:val="-1"/>
        </w:rPr>
        <w:t> </w:t>
      </w:r>
      <w:r>
        <w:rPr/>
        <w:t>JTF</w:t>
      </w:r>
      <w:r>
        <w:rPr>
          <w:spacing w:val="-2"/>
        </w:rPr>
        <w:t> </w:t>
      </w:r>
      <w:r>
        <w:rPr/>
        <w:t>intervention on</w:t>
      </w:r>
      <w:r>
        <w:rPr>
          <w:spacing w:val="-1"/>
        </w:rPr>
        <w:t> </w:t>
      </w:r>
      <w:r>
        <w:rPr/>
        <w:t>the Niger</w:t>
      </w:r>
      <w:r>
        <w:rPr>
          <w:spacing w:val="-2"/>
        </w:rPr>
        <w:t> </w:t>
      </w:r>
      <w:r>
        <w:rPr/>
        <w:t>Delta</w:t>
      </w:r>
      <w:r>
        <w:rPr>
          <w:spacing w:val="-1"/>
        </w:rPr>
        <w:t> </w:t>
      </w:r>
      <w:r>
        <w:rPr>
          <w:spacing w:val="-2"/>
        </w:rPr>
        <w:t>conflict?</w:t>
      </w: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65"/>
        <w:gridCol w:w="806"/>
        <w:gridCol w:w="701"/>
        <w:gridCol w:w="871"/>
        <w:gridCol w:w="782"/>
      </w:tblGrid>
      <w:tr>
        <w:trPr>
          <w:trHeight w:val="275" w:hRule="atLeast"/>
        </w:trPr>
        <w:tc>
          <w:tcPr>
            <w:tcW w:w="5365" w:type="dxa"/>
          </w:tcPr>
          <w:p>
            <w:pPr>
              <w:pStyle w:val="TableParagraph"/>
              <w:rPr>
                <w:sz w:val="20"/>
              </w:rPr>
            </w:pPr>
          </w:p>
        </w:tc>
        <w:tc>
          <w:tcPr>
            <w:tcW w:w="806" w:type="dxa"/>
          </w:tcPr>
          <w:p>
            <w:pPr>
              <w:pStyle w:val="TableParagraph"/>
              <w:spacing w:line="256" w:lineRule="exact"/>
              <w:ind w:left="107"/>
              <w:rPr>
                <w:sz w:val="24"/>
              </w:rPr>
            </w:pPr>
            <w:r>
              <w:rPr>
                <w:spacing w:val="-5"/>
                <w:sz w:val="24"/>
              </w:rPr>
              <w:t>SA</w:t>
            </w:r>
          </w:p>
        </w:tc>
        <w:tc>
          <w:tcPr>
            <w:tcW w:w="701" w:type="dxa"/>
          </w:tcPr>
          <w:p>
            <w:pPr>
              <w:pStyle w:val="TableParagraph"/>
              <w:spacing w:line="256" w:lineRule="exact"/>
              <w:ind w:left="108"/>
              <w:rPr>
                <w:sz w:val="24"/>
              </w:rPr>
            </w:pPr>
            <w:r>
              <w:rPr>
                <w:spacing w:val="-10"/>
                <w:sz w:val="24"/>
              </w:rPr>
              <w:t>A</w:t>
            </w:r>
          </w:p>
        </w:tc>
        <w:tc>
          <w:tcPr>
            <w:tcW w:w="871" w:type="dxa"/>
          </w:tcPr>
          <w:p>
            <w:pPr>
              <w:pStyle w:val="TableParagraph"/>
              <w:spacing w:line="256" w:lineRule="exact"/>
              <w:ind w:left="108"/>
              <w:rPr>
                <w:sz w:val="24"/>
              </w:rPr>
            </w:pPr>
            <w:r>
              <w:rPr>
                <w:spacing w:val="-5"/>
                <w:sz w:val="24"/>
              </w:rPr>
              <w:t>SD</w:t>
            </w:r>
          </w:p>
        </w:tc>
        <w:tc>
          <w:tcPr>
            <w:tcW w:w="782" w:type="dxa"/>
          </w:tcPr>
          <w:p>
            <w:pPr>
              <w:pStyle w:val="TableParagraph"/>
              <w:spacing w:line="256" w:lineRule="exact"/>
              <w:ind w:left="108"/>
              <w:rPr>
                <w:sz w:val="24"/>
              </w:rPr>
            </w:pPr>
            <w:r>
              <w:rPr>
                <w:spacing w:val="-10"/>
                <w:sz w:val="24"/>
              </w:rPr>
              <w:t>D</w:t>
            </w:r>
          </w:p>
        </w:tc>
      </w:tr>
      <w:tr>
        <w:trPr>
          <w:trHeight w:val="275" w:hRule="atLeast"/>
        </w:trPr>
        <w:tc>
          <w:tcPr>
            <w:tcW w:w="5365" w:type="dxa"/>
          </w:tcPr>
          <w:p>
            <w:pPr>
              <w:pStyle w:val="TableParagraph"/>
              <w:spacing w:line="256" w:lineRule="exact"/>
              <w:ind w:left="107"/>
              <w:rPr>
                <w:sz w:val="24"/>
              </w:rPr>
            </w:pPr>
            <w:r>
              <w:rPr>
                <w:sz w:val="24"/>
              </w:rPr>
              <w:t>(60)</w:t>
            </w:r>
            <w:r>
              <w:rPr>
                <w:spacing w:val="-2"/>
                <w:sz w:val="24"/>
              </w:rPr>
              <w:t> </w:t>
            </w:r>
            <w:r>
              <w:rPr>
                <w:sz w:val="24"/>
              </w:rPr>
              <w:t>It</w:t>
            </w:r>
            <w:r>
              <w:rPr>
                <w:spacing w:val="-1"/>
                <w:sz w:val="24"/>
              </w:rPr>
              <w:t> </w:t>
            </w:r>
            <w:r>
              <w:rPr>
                <w:sz w:val="24"/>
              </w:rPr>
              <w:t>has</w:t>
            </w:r>
            <w:r>
              <w:rPr>
                <w:spacing w:val="-1"/>
                <w:sz w:val="24"/>
              </w:rPr>
              <w:t> </w:t>
            </w:r>
            <w:r>
              <w:rPr>
                <w:sz w:val="24"/>
              </w:rPr>
              <w:t>proliferated and</w:t>
            </w:r>
            <w:r>
              <w:rPr>
                <w:spacing w:val="-1"/>
                <w:sz w:val="24"/>
              </w:rPr>
              <w:t> </w:t>
            </w:r>
            <w:r>
              <w:rPr>
                <w:sz w:val="24"/>
              </w:rPr>
              <w:t>perpetuated</w:t>
            </w:r>
            <w:r>
              <w:rPr>
                <w:spacing w:val="-1"/>
                <w:sz w:val="24"/>
              </w:rPr>
              <w:t> </w:t>
            </w:r>
            <w:r>
              <w:rPr>
                <w:sz w:val="24"/>
              </w:rPr>
              <w:t>the</w:t>
            </w:r>
            <w:r>
              <w:rPr>
                <w:spacing w:val="-2"/>
                <w:sz w:val="24"/>
              </w:rPr>
              <w:t> conflict</w:t>
            </w:r>
          </w:p>
        </w:tc>
        <w:tc>
          <w:tcPr>
            <w:tcW w:w="806" w:type="dxa"/>
          </w:tcPr>
          <w:p>
            <w:pPr>
              <w:pStyle w:val="TableParagraph"/>
              <w:rPr>
                <w:sz w:val="20"/>
              </w:rPr>
            </w:pPr>
          </w:p>
        </w:tc>
        <w:tc>
          <w:tcPr>
            <w:tcW w:w="701" w:type="dxa"/>
          </w:tcPr>
          <w:p>
            <w:pPr>
              <w:pStyle w:val="TableParagraph"/>
              <w:rPr>
                <w:sz w:val="20"/>
              </w:rPr>
            </w:pPr>
          </w:p>
        </w:tc>
        <w:tc>
          <w:tcPr>
            <w:tcW w:w="871" w:type="dxa"/>
          </w:tcPr>
          <w:p>
            <w:pPr>
              <w:pStyle w:val="TableParagraph"/>
              <w:rPr>
                <w:sz w:val="20"/>
              </w:rPr>
            </w:pPr>
          </w:p>
        </w:tc>
        <w:tc>
          <w:tcPr>
            <w:tcW w:w="782" w:type="dxa"/>
          </w:tcPr>
          <w:p>
            <w:pPr>
              <w:pStyle w:val="TableParagraph"/>
              <w:rPr>
                <w:sz w:val="20"/>
              </w:rPr>
            </w:pPr>
          </w:p>
        </w:tc>
      </w:tr>
      <w:tr>
        <w:trPr>
          <w:trHeight w:val="551" w:hRule="atLeast"/>
        </w:trPr>
        <w:tc>
          <w:tcPr>
            <w:tcW w:w="5365" w:type="dxa"/>
          </w:tcPr>
          <w:p>
            <w:pPr>
              <w:pStyle w:val="TableParagraph"/>
              <w:spacing w:line="268" w:lineRule="exact"/>
              <w:ind w:left="107"/>
              <w:rPr>
                <w:sz w:val="24"/>
              </w:rPr>
            </w:pPr>
            <w:r>
              <w:rPr>
                <w:sz w:val="24"/>
              </w:rPr>
              <w:t>(61)</w:t>
            </w:r>
            <w:r>
              <w:rPr>
                <w:spacing w:val="39"/>
                <w:sz w:val="24"/>
              </w:rPr>
              <w:t> </w:t>
            </w:r>
            <w:r>
              <w:rPr>
                <w:sz w:val="24"/>
              </w:rPr>
              <w:t>It</w:t>
            </w:r>
            <w:r>
              <w:rPr>
                <w:spacing w:val="39"/>
                <w:sz w:val="24"/>
              </w:rPr>
              <w:t> </w:t>
            </w:r>
            <w:r>
              <w:rPr>
                <w:sz w:val="24"/>
              </w:rPr>
              <w:t>has</w:t>
            </w:r>
            <w:r>
              <w:rPr>
                <w:spacing w:val="39"/>
                <w:sz w:val="24"/>
              </w:rPr>
              <w:t> </w:t>
            </w:r>
            <w:r>
              <w:rPr>
                <w:sz w:val="24"/>
              </w:rPr>
              <w:t>reduced</w:t>
            </w:r>
            <w:r>
              <w:rPr>
                <w:spacing w:val="38"/>
                <w:sz w:val="24"/>
              </w:rPr>
              <w:t> </w:t>
            </w:r>
            <w:r>
              <w:rPr>
                <w:sz w:val="24"/>
              </w:rPr>
              <w:t>the</w:t>
            </w:r>
            <w:r>
              <w:rPr>
                <w:spacing w:val="41"/>
                <w:sz w:val="24"/>
              </w:rPr>
              <w:t> </w:t>
            </w:r>
            <w:r>
              <w:rPr>
                <w:sz w:val="24"/>
              </w:rPr>
              <w:t>conflict</w:t>
            </w:r>
            <w:r>
              <w:rPr>
                <w:spacing w:val="39"/>
                <w:sz w:val="24"/>
              </w:rPr>
              <w:t> </w:t>
            </w:r>
            <w:r>
              <w:rPr>
                <w:sz w:val="24"/>
              </w:rPr>
              <w:t>effect</w:t>
            </w:r>
            <w:r>
              <w:rPr>
                <w:spacing w:val="40"/>
                <w:sz w:val="24"/>
              </w:rPr>
              <w:t> </w:t>
            </w:r>
            <w:r>
              <w:rPr>
                <w:sz w:val="24"/>
              </w:rPr>
              <w:t>to</w:t>
            </w:r>
            <w:r>
              <w:rPr>
                <w:spacing w:val="39"/>
                <w:sz w:val="24"/>
              </w:rPr>
              <w:t> </w:t>
            </w:r>
            <w:r>
              <w:rPr>
                <w:sz w:val="24"/>
              </w:rPr>
              <w:t>the</w:t>
            </w:r>
            <w:r>
              <w:rPr>
                <w:spacing w:val="39"/>
                <w:sz w:val="24"/>
              </w:rPr>
              <w:t> </w:t>
            </w:r>
            <w:r>
              <w:rPr>
                <w:spacing w:val="-2"/>
                <w:sz w:val="24"/>
              </w:rPr>
              <w:t>barest</w:t>
            </w:r>
          </w:p>
          <w:p>
            <w:pPr>
              <w:pStyle w:val="TableParagraph"/>
              <w:spacing w:line="264" w:lineRule="exact"/>
              <w:ind w:left="107"/>
              <w:rPr>
                <w:sz w:val="24"/>
              </w:rPr>
            </w:pPr>
            <w:r>
              <w:rPr>
                <w:spacing w:val="-2"/>
                <w:sz w:val="24"/>
              </w:rPr>
              <w:t>minimum</w:t>
            </w:r>
          </w:p>
        </w:tc>
        <w:tc>
          <w:tcPr>
            <w:tcW w:w="806" w:type="dxa"/>
          </w:tcPr>
          <w:p>
            <w:pPr>
              <w:pStyle w:val="TableParagraph"/>
              <w:rPr>
                <w:sz w:val="24"/>
              </w:rPr>
            </w:pPr>
          </w:p>
        </w:tc>
        <w:tc>
          <w:tcPr>
            <w:tcW w:w="701" w:type="dxa"/>
          </w:tcPr>
          <w:p>
            <w:pPr>
              <w:pStyle w:val="TableParagraph"/>
              <w:rPr>
                <w:sz w:val="24"/>
              </w:rPr>
            </w:pPr>
          </w:p>
        </w:tc>
        <w:tc>
          <w:tcPr>
            <w:tcW w:w="871" w:type="dxa"/>
          </w:tcPr>
          <w:p>
            <w:pPr>
              <w:pStyle w:val="TableParagraph"/>
              <w:rPr>
                <w:sz w:val="24"/>
              </w:rPr>
            </w:pPr>
          </w:p>
        </w:tc>
        <w:tc>
          <w:tcPr>
            <w:tcW w:w="782" w:type="dxa"/>
          </w:tcPr>
          <w:p>
            <w:pPr>
              <w:pStyle w:val="TableParagraph"/>
              <w:rPr>
                <w:sz w:val="24"/>
              </w:rPr>
            </w:pPr>
          </w:p>
        </w:tc>
      </w:tr>
      <w:tr>
        <w:trPr>
          <w:trHeight w:val="551" w:hRule="atLeast"/>
        </w:trPr>
        <w:tc>
          <w:tcPr>
            <w:tcW w:w="5365" w:type="dxa"/>
          </w:tcPr>
          <w:p>
            <w:pPr>
              <w:pStyle w:val="TableParagraph"/>
              <w:tabs>
                <w:tab w:pos="760" w:val="left" w:leader="none"/>
                <w:tab w:pos="1574" w:val="left" w:leader="none"/>
                <w:tab w:pos="2281" w:val="left" w:leader="none"/>
                <w:tab w:pos="2883" w:val="left" w:leader="none"/>
                <w:tab w:pos="4095" w:val="left" w:leader="none"/>
                <w:tab w:pos="4800" w:val="left" w:leader="none"/>
              </w:tabs>
              <w:spacing w:line="268" w:lineRule="exact"/>
              <w:ind w:left="107"/>
              <w:rPr>
                <w:sz w:val="24"/>
              </w:rPr>
            </w:pPr>
            <w:r>
              <w:rPr>
                <w:spacing w:val="-4"/>
                <w:sz w:val="24"/>
              </w:rPr>
              <w:t>(62)</w:t>
            </w:r>
            <w:r>
              <w:rPr>
                <w:sz w:val="24"/>
              </w:rPr>
              <w:tab/>
            </w:r>
            <w:r>
              <w:rPr>
                <w:spacing w:val="-4"/>
                <w:sz w:val="24"/>
              </w:rPr>
              <w:t>Many</w:t>
            </w:r>
            <w:r>
              <w:rPr>
                <w:sz w:val="24"/>
              </w:rPr>
              <w:tab/>
            </w:r>
            <w:r>
              <w:rPr>
                <w:spacing w:val="-2"/>
                <w:sz w:val="24"/>
              </w:rPr>
              <w:t>lives</w:t>
            </w:r>
            <w:r>
              <w:rPr>
                <w:sz w:val="24"/>
              </w:rPr>
              <w:tab/>
            </w:r>
            <w:r>
              <w:rPr>
                <w:spacing w:val="-5"/>
                <w:sz w:val="24"/>
              </w:rPr>
              <w:t>and</w:t>
            </w:r>
            <w:r>
              <w:rPr>
                <w:sz w:val="24"/>
              </w:rPr>
              <w:tab/>
            </w:r>
            <w:r>
              <w:rPr>
                <w:spacing w:val="-2"/>
                <w:sz w:val="24"/>
              </w:rPr>
              <w:t>properties</w:t>
            </w:r>
            <w:r>
              <w:rPr>
                <w:sz w:val="24"/>
              </w:rPr>
              <w:tab/>
            </w:r>
            <w:r>
              <w:rPr>
                <w:spacing w:val="-4"/>
                <w:sz w:val="24"/>
              </w:rPr>
              <w:t>have</w:t>
            </w:r>
            <w:r>
              <w:rPr>
                <w:sz w:val="24"/>
              </w:rPr>
              <w:tab/>
            </w:r>
            <w:r>
              <w:rPr>
                <w:spacing w:val="-4"/>
                <w:sz w:val="24"/>
              </w:rPr>
              <w:t>been</w:t>
            </w:r>
          </w:p>
          <w:p>
            <w:pPr>
              <w:pStyle w:val="TableParagraph"/>
              <w:spacing w:line="264" w:lineRule="exact"/>
              <w:ind w:left="107"/>
              <w:rPr>
                <w:sz w:val="24"/>
              </w:rPr>
            </w:pPr>
            <w:r>
              <w:rPr>
                <w:sz w:val="24"/>
              </w:rPr>
              <w:t>deliberately</w:t>
            </w:r>
            <w:r>
              <w:rPr>
                <w:spacing w:val="-5"/>
                <w:sz w:val="24"/>
              </w:rPr>
              <w:t> </w:t>
            </w:r>
            <w:r>
              <w:rPr>
                <w:sz w:val="24"/>
              </w:rPr>
              <w:t>destroyed</w:t>
            </w:r>
            <w:r>
              <w:rPr>
                <w:spacing w:val="2"/>
                <w:sz w:val="24"/>
              </w:rPr>
              <w:t> </w:t>
            </w:r>
            <w:r>
              <w:rPr>
                <w:sz w:val="24"/>
              </w:rPr>
              <w:t>by</w:t>
            </w:r>
            <w:r>
              <w:rPr>
                <w:spacing w:val="-2"/>
                <w:sz w:val="24"/>
              </w:rPr>
              <w:t> </w:t>
            </w:r>
            <w:r>
              <w:rPr>
                <w:spacing w:val="-5"/>
                <w:sz w:val="24"/>
              </w:rPr>
              <w:t>JTF</w:t>
            </w:r>
          </w:p>
        </w:tc>
        <w:tc>
          <w:tcPr>
            <w:tcW w:w="806" w:type="dxa"/>
          </w:tcPr>
          <w:p>
            <w:pPr>
              <w:pStyle w:val="TableParagraph"/>
              <w:rPr>
                <w:sz w:val="24"/>
              </w:rPr>
            </w:pPr>
          </w:p>
        </w:tc>
        <w:tc>
          <w:tcPr>
            <w:tcW w:w="701" w:type="dxa"/>
          </w:tcPr>
          <w:p>
            <w:pPr>
              <w:pStyle w:val="TableParagraph"/>
              <w:rPr>
                <w:sz w:val="24"/>
              </w:rPr>
            </w:pPr>
          </w:p>
        </w:tc>
        <w:tc>
          <w:tcPr>
            <w:tcW w:w="871" w:type="dxa"/>
          </w:tcPr>
          <w:p>
            <w:pPr>
              <w:pStyle w:val="TableParagraph"/>
              <w:rPr>
                <w:sz w:val="24"/>
              </w:rPr>
            </w:pPr>
          </w:p>
        </w:tc>
        <w:tc>
          <w:tcPr>
            <w:tcW w:w="782" w:type="dxa"/>
          </w:tcPr>
          <w:p>
            <w:pPr>
              <w:pStyle w:val="TableParagraph"/>
              <w:rPr>
                <w:sz w:val="24"/>
              </w:rPr>
            </w:pPr>
          </w:p>
        </w:tc>
      </w:tr>
      <w:tr>
        <w:trPr>
          <w:trHeight w:val="278" w:hRule="atLeast"/>
        </w:trPr>
        <w:tc>
          <w:tcPr>
            <w:tcW w:w="5365" w:type="dxa"/>
          </w:tcPr>
          <w:p>
            <w:pPr>
              <w:pStyle w:val="TableParagraph"/>
              <w:spacing w:line="258" w:lineRule="exact"/>
              <w:ind w:left="107"/>
              <w:rPr>
                <w:sz w:val="24"/>
              </w:rPr>
            </w:pPr>
            <w:r>
              <w:rPr>
                <w:sz w:val="24"/>
              </w:rPr>
              <w:t>(63)</w:t>
            </w:r>
            <w:r>
              <w:rPr>
                <w:spacing w:val="-1"/>
                <w:sz w:val="24"/>
              </w:rPr>
              <w:t> </w:t>
            </w:r>
            <w:r>
              <w:rPr>
                <w:sz w:val="24"/>
              </w:rPr>
              <w:t>It</w:t>
            </w:r>
            <w:r>
              <w:rPr>
                <w:spacing w:val="-1"/>
                <w:sz w:val="24"/>
              </w:rPr>
              <w:t> </w:t>
            </w:r>
            <w:r>
              <w:rPr>
                <w:sz w:val="24"/>
              </w:rPr>
              <w:t>has</w:t>
            </w:r>
            <w:r>
              <w:rPr>
                <w:spacing w:val="-1"/>
                <w:sz w:val="24"/>
              </w:rPr>
              <w:t> </w:t>
            </w:r>
            <w:r>
              <w:rPr>
                <w:sz w:val="24"/>
              </w:rPr>
              <w:t>achieved</w:t>
            </w:r>
            <w:r>
              <w:rPr>
                <w:spacing w:val="-1"/>
                <w:sz w:val="24"/>
              </w:rPr>
              <w:t> </w:t>
            </w:r>
            <w:r>
              <w:rPr>
                <w:sz w:val="24"/>
              </w:rPr>
              <w:t>the</w:t>
            </w:r>
            <w:r>
              <w:rPr>
                <w:spacing w:val="-2"/>
                <w:sz w:val="24"/>
              </w:rPr>
              <w:t> </w:t>
            </w:r>
            <w:r>
              <w:rPr>
                <w:sz w:val="24"/>
              </w:rPr>
              <w:t>needed</w:t>
            </w:r>
            <w:r>
              <w:rPr>
                <w:spacing w:val="-1"/>
                <w:sz w:val="24"/>
              </w:rPr>
              <w:t> </w:t>
            </w:r>
            <w:r>
              <w:rPr>
                <w:sz w:val="24"/>
              </w:rPr>
              <w:t>positive</w:t>
            </w:r>
            <w:r>
              <w:rPr>
                <w:spacing w:val="-1"/>
                <w:sz w:val="24"/>
              </w:rPr>
              <w:t> </w:t>
            </w:r>
            <w:r>
              <w:rPr>
                <w:spacing w:val="-4"/>
                <w:sz w:val="24"/>
              </w:rPr>
              <w:t>peace</w:t>
            </w:r>
          </w:p>
        </w:tc>
        <w:tc>
          <w:tcPr>
            <w:tcW w:w="806" w:type="dxa"/>
          </w:tcPr>
          <w:p>
            <w:pPr>
              <w:pStyle w:val="TableParagraph"/>
              <w:rPr>
                <w:sz w:val="20"/>
              </w:rPr>
            </w:pPr>
          </w:p>
        </w:tc>
        <w:tc>
          <w:tcPr>
            <w:tcW w:w="701" w:type="dxa"/>
          </w:tcPr>
          <w:p>
            <w:pPr>
              <w:pStyle w:val="TableParagraph"/>
              <w:rPr>
                <w:sz w:val="20"/>
              </w:rPr>
            </w:pPr>
          </w:p>
        </w:tc>
        <w:tc>
          <w:tcPr>
            <w:tcW w:w="871" w:type="dxa"/>
          </w:tcPr>
          <w:p>
            <w:pPr>
              <w:pStyle w:val="TableParagraph"/>
              <w:rPr>
                <w:sz w:val="20"/>
              </w:rPr>
            </w:pPr>
          </w:p>
        </w:tc>
        <w:tc>
          <w:tcPr>
            <w:tcW w:w="782" w:type="dxa"/>
          </w:tcPr>
          <w:p>
            <w:pPr>
              <w:pStyle w:val="TableParagraph"/>
              <w:rPr>
                <w:sz w:val="20"/>
              </w:rPr>
            </w:pPr>
          </w:p>
        </w:tc>
      </w:tr>
    </w:tbl>
    <w:p>
      <w:pPr>
        <w:pStyle w:val="BodyText"/>
        <w:spacing w:before="270" w:after="8"/>
        <w:ind w:left="2160" w:right="1260" w:hanging="720"/>
      </w:pPr>
      <w:r>
        <w:rPr/>
        <w:t>RQ17</w:t>
      </w:r>
      <w:r>
        <w:rPr>
          <w:spacing w:val="-3"/>
        </w:rPr>
        <w:t> </w:t>
      </w:r>
      <w:r>
        <w:rPr/>
        <w:t>How</w:t>
      </w:r>
      <w:r>
        <w:rPr>
          <w:spacing w:val="-3"/>
        </w:rPr>
        <w:t> </w:t>
      </w:r>
      <w:r>
        <w:rPr/>
        <w:t>do</w:t>
      </w:r>
      <w:r>
        <w:rPr>
          <w:spacing w:val="-2"/>
        </w:rPr>
        <w:t> </w:t>
      </w:r>
      <w:r>
        <w:rPr/>
        <w:t>you</w:t>
      </w:r>
      <w:r>
        <w:rPr>
          <w:spacing w:val="-3"/>
        </w:rPr>
        <w:t> </w:t>
      </w:r>
      <w:r>
        <w:rPr/>
        <w:t>perceive</w:t>
      </w:r>
      <w:r>
        <w:rPr>
          <w:spacing w:val="-3"/>
        </w:rPr>
        <w:t> </w:t>
      </w:r>
      <w:r>
        <w:rPr/>
        <w:t>the</w:t>
      </w:r>
      <w:r>
        <w:rPr>
          <w:spacing w:val="-4"/>
        </w:rPr>
        <w:t> </w:t>
      </w:r>
      <w:r>
        <w:rPr/>
        <w:t>security</w:t>
      </w:r>
      <w:r>
        <w:rPr>
          <w:spacing w:val="-8"/>
        </w:rPr>
        <w:t> </w:t>
      </w:r>
      <w:r>
        <w:rPr/>
        <w:t>situations</w:t>
      </w:r>
      <w:r>
        <w:rPr>
          <w:spacing w:val="-3"/>
        </w:rPr>
        <w:t> </w:t>
      </w:r>
      <w:r>
        <w:rPr/>
        <w:t>in</w:t>
      </w:r>
      <w:r>
        <w:rPr>
          <w:spacing w:val="-3"/>
        </w:rPr>
        <w:t> </w:t>
      </w:r>
      <w:r>
        <w:rPr/>
        <w:t>the</w:t>
      </w:r>
      <w:r>
        <w:rPr>
          <w:spacing w:val="-3"/>
        </w:rPr>
        <w:t> </w:t>
      </w:r>
      <w:r>
        <w:rPr/>
        <w:t>Niger</w:t>
      </w:r>
      <w:r>
        <w:rPr>
          <w:spacing w:val="-3"/>
        </w:rPr>
        <w:t> </w:t>
      </w:r>
      <w:r>
        <w:rPr/>
        <w:t>Delta,</w:t>
      </w:r>
      <w:r>
        <w:rPr>
          <w:spacing w:val="-3"/>
        </w:rPr>
        <w:t> </w:t>
      </w:r>
      <w:r>
        <w:rPr/>
        <w:t>under</w:t>
      </w:r>
      <w:r>
        <w:rPr>
          <w:spacing w:val="-2"/>
        </w:rPr>
        <w:t> </w:t>
      </w:r>
      <w:r>
        <w:rPr/>
        <w:t>the</w:t>
      </w:r>
      <w:r>
        <w:rPr>
          <w:spacing w:val="-3"/>
        </w:rPr>
        <w:t> </w:t>
      </w:r>
      <w:r>
        <w:rPr/>
        <w:t>JTF </w:t>
      </w:r>
      <w:r>
        <w:rPr>
          <w:spacing w:val="-2"/>
        </w:rPr>
        <w:t>operation?</w:t>
      </w: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65"/>
        <w:gridCol w:w="804"/>
        <w:gridCol w:w="704"/>
        <w:gridCol w:w="871"/>
        <w:gridCol w:w="782"/>
      </w:tblGrid>
      <w:tr>
        <w:trPr>
          <w:trHeight w:val="275" w:hRule="atLeast"/>
        </w:trPr>
        <w:tc>
          <w:tcPr>
            <w:tcW w:w="5365" w:type="dxa"/>
          </w:tcPr>
          <w:p>
            <w:pPr>
              <w:pStyle w:val="TableParagraph"/>
              <w:rPr>
                <w:sz w:val="20"/>
              </w:rPr>
            </w:pPr>
          </w:p>
        </w:tc>
        <w:tc>
          <w:tcPr>
            <w:tcW w:w="804" w:type="dxa"/>
          </w:tcPr>
          <w:p>
            <w:pPr>
              <w:pStyle w:val="TableParagraph"/>
              <w:spacing w:line="256" w:lineRule="exact"/>
              <w:ind w:left="107"/>
              <w:rPr>
                <w:sz w:val="24"/>
              </w:rPr>
            </w:pPr>
            <w:r>
              <w:rPr>
                <w:spacing w:val="-5"/>
                <w:sz w:val="24"/>
              </w:rPr>
              <w:t>SA</w:t>
            </w:r>
          </w:p>
        </w:tc>
        <w:tc>
          <w:tcPr>
            <w:tcW w:w="704" w:type="dxa"/>
          </w:tcPr>
          <w:p>
            <w:pPr>
              <w:pStyle w:val="TableParagraph"/>
              <w:spacing w:line="256" w:lineRule="exact"/>
              <w:ind w:left="107"/>
              <w:rPr>
                <w:sz w:val="24"/>
              </w:rPr>
            </w:pPr>
            <w:r>
              <w:rPr>
                <w:spacing w:val="-10"/>
                <w:sz w:val="24"/>
              </w:rPr>
              <w:t>A</w:t>
            </w:r>
          </w:p>
        </w:tc>
        <w:tc>
          <w:tcPr>
            <w:tcW w:w="871" w:type="dxa"/>
          </w:tcPr>
          <w:p>
            <w:pPr>
              <w:pStyle w:val="TableParagraph"/>
              <w:spacing w:line="256" w:lineRule="exact"/>
              <w:ind w:left="107"/>
              <w:rPr>
                <w:sz w:val="24"/>
              </w:rPr>
            </w:pPr>
            <w:r>
              <w:rPr>
                <w:spacing w:val="-5"/>
                <w:sz w:val="24"/>
              </w:rPr>
              <w:t>SD</w:t>
            </w:r>
          </w:p>
        </w:tc>
        <w:tc>
          <w:tcPr>
            <w:tcW w:w="782" w:type="dxa"/>
          </w:tcPr>
          <w:p>
            <w:pPr>
              <w:pStyle w:val="TableParagraph"/>
              <w:spacing w:line="256" w:lineRule="exact"/>
              <w:ind w:left="107"/>
              <w:rPr>
                <w:sz w:val="24"/>
              </w:rPr>
            </w:pPr>
            <w:r>
              <w:rPr>
                <w:spacing w:val="-10"/>
                <w:sz w:val="24"/>
              </w:rPr>
              <w:t>D</w:t>
            </w:r>
          </w:p>
        </w:tc>
      </w:tr>
      <w:tr>
        <w:trPr>
          <w:trHeight w:val="551" w:hRule="atLeast"/>
        </w:trPr>
        <w:tc>
          <w:tcPr>
            <w:tcW w:w="5365" w:type="dxa"/>
          </w:tcPr>
          <w:p>
            <w:pPr>
              <w:pStyle w:val="TableParagraph"/>
              <w:spacing w:line="268" w:lineRule="exact"/>
              <w:ind w:left="107"/>
              <w:rPr>
                <w:sz w:val="24"/>
              </w:rPr>
            </w:pPr>
            <w:r>
              <w:rPr>
                <w:sz w:val="24"/>
              </w:rPr>
              <w:t>(64)</w:t>
            </w:r>
            <w:r>
              <w:rPr>
                <w:spacing w:val="57"/>
                <w:sz w:val="24"/>
              </w:rPr>
              <w:t> </w:t>
            </w:r>
            <w:r>
              <w:rPr>
                <w:sz w:val="24"/>
              </w:rPr>
              <w:t>The</w:t>
            </w:r>
            <w:r>
              <w:rPr>
                <w:spacing w:val="58"/>
                <w:sz w:val="24"/>
              </w:rPr>
              <w:t> </w:t>
            </w:r>
            <w:r>
              <w:rPr>
                <w:sz w:val="24"/>
              </w:rPr>
              <w:t>lives</w:t>
            </w:r>
            <w:r>
              <w:rPr>
                <w:spacing w:val="62"/>
                <w:sz w:val="24"/>
              </w:rPr>
              <w:t> </w:t>
            </w:r>
            <w:r>
              <w:rPr>
                <w:sz w:val="24"/>
              </w:rPr>
              <w:t>and</w:t>
            </w:r>
            <w:r>
              <w:rPr>
                <w:spacing w:val="59"/>
                <w:sz w:val="24"/>
              </w:rPr>
              <w:t> </w:t>
            </w:r>
            <w:r>
              <w:rPr>
                <w:sz w:val="24"/>
              </w:rPr>
              <w:t>properties</w:t>
            </w:r>
            <w:r>
              <w:rPr>
                <w:spacing w:val="60"/>
                <w:sz w:val="24"/>
              </w:rPr>
              <w:t> </w:t>
            </w:r>
            <w:r>
              <w:rPr>
                <w:sz w:val="24"/>
              </w:rPr>
              <w:t>of</w:t>
            </w:r>
            <w:r>
              <w:rPr>
                <w:spacing w:val="59"/>
                <w:sz w:val="24"/>
              </w:rPr>
              <w:t> </w:t>
            </w:r>
            <w:r>
              <w:rPr>
                <w:sz w:val="24"/>
              </w:rPr>
              <w:t>the</w:t>
            </w:r>
            <w:r>
              <w:rPr>
                <w:spacing w:val="61"/>
                <w:sz w:val="24"/>
              </w:rPr>
              <w:t> </w:t>
            </w:r>
            <w:r>
              <w:rPr>
                <w:sz w:val="24"/>
              </w:rPr>
              <w:t>populace</w:t>
            </w:r>
            <w:r>
              <w:rPr>
                <w:spacing w:val="60"/>
                <w:sz w:val="24"/>
              </w:rPr>
              <w:t> </w:t>
            </w:r>
            <w:r>
              <w:rPr>
                <w:spacing w:val="-5"/>
                <w:sz w:val="24"/>
              </w:rPr>
              <w:t>are</w:t>
            </w:r>
          </w:p>
          <w:p>
            <w:pPr>
              <w:pStyle w:val="TableParagraph"/>
              <w:spacing w:line="264" w:lineRule="exact"/>
              <w:ind w:left="107"/>
              <w:rPr>
                <w:sz w:val="24"/>
              </w:rPr>
            </w:pPr>
            <w:r>
              <w:rPr>
                <w:spacing w:val="-2"/>
                <w:sz w:val="24"/>
              </w:rPr>
              <w:t>secured</w:t>
            </w:r>
          </w:p>
        </w:tc>
        <w:tc>
          <w:tcPr>
            <w:tcW w:w="804" w:type="dxa"/>
          </w:tcPr>
          <w:p>
            <w:pPr>
              <w:pStyle w:val="TableParagraph"/>
              <w:rPr>
                <w:sz w:val="24"/>
              </w:rPr>
            </w:pPr>
          </w:p>
        </w:tc>
        <w:tc>
          <w:tcPr>
            <w:tcW w:w="704" w:type="dxa"/>
          </w:tcPr>
          <w:p>
            <w:pPr>
              <w:pStyle w:val="TableParagraph"/>
              <w:rPr>
                <w:sz w:val="24"/>
              </w:rPr>
            </w:pPr>
          </w:p>
        </w:tc>
        <w:tc>
          <w:tcPr>
            <w:tcW w:w="871" w:type="dxa"/>
          </w:tcPr>
          <w:p>
            <w:pPr>
              <w:pStyle w:val="TableParagraph"/>
              <w:rPr>
                <w:sz w:val="24"/>
              </w:rPr>
            </w:pPr>
          </w:p>
        </w:tc>
        <w:tc>
          <w:tcPr>
            <w:tcW w:w="782" w:type="dxa"/>
          </w:tcPr>
          <w:p>
            <w:pPr>
              <w:pStyle w:val="TableParagraph"/>
              <w:rPr>
                <w:sz w:val="24"/>
              </w:rPr>
            </w:pPr>
          </w:p>
        </w:tc>
      </w:tr>
      <w:tr>
        <w:trPr>
          <w:trHeight w:val="275" w:hRule="atLeast"/>
        </w:trPr>
        <w:tc>
          <w:tcPr>
            <w:tcW w:w="5365" w:type="dxa"/>
          </w:tcPr>
          <w:p>
            <w:pPr>
              <w:pStyle w:val="TableParagraph"/>
              <w:spacing w:line="256" w:lineRule="exact"/>
              <w:ind w:left="107"/>
              <w:rPr>
                <w:sz w:val="24"/>
              </w:rPr>
            </w:pPr>
            <w:r>
              <w:rPr>
                <w:sz w:val="24"/>
              </w:rPr>
              <w:t>(65)</w:t>
            </w:r>
            <w:r>
              <w:rPr>
                <w:spacing w:val="-3"/>
                <w:sz w:val="24"/>
              </w:rPr>
              <w:t> </w:t>
            </w:r>
            <w:r>
              <w:rPr>
                <w:sz w:val="24"/>
              </w:rPr>
              <w:t>There</w:t>
            </w:r>
            <w:r>
              <w:rPr>
                <w:spacing w:val="-1"/>
                <w:sz w:val="24"/>
              </w:rPr>
              <w:t> </w:t>
            </w:r>
            <w:r>
              <w:rPr>
                <w:sz w:val="24"/>
              </w:rPr>
              <w:t>is</w:t>
            </w:r>
            <w:r>
              <w:rPr>
                <w:spacing w:val="-1"/>
                <w:sz w:val="24"/>
              </w:rPr>
              <w:t> </w:t>
            </w:r>
            <w:r>
              <w:rPr>
                <w:sz w:val="24"/>
              </w:rPr>
              <w:t>a zero</w:t>
            </w:r>
            <w:r>
              <w:rPr>
                <w:spacing w:val="-1"/>
                <w:sz w:val="24"/>
              </w:rPr>
              <w:t> </w:t>
            </w:r>
            <w:r>
              <w:rPr>
                <w:sz w:val="24"/>
              </w:rPr>
              <w:t>tolerance</w:t>
            </w:r>
            <w:r>
              <w:rPr>
                <w:spacing w:val="-1"/>
                <w:sz w:val="24"/>
              </w:rPr>
              <w:t> </w:t>
            </w:r>
            <w:r>
              <w:rPr>
                <w:sz w:val="24"/>
              </w:rPr>
              <w:t>for </w:t>
            </w:r>
            <w:r>
              <w:rPr>
                <w:spacing w:val="-2"/>
                <w:sz w:val="24"/>
              </w:rPr>
              <w:t>threats</w:t>
            </w:r>
          </w:p>
        </w:tc>
        <w:tc>
          <w:tcPr>
            <w:tcW w:w="804" w:type="dxa"/>
          </w:tcPr>
          <w:p>
            <w:pPr>
              <w:pStyle w:val="TableParagraph"/>
              <w:rPr>
                <w:sz w:val="20"/>
              </w:rPr>
            </w:pPr>
          </w:p>
        </w:tc>
        <w:tc>
          <w:tcPr>
            <w:tcW w:w="704" w:type="dxa"/>
          </w:tcPr>
          <w:p>
            <w:pPr>
              <w:pStyle w:val="TableParagraph"/>
              <w:rPr>
                <w:sz w:val="20"/>
              </w:rPr>
            </w:pPr>
          </w:p>
        </w:tc>
        <w:tc>
          <w:tcPr>
            <w:tcW w:w="871" w:type="dxa"/>
          </w:tcPr>
          <w:p>
            <w:pPr>
              <w:pStyle w:val="TableParagraph"/>
              <w:rPr>
                <w:sz w:val="20"/>
              </w:rPr>
            </w:pPr>
          </w:p>
        </w:tc>
        <w:tc>
          <w:tcPr>
            <w:tcW w:w="782" w:type="dxa"/>
          </w:tcPr>
          <w:p>
            <w:pPr>
              <w:pStyle w:val="TableParagraph"/>
              <w:rPr>
                <w:sz w:val="20"/>
              </w:rPr>
            </w:pPr>
          </w:p>
        </w:tc>
      </w:tr>
      <w:tr>
        <w:trPr>
          <w:trHeight w:val="275" w:hRule="atLeast"/>
        </w:trPr>
        <w:tc>
          <w:tcPr>
            <w:tcW w:w="5365" w:type="dxa"/>
          </w:tcPr>
          <w:p>
            <w:pPr>
              <w:pStyle w:val="TableParagraph"/>
              <w:spacing w:line="256" w:lineRule="exact"/>
              <w:ind w:left="107"/>
              <w:rPr>
                <w:sz w:val="24"/>
              </w:rPr>
            </w:pPr>
            <w:r>
              <w:rPr>
                <w:sz w:val="24"/>
              </w:rPr>
              <w:t>(66)</w:t>
            </w:r>
            <w:r>
              <w:rPr>
                <w:spacing w:val="-3"/>
                <w:sz w:val="24"/>
              </w:rPr>
              <w:t> </w:t>
            </w:r>
            <w:r>
              <w:rPr>
                <w:sz w:val="24"/>
              </w:rPr>
              <w:t>Sustainable</w:t>
            </w:r>
            <w:r>
              <w:rPr>
                <w:spacing w:val="-1"/>
                <w:sz w:val="24"/>
              </w:rPr>
              <w:t> </w:t>
            </w:r>
            <w:r>
              <w:rPr>
                <w:sz w:val="24"/>
              </w:rPr>
              <w:t>peace</w:t>
            </w:r>
            <w:r>
              <w:rPr>
                <w:spacing w:val="-2"/>
                <w:sz w:val="24"/>
              </w:rPr>
              <w:t> </w:t>
            </w:r>
            <w:r>
              <w:rPr>
                <w:sz w:val="24"/>
              </w:rPr>
              <w:t>has</w:t>
            </w:r>
            <w:r>
              <w:rPr>
                <w:spacing w:val="-1"/>
                <w:sz w:val="24"/>
              </w:rPr>
              <w:t> </w:t>
            </w:r>
            <w:r>
              <w:rPr>
                <w:sz w:val="24"/>
              </w:rPr>
              <w:t>been </w:t>
            </w:r>
            <w:r>
              <w:rPr>
                <w:spacing w:val="-2"/>
                <w:sz w:val="24"/>
              </w:rPr>
              <w:t>achieved</w:t>
            </w:r>
          </w:p>
        </w:tc>
        <w:tc>
          <w:tcPr>
            <w:tcW w:w="804" w:type="dxa"/>
          </w:tcPr>
          <w:p>
            <w:pPr>
              <w:pStyle w:val="TableParagraph"/>
              <w:rPr>
                <w:sz w:val="20"/>
              </w:rPr>
            </w:pPr>
          </w:p>
        </w:tc>
        <w:tc>
          <w:tcPr>
            <w:tcW w:w="704" w:type="dxa"/>
          </w:tcPr>
          <w:p>
            <w:pPr>
              <w:pStyle w:val="TableParagraph"/>
              <w:rPr>
                <w:sz w:val="20"/>
              </w:rPr>
            </w:pPr>
          </w:p>
        </w:tc>
        <w:tc>
          <w:tcPr>
            <w:tcW w:w="871" w:type="dxa"/>
          </w:tcPr>
          <w:p>
            <w:pPr>
              <w:pStyle w:val="TableParagraph"/>
              <w:rPr>
                <w:sz w:val="20"/>
              </w:rPr>
            </w:pPr>
          </w:p>
        </w:tc>
        <w:tc>
          <w:tcPr>
            <w:tcW w:w="782" w:type="dxa"/>
          </w:tcPr>
          <w:p>
            <w:pPr>
              <w:pStyle w:val="TableParagraph"/>
              <w:rPr>
                <w:sz w:val="20"/>
              </w:rPr>
            </w:pPr>
          </w:p>
        </w:tc>
      </w:tr>
      <w:tr>
        <w:trPr>
          <w:trHeight w:val="277" w:hRule="atLeast"/>
        </w:trPr>
        <w:tc>
          <w:tcPr>
            <w:tcW w:w="5365" w:type="dxa"/>
          </w:tcPr>
          <w:p>
            <w:pPr>
              <w:pStyle w:val="TableParagraph"/>
              <w:spacing w:line="258" w:lineRule="exact"/>
              <w:ind w:left="107"/>
              <w:rPr>
                <w:sz w:val="24"/>
              </w:rPr>
            </w:pPr>
            <w:r>
              <w:rPr>
                <w:sz w:val="24"/>
              </w:rPr>
              <w:t>(67)</w:t>
            </w:r>
            <w:r>
              <w:rPr>
                <w:spacing w:val="-5"/>
                <w:sz w:val="24"/>
              </w:rPr>
              <w:t> </w:t>
            </w:r>
            <w:r>
              <w:rPr>
                <w:sz w:val="24"/>
              </w:rPr>
              <w:t>No security</w:t>
            </w:r>
            <w:r>
              <w:rPr>
                <w:spacing w:val="-4"/>
                <w:sz w:val="24"/>
              </w:rPr>
              <w:t> </w:t>
            </w:r>
            <w:r>
              <w:rPr>
                <w:sz w:val="24"/>
              </w:rPr>
              <w:t>for</w:t>
            </w:r>
            <w:r>
              <w:rPr>
                <w:spacing w:val="-2"/>
                <w:sz w:val="24"/>
              </w:rPr>
              <w:t> </w:t>
            </w:r>
            <w:r>
              <w:rPr>
                <w:sz w:val="24"/>
              </w:rPr>
              <w:t>lives</w:t>
            </w:r>
            <w:r>
              <w:rPr>
                <w:spacing w:val="1"/>
                <w:sz w:val="24"/>
              </w:rPr>
              <w:t> </w:t>
            </w:r>
            <w:r>
              <w:rPr>
                <w:sz w:val="24"/>
              </w:rPr>
              <w:t>and properties at </w:t>
            </w:r>
            <w:r>
              <w:rPr>
                <w:spacing w:val="-5"/>
                <w:sz w:val="24"/>
              </w:rPr>
              <w:t>all</w:t>
            </w:r>
          </w:p>
        </w:tc>
        <w:tc>
          <w:tcPr>
            <w:tcW w:w="804" w:type="dxa"/>
          </w:tcPr>
          <w:p>
            <w:pPr>
              <w:pStyle w:val="TableParagraph"/>
              <w:rPr>
                <w:sz w:val="20"/>
              </w:rPr>
            </w:pPr>
          </w:p>
        </w:tc>
        <w:tc>
          <w:tcPr>
            <w:tcW w:w="704" w:type="dxa"/>
          </w:tcPr>
          <w:p>
            <w:pPr>
              <w:pStyle w:val="TableParagraph"/>
              <w:rPr>
                <w:sz w:val="20"/>
              </w:rPr>
            </w:pPr>
          </w:p>
        </w:tc>
        <w:tc>
          <w:tcPr>
            <w:tcW w:w="871" w:type="dxa"/>
          </w:tcPr>
          <w:p>
            <w:pPr>
              <w:pStyle w:val="TableParagraph"/>
              <w:rPr>
                <w:sz w:val="20"/>
              </w:rPr>
            </w:pPr>
          </w:p>
        </w:tc>
        <w:tc>
          <w:tcPr>
            <w:tcW w:w="782" w:type="dxa"/>
          </w:tcPr>
          <w:p>
            <w:pPr>
              <w:pStyle w:val="TableParagraph"/>
              <w:rPr>
                <w:sz w:val="20"/>
              </w:rPr>
            </w:pPr>
          </w:p>
        </w:tc>
      </w:tr>
    </w:tbl>
    <w:p>
      <w:pPr>
        <w:pStyle w:val="BodyText"/>
        <w:spacing w:before="271" w:after="8"/>
        <w:ind w:left="2160" w:right="1260" w:hanging="720"/>
      </w:pPr>
      <w:r>
        <w:rPr/>
        <w:t>RQ18</w:t>
      </w:r>
      <w:r>
        <w:rPr>
          <w:spacing w:val="-2"/>
        </w:rPr>
        <w:t> </w:t>
      </w:r>
      <w:r>
        <w:rPr/>
        <w:t>Is</w:t>
      </w:r>
      <w:r>
        <w:rPr>
          <w:spacing w:val="-3"/>
        </w:rPr>
        <w:t> </w:t>
      </w:r>
      <w:r>
        <w:rPr/>
        <w:t>the</w:t>
      </w:r>
      <w:r>
        <w:rPr>
          <w:spacing w:val="-2"/>
        </w:rPr>
        <w:t> </w:t>
      </w:r>
      <w:r>
        <w:rPr/>
        <w:t>establishment</w:t>
      </w:r>
      <w:r>
        <w:rPr>
          <w:spacing w:val="-3"/>
        </w:rPr>
        <w:t> </w:t>
      </w:r>
      <w:r>
        <w:rPr/>
        <w:t>of</w:t>
      </w:r>
      <w:r>
        <w:rPr>
          <w:spacing w:val="-3"/>
        </w:rPr>
        <w:t> </w:t>
      </w:r>
      <w:r>
        <w:rPr/>
        <w:t>the</w:t>
      </w:r>
      <w:r>
        <w:rPr>
          <w:spacing w:val="-4"/>
        </w:rPr>
        <w:t> </w:t>
      </w:r>
      <w:r>
        <w:rPr/>
        <w:t>JTF</w:t>
      </w:r>
      <w:r>
        <w:rPr>
          <w:spacing w:val="-5"/>
        </w:rPr>
        <w:t> </w:t>
      </w:r>
      <w:r>
        <w:rPr/>
        <w:t>in</w:t>
      </w:r>
      <w:r>
        <w:rPr>
          <w:spacing w:val="-3"/>
        </w:rPr>
        <w:t> </w:t>
      </w:r>
      <w:r>
        <w:rPr/>
        <w:t>the</w:t>
      </w:r>
      <w:r>
        <w:rPr>
          <w:spacing w:val="-4"/>
        </w:rPr>
        <w:t> </w:t>
      </w:r>
      <w:r>
        <w:rPr/>
        <w:t>Niger</w:t>
      </w:r>
      <w:r>
        <w:rPr>
          <w:spacing w:val="-2"/>
        </w:rPr>
        <w:t> </w:t>
      </w:r>
      <w:r>
        <w:rPr/>
        <w:t>Delta</w:t>
      </w:r>
      <w:r>
        <w:rPr>
          <w:spacing w:val="-4"/>
        </w:rPr>
        <w:t> </w:t>
      </w:r>
      <w:r>
        <w:rPr/>
        <w:t>justifiable,</w:t>
      </w:r>
      <w:r>
        <w:rPr>
          <w:spacing w:val="-3"/>
        </w:rPr>
        <w:t> </w:t>
      </w:r>
      <w:r>
        <w:rPr/>
        <w:t>judging</w:t>
      </w:r>
      <w:r>
        <w:rPr>
          <w:spacing w:val="-3"/>
        </w:rPr>
        <w:t> </w:t>
      </w:r>
      <w:r>
        <w:rPr/>
        <w:t>by</w:t>
      </w:r>
      <w:r>
        <w:rPr>
          <w:spacing w:val="-4"/>
        </w:rPr>
        <w:t> </w:t>
      </w:r>
      <w:r>
        <w:rPr/>
        <w:t>your perceived success or failure?</w:t>
      </w: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65"/>
        <w:gridCol w:w="804"/>
        <w:gridCol w:w="704"/>
        <w:gridCol w:w="871"/>
        <w:gridCol w:w="782"/>
      </w:tblGrid>
      <w:tr>
        <w:trPr>
          <w:trHeight w:val="275" w:hRule="atLeast"/>
        </w:trPr>
        <w:tc>
          <w:tcPr>
            <w:tcW w:w="5365" w:type="dxa"/>
          </w:tcPr>
          <w:p>
            <w:pPr>
              <w:pStyle w:val="TableParagraph"/>
              <w:rPr>
                <w:sz w:val="20"/>
              </w:rPr>
            </w:pPr>
          </w:p>
        </w:tc>
        <w:tc>
          <w:tcPr>
            <w:tcW w:w="804" w:type="dxa"/>
          </w:tcPr>
          <w:p>
            <w:pPr>
              <w:pStyle w:val="TableParagraph"/>
              <w:spacing w:line="256" w:lineRule="exact"/>
              <w:ind w:left="107"/>
              <w:rPr>
                <w:sz w:val="24"/>
              </w:rPr>
            </w:pPr>
            <w:r>
              <w:rPr>
                <w:spacing w:val="-5"/>
                <w:sz w:val="24"/>
              </w:rPr>
              <w:t>SA</w:t>
            </w:r>
          </w:p>
        </w:tc>
        <w:tc>
          <w:tcPr>
            <w:tcW w:w="704" w:type="dxa"/>
          </w:tcPr>
          <w:p>
            <w:pPr>
              <w:pStyle w:val="TableParagraph"/>
              <w:spacing w:line="256" w:lineRule="exact"/>
              <w:ind w:left="107"/>
              <w:rPr>
                <w:sz w:val="24"/>
              </w:rPr>
            </w:pPr>
            <w:r>
              <w:rPr>
                <w:spacing w:val="-10"/>
                <w:sz w:val="24"/>
              </w:rPr>
              <w:t>A</w:t>
            </w:r>
          </w:p>
        </w:tc>
        <w:tc>
          <w:tcPr>
            <w:tcW w:w="871" w:type="dxa"/>
          </w:tcPr>
          <w:p>
            <w:pPr>
              <w:pStyle w:val="TableParagraph"/>
              <w:spacing w:line="256" w:lineRule="exact"/>
              <w:ind w:left="107"/>
              <w:rPr>
                <w:sz w:val="24"/>
              </w:rPr>
            </w:pPr>
            <w:r>
              <w:rPr>
                <w:spacing w:val="-5"/>
                <w:sz w:val="24"/>
              </w:rPr>
              <w:t>SD</w:t>
            </w:r>
          </w:p>
        </w:tc>
        <w:tc>
          <w:tcPr>
            <w:tcW w:w="782" w:type="dxa"/>
          </w:tcPr>
          <w:p>
            <w:pPr>
              <w:pStyle w:val="TableParagraph"/>
              <w:spacing w:line="256" w:lineRule="exact"/>
              <w:ind w:left="107"/>
              <w:rPr>
                <w:sz w:val="24"/>
              </w:rPr>
            </w:pPr>
            <w:r>
              <w:rPr>
                <w:spacing w:val="-10"/>
                <w:sz w:val="24"/>
              </w:rPr>
              <w:t>D</w:t>
            </w:r>
          </w:p>
        </w:tc>
      </w:tr>
      <w:tr>
        <w:trPr>
          <w:trHeight w:val="275" w:hRule="atLeast"/>
        </w:trPr>
        <w:tc>
          <w:tcPr>
            <w:tcW w:w="5365" w:type="dxa"/>
          </w:tcPr>
          <w:p>
            <w:pPr>
              <w:pStyle w:val="TableParagraph"/>
              <w:spacing w:line="256" w:lineRule="exact"/>
              <w:ind w:left="107"/>
              <w:rPr>
                <w:sz w:val="24"/>
              </w:rPr>
            </w:pPr>
            <w:r>
              <w:rPr>
                <w:sz w:val="24"/>
              </w:rPr>
              <w:t>(68)</w:t>
            </w:r>
            <w:r>
              <w:rPr>
                <w:spacing w:val="-1"/>
                <w:sz w:val="24"/>
              </w:rPr>
              <w:t> </w:t>
            </w:r>
            <w:r>
              <w:rPr>
                <w:sz w:val="24"/>
              </w:rPr>
              <w:t>It</w:t>
            </w:r>
            <w:r>
              <w:rPr>
                <w:spacing w:val="-1"/>
                <w:sz w:val="24"/>
              </w:rPr>
              <w:t> </w:t>
            </w:r>
            <w:r>
              <w:rPr>
                <w:sz w:val="24"/>
              </w:rPr>
              <w:t>is highly</w:t>
            </w:r>
            <w:r>
              <w:rPr>
                <w:spacing w:val="-5"/>
                <w:sz w:val="24"/>
              </w:rPr>
              <w:t> </w:t>
            </w:r>
            <w:r>
              <w:rPr>
                <w:spacing w:val="-2"/>
                <w:sz w:val="24"/>
              </w:rPr>
              <w:t>justifiable</w:t>
            </w:r>
          </w:p>
        </w:tc>
        <w:tc>
          <w:tcPr>
            <w:tcW w:w="804" w:type="dxa"/>
          </w:tcPr>
          <w:p>
            <w:pPr>
              <w:pStyle w:val="TableParagraph"/>
              <w:rPr>
                <w:sz w:val="20"/>
              </w:rPr>
            </w:pPr>
          </w:p>
        </w:tc>
        <w:tc>
          <w:tcPr>
            <w:tcW w:w="704" w:type="dxa"/>
          </w:tcPr>
          <w:p>
            <w:pPr>
              <w:pStyle w:val="TableParagraph"/>
              <w:rPr>
                <w:sz w:val="20"/>
              </w:rPr>
            </w:pPr>
          </w:p>
        </w:tc>
        <w:tc>
          <w:tcPr>
            <w:tcW w:w="871" w:type="dxa"/>
          </w:tcPr>
          <w:p>
            <w:pPr>
              <w:pStyle w:val="TableParagraph"/>
              <w:rPr>
                <w:sz w:val="20"/>
              </w:rPr>
            </w:pPr>
          </w:p>
        </w:tc>
        <w:tc>
          <w:tcPr>
            <w:tcW w:w="782" w:type="dxa"/>
          </w:tcPr>
          <w:p>
            <w:pPr>
              <w:pStyle w:val="TableParagraph"/>
              <w:rPr>
                <w:sz w:val="20"/>
              </w:rPr>
            </w:pPr>
          </w:p>
        </w:tc>
      </w:tr>
      <w:tr>
        <w:trPr>
          <w:trHeight w:val="276" w:hRule="atLeast"/>
        </w:trPr>
        <w:tc>
          <w:tcPr>
            <w:tcW w:w="5365" w:type="dxa"/>
          </w:tcPr>
          <w:p>
            <w:pPr>
              <w:pStyle w:val="TableParagraph"/>
              <w:spacing w:line="256" w:lineRule="exact"/>
              <w:ind w:left="107"/>
              <w:rPr>
                <w:sz w:val="24"/>
              </w:rPr>
            </w:pPr>
            <w:r>
              <w:rPr>
                <w:sz w:val="24"/>
              </w:rPr>
              <w:t>(69)</w:t>
            </w:r>
            <w:r>
              <w:rPr>
                <w:spacing w:val="-1"/>
                <w:sz w:val="24"/>
              </w:rPr>
              <w:t> </w:t>
            </w:r>
            <w:r>
              <w:rPr>
                <w:sz w:val="24"/>
              </w:rPr>
              <w:t>It is</w:t>
            </w:r>
            <w:r>
              <w:rPr>
                <w:spacing w:val="-1"/>
                <w:sz w:val="24"/>
              </w:rPr>
              <w:t> </w:t>
            </w:r>
            <w:r>
              <w:rPr>
                <w:sz w:val="24"/>
              </w:rPr>
              <w:t>a total</w:t>
            </w:r>
            <w:r>
              <w:rPr>
                <w:spacing w:val="-1"/>
                <w:sz w:val="24"/>
              </w:rPr>
              <w:t> </w:t>
            </w:r>
            <w:r>
              <w:rPr>
                <w:sz w:val="24"/>
              </w:rPr>
              <w:t>failure</w:t>
            </w:r>
            <w:r>
              <w:rPr>
                <w:spacing w:val="-1"/>
                <w:sz w:val="24"/>
              </w:rPr>
              <w:t> </w:t>
            </w:r>
            <w:r>
              <w:rPr>
                <w:sz w:val="24"/>
              </w:rPr>
              <w:t>and</w:t>
            </w:r>
            <w:r>
              <w:rPr>
                <w:spacing w:val="-1"/>
                <w:sz w:val="24"/>
              </w:rPr>
              <w:t> </w:t>
            </w:r>
            <w:r>
              <w:rPr>
                <w:sz w:val="24"/>
              </w:rPr>
              <w:t>not </w:t>
            </w:r>
            <w:r>
              <w:rPr>
                <w:spacing w:val="-2"/>
                <w:sz w:val="24"/>
              </w:rPr>
              <w:t>justifiable</w:t>
            </w:r>
          </w:p>
        </w:tc>
        <w:tc>
          <w:tcPr>
            <w:tcW w:w="804" w:type="dxa"/>
          </w:tcPr>
          <w:p>
            <w:pPr>
              <w:pStyle w:val="TableParagraph"/>
              <w:rPr>
                <w:sz w:val="20"/>
              </w:rPr>
            </w:pPr>
          </w:p>
        </w:tc>
        <w:tc>
          <w:tcPr>
            <w:tcW w:w="704" w:type="dxa"/>
          </w:tcPr>
          <w:p>
            <w:pPr>
              <w:pStyle w:val="TableParagraph"/>
              <w:rPr>
                <w:sz w:val="20"/>
              </w:rPr>
            </w:pPr>
          </w:p>
        </w:tc>
        <w:tc>
          <w:tcPr>
            <w:tcW w:w="871" w:type="dxa"/>
          </w:tcPr>
          <w:p>
            <w:pPr>
              <w:pStyle w:val="TableParagraph"/>
              <w:rPr>
                <w:sz w:val="20"/>
              </w:rPr>
            </w:pPr>
          </w:p>
        </w:tc>
        <w:tc>
          <w:tcPr>
            <w:tcW w:w="782" w:type="dxa"/>
          </w:tcPr>
          <w:p>
            <w:pPr>
              <w:pStyle w:val="TableParagraph"/>
              <w:rPr>
                <w:sz w:val="20"/>
              </w:rPr>
            </w:pPr>
          </w:p>
        </w:tc>
      </w:tr>
      <w:tr>
        <w:trPr>
          <w:trHeight w:val="275" w:hRule="atLeast"/>
        </w:trPr>
        <w:tc>
          <w:tcPr>
            <w:tcW w:w="5365" w:type="dxa"/>
          </w:tcPr>
          <w:p>
            <w:pPr>
              <w:pStyle w:val="TableParagraph"/>
              <w:spacing w:line="256" w:lineRule="exact"/>
              <w:ind w:left="107"/>
              <w:rPr>
                <w:sz w:val="24"/>
              </w:rPr>
            </w:pPr>
            <w:r>
              <w:rPr>
                <w:sz w:val="24"/>
              </w:rPr>
              <w:t>(70)</w:t>
            </w:r>
            <w:r>
              <w:rPr>
                <w:spacing w:val="-1"/>
                <w:sz w:val="24"/>
              </w:rPr>
              <w:t> </w:t>
            </w:r>
            <w:r>
              <w:rPr>
                <w:sz w:val="24"/>
              </w:rPr>
              <w:t>It</w:t>
            </w:r>
            <w:r>
              <w:rPr>
                <w:spacing w:val="-1"/>
                <w:sz w:val="24"/>
              </w:rPr>
              <w:t> </w:t>
            </w:r>
            <w:r>
              <w:rPr>
                <w:sz w:val="24"/>
              </w:rPr>
              <w:t>has merely</w:t>
            </w:r>
            <w:r>
              <w:rPr>
                <w:spacing w:val="-5"/>
                <w:sz w:val="24"/>
              </w:rPr>
              <w:t> </w:t>
            </w:r>
            <w:r>
              <w:rPr>
                <w:sz w:val="24"/>
              </w:rPr>
              <w:t>ensured</w:t>
            </w:r>
            <w:r>
              <w:rPr>
                <w:spacing w:val="-1"/>
                <w:sz w:val="24"/>
              </w:rPr>
              <w:t> </w:t>
            </w:r>
            <w:r>
              <w:rPr>
                <w:sz w:val="24"/>
              </w:rPr>
              <w:t>fragile</w:t>
            </w:r>
            <w:r>
              <w:rPr>
                <w:spacing w:val="-1"/>
                <w:sz w:val="24"/>
              </w:rPr>
              <w:t> </w:t>
            </w:r>
            <w:r>
              <w:rPr>
                <w:spacing w:val="-4"/>
                <w:sz w:val="24"/>
              </w:rPr>
              <w:t>peace</w:t>
            </w:r>
          </w:p>
        </w:tc>
        <w:tc>
          <w:tcPr>
            <w:tcW w:w="804" w:type="dxa"/>
          </w:tcPr>
          <w:p>
            <w:pPr>
              <w:pStyle w:val="TableParagraph"/>
              <w:rPr>
                <w:sz w:val="20"/>
              </w:rPr>
            </w:pPr>
          </w:p>
        </w:tc>
        <w:tc>
          <w:tcPr>
            <w:tcW w:w="704" w:type="dxa"/>
          </w:tcPr>
          <w:p>
            <w:pPr>
              <w:pStyle w:val="TableParagraph"/>
              <w:rPr>
                <w:sz w:val="20"/>
              </w:rPr>
            </w:pPr>
          </w:p>
        </w:tc>
        <w:tc>
          <w:tcPr>
            <w:tcW w:w="871" w:type="dxa"/>
          </w:tcPr>
          <w:p>
            <w:pPr>
              <w:pStyle w:val="TableParagraph"/>
              <w:rPr>
                <w:sz w:val="20"/>
              </w:rPr>
            </w:pPr>
          </w:p>
        </w:tc>
        <w:tc>
          <w:tcPr>
            <w:tcW w:w="782" w:type="dxa"/>
          </w:tcPr>
          <w:p>
            <w:pPr>
              <w:pStyle w:val="TableParagraph"/>
              <w:rPr>
                <w:sz w:val="20"/>
              </w:rPr>
            </w:pPr>
          </w:p>
        </w:tc>
      </w:tr>
      <w:tr>
        <w:trPr>
          <w:trHeight w:val="277" w:hRule="atLeast"/>
        </w:trPr>
        <w:tc>
          <w:tcPr>
            <w:tcW w:w="5365" w:type="dxa"/>
          </w:tcPr>
          <w:p>
            <w:pPr>
              <w:pStyle w:val="TableParagraph"/>
              <w:spacing w:line="258" w:lineRule="exact"/>
              <w:ind w:left="107"/>
              <w:rPr>
                <w:sz w:val="24"/>
              </w:rPr>
            </w:pPr>
            <w:r>
              <w:rPr>
                <w:sz w:val="24"/>
              </w:rPr>
              <w:t>(71)</w:t>
            </w:r>
            <w:r>
              <w:rPr>
                <w:spacing w:val="-1"/>
                <w:sz w:val="24"/>
              </w:rPr>
              <w:t> </w:t>
            </w:r>
            <w:r>
              <w:rPr>
                <w:sz w:val="24"/>
              </w:rPr>
              <w:t>It</w:t>
            </w:r>
            <w:r>
              <w:rPr>
                <w:spacing w:val="-1"/>
                <w:sz w:val="24"/>
              </w:rPr>
              <w:t> </w:t>
            </w:r>
            <w:r>
              <w:rPr>
                <w:sz w:val="24"/>
              </w:rPr>
              <w:t>has</w:t>
            </w:r>
            <w:r>
              <w:rPr>
                <w:spacing w:val="-1"/>
                <w:sz w:val="24"/>
              </w:rPr>
              <w:t> </w:t>
            </w:r>
            <w:r>
              <w:rPr>
                <w:sz w:val="24"/>
              </w:rPr>
              <w:t>entrenched</w:t>
            </w:r>
            <w:r>
              <w:rPr>
                <w:spacing w:val="-1"/>
                <w:sz w:val="24"/>
              </w:rPr>
              <w:t> </w:t>
            </w:r>
            <w:r>
              <w:rPr>
                <w:sz w:val="24"/>
              </w:rPr>
              <w:t>sustainable</w:t>
            </w:r>
            <w:r>
              <w:rPr>
                <w:spacing w:val="-1"/>
                <w:sz w:val="24"/>
              </w:rPr>
              <w:t> </w:t>
            </w:r>
            <w:r>
              <w:rPr>
                <w:spacing w:val="-4"/>
                <w:sz w:val="24"/>
              </w:rPr>
              <w:t>peace</w:t>
            </w:r>
          </w:p>
        </w:tc>
        <w:tc>
          <w:tcPr>
            <w:tcW w:w="804" w:type="dxa"/>
          </w:tcPr>
          <w:p>
            <w:pPr>
              <w:pStyle w:val="TableParagraph"/>
              <w:rPr>
                <w:sz w:val="20"/>
              </w:rPr>
            </w:pPr>
          </w:p>
        </w:tc>
        <w:tc>
          <w:tcPr>
            <w:tcW w:w="704" w:type="dxa"/>
          </w:tcPr>
          <w:p>
            <w:pPr>
              <w:pStyle w:val="TableParagraph"/>
              <w:rPr>
                <w:sz w:val="20"/>
              </w:rPr>
            </w:pPr>
          </w:p>
        </w:tc>
        <w:tc>
          <w:tcPr>
            <w:tcW w:w="871" w:type="dxa"/>
          </w:tcPr>
          <w:p>
            <w:pPr>
              <w:pStyle w:val="TableParagraph"/>
              <w:rPr>
                <w:sz w:val="20"/>
              </w:rPr>
            </w:pPr>
          </w:p>
        </w:tc>
        <w:tc>
          <w:tcPr>
            <w:tcW w:w="782" w:type="dxa"/>
          </w:tcPr>
          <w:p>
            <w:pPr>
              <w:pStyle w:val="TableParagraph"/>
              <w:rPr>
                <w:sz w:val="20"/>
              </w:rPr>
            </w:pPr>
          </w:p>
        </w:tc>
      </w:tr>
    </w:tbl>
    <w:p>
      <w:pPr>
        <w:spacing w:after="0"/>
        <w:rPr>
          <w:sz w:val="20"/>
        </w:rPr>
        <w:sectPr>
          <w:pgSz w:w="11910" w:h="16840"/>
          <w:pgMar w:header="0" w:footer="1561" w:top="1620" w:bottom="1760" w:left="720" w:right="180"/>
        </w:sectPr>
      </w:pPr>
    </w:p>
    <w:p>
      <w:pPr>
        <w:pStyle w:val="BodyText"/>
        <w:spacing w:before="78" w:after="9"/>
        <w:ind w:left="2160" w:right="1260" w:hanging="720"/>
      </w:pPr>
      <w:r>
        <w:rPr/>
        <mc:AlternateContent>
          <mc:Choice Requires="wps">
            <w:drawing>
              <wp:anchor distT="0" distB="0" distL="0" distR="0" allowOverlap="1" layoutInCell="1" locked="0" behindDoc="1" simplePos="0" relativeHeight="480706048">
                <wp:simplePos x="0" y="0"/>
                <wp:positionH relativeFrom="page">
                  <wp:posOffset>-1537026</wp:posOffset>
                </wp:positionH>
                <wp:positionV relativeFrom="page">
                  <wp:posOffset>4900424</wp:posOffset>
                </wp:positionV>
                <wp:extent cx="10669905" cy="914400"/>
                <wp:effectExtent l="0" t="0" r="0" b="0"/>
                <wp:wrapNone/>
                <wp:docPr id="395" name="Textbox 395"/>
                <wp:cNvGraphicFramePr>
                  <a:graphicFrameLocks/>
                </wp:cNvGraphicFramePr>
                <a:graphic>
                  <a:graphicData uri="http://schemas.microsoft.com/office/word/2010/wordprocessingShape">
                    <wps:wsp>
                      <wps:cNvPr id="395" name="Textbox 395"/>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10432;rotation:306" type="#_x0000_t136" fillcolor="#ff5400" stroked="f">
                <o:extrusion v:ext="view" autorotationcenter="t"/>
                <v:textpath style="font-family:&quot;Arial MT&quot;;font-size:72pt;v-text-kern:t;mso-text-shadow:auto" string="UNIVERSITY OF IBADAN"/>
                <w10:wrap type="none"/>
              </v:shape>
            </w:pict>
          </mc:Fallback>
        </mc:AlternateContent>
      </w:r>
      <w:r>
        <w:rPr/>
        <w:t>RQ19</w:t>
      </w:r>
      <w:r>
        <w:rPr>
          <w:spacing w:val="-2"/>
        </w:rPr>
        <w:t> </w:t>
      </w:r>
      <w:r>
        <w:rPr/>
        <w:t>Are</w:t>
      </w:r>
      <w:r>
        <w:rPr>
          <w:spacing w:val="-4"/>
        </w:rPr>
        <w:t> </w:t>
      </w:r>
      <w:r>
        <w:rPr/>
        <w:t>there</w:t>
      </w:r>
      <w:r>
        <w:rPr>
          <w:spacing w:val="-3"/>
        </w:rPr>
        <w:t> </w:t>
      </w:r>
      <w:r>
        <w:rPr/>
        <w:t>observable</w:t>
      </w:r>
      <w:r>
        <w:rPr>
          <w:spacing w:val="-2"/>
        </w:rPr>
        <w:t> </w:t>
      </w:r>
      <w:r>
        <w:rPr/>
        <w:t>mistakes</w:t>
      </w:r>
      <w:r>
        <w:rPr>
          <w:spacing w:val="-2"/>
        </w:rPr>
        <w:t> </w:t>
      </w:r>
      <w:r>
        <w:rPr/>
        <w:t>made</w:t>
      </w:r>
      <w:r>
        <w:rPr>
          <w:spacing w:val="-4"/>
        </w:rPr>
        <w:t> </w:t>
      </w:r>
      <w:r>
        <w:rPr/>
        <w:t>by</w:t>
      </w:r>
      <w:r>
        <w:rPr>
          <w:spacing w:val="-7"/>
        </w:rPr>
        <w:t> </w:t>
      </w:r>
      <w:r>
        <w:rPr/>
        <w:t>the</w:t>
      </w:r>
      <w:r>
        <w:rPr>
          <w:spacing w:val="-1"/>
        </w:rPr>
        <w:t> </w:t>
      </w:r>
      <w:r>
        <w:rPr/>
        <w:t>JTF</w:t>
      </w:r>
      <w:r>
        <w:rPr>
          <w:spacing w:val="-4"/>
        </w:rPr>
        <w:t> </w:t>
      </w:r>
      <w:r>
        <w:rPr/>
        <w:t>during</w:t>
      </w:r>
      <w:r>
        <w:rPr>
          <w:spacing w:val="-5"/>
        </w:rPr>
        <w:t> </w:t>
      </w:r>
      <w:r>
        <w:rPr/>
        <w:t>their</w:t>
      </w:r>
      <w:r>
        <w:rPr>
          <w:spacing w:val="-3"/>
        </w:rPr>
        <w:t> </w:t>
      </w:r>
      <w:r>
        <w:rPr/>
        <w:t>operations</w:t>
      </w:r>
      <w:r>
        <w:rPr>
          <w:spacing w:val="-2"/>
        </w:rPr>
        <w:t> </w:t>
      </w:r>
      <w:r>
        <w:rPr/>
        <w:t>in</w:t>
      </w:r>
      <w:r>
        <w:rPr>
          <w:spacing w:val="-2"/>
        </w:rPr>
        <w:t> </w:t>
      </w:r>
      <w:r>
        <w:rPr/>
        <w:t>the Niger Delta? If yes what are these flaws?</w:t>
      </w: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72"/>
        <w:gridCol w:w="804"/>
        <w:gridCol w:w="701"/>
        <w:gridCol w:w="868"/>
        <w:gridCol w:w="779"/>
      </w:tblGrid>
      <w:tr>
        <w:trPr>
          <w:trHeight w:val="275" w:hRule="atLeast"/>
        </w:trPr>
        <w:tc>
          <w:tcPr>
            <w:tcW w:w="5372" w:type="dxa"/>
          </w:tcPr>
          <w:p>
            <w:pPr>
              <w:pStyle w:val="TableParagraph"/>
              <w:rPr>
                <w:sz w:val="20"/>
              </w:rPr>
            </w:pPr>
          </w:p>
        </w:tc>
        <w:tc>
          <w:tcPr>
            <w:tcW w:w="804" w:type="dxa"/>
          </w:tcPr>
          <w:p>
            <w:pPr>
              <w:pStyle w:val="TableParagraph"/>
              <w:spacing w:line="256" w:lineRule="exact"/>
              <w:ind w:left="107"/>
              <w:rPr>
                <w:sz w:val="24"/>
              </w:rPr>
            </w:pPr>
            <w:r>
              <w:rPr>
                <w:spacing w:val="-5"/>
                <w:sz w:val="24"/>
              </w:rPr>
              <w:t>SA</w:t>
            </w:r>
          </w:p>
        </w:tc>
        <w:tc>
          <w:tcPr>
            <w:tcW w:w="701" w:type="dxa"/>
          </w:tcPr>
          <w:p>
            <w:pPr>
              <w:pStyle w:val="TableParagraph"/>
              <w:spacing w:line="256" w:lineRule="exact"/>
              <w:ind w:left="105"/>
              <w:rPr>
                <w:sz w:val="24"/>
              </w:rPr>
            </w:pPr>
            <w:r>
              <w:rPr>
                <w:spacing w:val="-10"/>
                <w:sz w:val="24"/>
              </w:rPr>
              <w:t>A</w:t>
            </w:r>
          </w:p>
        </w:tc>
        <w:tc>
          <w:tcPr>
            <w:tcW w:w="868" w:type="dxa"/>
          </w:tcPr>
          <w:p>
            <w:pPr>
              <w:pStyle w:val="TableParagraph"/>
              <w:spacing w:line="256" w:lineRule="exact"/>
              <w:ind w:left="108"/>
              <w:rPr>
                <w:sz w:val="24"/>
              </w:rPr>
            </w:pPr>
            <w:r>
              <w:rPr>
                <w:spacing w:val="-5"/>
                <w:sz w:val="24"/>
              </w:rPr>
              <w:t>SD</w:t>
            </w:r>
          </w:p>
        </w:tc>
        <w:tc>
          <w:tcPr>
            <w:tcW w:w="779" w:type="dxa"/>
          </w:tcPr>
          <w:p>
            <w:pPr>
              <w:pStyle w:val="TableParagraph"/>
              <w:spacing w:line="256" w:lineRule="exact"/>
              <w:ind w:left="109"/>
              <w:rPr>
                <w:sz w:val="24"/>
              </w:rPr>
            </w:pPr>
            <w:r>
              <w:rPr>
                <w:spacing w:val="-10"/>
                <w:sz w:val="24"/>
              </w:rPr>
              <w:t>D</w:t>
            </w:r>
          </w:p>
        </w:tc>
      </w:tr>
      <w:tr>
        <w:trPr>
          <w:trHeight w:val="275" w:hRule="atLeast"/>
        </w:trPr>
        <w:tc>
          <w:tcPr>
            <w:tcW w:w="5372" w:type="dxa"/>
          </w:tcPr>
          <w:p>
            <w:pPr>
              <w:pStyle w:val="TableParagraph"/>
              <w:spacing w:line="256" w:lineRule="exact"/>
              <w:ind w:left="107"/>
              <w:rPr>
                <w:sz w:val="24"/>
              </w:rPr>
            </w:pPr>
            <w:r>
              <w:rPr>
                <w:sz w:val="24"/>
              </w:rPr>
              <w:t>(72)</w:t>
            </w:r>
            <w:r>
              <w:rPr>
                <w:spacing w:val="-3"/>
                <w:sz w:val="24"/>
              </w:rPr>
              <w:t> </w:t>
            </w:r>
            <w:r>
              <w:rPr>
                <w:sz w:val="24"/>
              </w:rPr>
              <w:t>High </w:t>
            </w:r>
            <w:r>
              <w:rPr>
                <w:spacing w:val="-2"/>
                <w:sz w:val="24"/>
              </w:rPr>
              <w:t>handedness</w:t>
            </w:r>
          </w:p>
        </w:tc>
        <w:tc>
          <w:tcPr>
            <w:tcW w:w="804" w:type="dxa"/>
          </w:tcPr>
          <w:p>
            <w:pPr>
              <w:pStyle w:val="TableParagraph"/>
              <w:rPr>
                <w:sz w:val="20"/>
              </w:rPr>
            </w:pPr>
          </w:p>
        </w:tc>
        <w:tc>
          <w:tcPr>
            <w:tcW w:w="701" w:type="dxa"/>
          </w:tcPr>
          <w:p>
            <w:pPr>
              <w:pStyle w:val="TableParagraph"/>
              <w:rPr>
                <w:sz w:val="20"/>
              </w:rPr>
            </w:pPr>
          </w:p>
        </w:tc>
        <w:tc>
          <w:tcPr>
            <w:tcW w:w="868" w:type="dxa"/>
          </w:tcPr>
          <w:p>
            <w:pPr>
              <w:pStyle w:val="TableParagraph"/>
              <w:rPr>
                <w:sz w:val="20"/>
              </w:rPr>
            </w:pPr>
          </w:p>
        </w:tc>
        <w:tc>
          <w:tcPr>
            <w:tcW w:w="779" w:type="dxa"/>
          </w:tcPr>
          <w:p>
            <w:pPr>
              <w:pStyle w:val="TableParagraph"/>
              <w:rPr>
                <w:sz w:val="20"/>
              </w:rPr>
            </w:pPr>
          </w:p>
        </w:tc>
      </w:tr>
      <w:tr>
        <w:trPr>
          <w:trHeight w:val="275" w:hRule="atLeast"/>
        </w:trPr>
        <w:tc>
          <w:tcPr>
            <w:tcW w:w="5372" w:type="dxa"/>
          </w:tcPr>
          <w:p>
            <w:pPr>
              <w:pStyle w:val="TableParagraph"/>
              <w:spacing w:line="256" w:lineRule="exact"/>
              <w:ind w:left="107"/>
              <w:rPr>
                <w:sz w:val="24"/>
              </w:rPr>
            </w:pPr>
            <w:r>
              <w:rPr>
                <w:sz w:val="24"/>
              </w:rPr>
              <w:t>(73)</w:t>
            </w:r>
            <w:r>
              <w:rPr>
                <w:spacing w:val="-3"/>
                <w:sz w:val="24"/>
              </w:rPr>
              <w:t> </w:t>
            </w:r>
            <w:r>
              <w:rPr>
                <w:sz w:val="24"/>
              </w:rPr>
              <w:t>Connivance</w:t>
            </w:r>
            <w:r>
              <w:rPr>
                <w:spacing w:val="1"/>
                <w:sz w:val="24"/>
              </w:rPr>
              <w:t> </w:t>
            </w:r>
            <w:r>
              <w:rPr>
                <w:sz w:val="24"/>
              </w:rPr>
              <w:t>with</w:t>
            </w:r>
            <w:r>
              <w:rPr>
                <w:spacing w:val="-1"/>
                <w:sz w:val="24"/>
              </w:rPr>
              <w:t> </w:t>
            </w:r>
            <w:r>
              <w:rPr>
                <w:sz w:val="24"/>
              </w:rPr>
              <w:t>oil </w:t>
            </w:r>
            <w:r>
              <w:rPr>
                <w:spacing w:val="-2"/>
                <w:sz w:val="24"/>
              </w:rPr>
              <w:t>bunkerers</w:t>
            </w:r>
          </w:p>
        </w:tc>
        <w:tc>
          <w:tcPr>
            <w:tcW w:w="804" w:type="dxa"/>
          </w:tcPr>
          <w:p>
            <w:pPr>
              <w:pStyle w:val="TableParagraph"/>
              <w:rPr>
                <w:sz w:val="20"/>
              </w:rPr>
            </w:pPr>
          </w:p>
        </w:tc>
        <w:tc>
          <w:tcPr>
            <w:tcW w:w="701" w:type="dxa"/>
          </w:tcPr>
          <w:p>
            <w:pPr>
              <w:pStyle w:val="TableParagraph"/>
              <w:rPr>
                <w:sz w:val="20"/>
              </w:rPr>
            </w:pPr>
          </w:p>
        </w:tc>
        <w:tc>
          <w:tcPr>
            <w:tcW w:w="868" w:type="dxa"/>
          </w:tcPr>
          <w:p>
            <w:pPr>
              <w:pStyle w:val="TableParagraph"/>
              <w:rPr>
                <w:sz w:val="20"/>
              </w:rPr>
            </w:pPr>
          </w:p>
        </w:tc>
        <w:tc>
          <w:tcPr>
            <w:tcW w:w="779" w:type="dxa"/>
          </w:tcPr>
          <w:p>
            <w:pPr>
              <w:pStyle w:val="TableParagraph"/>
              <w:rPr>
                <w:sz w:val="20"/>
              </w:rPr>
            </w:pPr>
          </w:p>
        </w:tc>
      </w:tr>
      <w:tr>
        <w:trPr>
          <w:trHeight w:val="277" w:hRule="atLeast"/>
        </w:trPr>
        <w:tc>
          <w:tcPr>
            <w:tcW w:w="5372" w:type="dxa"/>
          </w:tcPr>
          <w:p>
            <w:pPr>
              <w:pStyle w:val="TableParagraph"/>
              <w:spacing w:line="258" w:lineRule="exact"/>
              <w:ind w:left="107"/>
              <w:rPr>
                <w:sz w:val="24"/>
              </w:rPr>
            </w:pPr>
            <w:r>
              <w:rPr>
                <w:sz w:val="24"/>
              </w:rPr>
              <w:t>(74)</w:t>
            </w:r>
            <w:r>
              <w:rPr>
                <w:spacing w:val="-3"/>
                <w:sz w:val="24"/>
              </w:rPr>
              <w:t> </w:t>
            </w:r>
            <w:r>
              <w:rPr>
                <w:sz w:val="24"/>
              </w:rPr>
              <w:t>Connivance with</w:t>
            </w:r>
            <w:r>
              <w:rPr>
                <w:spacing w:val="-1"/>
                <w:sz w:val="24"/>
              </w:rPr>
              <w:t> </w:t>
            </w:r>
            <w:r>
              <w:rPr>
                <w:sz w:val="24"/>
              </w:rPr>
              <w:t>anti</w:t>
            </w:r>
            <w:r>
              <w:rPr>
                <w:spacing w:val="-1"/>
                <w:sz w:val="24"/>
              </w:rPr>
              <w:t> </w:t>
            </w:r>
            <w:r>
              <w:rPr>
                <w:sz w:val="24"/>
              </w:rPr>
              <w:t>government</w:t>
            </w:r>
            <w:r>
              <w:rPr>
                <w:spacing w:val="-1"/>
                <w:sz w:val="24"/>
              </w:rPr>
              <w:t> </w:t>
            </w:r>
            <w:r>
              <w:rPr>
                <w:spacing w:val="-2"/>
                <w:sz w:val="24"/>
              </w:rPr>
              <w:t>agencies</w:t>
            </w:r>
          </w:p>
        </w:tc>
        <w:tc>
          <w:tcPr>
            <w:tcW w:w="804" w:type="dxa"/>
          </w:tcPr>
          <w:p>
            <w:pPr>
              <w:pStyle w:val="TableParagraph"/>
              <w:rPr>
                <w:sz w:val="20"/>
              </w:rPr>
            </w:pPr>
          </w:p>
        </w:tc>
        <w:tc>
          <w:tcPr>
            <w:tcW w:w="701" w:type="dxa"/>
          </w:tcPr>
          <w:p>
            <w:pPr>
              <w:pStyle w:val="TableParagraph"/>
              <w:rPr>
                <w:sz w:val="20"/>
              </w:rPr>
            </w:pPr>
          </w:p>
        </w:tc>
        <w:tc>
          <w:tcPr>
            <w:tcW w:w="868" w:type="dxa"/>
          </w:tcPr>
          <w:p>
            <w:pPr>
              <w:pStyle w:val="TableParagraph"/>
              <w:rPr>
                <w:sz w:val="20"/>
              </w:rPr>
            </w:pPr>
          </w:p>
        </w:tc>
        <w:tc>
          <w:tcPr>
            <w:tcW w:w="779" w:type="dxa"/>
          </w:tcPr>
          <w:p>
            <w:pPr>
              <w:pStyle w:val="TableParagraph"/>
              <w:rPr>
                <w:sz w:val="20"/>
              </w:rPr>
            </w:pPr>
          </w:p>
        </w:tc>
      </w:tr>
      <w:tr>
        <w:trPr>
          <w:trHeight w:val="275" w:hRule="atLeast"/>
        </w:trPr>
        <w:tc>
          <w:tcPr>
            <w:tcW w:w="5372" w:type="dxa"/>
          </w:tcPr>
          <w:p>
            <w:pPr>
              <w:pStyle w:val="TableParagraph"/>
              <w:spacing w:line="256" w:lineRule="exact"/>
              <w:ind w:left="107"/>
              <w:rPr>
                <w:sz w:val="24"/>
              </w:rPr>
            </w:pPr>
            <w:r>
              <w:rPr>
                <w:sz w:val="24"/>
              </w:rPr>
              <w:t>(75)</w:t>
            </w:r>
            <w:r>
              <w:rPr>
                <w:spacing w:val="-4"/>
                <w:sz w:val="24"/>
              </w:rPr>
              <w:t> </w:t>
            </w:r>
            <w:r>
              <w:rPr>
                <w:sz w:val="24"/>
              </w:rPr>
              <w:t>Activities</w:t>
            </w:r>
            <w:r>
              <w:rPr>
                <w:spacing w:val="-2"/>
                <w:sz w:val="24"/>
              </w:rPr>
              <w:t> </w:t>
            </w:r>
            <w:r>
              <w:rPr>
                <w:sz w:val="24"/>
              </w:rPr>
              <w:t>result</w:t>
            </w:r>
            <w:r>
              <w:rPr>
                <w:spacing w:val="-2"/>
                <w:sz w:val="24"/>
              </w:rPr>
              <w:t> </w:t>
            </w:r>
            <w:r>
              <w:rPr>
                <w:sz w:val="24"/>
              </w:rPr>
              <w:t>into</w:t>
            </w:r>
            <w:r>
              <w:rPr>
                <w:spacing w:val="-2"/>
                <w:sz w:val="24"/>
              </w:rPr>
              <w:t> </w:t>
            </w:r>
            <w:r>
              <w:rPr>
                <w:sz w:val="24"/>
              </w:rPr>
              <w:t>collateral</w:t>
            </w:r>
            <w:r>
              <w:rPr>
                <w:spacing w:val="-1"/>
                <w:sz w:val="24"/>
              </w:rPr>
              <w:t> </w:t>
            </w:r>
            <w:r>
              <w:rPr>
                <w:spacing w:val="-2"/>
                <w:sz w:val="24"/>
              </w:rPr>
              <w:t>damages</w:t>
            </w:r>
          </w:p>
        </w:tc>
        <w:tc>
          <w:tcPr>
            <w:tcW w:w="804" w:type="dxa"/>
          </w:tcPr>
          <w:p>
            <w:pPr>
              <w:pStyle w:val="TableParagraph"/>
              <w:rPr>
                <w:sz w:val="20"/>
              </w:rPr>
            </w:pPr>
          </w:p>
        </w:tc>
        <w:tc>
          <w:tcPr>
            <w:tcW w:w="701" w:type="dxa"/>
          </w:tcPr>
          <w:p>
            <w:pPr>
              <w:pStyle w:val="TableParagraph"/>
              <w:rPr>
                <w:sz w:val="20"/>
              </w:rPr>
            </w:pPr>
          </w:p>
        </w:tc>
        <w:tc>
          <w:tcPr>
            <w:tcW w:w="868" w:type="dxa"/>
          </w:tcPr>
          <w:p>
            <w:pPr>
              <w:pStyle w:val="TableParagraph"/>
              <w:rPr>
                <w:sz w:val="20"/>
              </w:rPr>
            </w:pPr>
          </w:p>
        </w:tc>
        <w:tc>
          <w:tcPr>
            <w:tcW w:w="779" w:type="dxa"/>
          </w:tcPr>
          <w:p>
            <w:pPr>
              <w:pStyle w:val="TableParagraph"/>
              <w:rPr>
                <w:sz w:val="20"/>
              </w:rPr>
            </w:pPr>
          </w:p>
        </w:tc>
      </w:tr>
    </w:tbl>
    <w:p>
      <w:pPr>
        <w:pStyle w:val="BodyText"/>
        <w:spacing w:before="271" w:after="8"/>
      </w:pPr>
      <w:r>
        <w:rPr/>
        <w:t>RQ</w:t>
      </w:r>
      <w:r>
        <w:rPr>
          <w:spacing w:val="-4"/>
        </w:rPr>
        <w:t> </w:t>
      </w:r>
      <w:r>
        <w:rPr/>
        <w:t>20</w:t>
      </w:r>
      <w:r>
        <w:rPr>
          <w:spacing w:val="-1"/>
        </w:rPr>
        <w:t> </w:t>
      </w:r>
      <w:r>
        <w:rPr/>
        <w:t>What</w:t>
      </w:r>
      <w:r>
        <w:rPr>
          <w:spacing w:val="-1"/>
        </w:rPr>
        <w:t> </w:t>
      </w:r>
      <w:r>
        <w:rPr/>
        <w:t>to</w:t>
      </w:r>
      <w:r>
        <w:rPr>
          <w:spacing w:val="1"/>
        </w:rPr>
        <w:t> </w:t>
      </w:r>
      <w:r>
        <w:rPr/>
        <w:t>you</w:t>
      </w:r>
      <w:r>
        <w:rPr>
          <w:spacing w:val="1"/>
        </w:rPr>
        <w:t> </w:t>
      </w:r>
      <w:r>
        <w:rPr/>
        <w:t>are</w:t>
      </w:r>
      <w:r>
        <w:rPr>
          <w:spacing w:val="-4"/>
        </w:rPr>
        <w:t> </w:t>
      </w:r>
      <w:r>
        <w:rPr/>
        <w:t>the</w:t>
      </w:r>
      <w:r>
        <w:rPr>
          <w:spacing w:val="-2"/>
        </w:rPr>
        <w:t> </w:t>
      </w:r>
      <w:r>
        <w:rPr/>
        <w:t>challenges</w:t>
      </w:r>
      <w:r>
        <w:rPr>
          <w:spacing w:val="-1"/>
        </w:rPr>
        <w:t> </w:t>
      </w:r>
      <w:r>
        <w:rPr/>
        <w:t>facing</w:t>
      </w:r>
      <w:r>
        <w:rPr>
          <w:spacing w:val="-3"/>
        </w:rPr>
        <w:t> </w:t>
      </w:r>
      <w:r>
        <w:rPr/>
        <w:t>the Niger</w:t>
      </w:r>
      <w:r>
        <w:rPr>
          <w:spacing w:val="-1"/>
        </w:rPr>
        <w:t> </w:t>
      </w:r>
      <w:r>
        <w:rPr/>
        <w:t>Delta </w:t>
      </w:r>
      <w:r>
        <w:rPr>
          <w:spacing w:val="-2"/>
        </w:rPr>
        <w:t>region?</w:t>
      </w: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94"/>
        <w:gridCol w:w="799"/>
        <w:gridCol w:w="696"/>
        <w:gridCol w:w="861"/>
        <w:gridCol w:w="775"/>
      </w:tblGrid>
      <w:tr>
        <w:trPr>
          <w:trHeight w:val="275" w:hRule="atLeast"/>
        </w:trPr>
        <w:tc>
          <w:tcPr>
            <w:tcW w:w="5394" w:type="dxa"/>
          </w:tcPr>
          <w:p>
            <w:pPr>
              <w:pStyle w:val="TableParagraph"/>
              <w:rPr>
                <w:sz w:val="20"/>
              </w:rPr>
            </w:pPr>
          </w:p>
        </w:tc>
        <w:tc>
          <w:tcPr>
            <w:tcW w:w="799" w:type="dxa"/>
          </w:tcPr>
          <w:p>
            <w:pPr>
              <w:pStyle w:val="TableParagraph"/>
              <w:spacing w:line="256" w:lineRule="exact"/>
              <w:ind w:left="107"/>
              <w:rPr>
                <w:sz w:val="24"/>
              </w:rPr>
            </w:pPr>
            <w:r>
              <w:rPr>
                <w:spacing w:val="-5"/>
                <w:sz w:val="24"/>
              </w:rPr>
              <w:t>SA</w:t>
            </w:r>
          </w:p>
        </w:tc>
        <w:tc>
          <w:tcPr>
            <w:tcW w:w="696" w:type="dxa"/>
          </w:tcPr>
          <w:p>
            <w:pPr>
              <w:pStyle w:val="TableParagraph"/>
              <w:spacing w:line="256" w:lineRule="exact"/>
              <w:ind w:left="107"/>
              <w:rPr>
                <w:sz w:val="24"/>
              </w:rPr>
            </w:pPr>
            <w:r>
              <w:rPr>
                <w:spacing w:val="-10"/>
                <w:sz w:val="24"/>
              </w:rPr>
              <w:t>A</w:t>
            </w:r>
          </w:p>
        </w:tc>
        <w:tc>
          <w:tcPr>
            <w:tcW w:w="861" w:type="dxa"/>
          </w:tcPr>
          <w:p>
            <w:pPr>
              <w:pStyle w:val="TableParagraph"/>
              <w:spacing w:line="256" w:lineRule="exact"/>
              <w:ind w:left="108"/>
              <w:rPr>
                <w:sz w:val="24"/>
              </w:rPr>
            </w:pPr>
            <w:r>
              <w:rPr>
                <w:spacing w:val="-5"/>
                <w:sz w:val="24"/>
              </w:rPr>
              <w:t>SD</w:t>
            </w:r>
          </w:p>
        </w:tc>
        <w:tc>
          <w:tcPr>
            <w:tcW w:w="775" w:type="dxa"/>
          </w:tcPr>
          <w:p>
            <w:pPr>
              <w:pStyle w:val="TableParagraph"/>
              <w:spacing w:line="256" w:lineRule="exact"/>
              <w:ind w:left="108"/>
              <w:rPr>
                <w:sz w:val="24"/>
              </w:rPr>
            </w:pPr>
            <w:r>
              <w:rPr>
                <w:spacing w:val="-10"/>
                <w:sz w:val="24"/>
              </w:rPr>
              <w:t>D</w:t>
            </w:r>
          </w:p>
        </w:tc>
      </w:tr>
      <w:tr>
        <w:trPr>
          <w:trHeight w:val="275" w:hRule="atLeast"/>
        </w:trPr>
        <w:tc>
          <w:tcPr>
            <w:tcW w:w="5394" w:type="dxa"/>
          </w:tcPr>
          <w:p>
            <w:pPr>
              <w:pStyle w:val="TableParagraph"/>
              <w:spacing w:line="256" w:lineRule="exact"/>
              <w:ind w:left="107"/>
              <w:rPr>
                <w:sz w:val="24"/>
              </w:rPr>
            </w:pPr>
            <w:r>
              <w:rPr>
                <w:sz w:val="24"/>
              </w:rPr>
              <w:t>(76)</w:t>
            </w:r>
            <w:r>
              <w:rPr>
                <w:spacing w:val="-3"/>
                <w:sz w:val="24"/>
              </w:rPr>
              <w:t> </w:t>
            </w:r>
            <w:r>
              <w:rPr>
                <w:sz w:val="24"/>
              </w:rPr>
              <w:t>Inadequate</w:t>
            </w:r>
            <w:r>
              <w:rPr>
                <w:spacing w:val="-2"/>
                <w:sz w:val="24"/>
              </w:rPr>
              <w:t> logistics</w:t>
            </w:r>
          </w:p>
        </w:tc>
        <w:tc>
          <w:tcPr>
            <w:tcW w:w="799" w:type="dxa"/>
          </w:tcPr>
          <w:p>
            <w:pPr>
              <w:pStyle w:val="TableParagraph"/>
              <w:rPr>
                <w:sz w:val="20"/>
              </w:rPr>
            </w:pPr>
          </w:p>
        </w:tc>
        <w:tc>
          <w:tcPr>
            <w:tcW w:w="696" w:type="dxa"/>
          </w:tcPr>
          <w:p>
            <w:pPr>
              <w:pStyle w:val="TableParagraph"/>
              <w:rPr>
                <w:sz w:val="20"/>
              </w:rPr>
            </w:pPr>
          </w:p>
        </w:tc>
        <w:tc>
          <w:tcPr>
            <w:tcW w:w="861" w:type="dxa"/>
          </w:tcPr>
          <w:p>
            <w:pPr>
              <w:pStyle w:val="TableParagraph"/>
              <w:rPr>
                <w:sz w:val="20"/>
              </w:rPr>
            </w:pPr>
          </w:p>
        </w:tc>
        <w:tc>
          <w:tcPr>
            <w:tcW w:w="775" w:type="dxa"/>
          </w:tcPr>
          <w:p>
            <w:pPr>
              <w:pStyle w:val="TableParagraph"/>
              <w:rPr>
                <w:sz w:val="20"/>
              </w:rPr>
            </w:pPr>
          </w:p>
        </w:tc>
      </w:tr>
      <w:tr>
        <w:trPr>
          <w:trHeight w:val="275" w:hRule="atLeast"/>
        </w:trPr>
        <w:tc>
          <w:tcPr>
            <w:tcW w:w="5394" w:type="dxa"/>
          </w:tcPr>
          <w:p>
            <w:pPr>
              <w:pStyle w:val="TableParagraph"/>
              <w:spacing w:line="256" w:lineRule="exact"/>
              <w:ind w:left="107"/>
              <w:rPr>
                <w:sz w:val="24"/>
              </w:rPr>
            </w:pPr>
            <w:r>
              <w:rPr>
                <w:sz w:val="24"/>
              </w:rPr>
              <w:t>(77)</w:t>
            </w:r>
            <w:r>
              <w:rPr>
                <w:spacing w:val="-3"/>
                <w:sz w:val="24"/>
              </w:rPr>
              <w:t> </w:t>
            </w:r>
            <w:r>
              <w:rPr>
                <w:sz w:val="24"/>
              </w:rPr>
              <w:t>lack</w:t>
            </w:r>
            <w:r>
              <w:rPr>
                <w:spacing w:val="-1"/>
                <w:sz w:val="24"/>
              </w:rPr>
              <w:t> </w:t>
            </w:r>
            <w:r>
              <w:rPr>
                <w:sz w:val="24"/>
              </w:rPr>
              <w:t>of</w:t>
            </w:r>
            <w:r>
              <w:rPr>
                <w:spacing w:val="1"/>
                <w:sz w:val="24"/>
              </w:rPr>
              <w:t> </w:t>
            </w:r>
            <w:r>
              <w:rPr>
                <w:sz w:val="24"/>
              </w:rPr>
              <w:t>good</w:t>
            </w:r>
            <w:r>
              <w:rPr>
                <w:spacing w:val="-1"/>
                <w:sz w:val="24"/>
              </w:rPr>
              <w:t> </w:t>
            </w:r>
            <w:r>
              <w:rPr>
                <w:sz w:val="24"/>
              </w:rPr>
              <w:t>will</w:t>
            </w:r>
            <w:r>
              <w:rPr>
                <w:spacing w:val="-1"/>
                <w:sz w:val="24"/>
              </w:rPr>
              <w:t> </w:t>
            </w:r>
            <w:r>
              <w:rPr>
                <w:sz w:val="24"/>
              </w:rPr>
              <w:t>and support from </w:t>
            </w:r>
            <w:r>
              <w:rPr>
                <w:spacing w:val="-2"/>
                <w:sz w:val="24"/>
              </w:rPr>
              <w:t>indigenes</w:t>
            </w:r>
          </w:p>
        </w:tc>
        <w:tc>
          <w:tcPr>
            <w:tcW w:w="799" w:type="dxa"/>
          </w:tcPr>
          <w:p>
            <w:pPr>
              <w:pStyle w:val="TableParagraph"/>
              <w:rPr>
                <w:sz w:val="20"/>
              </w:rPr>
            </w:pPr>
          </w:p>
        </w:tc>
        <w:tc>
          <w:tcPr>
            <w:tcW w:w="696" w:type="dxa"/>
          </w:tcPr>
          <w:p>
            <w:pPr>
              <w:pStyle w:val="TableParagraph"/>
              <w:rPr>
                <w:sz w:val="20"/>
              </w:rPr>
            </w:pPr>
          </w:p>
        </w:tc>
        <w:tc>
          <w:tcPr>
            <w:tcW w:w="861" w:type="dxa"/>
          </w:tcPr>
          <w:p>
            <w:pPr>
              <w:pStyle w:val="TableParagraph"/>
              <w:rPr>
                <w:sz w:val="20"/>
              </w:rPr>
            </w:pPr>
          </w:p>
        </w:tc>
        <w:tc>
          <w:tcPr>
            <w:tcW w:w="775" w:type="dxa"/>
          </w:tcPr>
          <w:p>
            <w:pPr>
              <w:pStyle w:val="TableParagraph"/>
              <w:rPr>
                <w:sz w:val="20"/>
              </w:rPr>
            </w:pPr>
          </w:p>
        </w:tc>
      </w:tr>
      <w:tr>
        <w:trPr>
          <w:trHeight w:val="553" w:hRule="atLeast"/>
        </w:trPr>
        <w:tc>
          <w:tcPr>
            <w:tcW w:w="5394" w:type="dxa"/>
          </w:tcPr>
          <w:p>
            <w:pPr>
              <w:pStyle w:val="TableParagraph"/>
              <w:spacing w:line="270" w:lineRule="exact"/>
              <w:ind w:left="107"/>
              <w:rPr>
                <w:sz w:val="24"/>
              </w:rPr>
            </w:pPr>
            <w:r>
              <w:rPr>
                <w:sz w:val="24"/>
              </w:rPr>
              <w:t>(78)</w:t>
            </w:r>
            <w:r>
              <w:rPr>
                <w:spacing w:val="27"/>
                <w:sz w:val="24"/>
              </w:rPr>
              <w:t>  </w:t>
            </w:r>
            <w:r>
              <w:rPr>
                <w:sz w:val="24"/>
              </w:rPr>
              <w:t>lack</w:t>
            </w:r>
            <w:r>
              <w:rPr>
                <w:spacing w:val="29"/>
                <w:sz w:val="24"/>
              </w:rPr>
              <w:t>  </w:t>
            </w:r>
            <w:r>
              <w:rPr>
                <w:sz w:val="24"/>
              </w:rPr>
              <w:t>of</w:t>
            </w:r>
            <w:r>
              <w:rPr>
                <w:spacing w:val="31"/>
                <w:sz w:val="24"/>
              </w:rPr>
              <w:t>  </w:t>
            </w:r>
            <w:r>
              <w:rPr>
                <w:sz w:val="24"/>
              </w:rPr>
              <w:t>proper</w:t>
            </w:r>
            <w:r>
              <w:rPr>
                <w:spacing w:val="29"/>
                <w:sz w:val="24"/>
              </w:rPr>
              <w:t>  </w:t>
            </w:r>
            <w:r>
              <w:rPr>
                <w:sz w:val="24"/>
              </w:rPr>
              <w:t>co-ordination</w:t>
            </w:r>
            <w:r>
              <w:rPr>
                <w:spacing w:val="30"/>
                <w:sz w:val="24"/>
              </w:rPr>
              <w:t>  </w:t>
            </w:r>
            <w:r>
              <w:rPr>
                <w:sz w:val="24"/>
              </w:rPr>
              <w:t>between</w:t>
            </w:r>
            <w:r>
              <w:rPr>
                <w:spacing w:val="30"/>
                <w:sz w:val="24"/>
              </w:rPr>
              <w:t>  </w:t>
            </w:r>
            <w:r>
              <w:rPr>
                <w:spacing w:val="-5"/>
                <w:sz w:val="24"/>
              </w:rPr>
              <w:t>JTF</w:t>
            </w:r>
          </w:p>
          <w:p>
            <w:pPr>
              <w:pStyle w:val="TableParagraph"/>
              <w:spacing w:line="264" w:lineRule="exact"/>
              <w:ind w:left="107"/>
              <w:rPr>
                <w:sz w:val="24"/>
              </w:rPr>
            </w:pPr>
            <w:r>
              <w:rPr>
                <w:sz w:val="24"/>
              </w:rPr>
              <w:t>(military,</w:t>
            </w:r>
            <w:r>
              <w:rPr>
                <w:spacing w:val="-5"/>
                <w:sz w:val="24"/>
              </w:rPr>
              <w:t> </w:t>
            </w:r>
            <w:r>
              <w:rPr>
                <w:sz w:val="24"/>
              </w:rPr>
              <w:t>police,</w:t>
            </w:r>
            <w:r>
              <w:rPr>
                <w:spacing w:val="-2"/>
                <w:sz w:val="24"/>
              </w:rPr>
              <w:t> </w:t>
            </w:r>
            <w:r>
              <w:rPr>
                <w:sz w:val="24"/>
              </w:rPr>
              <w:t>SSS</w:t>
            </w:r>
            <w:r>
              <w:rPr>
                <w:spacing w:val="-2"/>
                <w:sz w:val="24"/>
              </w:rPr>
              <w:t> </w:t>
            </w:r>
            <w:r>
              <w:rPr>
                <w:spacing w:val="-4"/>
                <w:sz w:val="24"/>
              </w:rPr>
              <w:t>etc)</w:t>
            </w:r>
          </w:p>
        </w:tc>
        <w:tc>
          <w:tcPr>
            <w:tcW w:w="799" w:type="dxa"/>
          </w:tcPr>
          <w:p>
            <w:pPr>
              <w:pStyle w:val="TableParagraph"/>
              <w:rPr>
                <w:sz w:val="24"/>
              </w:rPr>
            </w:pPr>
          </w:p>
        </w:tc>
        <w:tc>
          <w:tcPr>
            <w:tcW w:w="696" w:type="dxa"/>
          </w:tcPr>
          <w:p>
            <w:pPr>
              <w:pStyle w:val="TableParagraph"/>
              <w:rPr>
                <w:sz w:val="24"/>
              </w:rPr>
            </w:pPr>
          </w:p>
        </w:tc>
        <w:tc>
          <w:tcPr>
            <w:tcW w:w="861" w:type="dxa"/>
          </w:tcPr>
          <w:p>
            <w:pPr>
              <w:pStyle w:val="TableParagraph"/>
              <w:rPr>
                <w:sz w:val="24"/>
              </w:rPr>
            </w:pPr>
          </w:p>
        </w:tc>
        <w:tc>
          <w:tcPr>
            <w:tcW w:w="775" w:type="dxa"/>
          </w:tcPr>
          <w:p>
            <w:pPr>
              <w:pStyle w:val="TableParagraph"/>
              <w:rPr>
                <w:sz w:val="24"/>
              </w:rPr>
            </w:pPr>
          </w:p>
        </w:tc>
      </w:tr>
      <w:tr>
        <w:trPr>
          <w:trHeight w:val="552" w:hRule="atLeast"/>
        </w:trPr>
        <w:tc>
          <w:tcPr>
            <w:tcW w:w="5394" w:type="dxa"/>
          </w:tcPr>
          <w:p>
            <w:pPr>
              <w:pStyle w:val="TableParagraph"/>
              <w:spacing w:line="268" w:lineRule="exact"/>
              <w:ind w:left="107"/>
              <w:rPr>
                <w:sz w:val="24"/>
              </w:rPr>
            </w:pPr>
            <w:r>
              <w:rPr>
                <w:sz w:val="24"/>
              </w:rPr>
              <w:t>(79)</w:t>
            </w:r>
            <w:r>
              <w:rPr>
                <w:spacing w:val="75"/>
                <w:w w:val="150"/>
                <w:sz w:val="24"/>
              </w:rPr>
              <w:t> </w:t>
            </w:r>
            <w:r>
              <w:rPr>
                <w:sz w:val="24"/>
              </w:rPr>
              <w:t>Poor</w:t>
            </w:r>
            <w:r>
              <w:rPr>
                <w:spacing w:val="78"/>
                <w:w w:val="150"/>
                <w:sz w:val="24"/>
              </w:rPr>
              <w:t> </w:t>
            </w:r>
            <w:r>
              <w:rPr>
                <w:sz w:val="24"/>
              </w:rPr>
              <w:t>communication</w:t>
            </w:r>
            <w:r>
              <w:rPr>
                <w:spacing w:val="79"/>
                <w:w w:val="150"/>
                <w:sz w:val="24"/>
              </w:rPr>
              <w:t> </w:t>
            </w:r>
            <w:r>
              <w:rPr>
                <w:sz w:val="24"/>
              </w:rPr>
              <w:t>between</w:t>
            </w:r>
            <w:r>
              <w:rPr>
                <w:spacing w:val="79"/>
                <w:w w:val="150"/>
                <w:sz w:val="24"/>
              </w:rPr>
              <w:t> </w:t>
            </w:r>
            <w:r>
              <w:rPr>
                <w:sz w:val="24"/>
              </w:rPr>
              <w:t>JTF</w:t>
            </w:r>
            <w:r>
              <w:rPr>
                <w:spacing w:val="77"/>
                <w:w w:val="150"/>
                <w:sz w:val="24"/>
              </w:rPr>
              <w:t> </w:t>
            </w:r>
            <w:r>
              <w:rPr>
                <w:sz w:val="24"/>
              </w:rPr>
              <w:t>and</w:t>
            </w:r>
            <w:r>
              <w:rPr>
                <w:spacing w:val="80"/>
                <w:w w:val="150"/>
                <w:sz w:val="24"/>
              </w:rPr>
              <w:t> </w:t>
            </w:r>
            <w:r>
              <w:rPr>
                <w:spacing w:val="-5"/>
                <w:sz w:val="24"/>
              </w:rPr>
              <w:t>the</w:t>
            </w:r>
          </w:p>
          <w:p>
            <w:pPr>
              <w:pStyle w:val="TableParagraph"/>
              <w:spacing w:line="264" w:lineRule="exact"/>
              <w:ind w:left="107"/>
              <w:rPr>
                <w:sz w:val="24"/>
              </w:rPr>
            </w:pPr>
            <w:r>
              <w:rPr>
                <w:spacing w:val="-2"/>
                <w:sz w:val="24"/>
              </w:rPr>
              <w:t>community</w:t>
            </w:r>
          </w:p>
        </w:tc>
        <w:tc>
          <w:tcPr>
            <w:tcW w:w="799" w:type="dxa"/>
          </w:tcPr>
          <w:p>
            <w:pPr>
              <w:pStyle w:val="TableParagraph"/>
              <w:rPr>
                <w:sz w:val="24"/>
              </w:rPr>
            </w:pPr>
          </w:p>
        </w:tc>
        <w:tc>
          <w:tcPr>
            <w:tcW w:w="696" w:type="dxa"/>
          </w:tcPr>
          <w:p>
            <w:pPr>
              <w:pStyle w:val="TableParagraph"/>
              <w:rPr>
                <w:sz w:val="24"/>
              </w:rPr>
            </w:pPr>
          </w:p>
        </w:tc>
        <w:tc>
          <w:tcPr>
            <w:tcW w:w="861" w:type="dxa"/>
          </w:tcPr>
          <w:p>
            <w:pPr>
              <w:pStyle w:val="TableParagraph"/>
              <w:rPr>
                <w:sz w:val="24"/>
              </w:rPr>
            </w:pPr>
          </w:p>
        </w:tc>
        <w:tc>
          <w:tcPr>
            <w:tcW w:w="775" w:type="dxa"/>
          </w:tcPr>
          <w:p>
            <w:pPr>
              <w:pStyle w:val="TableParagraph"/>
              <w:rPr>
                <w:sz w:val="24"/>
              </w:rPr>
            </w:pPr>
          </w:p>
        </w:tc>
      </w:tr>
      <w:tr>
        <w:trPr>
          <w:trHeight w:val="275" w:hRule="atLeast"/>
        </w:trPr>
        <w:tc>
          <w:tcPr>
            <w:tcW w:w="5394" w:type="dxa"/>
          </w:tcPr>
          <w:p>
            <w:pPr>
              <w:pStyle w:val="TableParagraph"/>
              <w:spacing w:line="256" w:lineRule="exact"/>
              <w:ind w:left="107"/>
              <w:rPr>
                <w:sz w:val="24"/>
              </w:rPr>
            </w:pPr>
            <w:r>
              <w:rPr>
                <w:sz w:val="24"/>
              </w:rPr>
              <w:t>(80)</w:t>
            </w:r>
            <w:r>
              <w:rPr>
                <w:spacing w:val="-4"/>
                <w:sz w:val="24"/>
              </w:rPr>
              <w:t> </w:t>
            </w:r>
            <w:r>
              <w:rPr>
                <w:sz w:val="24"/>
              </w:rPr>
              <w:t>All of the</w:t>
            </w:r>
            <w:r>
              <w:rPr>
                <w:spacing w:val="-1"/>
                <w:sz w:val="24"/>
              </w:rPr>
              <w:t> </w:t>
            </w:r>
            <w:r>
              <w:rPr>
                <w:spacing w:val="-4"/>
                <w:sz w:val="24"/>
              </w:rPr>
              <w:t>above</w:t>
            </w:r>
          </w:p>
        </w:tc>
        <w:tc>
          <w:tcPr>
            <w:tcW w:w="799" w:type="dxa"/>
          </w:tcPr>
          <w:p>
            <w:pPr>
              <w:pStyle w:val="TableParagraph"/>
              <w:rPr>
                <w:sz w:val="20"/>
              </w:rPr>
            </w:pPr>
          </w:p>
        </w:tc>
        <w:tc>
          <w:tcPr>
            <w:tcW w:w="696" w:type="dxa"/>
          </w:tcPr>
          <w:p>
            <w:pPr>
              <w:pStyle w:val="TableParagraph"/>
              <w:rPr>
                <w:sz w:val="20"/>
              </w:rPr>
            </w:pPr>
          </w:p>
        </w:tc>
        <w:tc>
          <w:tcPr>
            <w:tcW w:w="861" w:type="dxa"/>
          </w:tcPr>
          <w:p>
            <w:pPr>
              <w:pStyle w:val="TableParagraph"/>
              <w:rPr>
                <w:sz w:val="20"/>
              </w:rPr>
            </w:pPr>
          </w:p>
        </w:tc>
        <w:tc>
          <w:tcPr>
            <w:tcW w:w="775" w:type="dxa"/>
          </w:tcPr>
          <w:p>
            <w:pPr>
              <w:pStyle w:val="TableParagraph"/>
              <w:rPr>
                <w:sz w:val="20"/>
              </w:rPr>
            </w:pPr>
          </w:p>
        </w:tc>
      </w:tr>
    </w:tbl>
    <w:p>
      <w:pPr>
        <w:pStyle w:val="BodyText"/>
        <w:spacing w:before="271" w:after="8"/>
        <w:ind w:right="1260" w:firstLine="60"/>
      </w:pPr>
      <w:r>
        <w:rPr/>
        <w:t>RQ21 How do</w:t>
      </w:r>
      <w:r>
        <w:rPr>
          <w:spacing w:val="25"/>
        </w:rPr>
        <w:t> </w:t>
      </w:r>
      <w:r>
        <w:rPr/>
        <w:t>you</w:t>
      </w:r>
      <w:r>
        <w:rPr>
          <w:spacing w:val="23"/>
        </w:rPr>
        <w:t> </w:t>
      </w:r>
      <w:r>
        <w:rPr/>
        <w:t>perceive the activities of the various</w:t>
      </w:r>
      <w:r>
        <w:rPr>
          <w:spacing w:val="25"/>
        </w:rPr>
        <w:t> </w:t>
      </w:r>
      <w:r>
        <w:rPr/>
        <w:t>youth</w:t>
      </w:r>
      <w:r>
        <w:rPr>
          <w:spacing w:val="23"/>
        </w:rPr>
        <w:t> </w:t>
      </w:r>
      <w:r>
        <w:rPr/>
        <w:t>organizations</w:t>
      </w:r>
      <w:r>
        <w:rPr>
          <w:spacing w:val="23"/>
        </w:rPr>
        <w:t> </w:t>
      </w:r>
      <w:r>
        <w:rPr/>
        <w:t>in</w:t>
      </w:r>
      <w:r>
        <w:rPr>
          <w:spacing w:val="23"/>
        </w:rPr>
        <w:t> </w:t>
      </w:r>
      <w:r>
        <w:rPr/>
        <w:t>the Niger Delta?</w:t>
      </w: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23"/>
        <w:gridCol w:w="1049"/>
        <w:gridCol w:w="1068"/>
        <w:gridCol w:w="922"/>
        <w:gridCol w:w="955"/>
      </w:tblGrid>
      <w:tr>
        <w:trPr>
          <w:trHeight w:val="275" w:hRule="atLeast"/>
        </w:trPr>
        <w:tc>
          <w:tcPr>
            <w:tcW w:w="4523" w:type="dxa"/>
          </w:tcPr>
          <w:p>
            <w:pPr>
              <w:pStyle w:val="TableParagraph"/>
              <w:rPr>
                <w:sz w:val="20"/>
              </w:rPr>
            </w:pPr>
          </w:p>
        </w:tc>
        <w:tc>
          <w:tcPr>
            <w:tcW w:w="1049" w:type="dxa"/>
          </w:tcPr>
          <w:p>
            <w:pPr>
              <w:pStyle w:val="TableParagraph"/>
              <w:spacing w:line="256" w:lineRule="exact"/>
              <w:ind w:left="107"/>
              <w:rPr>
                <w:sz w:val="24"/>
              </w:rPr>
            </w:pPr>
            <w:r>
              <w:rPr>
                <w:spacing w:val="-5"/>
                <w:sz w:val="24"/>
              </w:rPr>
              <w:t>SA</w:t>
            </w:r>
          </w:p>
        </w:tc>
        <w:tc>
          <w:tcPr>
            <w:tcW w:w="1068" w:type="dxa"/>
          </w:tcPr>
          <w:p>
            <w:pPr>
              <w:pStyle w:val="TableParagraph"/>
              <w:spacing w:line="256" w:lineRule="exact"/>
              <w:ind w:left="107"/>
              <w:rPr>
                <w:sz w:val="24"/>
              </w:rPr>
            </w:pPr>
            <w:r>
              <w:rPr>
                <w:spacing w:val="-10"/>
                <w:sz w:val="24"/>
              </w:rPr>
              <w:t>A</w:t>
            </w:r>
          </w:p>
        </w:tc>
        <w:tc>
          <w:tcPr>
            <w:tcW w:w="922" w:type="dxa"/>
          </w:tcPr>
          <w:p>
            <w:pPr>
              <w:pStyle w:val="TableParagraph"/>
              <w:spacing w:line="256" w:lineRule="exact"/>
              <w:ind w:left="107"/>
              <w:rPr>
                <w:sz w:val="24"/>
              </w:rPr>
            </w:pPr>
            <w:r>
              <w:rPr>
                <w:spacing w:val="-5"/>
                <w:sz w:val="24"/>
              </w:rPr>
              <w:t>SD</w:t>
            </w:r>
          </w:p>
        </w:tc>
        <w:tc>
          <w:tcPr>
            <w:tcW w:w="955" w:type="dxa"/>
          </w:tcPr>
          <w:p>
            <w:pPr>
              <w:pStyle w:val="TableParagraph"/>
              <w:spacing w:line="256" w:lineRule="exact"/>
              <w:ind w:left="107"/>
              <w:rPr>
                <w:sz w:val="24"/>
              </w:rPr>
            </w:pPr>
            <w:r>
              <w:rPr>
                <w:spacing w:val="-10"/>
                <w:sz w:val="24"/>
              </w:rPr>
              <w:t>D</w:t>
            </w:r>
          </w:p>
        </w:tc>
      </w:tr>
      <w:tr>
        <w:trPr>
          <w:trHeight w:val="275" w:hRule="atLeast"/>
        </w:trPr>
        <w:tc>
          <w:tcPr>
            <w:tcW w:w="4523" w:type="dxa"/>
          </w:tcPr>
          <w:p>
            <w:pPr>
              <w:pStyle w:val="TableParagraph"/>
              <w:spacing w:line="256" w:lineRule="exact"/>
              <w:ind w:left="107"/>
              <w:rPr>
                <w:sz w:val="24"/>
              </w:rPr>
            </w:pPr>
            <w:r>
              <w:rPr>
                <w:sz w:val="24"/>
              </w:rPr>
              <w:t>(81)</w:t>
            </w:r>
            <w:r>
              <w:rPr>
                <w:spacing w:val="-2"/>
                <w:sz w:val="24"/>
              </w:rPr>
              <w:t> Criminal</w:t>
            </w:r>
          </w:p>
        </w:tc>
        <w:tc>
          <w:tcPr>
            <w:tcW w:w="1049" w:type="dxa"/>
          </w:tcPr>
          <w:p>
            <w:pPr>
              <w:pStyle w:val="TableParagraph"/>
              <w:rPr>
                <w:sz w:val="20"/>
              </w:rPr>
            </w:pPr>
          </w:p>
        </w:tc>
        <w:tc>
          <w:tcPr>
            <w:tcW w:w="1068" w:type="dxa"/>
          </w:tcPr>
          <w:p>
            <w:pPr>
              <w:pStyle w:val="TableParagraph"/>
              <w:rPr>
                <w:sz w:val="20"/>
              </w:rPr>
            </w:pPr>
          </w:p>
        </w:tc>
        <w:tc>
          <w:tcPr>
            <w:tcW w:w="922" w:type="dxa"/>
          </w:tcPr>
          <w:p>
            <w:pPr>
              <w:pStyle w:val="TableParagraph"/>
              <w:rPr>
                <w:sz w:val="20"/>
              </w:rPr>
            </w:pPr>
          </w:p>
        </w:tc>
        <w:tc>
          <w:tcPr>
            <w:tcW w:w="955" w:type="dxa"/>
          </w:tcPr>
          <w:p>
            <w:pPr>
              <w:pStyle w:val="TableParagraph"/>
              <w:rPr>
                <w:sz w:val="20"/>
              </w:rPr>
            </w:pPr>
          </w:p>
        </w:tc>
      </w:tr>
      <w:tr>
        <w:trPr>
          <w:trHeight w:val="275" w:hRule="atLeast"/>
        </w:trPr>
        <w:tc>
          <w:tcPr>
            <w:tcW w:w="4523" w:type="dxa"/>
          </w:tcPr>
          <w:p>
            <w:pPr>
              <w:pStyle w:val="TableParagraph"/>
              <w:spacing w:line="256" w:lineRule="exact"/>
              <w:ind w:left="107"/>
              <w:rPr>
                <w:sz w:val="24"/>
              </w:rPr>
            </w:pPr>
            <w:r>
              <w:rPr>
                <w:sz w:val="24"/>
              </w:rPr>
              <w:t>(82)</w:t>
            </w:r>
            <w:r>
              <w:rPr>
                <w:spacing w:val="-3"/>
                <w:sz w:val="24"/>
              </w:rPr>
              <w:t> </w:t>
            </w:r>
            <w:r>
              <w:rPr>
                <w:sz w:val="24"/>
              </w:rPr>
              <w:t>Sometimes </w:t>
            </w:r>
            <w:r>
              <w:rPr>
                <w:spacing w:val="-4"/>
                <w:sz w:val="24"/>
              </w:rPr>
              <w:t>good</w:t>
            </w:r>
          </w:p>
        </w:tc>
        <w:tc>
          <w:tcPr>
            <w:tcW w:w="1049" w:type="dxa"/>
          </w:tcPr>
          <w:p>
            <w:pPr>
              <w:pStyle w:val="TableParagraph"/>
              <w:rPr>
                <w:sz w:val="20"/>
              </w:rPr>
            </w:pPr>
          </w:p>
        </w:tc>
        <w:tc>
          <w:tcPr>
            <w:tcW w:w="1068" w:type="dxa"/>
          </w:tcPr>
          <w:p>
            <w:pPr>
              <w:pStyle w:val="TableParagraph"/>
              <w:rPr>
                <w:sz w:val="20"/>
              </w:rPr>
            </w:pPr>
          </w:p>
        </w:tc>
        <w:tc>
          <w:tcPr>
            <w:tcW w:w="922" w:type="dxa"/>
          </w:tcPr>
          <w:p>
            <w:pPr>
              <w:pStyle w:val="TableParagraph"/>
              <w:rPr>
                <w:sz w:val="20"/>
              </w:rPr>
            </w:pPr>
          </w:p>
        </w:tc>
        <w:tc>
          <w:tcPr>
            <w:tcW w:w="955" w:type="dxa"/>
          </w:tcPr>
          <w:p>
            <w:pPr>
              <w:pStyle w:val="TableParagraph"/>
              <w:rPr>
                <w:sz w:val="20"/>
              </w:rPr>
            </w:pPr>
          </w:p>
        </w:tc>
      </w:tr>
      <w:tr>
        <w:trPr>
          <w:trHeight w:val="277" w:hRule="atLeast"/>
        </w:trPr>
        <w:tc>
          <w:tcPr>
            <w:tcW w:w="4523" w:type="dxa"/>
          </w:tcPr>
          <w:p>
            <w:pPr>
              <w:pStyle w:val="TableParagraph"/>
              <w:spacing w:line="258" w:lineRule="exact"/>
              <w:ind w:left="107"/>
              <w:rPr>
                <w:sz w:val="24"/>
              </w:rPr>
            </w:pPr>
            <w:r>
              <w:rPr>
                <w:sz w:val="24"/>
              </w:rPr>
              <w:t>(83)</w:t>
            </w:r>
            <w:r>
              <w:rPr>
                <w:spacing w:val="-2"/>
                <w:sz w:val="24"/>
              </w:rPr>
              <w:t> Nationalistic</w:t>
            </w:r>
          </w:p>
        </w:tc>
        <w:tc>
          <w:tcPr>
            <w:tcW w:w="1049" w:type="dxa"/>
          </w:tcPr>
          <w:p>
            <w:pPr>
              <w:pStyle w:val="TableParagraph"/>
              <w:rPr>
                <w:sz w:val="20"/>
              </w:rPr>
            </w:pPr>
          </w:p>
        </w:tc>
        <w:tc>
          <w:tcPr>
            <w:tcW w:w="1068" w:type="dxa"/>
          </w:tcPr>
          <w:p>
            <w:pPr>
              <w:pStyle w:val="TableParagraph"/>
              <w:rPr>
                <w:sz w:val="20"/>
              </w:rPr>
            </w:pPr>
          </w:p>
        </w:tc>
        <w:tc>
          <w:tcPr>
            <w:tcW w:w="922" w:type="dxa"/>
          </w:tcPr>
          <w:p>
            <w:pPr>
              <w:pStyle w:val="TableParagraph"/>
              <w:rPr>
                <w:sz w:val="20"/>
              </w:rPr>
            </w:pPr>
          </w:p>
        </w:tc>
        <w:tc>
          <w:tcPr>
            <w:tcW w:w="955" w:type="dxa"/>
          </w:tcPr>
          <w:p>
            <w:pPr>
              <w:pStyle w:val="TableParagraph"/>
              <w:rPr>
                <w:sz w:val="20"/>
              </w:rPr>
            </w:pPr>
          </w:p>
        </w:tc>
      </w:tr>
      <w:tr>
        <w:trPr>
          <w:trHeight w:val="275" w:hRule="atLeast"/>
        </w:trPr>
        <w:tc>
          <w:tcPr>
            <w:tcW w:w="4523" w:type="dxa"/>
          </w:tcPr>
          <w:p>
            <w:pPr>
              <w:pStyle w:val="TableParagraph"/>
              <w:spacing w:line="256" w:lineRule="exact"/>
              <w:ind w:left="107"/>
              <w:rPr>
                <w:sz w:val="24"/>
              </w:rPr>
            </w:pPr>
            <w:r>
              <w:rPr>
                <w:sz w:val="24"/>
              </w:rPr>
              <w:t>(84)</w:t>
            </w:r>
            <w:r>
              <w:rPr>
                <w:spacing w:val="-2"/>
                <w:sz w:val="24"/>
              </w:rPr>
              <w:t> Environmentalistic</w:t>
            </w:r>
          </w:p>
        </w:tc>
        <w:tc>
          <w:tcPr>
            <w:tcW w:w="1049" w:type="dxa"/>
          </w:tcPr>
          <w:p>
            <w:pPr>
              <w:pStyle w:val="TableParagraph"/>
              <w:rPr>
                <w:sz w:val="20"/>
              </w:rPr>
            </w:pPr>
          </w:p>
        </w:tc>
        <w:tc>
          <w:tcPr>
            <w:tcW w:w="1068" w:type="dxa"/>
          </w:tcPr>
          <w:p>
            <w:pPr>
              <w:pStyle w:val="TableParagraph"/>
              <w:rPr>
                <w:sz w:val="20"/>
              </w:rPr>
            </w:pPr>
          </w:p>
        </w:tc>
        <w:tc>
          <w:tcPr>
            <w:tcW w:w="922" w:type="dxa"/>
          </w:tcPr>
          <w:p>
            <w:pPr>
              <w:pStyle w:val="TableParagraph"/>
              <w:rPr>
                <w:sz w:val="20"/>
              </w:rPr>
            </w:pPr>
          </w:p>
        </w:tc>
        <w:tc>
          <w:tcPr>
            <w:tcW w:w="955" w:type="dxa"/>
          </w:tcPr>
          <w:p>
            <w:pPr>
              <w:pStyle w:val="TableParagraph"/>
              <w:rPr>
                <w:sz w:val="20"/>
              </w:rPr>
            </w:pPr>
          </w:p>
        </w:tc>
      </w:tr>
      <w:tr>
        <w:trPr>
          <w:trHeight w:val="275" w:hRule="atLeast"/>
        </w:trPr>
        <w:tc>
          <w:tcPr>
            <w:tcW w:w="4523" w:type="dxa"/>
          </w:tcPr>
          <w:p>
            <w:pPr>
              <w:pStyle w:val="TableParagraph"/>
              <w:spacing w:line="256" w:lineRule="exact"/>
              <w:ind w:left="107"/>
              <w:rPr>
                <w:sz w:val="24"/>
              </w:rPr>
            </w:pPr>
            <w:r>
              <w:rPr>
                <w:sz w:val="24"/>
              </w:rPr>
              <w:t>(85)</w:t>
            </w:r>
            <w:r>
              <w:rPr>
                <w:spacing w:val="-3"/>
                <w:sz w:val="24"/>
              </w:rPr>
              <w:t> </w:t>
            </w:r>
            <w:r>
              <w:rPr>
                <w:sz w:val="24"/>
              </w:rPr>
              <w:t>Economic</w:t>
            </w:r>
            <w:r>
              <w:rPr>
                <w:spacing w:val="-2"/>
                <w:sz w:val="24"/>
              </w:rPr>
              <w:t> Saboteurs</w:t>
            </w:r>
          </w:p>
        </w:tc>
        <w:tc>
          <w:tcPr>
            <w:tcW w:w="1049" w:type="dxa"/>
          </w:tcPr>
          <w:p>
            <w:pPr>
              <w:pStyle w:val="TableParagraph"/>
              <w:rPr>
                <w:sz w:val="20"/>
              </w:rPr>
            </w:pPr>
          </w:p>
        </w:tc>
        <w:tc>
          <w:tcPr>
            <w:tcW w:w="1068" w:type="dxa"/>
          </w:tcPr>
          <w:p>
            <w:pPr>
              <w:pStyle w:val="TableParagraph"/>
              <w:rPr>
                <w:sz w:val="20"/>
              </w:rPr>
            </w:pPr>
          </w:p>
        </w:tc>
        <w:tc>
          <w:tcPr>
            <w:tcW w:w="922" w:type="dxa"/>
          </w:tcPr>
          <w:p>
            <w:pPr>
              <w:pStyle w:val="TableParagraph"/>
              <w:rPr>
                <w:sz w:val="20"/>
              </w:rPr>
            </w:pPr>
          </w:p>
        </w:tc>
        <w:tc>
          <w:tcPr>
            <w:tcW w:w="955" w:type="dxa"/>
          </w:tcPr>
          <w:p>
            <w:pPr>
              <w:pStyle w:val="TableParagraph"/>
              <w:rPr>
                <w:sz w:val="20"/>
              </w:rPr>
            </w:pPr>
          </w:p>
        </w:tc>
      </w:tr>
    </w:tbl>
    <w:p>
      <w:pPr>
        <w:pStyle w:val="BodyText"/>
        <w:spacing w:before="272" w:after="8"/>
        <w:ind w:right="1260"/>
      </w:pPr>
      <w:r>
        <w:rPr/>
        <w:t>RQ22a. What are the roles being played by</w:t>
      </w:r>
      <w:r>
        <w:rPr>
          <w:spacing w:val="-3"/>
        </w:rPr>
        <w:t> </w:t>
      </w:r>
      <w:r>
        <w:rPr/>
        <w:t>stakeholders in the resolution of the Niger Delta conflict?</w:t>
      </w: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70"/>
        <w:gridCol w:w="1061"/>
        <w:gridCol w:w="1087"/>
        <w:gridCol w:w="932"/>
        <w:gridCol w:w="967"/>
      </w:tblGrid>
      <w:tr>
        <w:trPr>
          <w:trHeight w:val="275" w:hRule="atLeast"/>
        </w:trPr>
        <w:tc>
          <w:tcPr>
            <w:tcW w:w="4470" w:type="dxa"/>
          </w:tcPr>
          <w:p>
            <w:pPr>
              <w:pStyle w:val="TableParagraph"/>
              <w:rPr>
                <w:sz w:val="20"/>
              </w:rPr>
            </w:pPr>
          </w:p>
        </w:tc>
        <w:tc>
          <w:tcPr>
            <w:tcW w:w="1061" w:type="dxa"/>
          </w:tcPr>
          <w:p>
            <w:pPr>
              <w:pStyle w:val="TableParagraph"/>
              <w:spacing w:line="256" w:lineRule="exact"/>
              <w:ind w:left="107"/>
              <w:rPr>
                <w:sz w:val="24"/>
              </w:rPr>
            </w:pPr>
            <w:r>
              <w:rPr>
                <w:spacing w:val="-5"/>
                <w:sz w:val="24"/>
              </w:rPr>
              <w:t>SA</w:t>
            </w:r>
          </w:p>
        </w:tc>
        <w:tc>
          <w:tcPr>
            <w:tcW w:w="1087" w:type="dxa"/>
          </w:tcPr>
          <w:p>
            <w:pPr>
              <w:pStyle w:val="TableParagraph"/>
              <w:spacing w:line="256" w:lineRule="exact"/>
              <w:ind w:left="107"/>
              <w:rPr>
                <w:sz w:val="24"/>
              </w:rPr>
            </w:pPr>
            <w:r>
              <w:rPr>
                <w:spacing w:val="-10"/>
                <w:sz w:val="24"/>
              </w:rPr>
              <w:t>A</w:t>
            </w:r>
          </w:p>
        </w:tc>
        <w:tc>
          <w:tcPr>
            <w:tcW w:w="932" w:type="dxa"/>
          </w:tcPr>
          <w:p>
            <w:pPr>
              <w:pStyle w:val="TableParagraph"/>
              <w:spacing w:line="256" w:lineRule="exact"/>
              <w:ind w:left="107"/>
              <w:rPr>
                <w:sz w:val="24"/>
              </w:rPr>
            </w:pPr>
            <w:r>
              <w:rPr>
                <w:spacing w:val="-5"/>
                <w:sz w:val="24"/>
              </w:rPr>
              <w:t>SD</w:t>
            </w:r>
          </w:p>
        </w:tc>
        <w:tc>
          <w:tcPr>
            <w:tcW w:w="967" w:type="dxa"/>
          </w:tcPr>
          <w:p>
            <w:pPr>
              <w:pStyle w:val="TableParagraph"/>
              <w:spacing w:line="256" w:lineRule="exact"/>
              <w:ind w:left="107"/>
              <w:rPr>
                <w:sz w:val="24"/>
              </w:rPr>
            </w:pPr>
            <w:r>
              <w:rPr>
                <w:spacing w:val="-10"/>
                <w:sz w:val="24"/>
              </w:rPr>
              <w:t>D</w:t>
            </w:r>
          </w:p>
        </w:tc>
      </w:tr>
      <w:tr>
        <w:trPr>
          <w:trHeight w:val="275" w:hRule="atLeast"/>
        </w:trPr>
        <w:tc>
          <w:tcPr>
            <w:tcW w:w="4470" w:type="dxa"/>
          </w:tcPr>
          <w:p>
            <w:pPr>
              <w:pStyle w:val="TableParagraph"/>
              <w:spacing w:line="256" w:lineRule="exact"/>
              <w:ind w:left="107"/>
              <w:rPr>
                <w:sz w:val="24"/>
              </w:rPr>
            </w:pPr>
            <w:r>
              <w:rPr>
                <w:sz w:val="24"/>
              </w:rPr>
              <w:t>(86)</w:t>
            </w:r>
            <w:r>
              <w:rPr>
                <w:spacing w:val="-3"/>
                <w:sz w:val="24"/>
              </w:rPr>
              <w:t> </w:t>
            </w:r>
            <w:r>
              <w:rPr>
                <w:sz w:val="24"/>
              </w:rPr>
              <w:t>Fence</w:t>
            </w:r>
            <w:r>
              <w:rPr>
                <w:spacing w:val="-1"/>
                <w:sz w:val="24"/>
              </w:rPr>
              <w:t> </w:t>
            </w:r>
            <w:r>
              <w:rPr>
                <w:sz w:val="24"/>
              </w:rPr>
              <w:t>mending</w:t>
            </w:r>
            <w:r>
              <w:rPr>
                <w:spacing w:val="-1"/>
                <w:sz w:val="24"/>
              </w:rPr>
              <w:t> </w:t>
            </w:r>
            <w:r>
              <w:rPr>
                <w:sz w:val="24"/>
              </w:rPr>
              <w:t>(peacemaking</w:t>
            </w:r>
            <w:r>
              <w:rPr>
                <w:spacing w:val="-3"/>
                <w:sz w:val="24"/>
              </w:rPr>
              <w:t> </w:t>
            </w:r>
            <w:r>
              <w:rPr>
                <w:spacing w:val="-2"/>
                <w:sz w:val="24"/>
              </w:rPr>
              <w:t>efforts)</w:t>
            </w:r>
          </w:p>
        </w:tc>
        <w:tc>
          <w:tcPr>
            <w:tcW w:w="1061" w:type="dxa"/>
          </w:tcPr>
          <w:p>
            <w:pPr>
              <w:pStyle w:val="TableParagraph"/>
              <w:rPr>
                <w:sz w:val="20"/>
              </w:rPr>
            </w:pPr>
          </w:p>
        </w:tc>
        <w:tc>
          <w:tcPr>
            <w:tcW w:w="1087" w:type="dxa"/>
          </w:tcPr>
          <w:p>
            <w:pPr>
              <w:pStyle w:val="TableParagraph"/>
              <w:rPr>
                <w:sz w:val="20"/>
              </w:rPr>
            </w:pPr>
          </w:p>
        </w:tc>
        <w:tc>
          <w:tcPr>
            <w:tcW w:w="932" w:type="dxa"/>
          </w:tcPr>
          <w:p>
            <w:pPr>
              <w:pStyle w:val="TableParagraph"/>
              <w:rPr>
                <w:sz w:val="20"/>
              </w:rPr>
            </w:pPr>
          </w:p>
        </w:tc>
        <w:tc>
          <w:tcPr>
            <w:tcW w:w="967" w:type="dxa"/>
          </w:tcPr>
          <w:p>
            <w:pPr>
              <w:pStyle w:val="TableParagraph"/>
              <w:rPr>
                <w:sz w:val="20"/>
              </w:rPr>
            </w:pPr>
          </w:p>
        </w:tc>
      </w:tr>
      <w:tr>
        <w:trPr>
          <w:trHeight w:val="278" w:hRule="atLeast"/>
        </w:trPr>
        <w:tc>
          <w:tcPr>
            <w:tcW w:w="4470" w:type="dxa"/>
          </w:tcPr>
          <w:p>
            <w:pPr>
              <w:pStyle w:val="TableParagraph"/>
              <w:spacing w:line="258" w:lineRule="exact"/>
              <w:ind w:left="107"/>
              <w:rPr>
                <w:sz w:val="24"/>
              </w:rPr>
            </w:pPr>
            <w:r>
              <w:rPr>
                <w:sz w:val="24"/>
              </w:rPr>
              <w:t>(87)</w:t>
            </w:r>
            <w:r>
              <w:rPr>
                <w:spacing w:val="-3"/>
                <w:sz w:val="24"/>
              </w:rPr>
              <w:t> </w:t>
            </w:r>
            <w:r>
              <w:rPr>
                <w:sz w:val="24"/>
              </w:rPr>
              <w:t>Fueling</w:t>
            </w:r>
            <w:r>
              <w:rPr>
                <w:spacing w:val="-1"/>
                <w:sz w:val="24"/>
              </w:rPr>
              <w:t> </w:t>
            </w:r>
            <w:r>
              <w:rPr>
                <w:spacing w:val="-2"/>
                <w:sz w:val="24"/>
              </w:rPr>
              <w:t>crisis</w:t>
            </w:r>
          </w:p>
        </w:tc>
        <w:tc>
          <w:tcPr>
            <w:tcW w:w="1061" w:type="dxa"/>
          </w:tcPr>
          <w:p>
            <w:pPr>
              <w:pStyle w:val="TableParagraph"/>
              <w:rPr>
                <w:sz w:val="20"/>
              </w:rPr>
            </w:pPr>
          </w:p>
        </w:tc>
        <w:tc>
          <w:tcPr>
            <w:tcW w:w="1087" w:type="dxa"/>
          </w:tcPr>
          <w:p>
            <w:pPr>
              <w:pStyle w:val="TableParagraph"/>
              <w:rPr>
                <w:sz w:val="20"/>
              </w:rPr>
            </w:pPr>
          </w:p>
        </w:tc>
        <w:tc>
          <w:tcPr>
            <w:tcW w:w="932" w:type="dxa"/>
          </w:tcPr>
          <w:p>
            <w:pPr>
              <w:pStyle w:val="TableParagraph"/>
              <w:rPr>
                <w:sz w:val="20"/>
              </w:rPr>
            </w:pPr>
          </w:p>
        </w:tc>
        <w:tc>
          <w:tcPr>
            <w:tcW w:w="967" w:type="dxa"/>
          </w:tcPr>
          <w:p>
            <w:pPr>
              <w:pStyle w:val="TableParagraph"/>
              <w:rPr>
                <w:sz w:val="20"/>
              </w:rPr>
            </w:pPr>
          </w:p>
        </w:tc>
      </w:tr>
      <w:tr>
        <w:trPr>
          <w:trHeight w:val="275" w:hRule="atLeast"/>
        </w:trPr>
        <w:tc>
          <w:tcPr>
            <w:tcW w:w="4470" w:type="dxa"/>
          </w:tcPr>
          <w:p>
            <w:pPr>
              <w:pStyle w:val="TableParagraph"/>
              <w:spacing w:line="256" w:lineRule="exact"/>
              <w:ind w:left="107"/>
              <w:rPr>
                <w:sz w:val="24"/>
              </w:rPr>
            </w:pPr>
            <w:r>
              <w:rPr>
                <w:sz w:val="24"/>
              </w:rPr>
              <w:t>(88)</w:t>
            </w:r>
            <w:r>
              <w:rPr>
                <w:spacing w:val="-2"/>
                <w:sz w:val="24"/>
              </w:rPr>
              <w:t> </w:t>
            </w:r>
            <w:r>
              <w:rPr>
                <w:sz w:val="24"/>
              </w:rPr>
              <w:t>Reducing</w:t>
            </w:r>
            <w:r>
              <w:rPr>
                <w:spacing w:val="-3"/>
                <w:sz w:val="24"/>
              </w:rPr>
              <w:t> </w:t>
            </w:r>
            <w:r>
              <w:rPr>
                <w:spacing w:val="-2"/>
                <w:sz w:val="24"/>
              </w:rPr>
              <w:t>conflict</w:t>
            </w:r>
          </w:p>
        </w:tc>
        <w:tc>
          <w:tcPr>
            <w:tcW w:w="1061" w:type="dxa"/>
          </w:tcPr>
          <w:p>
            <w:pPr>
              <w:pStyle w:val="TableParagraph"/>
              <w:rPr>
                <w:sz w:val="20"/>
              </w:rPr>
            </w:pPr>
          </w:p>
        </w:tc>
        <w:tc>
          <w:tcPr>
            <w:tcW w:w="1087" w:type="dxa"/>
          </w:tcPr>
          <w:p>
            <w:pPr>
              <w:pStyle w:val="TableParagraph"/>
              <w:rPr>
                <w:sz w:val="20"/>
              </w:rPr>
            </w:pPr>
          </w:p>
        </w:tc>
        <w:tc>
          <w:tcPr>
            <w:tcW w:w="932" w:type="dxa"/>
          </w:tcPr>
          <w:p>
            <w:pPr>
              <w:pStyle w:val="TableParagraph"/>
              <w:rPr>
                <w:sz w:val="20"/>
              </w:rPr>
            </w:pPr>
          </w:p>
        </w:tc>
        <w:tc>
          <w:tcPr>
            <w:tcW w:w="967" w:type="dxa"/>
          </w:tcPr>
          <w:p>
            <w:pPr>
              <w:pStyle w:val="TableParagraph"/>
              <w:rPr>
                <w:sz w:val="20"/>
              </w:rPr>
            </w:pPr>
          </w:p>
        </w:tc>
      </w:tr>
      <w:tr>
        <w:trPr>
          <w:trHeight w:val="275" w:hRule="atLeast"/>
        </w:trPr>
        <w:tc>
          <w:tcPr>
            <w:tcW w:w="4470" w:type="dxa"/>
          </w:tcPr>
          <w:p>
            <w:pPr>
              <w:pStyle w:val="TableParagraph"/>
              <w:spacing w:line="256" w:lineRule="exact"/>
              <w:ind w:left="107"/>
              <w:rPr>
                <w:sz w:val="24"/>
              </w:rPr>
            </w:pPr>
            <w:r>
              <w:rPr>
                <w:sz w:val="24"/>
              </w:rPr>
              <w:t>(89)</w:t>
            </w:r>
            <w:r>
              <w:rPr>
                <w:spacing w:val="-3"/>
                <w:sz w:val="24"/>
              </w:rPr>
              <w:t> </w:t>
            </w:r>
            <w:r>
              <w:rPr>
                <w:sz w:val="24"/>
              </w:rPr>
              <w:t>Indifference</w:t>
            </w:r>
            <w:r>
              <w:rPr>
                <w:spacing w:val="-3"/>
                <w:sz w:val="24"/>
              </w:rPr>
              <w:t> </w:t>
            </w:r>
            <w:r>
              <w:rPr>
                <w:spacing w:val="-2"/>
                <w:sz w:val="24"/>
              </w:rPr>
              <w:t>(Complacency)</w:t>
            </w:r>
          </w:p>
        </w:tc>
        <w:tc>
          <w:tcPr>
            <w:tcW w:w="1061" w:type="dxa"/>
          </w:tcPr>
          <w:p>
            <w:pPr>
              <w:pStyle w:val="TableParagraph"/>
              <w:rPr>
                <w:sz w:val="20"/>
              </w:rPr>
            </w:pPr>
          </w:p>
        </w:tc>
        <w:tc>
          <w:tcPr>
            <w:tcW w:w="1087" w:type="dxa"/>
          </w:tcPr>
          <w:p>
            <w:pPr>
              <w:pStyle w:val="TableParagraph"/>
              <w:rPr>
                <w:sz w:val="20"/>
              </w:rPr>
            </w:pPr>
          </w:p>
        </w:tc>
        <w:tc>
          <w:tcPr>
            <w:tcW w:w="932" w:type="dxa"/>
          </w:tcPr>
          <w:p>
            <w:pPr>
              <w:pStyle w:val="TableParagraph"/>
              <w:rPr>
                <w:sz w:val="20"/>
              </w:rPr>
            </w:pPr>
          </w:p>
        </w:tc>
        <w:tc>
          <w:tcPr>
            <w:tcW w:w="967" w:type="dxa"/>
          </w:tcPr>
          <w:p>
            <w:pPr>
              <w:pStyle w:val="TableParagraph"/>
              <w:rPr>
                <w:sz w:val="20"/>
              </w:rPr>
            </w:pPr>
          </w:p>
        </w:tc>
      </w:tr>
    </w:tbl>
    <w:p>
      <w:pPr>
        <w:pStyle w:val="BodyText"/>
        <w:spacing w:before="270" w:after="8"/>
      </w:pPr>
      <w:r>
        <w:rPr/>
        <w:t>RQ22b.</w:t>
      </w:r>
      <w:r>
        <w:rPr>
          <w:spacing w:val="-3"/>
        </w:rPr>
        <w:t> </w:t>
      </w:r>
      <w:r>
        <w:rPr/>
        <w:t>Political</w:t>
      </w:r>
      <w:r>
        <w:rPr>
          <w:spacing w:val="-2"/>
        </w:rPr>
        <w:t> </w:t>
      </w:r>
      <w:r>
        <w:rPr/>
        <w:t>Elites</w:t>
      </w:r>
      <w:r>
        <w:rPr>
          <w:spacing w:val="-2"/>
        </w:rPr>
        <w:t> </w:t>
      </w:r>
      <w:r>
        <w:rPr/>
        <w:t>(Elites,</w:t>
      </w:r>
      <w:r>
        <w:rPr>
          <w:spacing w:val="-1"/>
        </w:rPr>
        <w:t> </w:t>
      </w:r>
      <w:r>
        <w:rPr>
          <w:spacing w:val="-2"/>
        </w:rPr>
        <w:t>Politicians)</w:t>
      </w: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63"/>
        <w:gridCol w:w="1064"/>
        <w:gridCol w:w="1088"/>
        <w:gridCol w:w="935"/>
        <w:gridCol w:w="970"/>
      </w:tblGrid>
      <w:tr>
        <w:trPr>
          <w:trHeight w:val="275" w:hRule="atLeast"/>
        </w:trPr>
        <w:tc>
          <w:tcPr>
            <w:tcW w:w="4463" w:type="dxa"/>
          </w:tcPr>
          <w:p>
            <w:pPr>
              <w:pStyle w:val="TableParagraph"/>
              <w:rPr>
                <w:sz w:val="20"/>
              </w:rPr>
            </w:pPr>
          </w:p>
        </w:tc>
        <w:tc>
          <w:tcPr>
            <w:tcW w:w="1064" w:type="dxa"/>
          </w:tcPr>
          <w:p>
            <w:pPr>
              <w:pStyle w:val="TableParagraph"/>
              <w:spacing w:line="256" w:lineRule="exact"/>
              <w:ind w:left="107"/>
              <w:rPr>
                <w:sz w:val="24"/>
              </w:rPr>
            </w:pPr>
            <w:r>
              <w:rPr>
                <w:spacing w:val="-5"/>
                <w:sz w:val="24"/>
              </w:rPr>
              <w:t>SA</w:t>
            </w:r>
          </w:p>
        </w:tc>
        <w:tc>
          <w:tcPr>
            <w:tcW w:w="1088" w:type="dxa"/>
          </w:tcPr>
          <w:p>
            <w:pPr>
              <w:pStyle w:val="TableParagraph"/>
              <w:spacing w:line="256" w:lineRule="exact"/>
              <w:ind w:left="106"/>
              <w:rPr>
                <w:sz w:val="24"/>
              </w:rPr>
            </w:pPr>
            <w:r>
              <w:rPr>
                <w:spacing w:val="-10"/>
                <w:sz w:val="24"/>
              </w:rPr>
              <w:t>A</w:t>
            </w:r>
          </w:p>
        </w:tc>
        <w:tc>
          <w:tcPr>
            <w:tcW w:w="935" w:type="dxa"/>
          </w:tcPr>
          <w:p>
            <w:pPr>
              <w:pStyle w:val="TableParagraph"/>
              <w:spacing w:line="256" w:lineRule="exact"/>
              <w:ind w:left="105"/>
              <w:rPr>
                <w:sz w:val="24"/>
              </w:rPr>
            </w:pPr>
            <w:r>
              <w:rPr>
                <w:spacing w:val="-5"/>
                <w:sz w:val="24"/>
              </w:rPr>
              <w:t>SD</w:t>
            </w:r>
          </w:p>
        </w:tc>
        <w:tc>
          <w:tcPr>
            <w:tcW w:w="970" w:type="dxa"/>
          </w:tcPr>
          <w:p>
            <w:pPr>
              <w:pStyle w:val="TableParagraph"/>
              <w:spacing w:line="256" w:lineRule="exact"/>
              <w:ind w:left="105"/>
              <w:rPr>
                <w:sz w:val="24"/>
              </w:rPr>
            </w:pPr>
            <w:r>
              <w:rPr>
                <w:spacing w:val="-10"/>
                <w:sz w:val="24"/>
              </w:rPr>
              <w:t>D</w:t>
            </w:r>
          </w:p>
        </w:tc>
      </w:tr>
      <w:tr>
        <w:trPr>
          <w:trHeight w:val="275" w:hRule="atLeast"/>
        </w:trPr>
        <w:tc>
          <w:tcPr>
            <w:tcW w:w="4463" w:type="dxa"/>
          </w:tcPr>
          <w:p>
            <w:pPr>
              <w:pStyle w:val="TableParagraph"/>
              <w:spacing w:line="256" w:lineRule="exact"/>
              <w:ind w:left="107"/>
              <w:rPr>
                <w:sz w:val="24"/>
              </w:rPr>
            </w:pPr>
            <w:r>
              <w:rPr>
                <w:sz w:val="24"/>
              </w:rPr>
              <w:t>(90)</w:t>
            </w:r>
            <w:r>
              <w:rPr>
                <w:spacing w:val="-3"/>
                <w:sz w:val="24"/>
              </w:rPr>
              <w:t> </w:t>
            </w:r>
            <w:r>
              <w:rPr>
                <w:sz w:val="24"/>
              </w:rPr>
              <w:t>Fence</w:t>
            </w:r>
            <w:r>
              <w:rPr>
                <w:spacing w:val="-1"/>
                <w:sz w:val="24"/>
              </w:rPr>
              <w:t> </w:t>
            </w:r>
            <w:r>
              <w:rPr>
                <w:sz w:val="24"/>
              </w:rPr>
              <w:t>mending (Peacemaking</w:t>
            </w:r>
            <w:r>
              <w:rPr>
                <w:spacing w:val="-3"/>
                <w:sz w:val="24"/>
              </w:rPr>
              <w:t> </w:t>
            </w:r>
            <w:r>
              <w:rPr>
                <w:spacing w:val="-2"/>
                <w:sz w:val="24"/>
              </w:rPr>
              <w:t>efforts)</w:t>
            </w:r>
          </w:p>
        </w:tc>
        <w:tc>
          <w:tcPr>
            <w:tcW w:w="1064" w:type="dxa"/>
          </w:tcPr>
          <w:p>
            <w:pPr>
              <w:pStyle w:val="TableParagraph"/>
              <w:rPr>
                <w:sz w:val="20"/>
              </w:rPr>
            </w:pPr>
          </w:p>
        </w:tc>
        <w:tc>
          <w:tcPr>
            <w:tcW w:w="1088" w:type="dxa"/>
          </w:tcPr>
          <w:p>
            <w:pPr>
              <w:pStyle w:val="TableParagraph"/>
              <w:rPr>
                <w:sz w:val="20"/>
              </w:rPr>
            </w:pPr>
          </w:p>
        </w:tc>
        <w:tc>
          <w:tcPr>
            <w:tcW w:w="935" w:type="dxa"/>
          </w:tcPr>
          <w:p>
            <w:pPr>
              <w:pStyle w:val="TableParagraph"/>
              <w:rPr>
                <w:sz w:val="20"/>
              </w:rPr>
            </w:pPr>
          </w:p>
        </w:tc>
        <w:tc>
          <w:tcPr>
            <w:tcW w:w="970" w:type="dxa"/>
          </w:tcPr>
          <w:p>
            <w:pPr>
              <w:pStyle w:val="TableParagraph"/>
              <w:rPr>
                <w:sz w:val="20"/>
              </w:rPr>
            </w:pPr>
          </w:p>
        </w:tc>
      </w:tr>
      <w:tr>
        <w:trPr>
          <w:trHeight w:val="275" w:hRule="atLeast"/>
        </w:trPr>
        <w:tc>
          <w:tcPr>
            <w:tcW w:w="4463" w:type="dxa"/>
          </w:tcPr>
          <w:p>
            <w:pPr>
              <w:pStyle w:val="TableParagraph"/>
              <w:spacing w:line="256" w:lineRule="exact"/>
              <w:ind w:left="107"/>
              <w:rPr>
                <w:sz w:val="24"/>
              </w:rPr>
            </w:pPr>
            <w:r>
              <w:rPr>
                <w:sz w:val="24"/>
              </w:rPr>
              <w:t>(95)</w:t>
            </w:r>
            <w:r>
              <w:rPr>
                <w:spacing w:val="-3"/>
                <w:sz w:val="24"/>
              </w:rPr>
              <w:t> </w:t>
            </w:r>
            <w:r>
              <w:rPr>
                <w:sz w:val="24"/>
              </w:rPr>
              <w:t>Fueling</w:t>
            </w:r>
            <w:r>
              <w:rPr>
                <w:spacing w:val="-3"/>
                <w:sz w:val="24"/>
              </w:rPr>
              <w:t> </w:t>
            </w:r>
            <w:r>
              <w:rPr>
                <w:spacing w:val="-2"/>
                <w:sz w:val="24"/>
              </w:rPr>
              <w:t>Crisis</w:t>
            </w:r>
          </w:p>
        </w:tc>
        <w:tc>
          <w:tcPr>
            <w:tcW w:w="1064" w:type="dxa"/>
          </w:tcPr>
          <w:p>
            <w:pPr>
              <w:pStyle w:val="TableParagraph"/>
              <w:rPr>
                <w:sz w:val="20"/>
              </w:rPr>
            </w:pPr>
          </w:p>
        </w:tc>
        <w:tc>
          <w:tcPr>
            <w:tcW w:w="1088" w:type="dxa"/>
          </w:tcPr>
          <w:p>
            <w:pPr>
              <w:pStyle w:val="TableParagraph"/>
              <w:rPr>
                <w:sz w:val="20"/>
              </w:rPr>
            </w:pPr>
          </w:p>
        </w:tc>
        <w:tc>
          <w:tcPr>
            <w:tcW w:w="935" w:type="dxa"/>
          </w:tcPr>
          <w:p>
            <w:pPr>
              <w:pStyle w:val="TableParagraph"/>
              <w:rPr>
                <w:sz w:val="20"/>
              </w:rPr>
            </w:pPr>
          </w:p>
        </w:tc>
        <w:tc>
          <w:tcPr>
            <w:tcW w:w="970" w:type="dxa"/>
          </w:tcPr>
          <w:p>
            <w:pPr>
              <w:pStyle w:val="TableParagraph"/>
              <w:rPr>
                <w:sz w:val="20"/>
              </w:rPr>
            </w:pPr>
          </w:p>
        </w:tc>
      </w:tr>
      <w:tr>
        <w:trPr>
          <w:trHeight w:val="278" w:hRule="atLeast"/>
        </w:trPr>
        <w:tc>
          <w:tcPr>
            <w:tcW w:w="4463" w:type="dxa"/>
          </w:tcPr>
          <w:p>
            <w:pPr>
              <w:pStyle w:val="TableParagraph"/>
              <w:spacing w:line="259" w:lineRule="exact"/>
              <w:ind w:left="107"/>
              <w:rPr>
                <w:sz w:val="24"/>
              </w:rPr>
            </w:pPr>
            <w:r>
              <w:rPr>
                <w:sz w:val="24"/>
              </w:rPr>
              <w:t>(96)</w:t>
            </w:r>
            <w:r>
              <w:rPr>
                <w:spacing w:val="-2"/>
                <w:sz w:val="24"/>
              </w:rPr>
              <w:t> </w:t>
            </w:r>
            <w:r>
              <w:rPr>
                <w:sz w:val="24"/>
              </w:rPr>
              <w:t>Reducing</w:t>
            </w:r>
            <w:r>
              <w:rPr>
                <w:spacing w:val="-3"/>
                <w:sz w:val="24"/>
              </w:rPr>
              <w:t> </w:t>
            </w:r>
            <w:r>
              <w:rPr>
                <w:spacing w:val="-2"/>
                <w:sz w:val="24"/>
              </w:rPr>
              <w:t>conflict</w:t>
            </w:r>
          </w:p>
        </w:tc>
        <w:tc>
          <w:tcPr>
            <w:tcW w:w="1064" w:type="dxa"/>
          </w:tcPr>
          <w:p>
            <w:pPr>
              <w:pStyle w:val="TableParagraph"/>
              <w:rPr>
                <w:sz w:val="20"/>
              </w:rPr>
            </w:pPr>
          </w:p>
        </w:tc>
        <w:tc>
          <w:tcPr>
            <w:tcW w:w="1088" w:type="dxa"/>
          </w:tcPr>
          <w:p>
            <w:pPr>
              <w:pStyle w:val="TableParagraph"/>
              <w:rPr>
                <w:sz w:val="20"/>
              </w:rPr>
            </w:pPr>
          </w:p>
        </w:tc>
        <w:tc>
          <w:tcPr>
            <w:tcW w:w="935" w:type="dxa"/>
          </w:tcPr>
          <w:p>
            <w:pPr>
              <w:pStyle w:val="TableParagraph"/>
              <w:rPr>
                <w:sz w:val="20"/>
              </w:rPr>
            </w:pPr>
          </w:p>
        </w:tc>
        <w:tc>
          <w:tcPr>
            <w:tcW w:w="970" w:type="dxa"/>
          </w:tcPr>
          <w:p>
            <w:pPr>
              <w:pStyle w:val="TableParagraph"/>
              <w:rPr>
                <w:sz w:val="20"/>
              </w:rPr>
            </w:pPr>
          </w:p>
        </w:tc>
      </w:tr>
      <w:tr>
        <w:trPr>
          <w:trHeight w:val="275" w:hRule="atLeast"/>
        </w:trPr>
        <w:tc>
          <w:tcPr>
            <w:tcW w:w="4463" w:type="dxa"/>
          </w:tcPr>
          <w:p>
            <w:pPr>
              <w:pStyle w:val="TableParagraph"/>
              <w:spacing w:line="256" w:lineRule="exact"/>
              <w:ind w:left="107"/>
              <w:rPr>
                <w:sz w:val="24"/>
              </w:rPr>
            </w:pPr>
            <w:r>
              <w:rPr>
                <w:sz w:val="24"/>
              </w:rPr>
              <w:t>(97)</w:t>
            </w:r>
            <w:r>
              <w:rPr>
                <w:spacing w:val="-3"/>
                <w:sz w:val="24"/>
              </w:rPr>
              <w:t> </w:t>
            </w:r>
            <w:r>
              <w:rPr>
                <w:sz w:val="24"/>
              </w:rPr>
              <w:t>Indifference</w:t>
            </w:r>
            <w:r>
              <w:rPr>
                <w:spacing w:val="-3"/>
                <w:sz w:val="24"/>
              </w:rPr>
              <w:t> </w:t>
            </w:r>
            <w:r>
              <w:rPr>
                <w:spacing w:val="-2"/>
                <w:sz w:val="24"/>
              </w:rPr>
              <w:t>(complacency)</w:t>
            </w:r>
          </w:p>
        </w:tc>
        <w:tc>
          <w:tcPr>
            <w:tcW w:w="1064" w:type="dxa"/>
          </w:tcPr>
          <w:p>
            <w:pPr>
              <w:pStyle w:val="TableParagraph"/>
              <w:rPr>
                <w:sz w:val="20"/>
              </w:rPr>
            </w:pPr>
          </w:p>
        </w:tc>
        <w:tc>
          <w:tcPr>
            <w:tcW w:w="1088" w:type="dxa"/>
          </w:tcPr>
          <w:p>
            <w:pPr>
              <w:pStyle w:val="TableParagraph"/>
              <w:rPr>
                <w:sz w:val="20"/>
              </w:rPr>
            </w:pPr>
          </w:p>
        </w:tc>
        <w:tc>
          <w:tcPr>
            <w:tcW w:w="935" w:type="dxa"/>
          </w:tcPr>
          <w:p>
            <w:pPr>
              <w:pStyle w:val="TableParagraph"/>
              <w:rPr>
                <w:sz w:val="20"/>
              </w:rPr>
            </w:pPr>
          </w:p>
        </w:tc>
        <w:tc>
          <w:tcPr>
            <w:tcW w:w="970" w:type="dxa"/>
          </w:tcPr>
          <w:p>
            <w:pPr>
              <w:pStyle w:val="TableParagraph"/>
              <w:rPr>
                <w:sz w:val="20"/>
              </w:rPr>
            </w:pPr>
          </w:p>
        </w:tc>
      </w:tr>
    </w:tbl>
    <w:p>
      <w:pPr>
        <w:spacing w:after="0"/>
        <w:rPr>
          <w:sz w:val="20"/>
        </w:rPr>
        <w:sectPr>
          <w:pgSz w:w="11910" w:h="16840"/>
          <w:pgMar w:header="0" w:footer="1561" w:top="1340" w:bottom="1760" w:left="720" w:right="180"/>
        </w:sectPr>
      </w:pPr>
    </w:p>
    <w:p>
      <w:pPr>
        <w:pStyle w:val="BodyText"/>
        <w:spacing w:before="78" w:after="8"/>
      </w:pPr>
      <w:r>
        <w:rPr/>
        <mc:AlternateContent>
          <mc:Choice Requires="wps">
            <w:drawing>
              <wp:anchor distT="0" distB="0" distL="0" distR="0" allowOverlap="1" layoutInCell="1" locked="0" behindDoc="1" simplePos="0" relativeHeight="480706560">
                <wp:simplePos x="0" y="0"/>
                <wp:positionH relativeFrom="page">
                  <wp:posOffset>-1537026</wp:posOffset>
                </wp:positionH>
                <wp:positionV relativeFrom="page">
                  <wp:posOffset>4900424</wp:posOffset>
                </wp:positionV>
                <wp:extent cx="10669905" cy="914400"/>
                <wp:effectExtent l="0" t="0" r="0" b="0"/>
                <wp:wrapNone/>
                <wp:docPr id="396" name="Textbox 396"/>
                <wp:cNvGraphicFramePr>
                  <a:graphicFrameLocks/>
                </wp:cNvGraphicFramePr>
                <a:graphic>
                  <a:graphicData uri="http://schemas.microsoft.com/office/word/2010/wordprocessingShape">
                    <wps:wsp>
                      <wps:cNvPr id="396" name="Textbox 396"/>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09920;rotation:306" type="#_x0000_t136" fillcolor="#ff5400" stroked="f">
                <o:extrusion v:ext="view" autorotationcenter="t"/>
                <v:textpath style="font-family:&quot;Arial MT&quot;;font-size:72pt;v-text-kern:t;mso-text-shadow:auto" string="UNIVERSITY OF IBADAN"/>
                <w10:wrap type="none"/>
              </v:shape>
            </w:pict>
          </mc:Fallback>
        </mc:AlternateContent>
      </w:r>
      <w:r>
        <w:rPr/>
        <w:t>RQ22c.</w:t>
      </w:r>
      <w:r>
        <w:rPr>
          <w:spacing w:val="-1"/>
        </w:rPr>
        <w:t> </w:t>
      </w:r>
      <w:r>
        <w:rPr/>
        <w:t>Oil</w:t>
      </w:r>
      <w:r>
        <w:rPr>
          <w:spacing w:val="-1"/>
        </w:rPr>
        <w:t> </w:t>
      </w:r>
      <w:r>
        <w:rPr/>
        <w:t>and</w:t>
      </w:r>
      <w:r>
        <w:rPr>
          <w:spacing w:val="-1"/>
        </w:rPr>
        <w:t> </w:t>
      </w:r>
      <w:r>
        <w:rPr/>
        <w:t>Gas</w:t>
      </w:r>
      <w:r>
        <w:rPr>
          <w:spacing w:val="-1"/>
        </w:rPr>
        <w:t> </w:t>
      </w:r>
      <w:r>
        <w:rPr>
          <w:spacing w:val="-2"/>
        </w:rPr>
        <w:t>Companies?</w:t>
      </w: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60"/>
        <w:gridCol w:w="1063"/>
        <w:gridCol w:w="1089"/>
        <w:gridCol w:w="931"/>
        <w:gridCol w:w="971"/>
      </w:tblGrid>
      <w:tr>
        <w:trPr>
          <w:trHeight w:val="275" w:hRule="atLeast"/>
        </w:trPr>
        <w:tc>
          <w:tcPr>
            <w:tcW w:w="4460" w:type="dxa"/>
          </w:tcPr>
          <w:p>
            <w:pPr>
              <w:pStyle w:val="TableParagraph"/>
              <w:rPr>
                <w:sz w:val="20"/>
              </w:rPr>
            </w:pPr>
          </w:p>
        </w:tc>
        <w:tc>
          <w:tcPr>
            <w:tcW w:w="1063" w:type="dxa"/>
          </w:tcPr>
          <w:p>
            <w:pPr>
              <w:pStyle w:val="TableParagraph"/>
              <w:spacing w:line="256" w:lineRule="exact"/>
              <w:ind w:left="108"/>
              <w:rPr>
                <w:sz w:val="24"/>
              </w:rPr>
            </w:pPr>
            <w:r>
              <w:rPr>
                <w:spacing w:val="-5"/>
                <w:sz w:val="24"/>
              </w:rPr>
              <w:t>SA</w:t>
            </w:r>
          </w:p>
        </w:tc>
        <w:tc>
          <w:tcPr>
            <w:tcW w:w="1089" w:type="dxa"/>
          </w:tcPr>
          <w:p>
            <w:pPr>
              <w:pStyle w:val="TableParagraph"/>
              <w:spacing w:line="256" w:lineRule="exact"/>
              <w:ind w:left="108"/>
              <w:rPr>
                <w:sz w:val="24"/>
              </w:rPr>
            </w:pPr>
            <w:r>
              <w:rPr>
                <w:spacing w:val="-10"/>
                <w:sz w:val="24"/>
              </w:rPr>
              <w:t>A</w:t>
            </w:r>
          </w:p>
        </w:tc>
        <w:tc>
          <w:tcPr>
            <w:tcW w:w="931" w:type="dxa"/>
          </w:tcPr>
          <w:p>
            <w:pPr>
              <w:pStyle w:val="TableParagraph"/>
              <w:spacing w:line="256" w:lineRule="exact"/>
              <w:ind w:left="108"/>
              <w:rPr>
                <w:sz w:val="24"/>
              </w:rPr>
            </w:pPr>
            <w:r>
              <w:rPr>
                <w:spacing w:val="-5"/>
                <w:sz w:val="24"/>
              </w:rPr>
              <w:t>SD</w:t>
            </w:r>
          </w:p>
        </w:tc>
        <w:tc>
          <w:tcPr>
            <w:tcW w:w="971" w:type="dxa"/>
          </w:tcPr>
          <w:p>
            <w:pPr>
              <w:pStyle w:val="TableParagraph"/>
              <w:spacing w:line="256" w:lineRule="exact"/>
              <w:ind w:left="109"/>
              <w:rPr>
                <w:sz w:val="24"/>
              </w:rPr>
            </w:pPr>
            <w:r>
              <w:rPr>
                <w:spacing w:val="-10"/>
                <w:sz w:val="24"/>
              </w:rPr>
              <w:t>D</w:t>
            </w:r>
          </w:p>
        </w:tc>
      </w:tr>
      <w:tr>
        <w:trPr>
          <w:trHeight w:val="275" w:hRule="atLeast"/>
        </w:trPr>
        <w:tc>
          <w:tcPr>
            <w:tcW w:w="4460" w:type="dxa"/>
          </w:tcPr>
          <w:p>
            <w:pPr>
              <w:pStyle w:val="TableParagraph"/>
              <w:spacing w:line="256" w:lineRule="exact"/>
              <w:ind w:left="107"/>
              <w:rPr>
                <w:sz w:val="24"/>
              </w:rPr>
            </w:pPr>
            <w:r>
              <w:rPr>
                <w:sz w:val="24"/>
              </w:rPr>
              <w:t>(98)</w:t>
            </w:r>
            <w:r>
              <w:rPr>
                <w:spacing w:val="-5"/>
                <w:sz w:val="24"/>
              </w:rPr>
              <w:t> </w:t>
            </w:r>
            <w:r>
              <w:rPr>
                <w:sz w:val="24"/>
              </w:rPr>
              <w:t>Fence</w:t>
            </w:r>
            <w:r>
              <w:rPr>
                <w:spacing w:val="-1"/>
                <w:sz w:val="24"/>
              </w:rPr>
              <w:t> </w:t>
            </w:r>
            <w:r>
              <w:rPr>
                <w:sz w:val="24"/>
              </w:rPr>
              <w:t>mending</w:t>
            </w:r>
            <w:r>
              <w:rPr>
                <w:spacing w:val="1"/>
                <w:sz w:val="24"/>
              </w:rPr>
              <w:t> </w:t>
            </w:r>
            <w:r>
              <w:rPr>
                <w:sz w:val="24"/>
              </w:rPr>
              <w:t>(Peacemaking</w:t>
            </w:r>
            <w:r>
              <w:rPr>
                <w:spacing w:val="-3"/>
                <w:sz w:val="24"/>
              </w:rPr>
              <w:t> </w:t>
            </w:r>
            <w:r>
              <w:rPr>
                <w:spacing w:val="-2"/>
                <w:sz w:val="24"/>
              </w:rPr>
              <w:t>efforts)</w:t>
            </w:r>
          </w:p>
        </w:tc>
        <w:tc>
          <w:tcPr>
            <w:tcW w:w="1063" w:type="dxa"/>
          </w:tcPr>
          <w:p>
            <w:pPr>
              <w:pStyle w:val="TableParagraph"/>
              <w:rPr>
                <w:sz w:val="20"/>
              </w:rPr>
            </w:pPr>
          </w:p>
        </w:tc>
        <w:tc>
          <w:tcPr>
            <w:tcW w:w="1089" w:type="dxa"/>
          </w:tcPr>
          <w:p>
            <w:pPr>
              <w:pStyle w:val="TableParagraph"/>
              <w:rPr>
                <w:sz w:val="20"/>
              </w:rPr>
            </w:pPr>
          </w:p>
        </w:tc>
        <w:tc>
          <w:tcPr>
            <w:tcW w:w="931" w:type="dxa"/>
          </w:tcPr>
          <w:p>
            <w:pPr>
              <w:pStyle w:val="TableParagraph"/>
              <w:rPr>
                <w:sz w:val="20"/>
              </w:rPr>
            </w:pPr>
          </w:p>
        </w:tc>
        <w:tc>
          <w:tcPr>
            <w:tcW w:w="971" w:type="dxa"/>
          </w:tcPr>
          <w:p>
            <w:pPr>
              <w:pStyle w:val="TableParagraph"/>
              <w:rPr>
                <w:sz w:val="20"/>
              </w:rPr>
            </w:pPr>
          </w:p>
        </w:tc>
      </w:tr>
      <w:tr>
        <w:trPr>
          <w:trHeight w:val="275" w:hRule="atLeast"/>
        </w:trPr>
        <w:tc>
          <w:tcPr>
            <w:tcW w:w="4460" w:type="dxa"/>
          </w:tcPr>
          <w:p>
            <w:pPr>
              <w:pStyle w:val="TableParagraph"/>
              <w:spacing w:line="256" w:lineRule="exact"/>
              <w:ind w:left="107"/>
              <w:rPr>
                <w:sz w:val="24"/>
              </w:rPr>
            </w:pPr>
            <w:r>
              <w:rPr>
                <w:sz w:val="24"/>
              </w:rPr>
              <w:t>(99)</w:t>
            </w:r>
            <w:r>
              <w:rPr>
                <w:spacing w:val="-3"/>
                <w:sz w:val="24"/>
              </w:rPr>
              <w:t> </w:t>
            </w:r>
            <w:r>
              <w:rPr>
                <w:sz w:val="24"/>
              </w:rPr>
              <w:t>Fueling</w:t>
            </w:r>
            <w:r>
              <w:rPr>
                <w:spacing w:val="-3"/>
                <w:sz w:val="24"/>
              </w:rPr>
              <w:t> </w:t>
            </w:r>
            <w:r>
              <w:rPr>
                <w:spacing w:val="-2"/>
                <w:sz w:val="24"/>
              </w:rPr>
              <w:t>Crisis</w:t>
            </w:r>
          </w:p>
        </w:tc>
        <w:tc>
          <w:tcPr>
            <w:tcW w:w="1063" w:type="dxa"/>
          </w:tcPr>
          <w:p>
            <w:pPr>
              <w:pStyle w:val="TableParagraph"/>
              <w:rPr>
                <w:sz w:val="20"/>
              </w:rPr>
            </w:pPr>
          </w:p>
        </w:tc>
        <w:tc>
          <w:tcPr>
            <w:tcW w:w="1089" w:type="dxa"/>
          </w:tcPr>
          <w:p>
            <w:pPr>
              <w:pStyle w:val="TableParagraph"/>
              <w:rPr>
                <w:sz w:val="20"/>
              </w:rPr>
            </w:pPr>
          </w:p>
        </w:tc>
        <w:tc>
          <w:tcPr>
            <w:tcW w:w="931" w:type="dxa"/>
          </w:tcPr>
          <w:p>
            <w:pPr>
              <w:pStyle w:val="TableParagraph"/>
              <w:rPr>
                <w:sz w:val="20"/>
              </w:rPr>
            </w:pPr>
          </w:p>
        </w:tc>
        <w:tc>
          <w:tcPr>
            <w:tcW w:w="971" w:type="dxa"/>
          </w:tcPr>
          <w:p>
            <w:pPr>
              <w:pStyle w:val="TableParagraph"/>
              <w:rPr>
                <w:sz w:val="20"/>
              </w:rPr>
            </w:pPr>
          </w:p>
        </w:tc>
      </w:tr>
      <w:tr>
        <w:trPr>
          <w:trHeight w:val="277" w:hRule="atLeast"/>
        </w:trPr>
        <w:tc>
          <w:tcPr>
            <w:tcW w:w="4460" w:type="dxa"/>
          </w:tcPr>
          <w:p>
            <w:pPr>
              <w:pStyle w:val="TableParagraph"/>
              <w:spacing w:line="258" w:lineRule="exact"/>
              <w:ind w:left="107"/>
              <w:rPr>
                <w:sz w:val="24"/>
              </w:rPr>
            </w:pPr>
            <w:r>
              <w:rPr>
                <w:sz w:val="24"/>
              </w:rPr>
              <w:t>(100)</w:t>
            </w:r>
            <w:r>
              <w:rPr>
                <w:spacing w:val="-2"/>
                <w:sz w:val="24"/>
              </w:rPr>
              <w:t> </w:t>
            </w:r>
            <w:r>
              <w:rPr>
                <w:sz w:val="24"/>
              </w:rPr>
              <w:t>Reducing</w:t>
            </w:r>
            <w:r>
              <w:rPr>
                <w:spacing w:val="-3"/>
                <w:sz w:val="24"/>
              </w:rPr>
              <w:t> </w:t>
            </w:r>
            <w:r>
              <w:rPr>
                <w:spacing w:val="-2"/>
                <w:sz w:val="24"/>
              </w:rPr>
              <w:t>conflict</w:t>
            </w:r>
          </w:p>
        </w:tc>
        <w:tc>
          <w:tcPr>
            <w:tcW w:w="1063" w:type="dxa"/>
          </w:tcPr>
          <w:p>
            <w:pPr>
              <w:pStyle w:val="TableParagraph"/>
              <w:rPr>
                <w:sz w:val="20"/>
              </w:rPr>
            </w:pPr>
          </w:p>
        </w:tc>
        <w:tc>
          <w:tcPr>
            <w:tcW w:w="1089" w:type="dxa"/>
          </w:tcPr>
          <w:p>
            <w:pPr>
              <w:pStyle w:val="TableParagraph"/>
              <w:rPr>
                <w:sz w:val="20"/>
              </w:rPr>
            </w:pPr>
          </w:p>
        </w:tc>
        <w:tc>
          <w:tcPr>
            <w:tcW w:w="931" w:type="dxa"/>
          </w:tcPr>
          <w:p>
            <w:pPr>
              <w:pStyle w:val="TableParagraph"/>
              <w:rPr>
                <w:sz w:val="20"/>
              </w:rPr>
            </w:pPr>
          </w:p>
        </w:tc>
        <w:tc>
          <w:tcPr>
            <w:tcW w:w="971" w:type="dxa"/>
          </w:tcPr>
          <w:p>
            <w:pPr>
              <w:pStyle w:val="TableParagraph"/>
              <w:rPr>
                <w:sz w:val="20"/>
              </w:rPr>
            </w:pPr>
          </w:p>
        </w:tc>
      </w:tr>
      <w:tr>
        <w:trPr>
          <w:trHeight w:val="275" w:hRule="atLeast"/>
        </w:trPr>
        <w:tc>
          <w:tcPr>
            <w:tcW w:w="4460" w:type="dxa"/>
          </w:tcPr>
          <w:p>
            <w:pPr>
              <w:pStyle w:val="TableParagraph"/>
              <w:spacing w:line="256" w:lineRule="exact"/>
              <w:ind w:left="107"/>
              <w:rPr>
                <w:sz w:val="24"/>
              </w:rPr>
            </w:pPr>
            <w:r>
              <w:rPr>
                <w:sz w:val="24"/>
              </w:rPr>
              <w:t>(101)</w:t>
            </w:r>
            <w:r>
              <w:rPr>
                <w:spacing w:val="-3"/>
                <w:sz w:val="24"/>
              </w:rPr>
              <w:t> </w:t>
            </w:r>
            <w:r>
              <w:rPr>
                <w:sz w:val="24"/>
              </w:rPr>
              <w:t>Indifference</w:t>
            </w:r>
            <w:r>
              <w:rPr>
                <w:spacing w:val="-3"/>
                <w:sz w:val="24"/>
              </w:rPr>
              <w:t> </w:t>
            </w:r>
            <w:r>
              <w:rPr>
                <w:spacing w:val="-2"/>
                <w:sz w:val="24"/>
              </w:rPr>
              <w:t>(Complacency)</w:t>
            </w:r>
          </w:p>
        </w:tc>
        <w:tc>
          <w:tcPr>
            <w:tcW w:w="1063" w:type="dxa"/>
          </w:tcPr>
          <w:p>
            <w:pPr>
              <w:pStyle w:val="TableParagraph"/>
              <w:rPr>
                <w:sz w:val="20"/>
              </w:rPr>
            </w:pPr>
          </w:p>
        </w:tc>
        <w:tc>
          <w:tcPr>
            <w:tcW w:w="1089" w:type="dxa"/>
          </w:tcPr>
          <w:p>
            <w:pPr>
              <w:pStyle w:val="TableParagraph"/>
              <w:rPr>
                <w:sz w:val="20"/>
              </w:rPr>
            </w:pPr>
          </w:p>
        </w:tc>
        <w:tc>
          <w:tcPr>
            <w:tcW w:w="931" w:type="dxa"/>
          </w:tcPr>
          <w:p>
            <w:pPr>
              <w:pStyle w:val="TableParagraph"/>
              <w:rPr>
                <w:sz w:val="20"/>
              </w:rPr>
            </w:pPr>
          </w:p>
        </w:tc>
        <w:tc>
          <w:tcPr>
            <w:tcW w:w="971" w:type="dxa"/>
          </w:tcPr>
          <w:p>
            <w:pPr>
              <w:pStyle w:val="TableParagraph"/>
              <w:rPr>
                <w:sz w:val="20"/>
              </w:rPr>
            </w:pPr>
          </w:p>
        </w:tc>
      </w:tr>
    </w:tbl>
    <w:p>
      <w:pPr>
        <w:pStyle w:val="BodyText"/>
        <w:spacing w:before="271" w:after="8"/>
      </w:pPr>
      <w:r>
        <w:rPr/>
        <w:t>RQ22d.</w:t>
      </w:r>
      <w:r>
        <w:rPr>
          <w:spacing w:val="-1"/>
        </w:rPr>
        <w:t> </w:t>
      </w:r>
      <w:r>
        <w:rPr>
          <w:spacing w:val="-2"/>
        </w:rPr>
        <w:t>Youths</w:t>
      </w: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60"/>
        <w:gridCol w:w="1063"/>
        <w:gridCol w:w="1089"/>
        <w:gridCol w:w="931"/>
        <w:gridCol w:w="971"/>
      </w:tblGrid>
      <w:tr>
        <w:trPr>
          <w:trHeight w:val="275" w:hRule="atLeast"/>
        </w:trPr>
        <w:tc>
          <w:tcPr>
            <w:tcW w:w="4460" w:type="dxa"/>
          </w:tcPr>
          <w:p>
            <w:pPr>
              <w:pStyle w:val="TableParagraph"/>
              <w:rPr>
                <w:sz w:val="20"/>
              </w:rPr>
            </w:pPr>
          </w:p>
        </w:tc>
        <w:tc>
          <w:tcPr>
            <w:tcW w:w="1063" w:type="dxa"/>
          </w:tcPr>
          <w:p>
            <w:pPr>
              <w:pStyle w:val="TableParagraph"/>
              <w:spacing w:line="256" w:lineRule="exact"/>
              <w:ind w:left="108"/>
              <w:rPr>
                <w:sz w:val="24"/>
              </w:rPr>
            </w:pPr>
            <w:r>
              <w:rPr>
                <w:spacing w:val="-5"/>
                <w:sz w:val="24"/>
              </w:rPr>
              <w:t>SA</w:t>
            </w:r>
          </w:p>
        </w:tc>
        <w:tc>
          <w:tcPr>
            <w:tcW w:w="1089" w:type="dxa"/>
          </w:tcPr>
          <w:p>
            <w:pPr>
              <w:pStyle w:val="TableParagraph"/>
              <w:spacing w:line="256" w:lineRule="exact"/>
              <w:ind w:left="108"/>
              <w:rPr>
                <w:sz w:val="24"/>
              </w:rPr>
            </w:pPr>
            <w:r>
              <w:rPr>
                <w:spacing w:val="-10"/>
                <w:sz w:val="24"/>
              </w:rPr>
              <w:t>A</w:t>
            </w:r>
          </w:p>
        </w:tc>
        <w:tc>
          <w:tcPr>
            <w:tcW w:w="931" w:type="dxa"/>
          </w:tcPr>
          <w:p>
            <w:pPr>
              <w:pStyle w:val="TableParagraph"/>
              <w:spacing w:line="256" w:lineRule="exact"/>
              <w:ind w:left="108"/>
              <w:rPr>
                <w:sz w:val="24"/>
              </w:rPr>
            </w:pPr>
            <w:r>
              <w:rPr>
                <w:spacing w:val="-5"/>
                <w:sz w:val="24"/>
              </w:rPr>
              <w:t>SD</w:t>
            </w:r>
          </w:p>
        </w:tc>
        <w:tc>
          <w:tcPr>
            <w:tcW w:w="971" w:type="dxa"/>
          </w:tcPr>
          <w:p>
            <w:pPr>
              <w:pStyle w:val="TableParagraph"/>
              <w:spacing w:line="256" w:lineRule="exact"/>
              <w:ind w:left="109"/>
              <w:rPr>
                <w:sz w:val="24"/>
              </w:rPr>
            </w:pPr>
            <w:r>
              <w:rPr>
                <w:spacing w:val="-10"/>
                <w:sz w:val="24"/>
              </w:rPr>
              <w:t>D</w:t>
            </w:r>
          </w:p>
        </w:tc>
      </w:tr>
      <w:tr>
        <w:trPr>
          <w:trHeight w:val="275" w:hRule="atLeast"/>
        </w:trPr>
        <w:tc>
          <w:tcPr>
            <w:tcW w:w="4460" w:type="dxa"/>
          </w:tcPr>
          <w:p>
            <w:pPr>
              <w:pStyle w:val="TableParagraph"/>
              <w:spacing w:line="256" w:lineRule="exact"/>
              <w:ind w:left="107"/>
              <w:rPr>
                <w:sz w:val="24"/>
              </w:rPr>
            </w:pPr>
            <w:r>
              <w:rPr>
                <w:sz w:val="24"/>
              </w:rPr>
              <w:t>(102)</w:t>
            </w:r>
            <w:r>
              <w:rPr>
                <w:spacing w:val="-3"/>
                <w:sz w:val="24"/>
              </w:rPr>
              <w:t> </w:t>
            </w:r>
            <w:r>
              <w:rPr>
                <w:sz w:val="24"/>
              </w:rPr>
              <w:t>Fence</w:t>
            </w:r>
            <w:r>
              <w:rPr>
                <w:spacing w:val="-1"/>
                <w:sz w:val="24"/>
              </w:rPr>
              <w:t> </w:t>
            </w:r>
            <w:r>
              <w:rPr>
                <w:sz w:val="24"/>
              </w:rPr>
              <w:t>mending (Peacemaking</w:t>
            </w:r>
            <w:r>
              <w:rPr>
                <w:spacing w:val="-1"/>
                <w:sz w:val="24"/>
              </w:rPr>
              <w:t> </w:t>
            </w:r>
            <w:r>
              <w:rPr>
                <w:spacing w:val="-2"/>
                <w:sz w:val="24"/>
              </w:rPr>
              <w:t>efforts)</w:t>
            </w:r>
          </w:p>
        </w:tc>
        <w:tc>
          <w:tcPr>
            <w:tcW w:w="1063" w:type="dxa"/>
          </w:tcPr>
          <w:p>
            <w:pPr>
              <w:pStyle w:val="TableParagraph"/>
              <w:rPr>
                <w:sz w:val="20"/>
              </w:rPr>
            </w:pPr>
          </w:p>
        </w:tc>
        <w:tc>
          <w:tcPr>
            <w:tcW w:w="1089" w:type="dxa"/>
          </w:tcPr>
          <w:p>
            <w:pPr>
              <w:pStyle w:val="TableParagraph"/>
              <w:rPr>
                <w:sz w:val="20"/>
              </w:rPr>
            </w:pPr>
          </w:p>
        </w:tc>
        <w:tc>
          <w:tcPr>
            <w:tcW w:w="931" w:type="dxa"/>
          </w:tcPr>
          <w:p>
            <w:pPr>
              <w:pStyle w:val="TableParagraph"/>
              <w:rPr>
                <w:sz w:val="20"/>
              </w:rPr>
            </w:pPr>
          </w:p>
        </w:tc>
        <w:tc>
          <w:tcPr>
            <w:tcW w:w="971" w:type="dxa"/>
          </w:tcPr>
          <w:p>
            <w:pPr>
              <w:pStyle w:val="TableParagraph"/>
              <w:rPr>
                <w:sz w:val="20"/>
              </w:rPr>
            </w:pPr>
          </w:p>
        </w:tc>
      </w:tr>
      <w:tr>
        <w:trPr>
          <w:trHeight w:val="275" w:hRule="atLeast"/>
        </w:trPr>
        <w:tc>
          <w:tcPr>
            <w:tcW w:w="4460" w:type="dxa"/>
          </w:tcPr>
          <w:p>
            <w:pPr>
              <w:pStyle w:val="TableParagraph"/>
              <w:spacing w:line="256" w:lineRule="exact"/>
              <w:ind w:left="107"/>
              <w:rPr>
                <w:sz w:val="24"/>
              </w:rPr>
            </w:pPr>
            <w:r>
              <w:rPr>
                <w:sz w:val="24"/>
              </w:rPr>
              <w:t>(103)</w:t>
            </w:r>
            <w:r>
              <w:rPr>
                <w:spacing w:val="-3"/>
                <w:sz w:val="24"/>
              </w:rPr>
              <w:t> </w:t>
            </w:r>
            <w:r>
              <w:rPr>
                <w:sz w:val="24"/>
              </w:rPr>
              <w:t>Fueling</w:t>
            </w:r>
            <w:r>
              <w:rPr>
                <w:spacing w:val="-3"/>
                <w:sz w:val="24"/>
              </w:rPr>
              <w:t> </w:t>
            </w:r>
            <w:r>
              <w:rPr>
                <w:spacing w:val="-2"/>
                <w:sz w:val="24"/>
              </w:rPr>
              <w:t>Crisis</w:t>
            </w:r>
          </w:p>
        </w:tc>
        <w:tc>
          <w:tcPr>
            <w:tcW w:w="1063" w:type="dxa"/>
          </w:tcPr>
          <w:p>
            <w:pPr>
              <w:pStyle w:val="TableParagraph"/>
              <w:rPr>
                <w:sz w:val="20"/>
              </w:rPr>
            </w:pPr>
          </w:p>
        </w:tc>
        <w:tc>
          <w:tcPr>
            <w:tcW w:w="1089" w:type="dxa"/>
          </w:tcPr>
          <w:p>
            <w:pPr>
              <w:pStyle w:val="TableParagraph"/>
              <w:rPr>
                <w:sz w:val="20"/>
              </w:rPr>
            </w:pPr>
          </w:p>
        </w:tc>
        <w:tc>
          <w:tcPr>
            <w:tcW w:w="931" w:type="dxa"/>
          </w:tcPr>
          <w:p>
            <w:pPr>
              <w:pStyle w:val="TableParagraph"/>
              <w:rPr>
                <w:sz w:val="20"/>
              </w:rPr>
            </w:pPr>
          </w:p>
        </w:tc>
        <w:tc>
          <w:tcPr>
            <w:tcW w:w="971" w:type="dxa"/>
          </w:tcPr>
          <w:p>
            <w:pPr>
              <w:pStyle w:val="TableParagraph"/>
              <w:rPr>
                <w:sz w:val="20"/>
              </w:rPr>
            </w:pPr>
          </w:p>
        </w:tc>
      </w:tr>
      <w:tr>
        <w:trPr>
          <w:trHeight w:val="278" w:hRule="atLeast"/>
        </w:trPr>
        <w:tc>
          <w:tcPr>
            <w:tcW w:w="4460" w:type="dxa"/>
          </w:tcPr>
          <w:p>
            <w:pPr>
              <w:pStyle w:val="TableParagraph"/>
              <w:spacing w:line="258" w:lineRule="exact"/>
              <w:ind w:left="107"/>
              <w:rPr>
                <w:sz w:val="24"/>
              </w:rPr>
            </w:pPr>
            <w:r>
              <w:rPr>
                <w:sz w:val="24"/>
              </w:rPr>
              <w:t>(104)</w:t>
            </w:r>
            <w:r>
              <w:rPr>
                <w:spacing w:val="-2"/>
                <w:sz w:val="24"/>
              </w:rPr>
              <w:t> </w:t>
            </w:r>
            <w:r>
              <w:rPr>
                <w:sz w:val="24"/>
              </w:rPr>
              <w:t>Reducing</w:t>
            </w:r>
            <w:r>
              <w:rPr>
                <w:spacing w:val="-3"/>
                <w:sz w:val="24"/>
              </w:rPr>
              <w:t> </w:t>
            </w:r>
            <w:r>
              <w:rPr>
                <w:spacing w:val="-2"/>
                <w:sz w:val="24"/>
              </w:rPr>
              <w:t>conflict</w:t>
            </w:r>
          </w:p>
        </w:tc>
        <w:tc>
          <w:tcPr>
            <w:tcW w:w="1063" w:type="dxa"/>
          </w:tcPr>
          <w:p>
            <w:pPr>
              <w:pStyle w:val="TableParagraph"/>
              <w:rPr>
                <w:sz w:val="20"/>
              </w:rPr>
            </w:pPr>
          </w:p>
        </w:tc>
        <w:tc>
          <w:tcPr>
            <w:tcW w:w="1089" w:type="dxa"/>
          </w:tcPr>
          <w:p>
            <w:pPr>
              <w:pStyle w:val="TableParagraph"/>
              <w:rPr>
                <w:sz w:val="20"/>
              </w:rPr>
            </w:pPr>
          </w:p>
        </w:tc>
        <w:tc>
          <w:tcPr>
            <w:tcW w:w="931" w:type="dxa"/>
          </w:tcPr>
          <w:p>
            <w:pPr>
              <w:pStyle w:val="TableParagraph"/>
              <w:rPr>
                <w:sz w:val="20"/>
              </w:rPr>
            </w:pPr>
          </w:p>
        </w:tc>
        <w:tc>
          <w:tcPr>
            <w:tcW w:w="971" w:type="dxa"/>
          </w:tcPr>
          <w:p>
            <w:pPr>
              <w:pStyle w:val="TableParagraph"/>
              <w:rPr>
                <w:sz w:val="20"/>
              </w:rPr>
            </w:pPr>
          </w:p>
        </w:tc>
      </w:tr>
      <w:tr>
        <w:trPr>
          <w:trHeight w:val="275" w:hRule="atLeast"/>
        </w:trPr>
        <w:tc>
          <w:tcPr>
            <w:tcW w:w="4460" w:type="dxa"/>
          </w:tcPr>
          <w:p>
            <w:pPr>
              <w:pStyle w:val="TableParagraph"/>
              <w:spacing w:line="256" w:lineRule="exact"/>
              <w:ind w:left="107"/>
              <w:rPr>
                <w:sz w:val="24"/>
              </w:rPr>
            </w:pPr>
            <w:r>
              <w:rPr>
                <w:sz w:val="24"/>
              </w:rPr>
              <w:t>(105)</w:t>
            </w:r>
            <w:r>
              <w:rPr>
                <w:spacing w:val="-3"/>
                <w:sz w:val="24"/>
              </w:rPr>
              <w:t> </w:t>
            </w:r>
            <w:r>
              <w:rPr>
                <w:sz w:val="24"/>
              </w:rPr>
              <w:t>Indifference</w:t>
            </w:r>
            <w:r>
              <w:rPr>
                <w:spacing w:val="-3"/>
                <w:sz w:val="24"/>
              </w:rPr>
              <w:t> </w:t>
            </w:r>
            <w:r>
              <w:rPr>
                <w:spacing w:val="-2"/>
                <w:sz w:val="24"/>
              </w:rPr>
              <w:t>(Complacency)</w:t>
            </w:r>
          </w:p>
        </w:tc>
        <w:tc>
          <w:tcPr>
            <w:tcW w:w="1063" w:type="dxa"/>
          </w:tcPr>
          <w:p>
            <w:pPr>
              <w:pStyle w:val="TableParagraph"/>
              <w:rPr>
                <w:sz w:val="20"/>
              </w:rPr>
            </w:pPr>
          </w:p>
        </w:tc>
        <w:tc>
          <w:tcPr>
            <w:tcW w:w="1089" w:type="dxa"/>
          </w:tcPr>
          <w:p>
            <w:pPr>
              <w:pStyle w:val="TableParagraph"/>
              <w:rPr>
                <w:sz w:val="20"/>
              </w:rPr>
            </w:pPr>
          </w:p>
        </w:tc>
        <w:tc>
          <w:tcPr>
            <w:tcW w:w="931" w:type="dxa"/>
          </w:tcPr>
          <w:p>
            <w:pPr>
              <w:pStyle w:val="TableParagraph"/>
              <w:rPr>
                <w:sz w:val="20"/>
              </w:rPr>
            </w:pPr>
          </w:p>
        </w:tc>
        <w:tc>
          <w:tcPr>
            <w:tcW w:w="971" w:type="dxa"/>
          </w:tcPr>
          <w:p>
            <w:pPr>
              <w:pStyle w:val="TableParagraph"/>
              <w:rPr>
                <w:sz w:val="20"/>
              </w:rPr>
            </w:pPr>
          </w:p>
        </w:tc>
      </w:tr>
    </w:tbl>
    <w:p>
      <w:pPr>
        <w:pStyle w:val="BodyText"/>
        <w:spacing w:before="270" w:after="9"/>
      </w:pPr>
      <w:r>
        <w:rPr/>
        <w:t>RQ22e.</w:t>
      </w:r>
      <w:r>
        <w:rPr>
          <w:spacing w:val="-2"/>
        </w:rPr>
        <w:t> </w:t>
      </w:r>
      <w:r>
        <w:rPr/>
        <w:t>Niger</w:t>
      </w:r>
      <w:r>
        <w:rPr>
          <w:spacing w:val="-1"/>
        </w:rPr>
        <w:t> </w:t>
      </w:r>
      <w:r>
        <w:rPr/>
        <w:t>Delta</w:t>
      </w:r>
      <w:r>
        <w:rPr>
          <w:spacing w:val="-2"/>
        </w:rPr>
        <w:t> Communities?</w:t>
      </w: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60"/>
        <w:gridCol w:w="1063"/>
        <w:gridCol w:w="1089"/>
        <w:gridCol w:w="931"/>
        <w:gridCol w:w="971"/>
      </w:tblGrid>
      <w:tr>
        <w:trPr>
          <w:trHeight w:val="275" w:hRule="atLeast"/>
        </w:trPr>
        <w:tc>
          <w:tcPr>
            <w:tcW w:w="4460" w:type="dxa"/>
          </w:tcPr>
          <w:p>
            <w:pPr>
              <w:pStyle w:val="TableParagraph"/>
              <w:rPr>
                <w:sz w:val="20"/>
              </w:rPr>
            </w:pPr>
          </w:p>
        </w:tc>
        <w:tc>
          <w:tcPr>
            <w:tcW w:w="1063" w:type="dxa"/>
          </w:tcPr>
          <w:p>
            <w:pPr>
              <w:pStyle w:val="TableParagraph"/>
              <w:spacing w:line="256" w:lineRule="exact"/>
              <w:ind w:left="108"/>
              <w:rPr>
                <w:sz w:val="24"/>
              </w:rPr>
            </w:pPr>
            <w:r>
              <w:rPr>
                <w:spacing w:val="-5"/>
                <w:sz w:val="24"/>
              </w:rPr>
              <w:t>SA</w:t>
            </w:r>
          </w:p>
        </w:tc>
        <w:tc>
          <w:tcPr>
            <w:tcW w:w="1089" w:type="dxa"/>
          </w:tcPr>
          <w:p>
            <w:pPr>
              <w:pStyle w:val="TableParagraph"/>
              <w:spacing w:line="256" w:lineRule="exact"/>
              <w:ind w:left="108"/>
              <w:rPr>
                <w:sz w:val="24"/>
              </w:rPr>
            </w:pPr>
            <w:r>
              <w:rPr>
                <w:spacing w:val="-10"/>
                <w:sz w:val="24"/>
              </w:rPr>
              <w:t>A</w:t>
            </w:r>
          </w:p>
        </w:tc>
        <w:tc>
          <w:tcPr>
            <w:tcW w:w="931" w:type="dxa"/>
          </w:tcPr>
          <w:p>
            <w:pPr>
              <w:pStyle w:val="TableParagraph"/>
              <w:spacing w:line="256" w:lineRule="exact"/>
              <w:ind w:left="108"/>
              <w:rPr>
                <w:sz w:val="24"/>
              </w:rPr>
            </w:pPr>
            <w:r>
              <w:rPr>
                <w:spacing w:val="-5"/>
                <w:sz w:val="24"/>
              </w:rPr>
              <w:t>SD</w:t>
            </w:r>
          </w:p>
        </w:tc>
        <w:tc>
          <w:tcPr>
            <w:tcW w:w="971" w:type="dxa"/>
          </w:tcPr>
          <w:p>
            <w:pPr>
              <w:pStyle w:val="TableParagraph"/>
              <w:spacing w:line="256" w:lineRule="exact"/>
              <w:ind w:left="109"/>
              <w:rPr>
                <w:sz w:val="24"/>
              </w:rPr>
            </w:pPr>
            <w:r>
              <w:rPr>
                <w:spacing w:val="-10"/>
                <w:sz w:val="24"/>
              </w:rPr>
              <w:t>D</w:t>
            </w:r>
          </w:p>
        </w:tc>
      </w:tr>
      <w:tr>
        <w:trPr>
          <w:trHeight w:val="275" w:hRule="atLeast"/>
        </w:trPr>
        <w:tc>
          <w:tcPr>
            <w:tcW w:w="4460" w:type="dxa"/>
          </w:tcPr>
          <w:p>
            <w:pPr>
              <w:pStyle w:val="TableParagraph"/>
              <w:spacing w:line="256" w:lineRule="exact"/>
              <w:ind w:left="107"/>
              <w:rPr>
                <w:sz w:val="24"/>
              </w:rPr>
            </w:pPr>
            <w:r>
              <w:rPr>
                <w:sz w:val="24"/>
              </w:rPr>
              <w:t>(106)</w:t>
            </w:r>
            <w:r>
              <w:rPr>
                <w:spacing w:val="-3"/>
                <w:sz w:val="24"/>
              </w:rPr>
              <w:t> </w:t>
            </w:r>
            <w:r>
              <w:rPr>
                <w:sz w:val="24"/>
              </w:rPr>
              <w:t>Fence</w:t>
            </w:r>
            <w:r>
              <w:rPr>
                <w:spacing w:val="-1"/>
                <w:sz w:val="24"/>
              </w:rPr>
              <w:t> </w:t>
            </w:r>
            <w:r>
              <w:rPr>
                <w:sz w:val="24"/>
              </w:rPr>
              <w:t>mending (Peacemaking</w:t>
            </w:r>
            <w:r>
              <w:rPr>
                <w:spacing w:val="-1"/>
                <w:sz w:val="24"/>
              </w:rPr>
              <w:t> </w:t>
            </w:r>
            <w:r>
              <w:rPr>
                <w:spacing w:val="-2"/>
                <w:sz w:val="24"/>
              </w:rPr>
              <w:t>efforts)</w:t>
            </w:r>
          </w:p>
        </w:tc>
        <w:tc>
          <w:tcPr>
            <w:tcW w:w="1063" w:type="dxa"/>
          </w:tcPr>
          <w:p>
            <w:pPr>
              <w:pStyle w:val="TableParagraph"/>
              <w:rPr>
                <w:sz w:val="20"/>
              </w:rPr>
            </w:pPr>
          </w:p>
        </w:tc>
        <w:tc>
          <w:tcPr>
            <w:tcW w:w="1089" w:type="dxa"/>
          </w:tcPr>
          <w:p>
            <w:pPr>
              <w:pStyle w:val="TableParagraph"/>
              <w:rPr>
                <w:sz w:val="20"/>
              </w:rPr>
            </w:pPr>
          </w:p>
        </w:tc>
        <w:tc>
          <w:tcPr>
            <w:tcW w:w="931" w:type="dxa"/>
          </w:tcPr>
          <w:p>
            <w:pPr>
              <w:pStyle w:val="TableParagraph"/>
              <w:rPr>
                <w:sz w:val="20"/>
              </w:rPr>
            </w:pPr>
          </w:p>
        </w:tc>
        <w:tc>
          <w:tcPr>
            <w:tcW w:w="971" w:type="dxa"/>
          </w:tcPr>
          <w:p>
            <w:pPr>
              <w:pStyle w:val="TableParagraph"/>
              <w:rPr>
                <w:sz w:val="20"/>
              </w:rPr>
            </w:pPr>
          </w:p>
        </w:tc>
      </w:tr>
      <w:tr>
        <w:trPr>
          <w:trHeight w:val="275" w:hRule="atLeast"/>
        </w:trPr>
        <w:tc>
          <w:tcPr>
            <w:tcW w:w="4460" w:type="dxa"/>
          </w:tcPr>
          <w:p>
            <w:pPr>
              <w:pStyle w:val="TableParagraph"/>
              <w:spacing w:line="256" w:lineRule="exact"/>
              <w:ind w:left="107"/>
              <w:rPr>
                <w:sz w:val="24"/>
              </w:rPr>
            </w:pPr>
            <w:r>
              <w:rPr>
                <w:sz w:val="24"/>
              </w:rPr>
              <w:t>(107)</w:t>
            </w:r>
            <w:r>
              <w:rPr>
                <w:spacing w:val="-3"/>
                <w:sz w:val="24"/>
              </w:rPr>
              <w:t> </w:t>
            </w:r>
            <w:r>
              <w:rPr>
                <w:sz w:val="24"/>
              </w:rPr>
              <w:t>Fueling</w:t>
            </w:r>
            <w:r>
              <w:rPr>
                <w:spacing w:val="-3"/>
                <w:sz w:val="24"/>
              </w:rPr>
              <w:t> </w:t>
            </w:r>
            <w:r>
              <w:rPr>
                <w:spacing w:val="-2"/>
                <w:sz w:val="24"/>
              </w:rPr>
              <w:t>Crisis</w:t>
            </w:r>
          </w:p>
        </w:tc>
        <w:tc>
          <w:tcPr>
            <w:tcW w:w="1063" w:type="dxa"/>
          </w:tcPr>
          <w:p>
            <w:pPr>
              <w:pStyle w:val="TableParagraph"/>
              <w:rPr>
                <w:sz w:val="20"/>
              </w:rPr>
            </w:pPr>
          </w:p>
        </w:tc>
        <w:tc>
          <w:tcPr>
            <w:tcW w:w="1089" w:type="dxa"/>
          </w:tcPr>
          <w:p>
            <w:pPr>
              <w:pStyle w:val="TableParagraph"/>
              <w:rPr>
                <w:sz w:val="20"/>
              </w:rPr>
            </w:pPr>
          </w:p>
        </w:tc>
        <w:tc>
          <w:tcPr>
            <w:tcW w:w="931" w:type="dxa"/>
          </w:tcPr>
          <w:p>
            <w:pPr>
              <w:pStyle w:val="TableParagraph"/>
              <w:rPr>
                <w:sz w:val="20"/>
              </w:rPr>
            </w:pPr>
          </w:p>
        </w:tc>
        <w:tc>
          <w:tcPr>
            <w:tcW w:w="971" w:type="dxa"/>
          </w:tcPr>
          <w:p>
            <w:pPr>
              <w:pStyle w:val="TableParagraph"/>
              <w:rPr>
                <w:sz w:val="20"/>
              </w:rPr>
            </w:pPr>
          </w:p>
        </w:tc>
      </w:tr>
      <w:tr>
        <w:trPr>
          <w:trHeight w:val="275" w:hRule="atLeast"/>
        </w:trPr>
        <w:tc>
          <w:tcPr>
            <w:tcW w:w="4460" w:type="dxa"/>
          </w:tcPr>
          <w:p>
            <w:pPr>
              <w:pStyle w:val="TableParagraph"/>
              <w:spacing w:line="256" w:lineRule="exact"/>
              <w:ind w:left="107"/>
              <w:rPr>
                <w:sz w:val="24"/>
              </w:rPr>
            </w:pPr>
            <w:r>
              <w:rPr>
                <w:sz w:val="24"/>
              </w:rPr>
              <w:t>(108)</w:t>
            </w:r>
            <w:r>
              <w:rPr>
                <w:spacing w:val="-2"/>
                <w:sz w:val="24"/>
              </w:rPr>
              <w:t> </w:t>
            </w:r>
            <w:r>
              <w:rPr>
                <w:sz w:val="24"/>
              </w:rPr>
              <w:t>Reducing</w:t>
            </w:r>
            <w:r>
              <w:rPr>
                <w:spacing w:val="-3"/>
                <w:sz w:val="24"/>
              </w:rPr>
              <w:t> </w:t>
            </w:r>
            <w:r>
              <w:rPr>
                <w:spacing w:val="-2"/>
                <w:sz w:val="24"/>
              </w:rPr>
              <w:t>conflict</w:t>
            </w:r>
          </w:p>
        </w:tc>
        <w:tc>
          <w:tcPr>
            <w:tcW w:w="1063" w:type="dxa"/>
          </w:tcPr>
          <w:p>
            <w:pPr>
              <w:pStyle w:val="TableParagraph"/>
              <w:rPr>
                <w:sz w:val="20"/>
              </w:rPr>
            </w:pPr>
          </w:p>
        </w:tc>
        <w:tc>
          <w:tcPr>
            <w:tcW w:w="1089" w:type="dxa"/>
          </w:tcPr>
          <w:p>
            <w:pPr>
              <w:pStyle w:val="TableParagraph"/>
              <w:rPr>
                <w:sz w:val="20"/>
              </w:rPr>
            </w:pPr>
          </w:p>
        </w:tc>
        <w:tc>
          <w:tcPr>
            <w:tcW w:w="931" w:type="dxa"/>
          </w:tcPr>
          <w:p>
            <w:pPr>
              <w:pStyle w:val="TableParagraph"/>
              <w:rPr>
                <w:sz w:val="20"/>
              </w:rPr>
            </w:pPr>
          </w:p>
        </w:tc>
        <w:tc>
          <w:tcPr>
            <w:tcW w:w="971" w:type="dxa"/>
          </w:tcPr>
          <w:p>
            <w:pPr>
              <w:pStyle w:val="TableParagraph"/>
              <w:rPr>
                <w:sz w:val="20"/>
              </w:rPr>
            </w:pPr>
          </w:p>
        </w:tc>
      </w:tr>
      <w:tr>
        <w:trPr>
          <w:trHeight w:val="277" w:hRule="atLeast"/>
        </w:trPr>
        <w:tc>
          <w:tcPr>
            <w:tcW w:w="4460" w:type="dxa"/>
          </w:tcPr>
          <w:p>
            <w:pPr>
              <w:pStyle w:val="TableParagraph"/>
              <w:spacing w:line="258" w:lineRule="exact"/>
              <w:ind w:left="107"/>
              <w:rPr>
                <w:sz w:val="24"/>
              </w:rPr>
            </w:pPr>
            <w:r>
              <w:rPr>
                <w:sz w:val="24"/>
              </w:rPr>
              <w:t>(109)</w:t>
            </w:r>
            <w:r>
              <w:rPr>
                <w:spacing w:val="-3"/>
                <w:sz w:val="24"/>
              </w:rPr>
              <w:t> </w:t>
            </w:r>
            <w:r>
              <w:rPr>
                <w:sz w:val="24"/>
              </w:rPr>
              <w:t>Indifference</w:t>
            </w:r>
            <w:r>
              <w:rPr>
                <w:spacing w:val="-3"/>
                <w:sz w:val="24"/>
              </w:rPr>
              <w:t> </w:t>
            </w:r>
            <w:r>
              <w:rPr>
                <w:spacing w:val="-2"/>
                <w:sz w:val="24"/>
              </w:rPr>
              <w:t>(Complacency)</w:t>
            </w:r>
          </w:p>
        </w:tc>
        <w:tc>
          <w:tcPr>
            <w:tcW w:w="1063" w:type="dxa"/>
          </w:tcPr>
          <w:p>
            <w:pPr>
              <w:pStyle w:val="TableParagraph"/>
              <w:rPr>
                <w:sz w:val="20"/>
              </w:rPr>
            </w:pPr>
          </w:p>
        </w:tc>
        <w:tc>
          <w:tcPr>
            <w:tcW w:w="1089" w:type="dxa"/>
          </w:tcPr>
          <w:p>
            <w:pPr>
              <w:pStyle w:val="TableParagraph"/>
              <w:rPr>
                <w:sz w:val="20"/>
              </w:rPr>
            </w:pPr>
          </w:p>
        </w:tc>
        <w:tc>
          <w:tcPr>
            <w:tcW w:w="931" w:type="dxa"/>
          </w:tcPr>
          <w:p>
            <w:pPr>
              <w:pStyle w:val="TableParagraph"/>
              <w:rPr>
                <w:sz w:val="20"/>
              </w:rPr>
            </w:pPr>
          </w:p>
        </w:tc>
        <w:tc>
          <w:tcPr>
            <w:tcW w:w="971" w:type="dxa"/>
          </w:tcPr>
          <w:p>
            <w:pPr>
              <w:pStyle w:val="TableParagraph"/>
              <w:rPr>
                <w:sz w:val="20"/>
              </w:rPr>
            </w:pPr>
          </w:p>
        </w:tc>
      </w:tr>
    </w:tbl>
    <w:p>
      <w:pPr>
        <w:pStyle w:val="BodyText"/>
        <w:spacing w:before="271" w:after="8"/>
      </w:pPr>
      <w:r>
        <w:rPr/>
        <w:t>RQ22f. Community</w:t>
      </w:r>
      <w:r>
        <w:rPr>
          <w:spacing w:val="-5"/>
        </w:rPr>
        <w:t> </w:t>
      </w:r>
      <w:r>
        <w:rPr>
          <w:spacing w:val="-2"/>
        </w:rPr>
        <w:t>Leaders?</w:t>
      </w: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60"/>
        <w:gridCol w:w="1063"/>
        <w:gridCol w:w="1089"/>
        <w:gridCol w:w="931"/>
        <w:gridCol w:w="971"/>
      </w:tblGrid>
      <w:tr>
        <w:trPr>
          <w:trHeight w:val="275" w:hRule="atLeast"/>
        </w:trPr>
        <w:tc>
          <w:tcPr>
            <w:tcW w:w="4460" w:type="dxa"/>
          </w:tcPr>
          <w:p>
            <w:pPr>
              <w:pStyle w:val="TableParagraph"/>
              <w:rPr>
                <w:sz w:val="20"/>
              </w:rPr>
            </w:pPr>
          </w:p>
        </w:tc>
        <w:tc>
          <w:tcPr>
            <w:tcW w:w="1063" w:type="dxa"/>
          </w:tcPr>
          <w:p>
            <w:pPr>
              <w:pStyle w:val="TableParagraph"/>
              <w:spacing w:line="256" w:lineRule="exact"/>
              <w:ind w:left="108"/>
              <w:rPr>
                <w:sz w:val="24"/>
              </w:rPr>
            </w:pPr>
            <w:r>
              <w:rPr>
                <w:spacing w:val="-5"/>
                <w:sz w:val="24"/>
              </w:rPr>
              <w:t>SA</w:t>
            </w:r>
          </w:p>
        </w:tc>
        <w:tc>
          <w:tcPr>
            <w:tcW w:w="1089" w:type="dxa"/>
          </w:tcPr>
          <w:p>
            <w:pPr>
              <w:pStyle w:val="TableParagraph"/>
              <w:spacing w:line="256" w:lineRule="exact"/>
              <w:ind w:left="108"/>
              <w:rPr>
                <w:sz w:val="24"/>
              </w:rPr>
            </w:pPr>
            <w:r>
              <w:rPr>
                <w:spacing w:val="-10"/>
                <w:sz w:val="24"/>
              </w:rPr>
              <w:t>A</w:t>
            </w:r>
          </w:p>
        </w:tc>
        <w:tc>
          <w:tcPr>
            <w:tcW w:w="931" w:type="dxa"/>
          </w:tcPr>
          <w:p>
            <w:pPr>
              <w:pStyle w:val="TableParagraph"/>
              <w:spacing w:line="256" w:lineRule="exact"/>
              <w:ind w:left="108"/>
              <w:rPr>
                <w:sz w:val="24"/>
              </w:rPr>
            </w:pPr>
            <w:r>
              <w:rPr>
                <w:spacing w:val="-5"/>
                <w:sz w:val="24"/>
              </w:rPr>
              <w:t>SD</w:t>
            </w:r>
          </w:p>
        </w:tc>
        <w:tc>
          <w:tcPr>
            <w:tcW w:w="971" w:type="dxa"/>
          </w:tcPr>
          <w:p>
            <w:pPr>
              <w:pStyle w:val="TableParagraph"/>
              <w:spacing w:line="256" w:lineRule="exact"/>
              <w:ind w:left="109"/>
              <w:rPr>
                <w:sz w:val="24"/>
              </w:rPr>
            </w:pPr>
            <w:r>
              <w:rPr>
                <w:spacing w:val="-10"/>
                <w:sz w:val="24"/>
              </w:rPr>
              <w:t>D</w:t>
            </w:r>
          </w:p>
        </w:tc>
      </w:tr>
      <w:tr>
        <w:trPr>
          <w:trHeight w:val="275" w:hRule="atLeast"/>
        </w:trPr>
        <w:tc>
          <w:tcPr>
            <w:tcW w:w="4460" w:type="dxa"/>
          </w:tcPr>
          <w:p>
            <w:pPr>
              <w:pStyle w:val="TableParagraph"/>
              <w:spacing w:line="256" w:lineRule="exact"/>
              <w:ind w:left="107"/>
              <w:rPr>
                <w:sz w:val="24"/>
              </w:rPr>
            </w:pPr>
            <w:r>
              <w:rPr>
                <w:sz w:val="24"/>
              </w:rPr>
              <w:t>(110)</w:t>
            </w:r>
            <w:r>
              <w:rPr>
                <w:spacing w:val="-3"/>
                <w:sz w:val="24"/>
              </w:rPr>
              <w:t> </w:t>
            </w:r>
            <w:r>
              <w:rPr>
                <w:sz w:val="24"/>
              </w:rPr>
              <w:t>Fence</w:t>
            </w:r>
            <w:r>
              <w:rPr>
                <w:spacing w:val="-1"/>
                <w:sz w:val="24"/>
              </w:rPr>
              <w:t> </w:t>
            </w:r>
            <w:r>
              <w:rPr>
                <w:sz w:val="24"/>
              </w:rPr>
              <w:t>mending (Peacemaking</w:t>
            </w:r>
            <w:r>
              <w:rPr>
                <w:spacing w:val="-1"/>
                <w:sz w:val="24"/>
              </w:rPr>
              <w:t> </w:t>
            </w:r>
            <w:r>
              <w:rPr>
                <w:spacing w:val="-2"/>
                <w:sz w:val="24"/>
              </w:rPr>
              <w:t>efforts)</w:t>
            </w:r>
          </w:p>
        </w:tc>
        <w:tc>
          <w:tcPr>
            <w:tcW w:w="1063" w:type="dxa"/>
          </w:tcPr>
          <w:p>
            <w:pPr>
              <w:pStyle w:val="TableParagraph"/>
              <w:rPr>
                <w:sz w:val="20"/>
              </w:rPr>
            </w:pPr>
          </w:p>
        </w:tc>
        <w:tc>
          <w:tcPr>
            <w:tcW w:w="1089" w:type="dxa"/>
          </w:tcPr>
          <w:p>
            <w:pPr>
              <w:pStyle w:val="TableParagraph"/>
              <w:rPr>
                <w:sz w:val="20"/>
              </w:rPr>
            </w:pPr>
          </w:p>
        </w:tc>
        <w:tc>
          <w:tcPr>
            <w:tcW w:w="931" w:type="dxa"/>
          </w:tcPr>
          <w:p>
            <w:pPr>
              <w:pStyle w:val="TableParagraph"/>
              <w:rPr>
                <w:sz w:val="20"/>
              </w:rPr>
            </w:pPr>
          </w:p>
        </w:tc>
        <w:tc>
          <w:tcPr>
            <w:tcW w:w="971" w:type="dxa"/>
          </w:tcPr>
          <w:p>
            <w:pPr>
              <w:pStyle w:val="TableParagraph"/>
              <w:rPr>
                <w:sz w:val="20"/>
              </w:rPr>
            </w:pPr>
          </w:p>
        </w:tc>
      </w:tr>
      <w:tr>
        <w:trPr>
          <w:trHeight w:val="275" w:hRule="atLeast"/>
        </w:trPr>
        <w:tc>
          <w:tcPr>
            <w:tcW w:w="4460" w:type="dxa"/>
          </w:tcPr>
          <w:p>
            <w:pPr>
              <w:pStyle w:val="TableParagraph"/>
              <w:spacing w:line="256" w:lineRule="exact"/>
              <w:ind w:left="107"/>
              <w:rPr>
                <w:sz w:val="24"/>
              </w:rPr>
            </w:pPr>
            <w:r>
              <w:rPr>
                <w:sz w:val="24"/>
              </w:rPr>
              <w:t>(111)</w:t>
            </w:r>
            <w:r>
              <w:rPr>
                <w:spacing w:val="-3"/>
                <w:sz w:val="24"/>
              </w:rPr>
              <w:t> </w:t>
            </w:r>
            <w:r>
              <w:rPr>
                <w:sz w:val="24"/>
              </w:rPr>
              <w:t>Fueling</w:t>
            </w:r>
            <w:r>
              <w:rPr>
                <w:spacing w:val="-3"/>
                <w:sz w:val="24"/>
              </w:rPr>
              <w:t> </w:t>
            </w:r>
            <w:r>
              <w:rPr>
                <w:spacing w:val="-2"/>
                <w:sz w:val="24"/>
              </w:rPr>
              <w:t>Crisis</w:t>
            </w:r>
          </w:p>
        </w:tc>
        <w:tc>
          <w:tcPr>
            <w:tcW w:w="1063" w:type="dxa"/>
          </w:tcPr>
          <w:p>
            <w:pPr>
              <w:pStyle w:val="TableParagraph"/>
              <w:rPr>
                <w:sz w:val="20"/>
              </w:rPr>
            </w:pPr>
          </w:p>
        </w:tc>
        <w:tc>
          <w:tcPr>
            <w:tcW w:w="1089" w:type="dxa"/>
          </w:tcPr>
          <w:p>
            <w:pPr>
              <w:pStyle w:val="TableParagraph"/>
              <w:rPr>
                <w:sz w:val="20"/>
              </w:rPr>
            </w:pPr>
          </w:p>
        </w:tc>
        <w:tc>
          <w:tcPr>
            <w:tcW w:w="931" w:type="dxa"/>
          </w:tcPr>
          <w:p>
            <w:pPr>
              <w:pStyle w:val="TableParagraph"/>
              <w:rPr>
                <w:sz w:val="20"/>
              </w:rPr>
            </w:pPr>
          </w:p>
        </w:tc>
        <w:tc>
          <w:tcPr>
            <w:tcW w:w="971" w:type="dxa"/>
          </w:tcPr>
          <w:p>
            <w:pPr>
              <w:pStyle w:val="TableParagraph"/>
              <w:rPr>
                <w:sz w:val="20"/>
              </w:rPr>
            </w:pPr>
          </w:p>
        </w:tc>
      </w:tr>
      <w:tr>
        <w:trPr>
          <w:trHeight w:val="275" w:hRule="atLeast"/>
        </w:trPr>
        <w:tc>
          <w:tcPr>
            <w:tcW w:w="4460" w:type="dxa"/>
          </w:tcPr>
          <w:p>
            <w:pPr>
              <w:pStyle w:val="TableParagraph"/>
              <w:spacing w:line="256" w:lineRule="exact"/>
              <w:ind w:left="107"/>
              <w:rPr>
                <w:sz w:val="24"/>
              </w:rPr>
            </w:pPr>
            <w:r>
              <w:rPr>
                <w:sz w:val="24"/>
              </w:rPr>
              <w:t>(112)</w:t>
            </w:r>
            <w:r>
              <w:rPr>
                <w:spacing w:val="-2"/>
                <w:sz w:val="24"/>
              </w:rPr>
              <w:t> </w:t>
            </w:r>
            <w:r>
              <w:rPr>
                <w:sz w:val="24"/>
              </w:rPr>
              <w:t>Reducing</w:t>
            </w:r>
            <w:r>
              <w:rPr>
                <w:spacing w:val="-3"/>
                <w:sz w:val="24"/>
              </w:rPr>
              <w:t> </w:t>
            </w:r>
            <w:r>
              <w:rPr>
                <w:spacing w:val="-2"/>
                <w:sz w:val="24"/>
              </w:rPr>
              <w:t>conflict</w:t>
            </w:r>
          </w:p>
        </w:tc>
        <w:tc>
          <w:tcPr>
            <w:tcW w:w="1063" w:type="dxa"/>
          </w:tcPr>
          <w:p>
            <w:pPr>
              <w:pStyle w:val="TableParagraph"/>
              <w:rPr>
                <w:sz w:val="20"/>
              </w:rPr>
            </w:pPr>
          </w:p>
        </w:tc>
        <w:tc>
          <w:tcPr>
            <w:tcW w:w="1089" w:type="dxa"/>
          </w:tcPr>
          <w:p>
            <w:pPr>
              <w:pStyle w:val="TableParagraph"/>
              <w:rPr>
                <w:sz w:val="20"/>
              </w:rPr>
            </w:pPr>
          </w:p>
        </w:tc>
        <w:tc>
          <w:tcPr>
            <w:tcW w:w="931" w:type="dxa"/>
          </w:tcPr>
          <w:p>
            <w:pPr>
              <w:pStyle w:val="TableParagraph"/>
              <w:rPr>
                <w:sz w:val="20"/>
              </w:rPr>
            </w:pPr>
          </w:p>
        </w:tc>
        <w:tc>
          <w:tcPr>
            <w:tcW w:w="971" w:type="dxa"/>
          </w:tcPr>
          <w:p>
            <w:pPr>
              <w:pStyle w:val="TableParagraph"/>
              <w:rPr>
                <w:sz w:val="20"/>
              </w:rPr>
            </w:pPr>
          </w:p>
        </w:tc>
      </w:tr>
      <w:tr>
        <w:trPr>
          <w:trHeight w:val="278" w:hRule="atLeast"/>
        </w:trPr>
        <w:tc>
          <w:tcPr>
            <w:tcW w:w="4460" w:type="dxa"/>
          </w:tcPr>
          <w:p>
            <w:pPr>
              <w:pStyle w:val="TableParagraph"/>
              <w:spacing w:line="258" w:lineRule="exact"/>
              <w:ind w:left="107"/>
              <w:rPr>
                <w:sz w:val="24"/>
              </w:rPr>
            </w:pPr>
            <w:r>
              <w:rPr>
                <w:sz w:val="24"/>
              </w:rPr>
              <w:t>(113)</w:t>
            </w:r>
            <w:r>
              <w:rPr>
                <w:spacing w:val="-3"/>
                <w:sz w:val="24"/>
              </w:rPr>
              <w:t> </w:t>
            </w:r>
            <w:r>
              <w:rPr>
                <w:sz w:val="24"/>
              </w:rPr>
              <w:t>Indifference</w:t>
            </w:r>
            <w:r>
              <w:rPr>
                <w:spacing w:val="-3"/>
                <w:sz w:val="24"/>
              </w:rPr>
              <w:t> </w:t>
            </w:r>
            <w:r>
              <w:rPr>
                <w:spacing w:val="-2"/>
                <w:sz w:val="24"/>
              </w:rPr>
              <w:t>(Complacency)</w:t>
            </w:r>
          </w:p>
        </w:tc>
        <w:tc>
          <w:tcPr>
            <w:tcW w:w="1063" w:type="dxa"/>
          </w:tcPr>
          <w:p>
            <w:pPr>
              <w:pStyle w:val="TableParagraph"/>
              <w:rPr>
                <w:sz w:val="20"/>
              </w:rPr>
            </w:pPr>
          </w:p>
        </w:tc>
        <w:tc>
          <w:tcPr>
            <w:tcW w:w="1089" w:type="dxa"/>
          </w:tcPr>
          <w:p>
            <w:pPr>
              <w:pStyle w:val="TableParagraph"/>
              <w:rPr>
                <w:sz w:val="20"/>
              </w:rPr>
            </w:pPr>
          </w:p>
        </w:tc>
        <w:tc>
          <w:tcPr>
            <w:tcW w:w="931" w:type="dxa"/>
          </w:tcPr>
          <w:p>
            <w:pPr>
              <w:pStyle w:val="TableParagraph"/>
              <w:rPr>
                <w:sz w:val="20"/>
              </w:rPr>
            </w:pPr>
          </w:p>
        </w:tc>
        <w:tc>
          <w:tcPr>
            <w:tcW w:w="971" w:type="dxa"/>
          </w:tcPr>
          <w:p>
            <w:pPr>
              <w:pStyle w:val="TableParagraph"/>
              <w:rPr>
                <w:sz w:val="20"/>
              </w:rPr>
            </w:pPr>
          </w:p>
        </w:tc>
      </w:tr>
    </w:tbl>
    <w:p>
      <w:pPr>
        <w:pStyle w:val="BodyText"/>
        <w:spacing w:before="270" w:after="8"/>
      </w:pPr>
      <w:r>
        <w:rPr/>
        <w:t>RQ22g.</w:t>
      </w:r>
      <w:r>
        <w:rPr>
          <w:spacing w:val="-1"/>
        </w:rPr>
        <w:t> </w:t>
      </w:r>
      <w:r>
        <w:rPr/>
        <w:t>Joint Military</w:t>
      </w:r>
      <w:r>
        <w:rPr>
          <w:spacing w:val="-9"/>
        </w:rPr>
        <w:t> </w:t>
      </w:r>
      <w:r>
        <w:rPr/>
        <w:t>task Force</w:t>
      </w:r>
      <w:r>
        <w:rPr>
          <w:spacing w:val="-1"/>
        </w:rPr>
        <w:t> </w:t>
      </w:r>
      <w:r>
        <w:rPr>
          <w:spacing w:val="-2"/>
        </w:rPr>
        <w:t>(JTF)?</w:t>
      </w: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60"/>
        <w:gridCol w:w="1063"/>
        <w:gridCol w:w="1089"/>
        <w:gridCol w:w="931"/>
        <w:gridCol w:w="971"/>
      </w:tblGrid>
      <w:tr>
        <w:trPr>
          <w:trHeight w:val="275" w:hRule="atLeast"/>
        </w:trPr>
        <w:tc>
          <w:tcPr>
            <w:tcW w:w="4460" w:type="dxa"/>
          </w:tcPr>
          <w:p>
            <w:pPr>
              <w:pStyle w:val="TableParagraph"/>
              <w:rPr>
                <w:sz w:val="20"/>
              </w:rPr>
            </w:pPr>
          </w:p>
        </w:tc>
        <w:tc>
          <w:tcPr>
            <w:tcW w:w="1063" w:type="dxa"/>
          </w:tcPr>
          <w:p>
            <w:pPr>
              <w:pStyle w:val="TableParagraph"/>
              <w:spacing w:line="256" w:lineRule="exact"/>
              <w:ind w:left="108"/>
              <w:rPr>
                <w:sz w:val="24"/>
              </w:rPr>
            </w:pPr>
            <w:r>
              <w:rPr>
                <w:spacing w:val="-5"/>
                <w:sz w:val="24"/>
              </w:rPr>
              <w:t>SA</w:t>
            </w:r>
          </w:p>
        </w:tc>
        <w:tc>
          <w:tcPr>
            <w:tcW w:w="1089" w:type="dxa"/>
          </w:tcPr>
          <w:p>
            <w:pPr>
              <w:pStyle w:val="TableParagraph"/>
              <w:spacing w:line="256" w:lineRule="exact"/>
              <w:ind w:left="108"/>
              <w:rPr>
                <w:sz w:val="24"/>
              </w:rPr>
            </w:pPr>
            <w:r>
              <w:rPr>
                <w:spacing w:val="-10"/>
                <w:sz w:val="24"/>
              </w:rPr>
              <w:t>A</w:t>
            </w:r>
          </w:p>
        </w:tc>
        <w:tc>
          <w:tcPr>
            <w:tcW w:w="931" w:type="dxa"/>
          </w:tcPr>
          <w:p>
            <w:pPr>
              <w:pStyle w:val="TableParagraph"/>
              <w:spacing w:line="256" w:lineRule="exact"/>
              <w:ind w:left="108"/>
              <w:rPr>
                <w:sz w:val="24"/>
              </w:rPr>
            </w:pPr>
            <w:r>
              <w:rPr>
                <w:spacing w:val="-5"/>
                <w:sz w:val="24"/>
              </w:rPr>
              <w:t>SD</w:t>
            </w:r>
          </w:p>
        </w:tc>
        <w:tc>
          <w:tcPr>
            <w:tcW w:w="971" w:type="dxa"/>
          </w:tcPr>
          <w:p>
            <w:pPr>
              <w:pStyle w:val="TableParagraph"/>
              <w:spacing w:line="256" w:lineRule="exact"/>
              <w:ind w:left="109"/>
              <w:rPr>
                <w:sz w:val="24"/>
              </w:rPr>
            </w:pPr>
            <w:r>
              <w:rPr>
                <w:spacing w:val="-10"/>
                <w:sz w:val="24"/>
              </w:rPr>
              <w:t>D</w:t>
            </w:r>
          </w:p>
        </w:tc>
      </w:tr>
      <w:tr>
        <w:trPr>
          <w:trHeight w:val="275" w:hRule="atLeast"/>
        </w:trPr>
        <w:tc>
          <w:tcPr>
            <w:tcW w:w="4460" w:type="dxa"/>
          </w:tcPr>
          <w:p>
            <w:pPr>
              <w:pStyle w:val="TableParagraph"/>
              <w:spacing w:line="256" w:lineRule="exact"/>
              <w:ind w:left="107"/>
              <w:rPr>
                <w:sz w:val="24"/>
              </w:rPr>
            </w:pPr>
            <w:r>
              <w:rPr>
                <w:sz w:val="24"/>
              </w:rPr>
              <w:t>(114)</w:t>
            </w:r>
            <w:r>
              <w:rPr>
                <w:spacing w:val="-3"/>
                <w:sz w:val="24"/>
              </w:rPr>
              <w:t> </w:t>
            </w:r>
            <w:r>
              <w:rPr>
                <w:sz w:val="24"/>
              </w:rPr>
              <w:t>Fence</w:t>
            </w:r>
            <w:r>
              <w:rPr>
                <w:spacing w:val="-1"/>
                <w:sz w:val="24"/>
              </w:rPr>
              <w:t> </w:t>
            </w:r>
            <w:r>
              <w:rPr>
                <w:sz w:val="24"/>
              </w:rPr>
              <w:t>mending (Peacemaking</w:t>
            </w:r>
            <w:r>
              <w:rPr>
                <w:spacing w:val="-1"/>
                <w:sz w:val="24"/>
              </w:rPr>
              <w:t> </w:t>
            </w:r>
            <w:r>
              <w:rPr>
                <w:spacing w:val="-2"/>
                <w:sz w:val="24"/>
              </w:rPr>
              <w:t>efforts)</w:t>
            </w:r>
          </w:p>
        </w:tc>
        <w:tc>
          <w:tcPr>
            <w:tcW w:w="1063" w:type="dxa"/>
          </w:tcPr>
          <w:p>
            <w:pPr>
              <w:pStyle w:val="TableParagraph"/>
              <w:rPr>
                <w:sz w:val="20"/>
              </w:rPr>
            </w:pPr>
          </w:p>
        </w:tc>
        <w:tc>
          <w:tcPr>
            <w:tcW w:w="1089" w:type="dxa"/>
          </w:tcPr>
          <w:p>
            <w:pPr>
              <w:pStyle w:val="TableParagraph"/>
              <w:rPr>
                <w:sz w:val="20"/>
              </w:rPr>
            </w:pPr>
          </w:p>
        </w:tc>
        <w:tc>
          <w:tcPr>
            <w:tcW w:w="931" w:type="dxa"/>
          </w:tcPr>
          <w:p>
            <w:pPr>
              <w:pStyle w:val="TableParagraph"/>
              <w:rPr>
                <w:sz w:val="20"/>
              </w:rPr>
            </w:pPr>
          </w:p>
        </w:tc>
        <w:tc>
          <w:tcPr>
            <w:tcW w:w="971" w:type="dxa"/>
          </w:tcPr>
          <w:p>
            <w:pPr>
              <w:pStyle w:val="TableParagraph"/>
              <w:rPr>
                <w:sz w:val="20"/>
              </w:rPr>
            </w:pPr>
          </w:p>
        </w:tc>
      </w:tr>
      <w:tr>
        <w:trPr>
          <w:trHeight w:val="275" w:hRule="atLeast"/>
        </w:trPr>
        <w:tc>
          <w:tcPr>
            <w:tcW w:w="4460" w:type="dxa"/>
          </w:tcPr>
          <w:p>
            <w:pPr>
              <w:pStyle w:val="TableParagraph"/>
              <w:spacing w:line="256" w:lineRule="exact"/>
              <w:ind w:left="107"/>
              <w:rPr>
                <w:sz w:val="24"/>
              </w:rPr>
            </w:pPr>
            <w:r>
              <w:rPr>
                <w:sz w:val="24"/>
              </w:rPr>
              <w:t>(115)</w:t>
            </w:r>
            <w:r>
              <w:rPr>
                <w:spacing w:val="-3"/>
                <w:sz w:val="24"/>
              </w:rPr>
              <w:t> </w:t>
            </w:r>
            <w:r>
              <w:rPr>
                <w:sz w:val="24"/>
              </w:rPr>
              <w:t>Fueling</w:t>
            </w:r>
            <w:r>
              <w:rPr>
                <w:spacing w:val="-2"/>
                <w:sz w:val="24"/>
              </w:rPr>
              <w:t> Crisis</w:t>
            </w:r>
          </w:p>
        </w:tc>
        <w:tc>
          <w:tcPr>
            <w:tcW w:w="1063" w:type="dxa"/>
          </w:tcPr>
          <w:p>
            <w:pPr>
              <w:pStyle w:val="TableParagraph"/>
              <w:rPr>
                <w:sz w:val="20"/>
              </w:rPr>
            </w:pPr>
          </w:p>
        </w:tc>
        <w:tc>
          <w:tcPr>
            <w:tcW w:w="1089" w:type="dxa"/>
          </w:tcPr>
          <w:p>
            <w:pPr>
              <w:pStyle w:val="TableParagraph"/>
              <w:rPr>
                <w:sz w:val="20"/>
              </w:rPr>
            </w:pPr>
          </w:p>
        </w:tc>
        <w:tc>
          <w:tcPr>
            <w:tcW w:w="931" w:type="dxa"/>
          </w:tcPr>
          <w:p>
            <w:pPr>
              <w:pStyle w:val="TableParagraph"/>
              <w:rPr>
                <w:sz w:val="20"/>
              </w:rPr>
            </w:pPr>
          </w:p>
        </w:tc>
        <w:tc>
          <w:tcPr>
            <w:tcW w:w="971" w:type="dxa"/>
          </w:tcPr>
          <w:p>
            <w:pPr>
              <w:pStyle w:val="TableParagraph"/>
              <w:rPr>
                <w:sz w:val="20"/>
              </w:rPr>
            </w:pPr>
          </w:p>
        </w:tc>
      </w:tr>
      <w:tr>
        <w:trPr>
          <w:trHeight w:val="275" w:hRule="atLeast"/>
        </w:trPr>
        <w:tc>
          <w:tcPr>
            <w:tcW w:w="4460" w:type="dxa"/>
          </w:tcPr>
          <w:p>
            <w:pPr>
              <w:pStyle w:val="TableParagraph"/>
              <w:spacing w:line="256" w:lineRule="exact"/>
              <w:ind w:left="107"/>
              <w:rPr>
                <w:sz w:val="24"/>
              </w:rPr>
            </w:pPr>
            <w:r>
              <w:rPr>
                <w:sz w:val="24"/>
              </w:rPr>
              <w:t>(116)</w:t>
            </w:r>
            <w:r>
              <w:rPr>
                <w:spacing w:val="-2"/>
                <w:sz w:val="24"/>
              </w:rPr>
              <w:t> </w:t>
            </w:r>
            <w:r>
              <w:rPr>
                <w:sz w:val="24"/>
              </w:rPr>
              <w:t>Reducing</w:t>
            </w:r>
            <w:r>
              <w:rPr>
                <w:spacing w:val="-3"/>
                <w:sz w:val="24"/>
              </w:rPr>
              <w:t> </w:t>
            </w:r>
            <w:r>
              <w:rPr>
                <w:spacing w:val="-2"/>
                <w:sz w:val="24"/>
              </w:rPr>
              <w:t>conflict</w:t>
            </w:r>
          </w:p>
        </w:tc>
        <w:tc>
          <w:tcPr>
            <w:tcW w:w="1063" w:type="dxa"/>
          </w:tcPr>
          <w:p>
            <w:pPr>
              <w:pStyle w:val="TableParagraph"/>
              <w:rPr>
                <w:sz w:val="20"/>
              </w:rPr>
            </w:pPr>
          </w:p>
        </w:tc>
        <w:tc>
          <w:tcPr>
            <w:tcW w:w="1089" w:type="dxa"/>
          </w:tcPr>
          <w:p>
            <w:pPr>
              <w:pStyle w:val="TableParagraph"/>
              <w:rPr>
                <w:sz w:val="20"/>
              </w:rPr>
            </w:pPr>
          </w:p>
        </w:tc>
        <w:tc>
          <w:tcPr>
            <w:tcW w:w="931" w:type="dxa"/>
          </w:tcPr>
          <w:p>
            <w:pPr>
              <w:pStyle w:val="TableParagraph"/>
              <w:rPr>
                <w:sz w:val="20"/>
              </w:rPr>
            </w:pPr>
          </w:p>
        </w:tc>
        <w:tc>
          <w:tcPr>
            <w:tcW w:w="971" w:type="dxa"/>
          </w:tcPr>
          <w:p>
            <w:pPr>
              <w:pStyle w:val="TableParagraph"/>
              <w:rPr>
                <w:sz w:val="20"/>
              </w:rPr>
            </w:pPr>
          </w:p>
        </w:tc>
      </w:tr>
      <w:tr>
        <w:trPr>
          <w:trHeight w:val="277" w:hRule="atLeast"/>
        </w:trPr>
        <w:tc>
          <w:tcPr>
            <w:tcW w:w="4460" w:type="dxa"/>
          </w:tcPr>
          <w:p>
            <w:pPr>
              <w:pStyle w:val="TableParagraph"/>
              <w:spacing w:line="258" w:lineRule="exact"/>
              <w:ind w:left="107"/>
              <w:rPr>
                <w:sz w:val="24"/>
              </w:rPr>
            </w:pPr>
            <w:r>
              <w:rPr>
                <w:sz w:val="24"/>
              </w:rPr>
              <w:t>(117)</w:t>
            </w:r>
            <w:r>
              <w:rPr>
                <w:spacing w:val="-3"/>
                <w:sz w:val="24"/>
              </w:rPr>
              <w:t> </w:t>
            </w:r>
            <w:r>
              <w:rPr>
                <w:sz w:val="24"/>
              </w:rPr>
              <w:t>Indifference</w:t>
            </w:r>
            <w:r>
              <w:rPr>
                <w:spacing w:val="-3"/>
                <w:sz w:val="24"/>
              </w:rPr>
              <w:t> </w:t>
            </w:r>
            <w:r>
              <w:rPr>
                <w:spacing w:val="-2"/>
                <w:sz w:val="24"/>
              </w:rPr>
              <w:t>(Complacency)</w:t>
            </w:r>
          </w:p>
        </w:tc>
        <w:tc>
          <w:tcPr>
            <w:tcW w:w="1063" w:type="dxa"/>
          </w:tcPr>
          <w:p>
            <w:pPr>
              <w:pStyle w:val="TableParagraph"/>
              <w:rPr>
                <w:sz w:val="20"/>
              </w:rPr>
            </w:pPr>
          </w:p>
        </w:tc>
        <w:tc>
          <w:tcPr>
            <w:tcW w:w="1089" w:type="dxa"/>
          </w:tcPr>
          <w:p>
            <w:pPr>
              <w:pStyle w:val="TableParagraph"/>
              <w:rPr>
                <w:sz w:val="20"/>
              </w:rPr>
            </w:pPr>
          </w:p>
        </w:tc>
        <w:tc>
          <w:tcPr>
            <w:tcW w:w="931" w:type="dxa"/>
          </w:tcPr>
          <w:p>
            <w:pPr>
              <w:pStyle w:val="TableParagraph"/>
              <w:rPr>
                <w:sz w:val="20"/>
              </w:rPr>
            </w:pPr>
          </w:p>
        </w:tc>
        <w:tc>
          <w:tcPr>
            <w:tcW w:w="971" w:type="dxa"/>
          </w:tcPr>
          <w:p>
            <w:pPr>
              <w:pStyle w:val="TableParagraph"/>
              <w:rPr>
                <w:sz w:val="20"/>
              </w:rPr>
            </w:pPr>
          </w:p>
        </w:tc>
      </w:tr>
    </w:tbl>
    <w:p>
      <w:pPr>
        <w:spacing w:after="0"/>
        <w:rPr>
          <w:sz w:val="20"/>
        </w:rPr>
        <w:sectPr>
          <w:pgSz w:w="11910" w:h="16840"/>
          <w:pgMar w:header="0" w:footer="1561" w:top="1340" w:bottom="1760" w:left="720" w:right="180"/>
        </w:sectPr>
      </w:pPr>
    </w:p>
    <w:p>
      <w:pPr>
        <w:pStyle w:val="Heading1"/>
        <w:spacing w:before="63"/>
        <w:ind w:left="3809" w:right="1260" w:hanging="2231"/>
      </w:pPr>
      <w:r>
        <w:rPr/>
        <mc:AlternateContent>
          <mc:Choice Requires="wps">
            <w:drawing>
              <wp:anchor distT="0" distB="0" distL="0" distR="0" allowOverlap="1" layoutInCell="1" locked="0" behindDoc="1" simplePos="0" relativeHeight="480707072">
                <wp:simplePos x="0" y="0"/>
                <wp:positionH relativeFrom="page">
                  <wp:posOffset>-1537026</wp:posOffset>
                </wp:positionH>
                <wp:positionV relativeFrom="page">
                  <wp:posOffset>4900424</wp:posOffset>
                </wp:positionV>
                <wp:extent cx="10669905" cy="914400"/>
                <wp:effectExtent l="0" t="0" r="0" b="0"/>
                <wp:wrapNone/>
                <wp:docPr id="397" name="Textbox 397"/>
                <wp:cNvGraphicFramePr>
                  <a:graphicFrameLocks/>
                </wp:cNvGraphicFramePr>
                <a:graphic>
                  <a:graphicData uri="http://schemas.microsoft.com/office/word/2010/wordprocessingShape">
                    <wps:wsp>
                      <wps:cNvPr id="397" name="Textbox 397"/>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09408;rotation:306" type="#_x0000_t136" fillcolor="#ff5400" stroked="f">
                <o:extrusion v:ext="view" autorotationcenter="t"/>
                <v:textpath style="font-family:&quot;Arial MT&quot;;font-size:72pt;v-text-kern:t;mso-text-shadow:auto" string="UNIVERSITY OF IBADAN"/>
                <w10:wrap type="none"/>
              </v:shape>
            </w:pict>
          </mc:Fallback>
        </mc:AlternateContent>
      </w:r>
      <w:r>
        <w:rPr/>
        <w:t>APPENDIX</w:t>
      </w:r>
      <w:r>
        <w:rPr>
          <w:spacing w:val="-4"/>
        </w:rPr>
        <w:t> </w:t>
      </w:r>
      <w:r>
        <w:rPr/>
        <w:t>2</w:t>
      </w:r>
      <w:r>
        <w:rPr>
          <w:spacing w:val="-4"/>
        </w:rPr>
        <w:t> </w:t>
      </w:r>
      <w:r>
        <w:rPr/>
        <w:t>-</w:t>
      </w:r>
      <w:r>
        <w:rPr>
          <w:spacing w:val="-4"/>
        </w:rPr>
        <w:t> </w:t>
      </w:r>
      <w:r>
        <w:rPr/>
        <w:t>ASSESSMENT</w:t>
      </w:r>
      <w:r>
        <w:rPr>
          <w:spacing w:val="-4"/>
        </w:rPr>
        <w:t> </w:t>
      </w:r>
      <w:r>
        <w:rPr/>
        <w:t>OF</w:t>
      </w:r>
      <w:r>
        <w:rPr>
          <w:spacing w:val="-6"/>
        </w:rPr>
        <w:t> </w:t>
      </w:r>
      <w:r>
        <w:rPr/>
        <w:t>THE</w:t>
      </w:r>
      <w:r>
        <w:rPr>
          <w:spacing w:val="-4"/>
        </w:rPr>
        <w:t> </w:t>
      </w:r>
      <w:r>
        <w:rPr/>
        <w:t>JOINT</w:t>
      </w:r>
      <w:r>
        <w:rPr>
          <w:spacing w:val="-4"/>
        </w:rPr>
        <w:t> </w:t>
      </w:r>
      <w:r>
        <w:rPr/>
        <w:t>TASK</w:t>
      </w:r>
      <w:r>
        <w:rPr>
          <w:spacing w:val="-5"/>
        </w:rPr>
        <w:t> </w:t>
      </w:r>
      <w:r>
        <w:rPr/>
        <w:t>FORCE</w:t>
      </w:r>
      <w:r>
        <w:rPr>
          <w:spacing w:val="-4"/>
        </w:rPr>
        <w:t> </w:t>
      </w:r>
      <w:r>
        <w:rPr/>
        <w:t>IMPACT</w:t>
      </w:r>
      <w:r>
        <w:rPr>
          <w:spacing w:val="-4"/>
        </w:rPr>
        <w:t> </w:t>
      </w:r>
      <w:r>
        <w:rPr/>
        <w:t>ON THE NIGER DELTA CONFLICT</w:t>
      </w:r>
    </w:p>
    <w:p>
      <w:pPr>
        <w:pStyle w:val="BodyText"/>
        <w:spacing w:before="271"/>
      </w:pPr>
      <w:r>
        <w:rPr/>
        <w:t>Section</w:t>
      </w:r>
      <w:r>
        <w:rPr>
          <w:spacing w:val="-2"/>
        </w:rPr>
        <w:t> </w:t>
      </w:r>
      <w:r>
        <w:rPr/>
        <w:t>A:</w:t>
      </w:r>
      <w:r>
        <w:rPr>
          <w:spacing w:val="-2"/>
        </w:rPr>
        <w:t> </w:t>
      </w:r>
      <w:r>
        <w:rPr/>
        <w:t>Unstructured Interview</w:t>
      </w:r>
      <w:r>
        <w:rPr>
          <w:spacing w:val="-1"/>
        </w:rPr>
        <w:t> </w:t>
      </w:r>
      <w:r>
        <w:rPr/>
        <w:t>with</w:t>
      </w:r>
      <w:r>
        <w:rPr>
          <w:spacing w:val="-2"/>
        </w:rPr>
        <w:t> </w:t>
      </w:r>
      <w:r>
        <w:rPr/>
        <w:t>JTF</w:t>
      </w:r>
      <w:r>
        <w:rPr>
          <w:spacing w:val="-3"/>
        </w:rPr>
        <w:t> </w:t>
      </w:r>
      <w:r>
        <w:rPr>
          <w:spacing w:val="-2"/>
        </w:rPr>
        <w:t>Personnel</w:t>
      </w:r>
    </w:p>
    <w:p>
      <w:pPr>
        <w:pStyle w:val="BodyText"/>
        <w:ind w:left="0"/>
      </w:pPr>
    </w:p>
    <w:p>
      <w:pPr>
        <w:pStyle w:val="ListParagraph"/>
        <w:numPr>
          <w:ilvl w:val="0"/>
          <w:numId w:val="34"/>
        </w:numPr>
        <w:tabs>
          <w:tab w:pos="2160" w:val="left" w:leader="none"/>
        </w:tabs>
        <w:spacing w:line="240" w:lineRule="auto" w:before="1" w:after="0"/>
        <w:ind w:left="1440" w:right="1276" w:firstLine="0"/>
        <w:jc w:val="left"/>
        <w:rPr>
          <w:sz w:val="24"/>
        </w:rPr>
      </w:pPr>
      <w:r>
        <w:rPr>
          <w:sz w:val="24"/>
        </w:rPr>
        <w:t>What</w:t>
      </w:r>
      <w:r>
        <w:rPr>
          <w:spacing w:val="-4"/>
          <w:sz w:val="24"/>
        </w:rPr>
        <w:t> </w:t>
      </w:r>
      <w:r>
        <w:rPr>
          <w:sz w:val="24"/>
        </w:rPr>
        <w:t>is</w:t>
      </w:r>
      <w:r>
        <w:rPr>
          <w:spacing w:val="-4"/>
          <w:sz w:val="24"/>
        </w:rPr>
        <w:t> </w:t>
      </w:r>
      <w:r>
        <w:rPr>
          <w:sz w:val="24"/>
        </w:rPr>
        <w:t>the</w:t>
      </w:r>
      <w:r>
        <w:rPr>
          <w:spacing w:val="-4"/>
          <w:sz w:val="24"/>
        </w:rPr>
        <w:t> </w:t>
      </w:r>
      <w:r>
        <w:rPr>
          <w:sz w:val="24"/>
        </w:rPr>
        <w:t>mandate</w:t>
      </w:r>
      <w:r>
        <w:rPr>
          <w:spacing w:val="-4"/>
          <w:sz w:val="24"/>
        </w:rPr>
        <w:t> </w:t>
      </w:r>
      <w:r>
        <w:rPr>
          <w:sz w:val="24"/>
        </w:rPr>
        <w:t>and</w:t>
      </w:r>
      <w:r>
        <w:rPr>
          <w:spacing w:val="-2"/>
          <w:sz w:val="24"/>
        </w:rPr>
        <w:t> </w:t>
      </w:r>
      <w:r>
        <w:rPr>
          <w:sz w:val="24"/>
        </w:rPr>
        <w:t>mission</w:t>
      </w:r>
      <w:r>
        <w:rPr>
          <w:spacing w:val="-4"/>
          <w:sz w:val="24"/>
        </w:rPr>
        <w:t> </w:t>
      </w:r>
      <w:r>
        <w:rPr>
          <w:sz w:val="24"/>
        </w:rPr>
        <w:t>of</w:t>
      </w:r>
      <w:r>
        <w:rPr>
          <w:spacing w:val="-5"/>
          <w:sz w:val="24"/>
        </w:rPr>
        <w:t> </w:t>
      </w:r>
      <w:r>
        <w:rPr>
          <w:sz w:val="24"/>
        </w:rPr>
        <w:t>the</w:t>
      </w:r>
      <w:r>
        <w:rPr>
          <w:spacing w:val="-4"/>
          <w:sz w:val="24"/>
        </w:rPr>
        <w:t> </w:t>
      </w:r>
      <w:r>
        <w:rPr>
          <w:sz w:val="24"/>
        </w:rPr>
        <w:t>JTF?</w:t>
      </w:r>
      <w:r>
        <w:rPr>
          <w:spacing w:val="-1"/>
          <w:sz w:val="24"/>
        </w:rPr>
        <w:t> </w:t>
      </w:r>
      <w:r>
        <w:rPr>
          <w:sz w:val="24"/>
        </w:rPr>
        <w:t>Is</w:t>
      </w:r>
      <w:r>
        <w:rPr>
          <w:spacing w:val="-4"/>
          <w:sz w:val="24"/>
        </w:rPr>
        <w:t> </w:t>
      </w:r>
      <w:r>
        <w:rPr>
          <w:sz w:val="24"/>
        </w:rPr>
        <w:t>it</w:t>
      </w:r>
      <w:r>
        <w:rPr>
          <w:spacing w:val="-1"/>
          <w:sz w:val="24"/>
        </w:rPr>
        <w:t> </w:t>
      </w:r>
      <w:r>
        <w:rPr>
          <w:sz w:val="24"/>
        </w:rPr>
        <w:t>conflict</w:t>
      </w:r>
      <w:r>
        <w:rPr>
          <w:spacing w:val="-4"/>
          <w:sz w:val="24"/>
        </w:rPr>
        <w:t> </w:t>
      </w:r>
      <w:r>
        <w:rPr>
          <w:sz w:val="24"/>
        </w:rPr>
        <w:t>termination,</w:t>
      </w:r>
      <w:r>
        <w:rPr>
          <w:spacing w:val="-4"/>
          <w:sz w:val="24"/>
        </w:rPr>
        <w:t> </w:t>
      </w:r>
      <w:r>
        <w:rPr>
          <w:sz w:val="24"/>
        </w:rPr>
        <w:t>conflict prevention or preventive diplomacy or combat operations?</w:t>
      </w:r>
    </w:p>
    <w:p>
      <w:pPr>
        <w:spacing w:before="0"/>
        <w:ind w:left="1440" w:right="0" w:firstLine="0"/>
        <w:jc w:val="left"/>
        <w:rPr>
          <w:sz w:val="24"/>
        </w:rPr>
      </w:pPr>
      <w:r>
        <w:rPr>
          <w:spacing w:val="-2"/>
          <w:sz w:val="24"/>
        </w:rPr>
        <w:t>…………………………………………….……………………………………………</w:t>
      </w:r>
    </w:p>
    <w:p>
      <w:pPr>
        <w:spacing w:before="0"/>
        <w:ind w:left="1440" w:right="0" w:firstLine="0"/>
        <w:jc w:val="left"/>
        <w:rPr>
          <w:sz w:val="24"/>
        </w:rPr>
      </w:pPr>
      <w:r>
        <w:rPr>
          <w:spacing w:val="-2"/>
          <w:sz w:val="24"/>
        </w:rPr>
        <w:t>……………………….…………………………………………………</w:t>
      </w:r>
    </w:p>
    <w:p>
      <w:pPr>
        <w:spacing w:before="0"/>
        <w:ind w:left="1440" w:right="0" w:firstLine="0"/>
        <w:jc w:val="left"/>
        <w:rPr>
          <w:sz w:val="24"/>
        </w:rPr>
      </w:pPr>
      <w:r>
        <w:rPr>
          <w:spacing w:val="-2"/>
          <w:sz w:val="24"/>
        </w:rPr>
        <w:t>…………………………………….……………………………………………………</w:t>
      </w:r>
    </w:p>
    <w:p>
      <w:pPr>
        <w:spacing w:before="0"/>
        <w:ind w:left="1440" w:right="0" w:firstLine="0"/>
        <w:jc w:val="left"/>
        <w:rPr>
          <w:sz w:val="24"/>
        </w:rPr>
      </w:pPr>
      <w:r>
        <w:rPr>
          <w:spacing w:val="-2"/>
          <w:sz w:val="24"/>
        </w:rPr>
        <w:t>…………………………………….……………………………………</w:t>
      </w:r>
    </w:p>
    <w:p>
      <w:pPr>
        <w:pStyle w:val="ListParagraph"/>
        <w:numPr>
          <w:ilvl w:val="0"/>
          <w:numId w:val="34"/>
        </w:numPr>
        <w:tabs>
          <w:tab w:pos="2160" w:val="left" w:leader="none"/>
        </w:tabs>
        <w:spacing w:line="240" w:lineRule="auto" w:before="276" w:after="0"/>
        <w:ind w:left="2160" w:right="0" w:hanging="720"/>
        <w:jc w:val="left"/>
        <w:rPr>
          <w:sz w:val="24"/>
        </w:rPr>
      </w:pPr>
      <w:r>
        <w:rPr>
          <w:sz w:val="24"/>
        </w:rPr>
        <w:t>Why</w:t>
      </w:r>
      <w:r>
        <w:rPr>
          <w:spacing w:val="-6"/>
          <w:sz w:val="24"/>
        </w:rPr>
        <w:t> </w:t>
      </w:r>
      <w:r>
        <w:rPr>
          <w:sz w:val="24"/>
        </w:rPr>
        <w:t>and when</w:t>
      </w:r>
      <w:r>
        <w:rPr>
          <w:spacing w:val="2"/>
          <w:sz w:val="24"/>
        </w:rPr>
        <w:t> </w:t>
      </w:r>
      <w:r>
        <w:rPr>
          <w:sz w:val="24"/>
        </w:rPr>
        <w:t>was the JTF</w:t>
      </w:r>
      <w:r>
        <w:rPr>
          <w:spacing w:val="-2"/>
          <w:sz w:val="24"/>
        </w:rPr>
        <w:t> established?</w:t>
      </w:r>
    </w:p>
    <w:p>
      <w:pPr>
        <w:spacing w:before="0"/>
        <w:ind w:left="1440" w:right="0" w:firstLine="0"/>
        <w:jc w:val="left"/>
        <w:rPr>
          <w:sz w:val="24"/>
        </w:rPr>
      </w:pPr>
      <w:r>
        <w:rPr>
          <w:spacing w:val="-2"/>
          <w:sz w:val="24"/>
        </w:rPr>
        <w:t>………………………………………………………………………………..................</w:t>
      </w:r>
    </w:p>
    <w:p>
      <w:pPr>
        <w:spacing w:before="0"/>
        <w:ind w:left="1440" w:right="0" w:firstLine="0"/>
        <w:jc w:val="left"/>
        <w:rPr>
          <w:sz w:val="24"/>
        </w:rPr>
      </w:pPr>
      <w:r>
        <w:rPr>
          <w:spacing w:val="-2"/>
          <w:sz w:val="24"/>
        </w:rPr>
        <w:t>…………………………………………………………………………..………….…</w:t>
      </w:r>
    </w:p>
    <w:p>
      <w:pPr>
        <w:spacing w:before="0"/>
        <w:ind w:left="1440" w:right="0" w:firstLine="0"/>
        <w:jc w:val="left"/>
        <w:rPr>
          <w:sz w:val="24"/>
        </w:rPr>
      </w:pPr>
      <w:r>
        <w:rPr>
          <w:spacing w:val="-2"/>
          <w:sz w:val="24"/>
        </w:rPr>
        <w:t>………………………………………………………………………...</w:t>
      </w:r>
    </w:p>
    <w:p>
      <w:pPr>
        <w:pStyle w:val="ListParagraph"/>
        <w:numPr>
          <w:ilvl w:val="0"/>
          <w:numId w:val="34"/>
        </w:numPr>
        <w:tabs>
          <w:tab w:pos="2160" w:val="left" w:leader="none"/>
        </w:tabs>
        <w:spacing w:line="240" w:lineRule="auto" w:before="0" w:after="0"/>
        <w:ind w:left="2160" w:right="0" w:hanging="720"/>
        <w:jc w:val="left"/>
        <w:rPr>
          <w:sz w:val="24"/>
        </w:rPr>
      </w:pPr>
      <w:r>
        <w:rPr>
          <w:sz w:val="24"/>
        </w:rPr>
        <w:t>At</w:t>
      </w:r>
      <w:r>
        <w:rPr>
          <w:spacing w:val="-1"/>
          <w:sz w:val="24"/>
        </w:rPr>
        <w:t> </w:t>
      </w:r>
      <w:r>
        <w:rPr>
          <w:sz w:val="24"/>
        </w:rPr>
        <w:t>what stage</w:t>
      </w:r>
      <w:r>
        <w:rPr>
          <w:spacing w:val="-2"/>
          <w:sz w:val="24"/>
        </w:rPr>
        <w:t> </w:t>
      </w:r>
      <w:r>
        <w:rPr>
          <w:sz w:val="24"/>
        </w:rPr>
        <w:t>of the</w:t>
      </w:r>
      <w:r>
        <w:rPr>
          <w:spacing w:val="-1"/>
          <w:sz w:val="24"/>
        </w:rPr>
        <w:t> </w:t>
      </w:r>
      <w:r>
        <w:rPr>
          <w:sz w:val="24"/>
        </w:rPr>
        <w:t>restive</w:t>
      </w:r>
      <w:r>
        <w:rPr>
          <w:spacing w:val="-1"/>
          <w:sz w:val="24"/>
        </w:rPr>
        <w:t> </w:t>
      </w:r>
      <w:r>
        <w:rPr>
          <w:sz w:val="24"/>
        </w:rPr>
        <w:t>Niger</w:t>
      </w:r>
      <w:r>
        <w:rPr>
          <w:spacing w:val="-1"/>
          <w:sz w:val="24"/>
        </w:rPr>
        <w:t> </w:t>
      </w:r>
      <w:r>
        <w:rPr>
          <w:sz w:val="24"/>
        </w:rPr>
        <w:t>Delta</w:t>
      </w:r>
      <w:r>
        <w:rPr>
          <w:spacing w:val="-1"/>
          <w:sz w:val="24"/>
        </w:rPr>
        <w:t> </w:t>
      </w:r>
      <w:r>
        <w:rPr>
          <w:sz w:val="24"/>
        </w:rPr>
        <w:t>was</w:t>
      </w:r>
      <w:r>
        <w:rPr>
          <w:spacing w:val="-1"/>
          <w:sz w:val="24"/>
        </w:rPr>
        <w:t> </w:t>
      </w:r>
      <w:r>
        <w:rPr>
          <w:sz w:val="24"/>
        </w:rPr>
        <w:t>the JTF</w:t>
      </w:r>
      <w:r>
        <w:rPr>
          <w:spacing w:val="-2"/>
          <w:sz w:val="24"/>
        </w:rPr>
        <w:t> established?</w:t>
      </w:r>
    </w:p>
    <w:p>
      <w:pPr>
        <w:spacing w:before="0"/>
        <w:ind w:left="1440" w:right="0" w:firstLine="0"/>
        <w:jc w:val="left"/>
        <w:rPr>
          <w:sz w:val="24"/>
        </w:rPr>
      </w:pPr>
      <w:r>
        <w:rPr>
          <w:spacing w:val="-2"/>
          <w:sz w:val="24"/>
        </w:rPr>
        <w:t>……………………………………………………………………………………</w:t>
      </w:r>
    </w:p>
    <w:p>
      <w:pPr>
        <w:spacing w:before="0"/>
        <w:ind w:left="1440" w:right="0" w:firstLine="0"/>
        <w:jc w:val="left"/>
        <w:rPr>
          <w:sz w:val="24"/>
        </w:rPr>
      </w:pPr>
      <w:r>
        <w:rPr>
          <w:spacing w:val="-2"/>
          <w:sz w:val="24"/>
        </w:rPr>
        <w:t>……………………………………………………………………………………</w:t>
      </w:r>
    </w:p>
    <w:p>
      <w:pPr>
        <w:pStyle w:val="ListParagraph"/>
        <w:numPr>
          <w:ilvl w:val="0"/>
          <w:numId w:val="34"/>
        </w:numPr>
        <w:tabs>
          <w:tab w:pos="2160" w:val="left" w:leader="none"/>
        </w:tabs>
        <w:spacing w:line="240" w:lineRule="auto" w:before="0" w:after="0"/>
        <w:ind w:left="1440" w:right="1707" w:firstLine="0"/>
        <w:jc w:val="left"/>
        <w:rPr>
          <w:sz w:val="24"/>
        </w:rPr>
      </w:pPr>
      <w:r>
        <w:rPr>
          <w:sz w:val="24"/>
        </w:rPr>
        <w:t>What</w:t>
      </w:r>
      <w:r>
        <w:rPr>
          <w:spacing w:val="-5"/>
          <w:sz w:val="24"/>
        </w:rPr>
        <w:t> </w:t>
      </w:r>
      <w:r>
        <w:rPr>
          <w:sz w:val="24"/>
        </w:rPr>
        <w:t>is</w:t>
      </w:r>
      <w:r>
        <w:rPr>
          <w:spacing w:val="-5"/>
          <w:sz w:val="24"/>
        </w:rPr>
        <w:t> </w:t>
      </w:r>
      <w:r>
        <w:rPr>
          <w:sz w:val="24"/>
        </w:rPr>
        <w:t>the</w:t>
      </w:r>
      <w:r>
        <w:rPr>
          <w:spacing w:val="-5"/>
          <w:sz w:val="24"/>
        </w:rPr>
        <w:t> </w:t>
      </w:r>
      <w:r>
        <w:rPr>
          <w:sz w:val="24"/>
        </w:rPr>
        <w:t>National/Strategic,</w:t>
      </w:r>
      <w:r>
        <w:rPr>
          <w:spacing w:val="-5"/>
          <w:sz w:val="24"/>
        </w:rPr>
        <w:t> </w:t>
      </w:r>
      <w:r>
        <w:rPr>
          <w:sz w:val="24"/>
        </w:rPr>
        <w:t>operational</w:t>
      </w:r>
      <w:r>
        <w:rPr>
          <w:spacing w:val="-3"/>
          <w:sz w:val="24"/>
        </w:rPr>
        <w:t> </w:t>
      </w:r>
      <w:r>
        <w:rPr>
          <w:sz w:val="24"/>
        </w:rPr>
        <w:t>and</w:t>
      </w:r>
      <w:r>
        <w:rPr>
          <w:spacing w:val="-5"/>
          <w:sz w:val="24"/>
        </w:rPr>
        <w:t> </w:t>
      </w:r>
      <w:r>
        <w:rPr>
          <w:sz w:val="24"/>
        </w:rPr>
        <w:t>tactical</w:t>
      </w:r>
      <w:r>
        <w:rPr>
          <w:spacing w:val="-5"/>
          <w:sz w:val="24"/>
        </w:rPr>
        <w:t> </w:t>
      </w:r>
      <w:r>
        <w:rPr>
          <w:sz w:val="24"/>
        </w:rPr>
        <w:t>strategy</w:t>
      </w:r>
      <w:r>
        <w:rPr>
          <w:spacing w:val="-9"/>
          <w:sz w:val="24"/>
        </w:rPr>
        <w:t> </w:t>
      </w:r>
      <w:r>
        <w:rPr>
          <w:sz w:val="24"/>
        </w:rPr>
        <w:t>behind</w:t>
      </w:r>
      <w:r>
        <w:rPr>
          <w:spacing w:val="-5"/>
          <w:sz w:val="24"/>
        </w:rPr>
        <w:t> </w:t>
      </w:r>
      <w:r>
        <w:rPr>
          <w:sz w:val="24"/>
        </w:rPr>
        <w:t>the establishment</w:t>
      </w:r>
      <w:r>
        <w:rPr>
          <w:spacing w:val="40"/>
          <w:sz w:val="24"/>
        </w:rPr>
        <w:t> </w:t>
      </w:r>
      <w:r>
        <w:rPr>
          <w:sz w:val="24"/>
        </w:rPr>
        <w:t>of</w:t>
      </w:r>
      <w:r>
        <w:rPr>
          <w:spacing w:val="40"/>
          <w:sz w:val="24"/>
        </w:rPr>
        <w:t> </w:t>
      </w:r>
      <w:r>
        <w:rPr>
          <w:sz w:val="24"/>
        </w:rPr>
        <w:t>the JTF?</w:t>
      </w:r>
    </w:p>
    <w:p>
      <w:pPr>
        <w:pStyle w:val="BodyText"/>
        <w:ind w:left="0"/>
      </w:pPr>
    </w:p>
    <w:p>
      <w:pPr>
        <w:pStyle w:val="ListParagraph"/>
        <w:numPr>
          <w:ilvl w:val="0"/>
          <w:numId w:val="34"/>
        </w:numPr>
        <w:tabs>
          <w:tab w:pos="2160" w:val="left" w:leader="none"/>
        </w:tabs>
        <w:spacing w:line="240" w:lineRule="auto" w:before="1" w:after="0"/>
        <w:ind w:left="2160" w:right="0" w:hanging="720"/>
        <w:jc w:val="left"/>
        <w:rPr>
          <w:sz w:val="24"/>
        </w:rPr>
      </w:pPr>
      <w:r>
        <w:rPr>
          <w:sz w:val="24"/>
        </w:rPr>
        <w:t>What</w:t>
      </w:r>
      <w:r>
        <w:rPr>
          <w:spacing w:val="-1"/>
          <w:sz w:val="24"/>
        </w:rPr>
        <w:t> </w:t>
      </w:r>
      <w:r>
        <w:rPr>
          <w:sz w:val="24"/>
        </w:rPr>
        <w:t>are</w:t>
      </w:r>
      <w:r>
        <w:rPr>
          <w:spacing w:val="-2"/>
          <w:sz w:val="24"/>
        </w:rPr>
        <w:t> </w:t>
      </w:r>
      <w:r>
        <w:rPr>
          <w:sz w:val="24"/>
        </w:rPr>
        <w:t>security</w:t>
      </w:r>
      <w:r>
        <w:rPr>
          <w:spacing w:val="-4"/>
          <w:sz w:val="24"/>
        </w:rPr>
        <w:t> </w:t>
      </w:r>
      <w:r>
        <w:rPr>
          <w:sz w:val="24"/>
        </w:rPr>
        <w:t>challenges of</w:t>
      </w:r>
      <w:r>
        <w:rPr>
          <w:spacing w:val="-1"/>
          <w:sz w:val="24"/>
        </w:rPr>
        <w:t> </w:t>
      </w:r>
      <w:r>
        <w:rPr>
          <w:sz w:val="24"/>
        </w:rPr>
        <w:t>the</w:t>
      </w:r>
      <w:r>
        <w:rPr>
          <w:spacing w:val="-3"/>
          <w:sz w:val="24"/>
        </w:rPr>
        <w:t> </w:t>
      </w:r>
      <w:r>
        <w:rPr>
          <w:sz w:val="24"/>
        </w:rPr>
        <w:t>Niger</w:t>
      </w:r>
      <w:r>
        <w:rPr>
          <w:spacing w:val="-1"/>
          <w:sz w:val="24"/>
        </w:rPr>
        <w:t> </w:t>
      </w:r>
      <w:r>
        <w:rPr>
          <w:sz w:val="24"/>
        </w:rPr>
        <w:t>Delta</w:t>
      </w:r>
      <w:r>
        <w:rPr>
          <w:spacing w:val="-1"/>
          <w:sz w:val="24"/>
        </w:rPr>
        <w:t> </w:t>
      </w:r>
      <w:r>
        <w:rPr>
          <w:spacing w:val="-2"/>
          <w:sz w:val="24"/>
        </w:rPr>
        <w:t>conflict?</w:t>
      </w:r>
    </w:p>
    <w:p>
      <w:pPr>
        <w:spacing w:before="0"/>
        <w:ind w:left="0" w:right="444" w:firstLine="0"/>
        <w:jc w:val="center"/>
        <w:rPr>
          <w:sz w:val="24"/>
        </w:rPr>
      </w:pPr>
      <w:r>
        <w:rPr>
          <w:spacing w:val="-2"/>
          <w:sz w:val="24"/>
        </w:rPr>
        <w:t>………….………………………………………………………………...............</w:t>
      </w:r>
    </w:p>
    <w:p>
      <w:pPr>
        <w:spacing w:before="0"/>
        <w:ind w:left="0" w:right="447" w:firstLine="0"/>
        <w:jc w:val="center"/>
        <w:rPr>
          <w:sz w:val="24"/>
        </w:rPr>
      </w:pPr>
      <w:r>
        <w:rPr>
          <w:spacing w:val="-2"/>
          <w:sz w:val="24"/>
        </w:rPr>
        <w:t>……………………………………………………………………………………</w:t>
      </w:r>
    </w:p>
    <w:p>
      <w:pPr>
        <w:spacing w:before="0"/>
        <w:ind w:left="0" w:right="447" w:firstLine="0"/>
        <w:jc w:val="center"/>
        <w:rPr>
          <w:sz w:val="24"/>
        </w:rPr>
      </w:pPr>
      <w:r>
        <w:rPr>
          <w:spacing w:val="-2"/>
          <w:sz w:val="24"/>
        </w:rPr>
        <w:t>……………………………………………………………………………………</w:t>
      </w:r>
    </w:p>
    <w:p>
      <w:pPr>
        <w:pStyle w:val="ListParagraph"/>
        <w:numPr>
          <w:ilvl w:val="0"/>
          <w:numId w:val="34"/>
        </w:numPr>
        <w:tabs>
          <w:tab w:pos="2160" w:val="left" w:leader="none"/>
        </w:tabs>
        <w:spacing w:line="240" w:lineRule="auto" w:before="276" w:after="0"/>
        <w:ind w:left="1440" w:right="1536" w:firstLine="0"/>
        <w:jc w:val="left"/>
        <w:rPr>
          <w:sz w:val="24"/>
        </w:rPr>
      </w:pPr>
      <w:r>
        <w:rPr>
          <w:sz w:val="24"/>
        </w:rPr>
        <w:t>What</w:t>
      </w:r>
      <w:r>
        <w:rPr>
          <w:spacing w:val="-3"/>
          <w:sz w:val="24"/>
        </w:rPr>
        <w:t> </w:t>
      </w:r>
      <w:r>
        <w:rPr>
          <w:sz w:val="24"/>
        </w:rPr>
        <w:t>are</w:t>
      </w:r>
      <w:r>
        <w:rPr>
          <w:spacing w:val="-4"/>
          <w:sz w:val="24"/>
        </w:rPr>
        <w:t> </w:t>
      </w:r>
      <w:r>
        <w:rPr>
          <w:sz w:val="24"/>
        </w:rPr>
        <w:t>the</w:t>
      </w:r>
      <w:r>
        <w:rPr>
          <w:spacing w:val="-3"/>
          <w:sz w:val="24"/>
        </w:rPr>
        <w:t> </w:t>
      </w:r>
      <w:r>
        <w:rPr>
          <w:sz w:val="24"/>
        </w:rPr>
        <w:t>approaches</w:t>
      </w:r>
      <w:r>
        <w:rPr>
          <w:spacing w:val="-1"/>
          <w:sz w:val="24"/>
        </w:rPr>
        <w:t> </w:t>
      </w:r>
      <w:r>
        <w:rPr>
          <w:sz w:val="24"/>
        </w:rPr>
        <w:t>adopted</w:t>
      </w:r>
      <w:r>
        <w:rPr>
          <w:spacing w:val="-3"/>
          <w:sz w:val="24"/>
        </w:rPr>
        <w:t> </w:t>
      </w:r>
      <w:r>
        <w:rPr>
          <w:sz w:val="24"/>
        </w:rPr>
        <w:t>by</w:t>
      </w:r>
      <w:r>
        <w:rPr>
          <w:spacing w:val="-7"/>
          <w:sz w:val="24"/>
        </w:rPr>
        <w:t> </w:t>
      </w:r>
      <w:r>
        <w:rPr>
          <w:sz w:val="24"/>
        </w:rPr>
        <w:t>the</w:t>
      </w:r>
      <w:r>
        <w:rPr>
          <w:spacing w:val="-3"/>
          <w:sz w:val="24"/>
        </w:rPr>
        <w:t> </w:t>
      </w:r>
      <w:r>
        <w:rPr>
          <w:sz w:val="24"/>
        </w:rPr>
        <w:t>JTF</w:t>
      </w:r>
      <w:r>
        <w:rPr>
          <w:spacing w:val="-5"/>
          <w:sz w:val="24"/>
        </w:rPr>
        <w:t> </w:t>
      </w:r>
      <w:r>
        <w:rPr>
          <w:sz w:val="24"/>
        </w:rPr>
        <w:t>in</w:t>
      </w:r>
      <w:r>
        <w:rPr>
          <w:spacing w:val="-3"/>
          <w:sz w:val="24"/>
        </w:rPr>
        <w:t> </w:t>
      </w:r>
      <w:r>
        <w:rPr>
          <w:sz w:val="24"/>
        </w:rPr>
        <w:t>dealing</w:t>
      </w:r>
      <w:r>
        <w:rPr>
          <w:spacing w:val="-5"/>
          <w:sz w:val="24"/>
        </w:rPr>
        <w:t> </w:t>
      </w:r>
      <w:r>
        <w:rPr>
          <w:sz w:val="24"/>
        </w:rPr>
        <w:t>with</w:t>
      </w:r>
      <w:r>
        <w:rPr>
          <w:spacing w:val="-3"/>
          <w:sz w:val="24"/>
        </w:rPr>
        <w:t> </w:t>
      </w:r>
      <w:r>
        <w:rPr>
          <w:sz w:val="24"/>
        </w:rPr>
        <w:t>the</w:t>
      </w:r>
      <w:r>
        <w:rPr>
          <w:spacing w:val="-4"/>
          <w:sz w:val="24"/>
        </w:rPr>
        <w:t> </w:t>
      </w:r>
      <w:r>
        <w:rPr>
          <w:sz w:val="24"/>
        </w:rPr>
        <w:t>Niger</w:t>
      </w:r>
      <w:r>
        <w:rPr>
          <w:spacing w:val="-3"/>
          <w:sz w:val="24"/>
        </w:rPr>
        <w:t> </w:t>
      </w:r>
      <w:r>
        <w:rPr>
          <w:sz w:val="24"/>
        </w:rPr>
        <w:t>Delta </w:t>
      </w:r>
      <w:r>
        <w:rPr>
          <w:spacing w:val="-2"/>
          <w:sz w:val="24"/>
        </w:rPr>
        <w:t>crisis?</w:t>
      </w:r>
    </w:p>
    <w:p>
      <w:pPr>
        <w:spacing w:before="0"/>
        <w:ind w:left="1440" w:right="0" w:firstLine="0"/>
        <w:jc w:val="left"/>
        <w:rPr>
          <w:sz w:val="24"/>
        </w:rPr>
      </w:pPr>
      <w:r>
        <w:rPr>
          <w:spacing w:val="-2"/>
          <w:sz w:val="24"/>
        </w:rPr>
        <w:t>…………………………………………………………………………................</w:t>
      </w:r>
    </w:p>
    <w:p>
      <w:pPr>
        <w:spacing w:before="0"/>
        <w:ind w:left="1440" w:right="0" w:firstLine="0"/>
        <w:jc w:val="left"/>
        <w:rPr>
          <w:sz w:val="24"/>
        </w:rPr>
      </w:pPr>
      <w:r>
        <w:rPr>
          <w:spacing w:val="-2"/>
          <w:sz w:val="24"/>
        </w:rPr>
        <w:t>……………………………………………………………………………………</w:t>
      </w:r>
    </w:p>
    <w:p>
      <w:pPr>
        <w:pStyle w:val="BodyText"/>
        <w:spacing w:before="9"/>
        <w:ind w:left="0"/>
      </w:pPr>
    </w:p>
    <w:p>
      <w:pPr>
        <w:pStyle w:val="ListParagraph"/>
        <w:numPr>
          <w:ilvl w:val="0"/>
          <w:numId w:val="34"/>
        </w:numPr>
        <w:tabs>
          <w:tab w:pos="1621" w:val="left" w:leader="none"/>
        </w:tabs>
        <w:spacing w:line="230" w:lineRule="auto" w:before="1" w:after="0"/>
        <w:ind w:left="1440" w:right="1259" w:firstLine="0"/>
        <w:jc w:val="left"/>
        <w:rPr>
          <w:rFonts w:ascii="Calibri"/>
          <w:sz w:val="22"/>
        </w:rPr>
      </w:pPr>
      <w:r>
        <w:rPr>
          <w:sz w:val="24"/>
        </w:rPr>
        <w:t>What are</w:t>
      </w:r>
      <w:r>
        <w:rPr>
          <w:spacing w:val="-1"/>
          <w:sz w:val="24"/>
        </w:rPr>
        <w:t> </w:t>
      </w:r>
      <w:r>
        <w:rPr>
          <w:sz w:val="24"/>
        </w:rPr>
        <w:t>the challenges of the JTF</w:t>
      </w:r>
      <w:r>
        <w:rPr>
          <w:spacing w:val="-1"/>
          <w:sz w:val="24"/>
        </w:rPr>
        <w:t> </w:t>
      </w:r>
      <w:r>
        <w:rPr>
          <w:sz w:val="24"/>
        </w:rPr>
        <w:t>in</w:t>
      </w:r>
      <w:r>
        <w:rPr>
          <w:spacing w:val="-1"/>
          <w:sz w:val="24"/>
        </w:rPr>
        <w:t> </w:t>
      </w:r>
      <w:r>
        <w:rPr>
          <w:sz w:val="24"/>
        </w:rPr>
        <w:t>its</w:t>
      </w:r>
      <w:r>
        <w:rPr>
          <w:spacing w:val="-1"/>
          <w:sz w:val="24"/>
        </w:rPr>
        <w:t> </w:t>
      </w:r>
      <w:r>
        <w:rPr>
          <w:sz w:val="24"/>
        </w:rPr>
        <w:t>bid/effort to stem the on-going</w:t>
      </w:r>
      <w:r>
        <w:rPr>
          <w:spacing w:val="-1"/>
          <w:sz w:val="24"/>
        </w:rPr>
        <w:t> </w:t>
      </w:r>
      <w:r>
        <w:rPr>
          <w:sz w:val="24"/>
        </w:rPr>
        <w:t>Niger Delta </w:t>
      </w:r>
      <w:r>
        <w:rPr>
          <w:spacing w:val="-2"/>
          <w:sz w:val="24"/>
        </w:rPr>
        <w:t>crisis?</w:t>
      </w:r>
    </w:p>
    <w:p>
      <w:pPr>
        <w:spacing w:before="1"/>
        <w:ind w:left="1440" w:right="0" w:firstLine="0"/>
        <w:jc w:val="left"/>
        <w:rPr>
          <w:sz w:val="24"/>
        </w:rPr>
      </w:pPr>
      <w:r>
        <w:rPr>
          <w:spacing w:val="-2"/>
          <w:sz w:val="24"/>
        </w:rPr>
        <w:t>…………………………………………………………………………………..</w:t>
      </w:r>
    </w:p>
    <w:p>
      <w:pPr>
        <w:spacing w:before="0"/>
        <w:ind w:left="1440" w:right="0" w:firstLine="0"/>
        <w:jc w:val="left"/>
        <w:rPr>
          <w:sz w:val="24"/>
        </w:rPr>
      </w:pPr>
      <w:r>
        <w:rPr>
          <w:spacing w:val="-2"/>
          <w:sz w:val="24"/>
        </w:rPr>
        <w:t>…..………………………………………………………………………………</w:t>
      </w:r>
    </w:p>
    <w:p>
      <w:pPr>
        <w:pStyle w:val="BodyText"/>
        <w:spacing w:before="7"/>
        <w:ind w:left="0"/>
      </w:pPr>
    </w:p>
    <w:p>
      <w:pPr>
        <w:pStyle w:val="ListParagraph"/>
        <w:numPr>
          <w:ilvl w:val="0"/>
          <w:numId w:val="34"/>
        </w:numPr>
        <w:tabs>
          <w:tab w:pos="1621" w:val="left" w:leader="none"/>
        </w:tabs>
        <w:spacing w:line="230" w:lineRule="auto" w:before="0" w:after="0"/>
        <w:ind w:left="1440" w:right="1263" w:firstLine="0"/>
        <w:jc w:val="left"/>
        <w:rPr>
          <w:rFonts w:ascii="Calibri"/>
          <w:sz w:val="22"/>
        </w:rPr>
      </w:pPr>
      <w:r>
        <w:rPr>
          <w:sz w:val="24"/>
        </w:rPr>
        <w:t>A Joint Task Force is supposed to be a temporary operation meant to solve specific problem in a</w:t>
      </w:r>
      <w:r>
        <w:rPr>
          <w:spacing w:val="-1"/>
          <w:sz w:val="24"/>
        </w:rPr>
        <w:t> </w:t>
      </w:r>
      <w:r>
        <w:rPr>
          <w:sz w:val="24"/>
        </w:rPr>
        <w:t>given time limit. Why</w:t>
      </w:r>
      <w:r>
        <w:rPr>
          <w:spacing w:val="-8"/>
          <w:sz w:val="24"/>
        </w:rPr>
        <w:t> </w:t>
      </w:r>
      <w:r>
        <w:rPr>
          <w:sz w:val="24"/>
        </w:rPr>
        <w:t>is the</w:t>
      </w:r>
      <w:r>
        <w:rPr>
          <w:spacing w:val="-1"/>
          <w:sz w:val="24"/>
        </w:rPr>
        <w:t> </w:t>
      </w:r>
      <w:r>
        <w:rPr>
          <w:sz w:val="24"/>
        </w:rPr>
        <w:t>JTF</w:t>
      </w:r>
      <w:r>
        <w:rPr>
          <w:spacing w:val="-2"/>
          <w:sz w:val="24"/>
        </w:rPr>
        <w:t> </w:t>
      </w:r>
      <w:r>
        <w:rPr>
          <w:sz w:val="24"/>
        </w:rPr>
        <w:t>taking</w:t>
      </w:r>
      <w:r>
        <w:rPr>
          <w:spacing w:val="-3"/>
          <w:sz w:val="24"/>
        </w:rPr>
        <w:t> </w:t>
      </w:r>
      <w:r>
        <w:rPr>
          <w:sz w:val="24"/>
        </w:rPr>
        <w:t>too long</w:t>
      </w:r>
      <w:r>
        <w:rPr>
          <w:spacing w:val="-3"/>
          <w:sz w:val="24"/>
        </w:rPr>
        <w:t> </w:t>
      </w:r>
      <w:r>
        <w:rPr>
          <w:sz w:val="24"/>
        </w:rPr>
        <w:t>to achieve</w:t>
      </w:r>
      <w:r>
        <w:rPr>
          <w:spacing w:val="-1"/>
          <w:sz w:val="24"/>
        </w:rPr>
        <w:t> </w:t>
      </w:r>
      <w:r>
        <w:rPr>
          <w:sz w:val="24"/>
        </w:rPr>
        <w:t>its objective?</w:t>
      </w:r>
    </w:p>
    <w:p>
      <w:pPr>
        <w:spacing w:before="1"/>
        <w:ind w:left="1440" w:right="0" w:firstLine="0"/>
        <w:jc w:val="left"/>
        <w:rPr>
          <w:sz w:val="24"/>
        </w:rPr>
      </w:pPr>
      <w:r>
        <w:rPr>
          <w:spacing w:val="-2"/>
          <w:sz w:val="24"/>
        </w:rPr>
        <w:t>……………………………………………………………………………….…………</w:t>
      </w:r>
    </w:p>
    <w:p>
      <w:pPr>
        <w:spacing w:before="0"/>
        <w:ind w:left="1440" w:right="0" w:firstLine="0"/>
        <w:jc w:val="left"/>
        <w:rPr>
          <w:sz w:val="24"/>
        </w:rPr>
      </w:pPr>
      <w:r>
        <w:rPr>
          <w:spacing w:val="-2"/>
          <w:sz w:val="24"/>
        </w:rPr>
        <w:t>…………………………………………………………………………………………</w:t>
      </w:r>
    </w:p>
    <w:p>
      <w:pPr>
        <w:pStyle w:val="BodyText"/>
        <w:spacing w:before="10"/>
        <w:ind w:left="0"/>
      </w:pPr>
    </w:p>
    <w:p>
      <w:pPr>
        <w:pStyle w:val="ListParagraph"/>
        <w:numPr>
          <w:ilvl w:val="0"/>
          <w:numId w:val="34"/>
        </w:numPr>
        <w:tabs>
          <w:tab w:pos="1621" w:val="left" w:leader="none"/>
        </w:tabs>
        <w:spacing w:line="230" w:lineRule="auto" w:before="0" w:after="0"/>
        <w:ind w:left="1440" w:right="1262" w:firstLine="0"/>
        <w:jc w:val="left"/>
        <w:rPr>
          <w:rFonts w:ascii="Calibri"/>
          <w:sz w:val="22"/>
        </w:rPr>
      </w:pPr>
      <w:r>
        <w:rPr>
          <w:sz w:val="24"/>
        </w:rPr>
        <w:t>What</w:t>
      </w:r>
      <w:r>
        <w:rPr>
          <w:spacing w:val="40"/>
          <w:sz w:val="24"/>
        </w:rPr>
        <w:t> </w:t>
      </w:r>
      <w:r>
        <w:rPr>
          <w:sz w:val="24"/>
        </w:rPr>
        <w:t>are</w:t>
      </w:r>
      <w:r>
        <w:rPr>
          <w:spacing w:val="40"/>
          <w:sz w:val="24"/>
        </w:rPr>
        <w:t> </w:t>
      </w:r>
      <w:r>
        <w:rPr>
          <w:sz w:val="24"/>
        </w:rPr>
        <w:t>strategic</w:t>
      </w:r>
      <w:r>
        <w:rPr>
          <w:spacing w:val="40"/>
          <w:sz w:val="24"/>
        </w:rPr>
        <w:t> </w:t>
      </w:r>
      <w:r>
        <w:rPr>
          <w:sz w:val="24"/>
        </w:rPr>
        <w:t>limitations</w:t>
      </w:r>
      <w:r>
        <w:rPr>
          <w:spacing w:val="40"/>
          <w:sz w:val="24"/>
        </w:rPr>
        <w:t> </w:t>
      </w:r>
      <w:r>
        <w:rPr>
          <w:sz w:val="24"/>
        </w:rPr>
        <w:t>of</w:t>
      </w:r>
      <w:r>
        <w:rPr>
          <w:spacing w:val="40"/>
          <w:sz w:val="24"/>
        </w:rPr>
        <w:t> </w:t>
      </w:r>
      <w:r>
        <w:rPr>
          <w:sz w:val="24"/>
        </w:rPr>
        <w:t>current</w:t>
      </w:r>
      <w:r>
        <w:rPr>
          <w:spacing w:val="40"/>
          <w:sz w:val="24"/>
        </w:rPr>
        <w:t> </w:t>
      </w:r>
      <w:r>
        <w:rPr>
          <w:sz w:val="24"/>
        </w:rPr>
        <w:t>responses,</w:t>
      </w:r>
      <w:r>
        <w:rPr>
          <w:spacing w:val="40"/>
          <w:sz w:val="24"/>
        </w:rPr>
        <w:t> </w:t>
      </w:r>
      <w:r>
        <w:rPr>
          <w:sz w:val="24"/>
        </w:rPr>
        <w:t>particularly</w:t>
      </w:r>
      <w:r>
        <w:rPr>
          <w:spacing w:val="37"/>
          <w:sz w:val="24"/>
        </w:rPr>
        <w:t> </w:t>
      </w:r>
      <w:r>
        <w:rPr>
          <w:sz w:val="24"/>
        </w:rPr>
        <w:t>the</w:t>
      </w:r>
      <w:r>
        <w:rPr>
          <w:spacing w:val="40"/>
          <w:sz w:val="24"/>
        </w:rPr>
        <w:t> </w:t>
      </w:r>
      <w:r>
        <w:rPr>
          <w:sz w:val="24"/>
        </w:rPr>
        <w:t>military</w:t>
      </w:r>
      <w:r>
        <w:rPr>
          <w:spacing w:val="39"/>
          <w:sz w:val="24"/>
        </w:rPr>
        <w:t> </w:t>
      </w:r>
      <w:r>
        <w:rPr>
          <w:sz w:val="24"/>
        </w:rPr>
        <w:t>JTF </w:t>
      </w:r>
      <w:r>
        <w:rPr>
          <w:spacing w:val="-2"/>
          <w:sz w:val="24"/>
        </w:rPr>
        <w:t>responses?</w:t>
      </w:r>
    </w:p>
    <w:p>
      <w:pPr>
        <w:spacing w:before="1"/>
        <w:ind w:left="1500" w:right="0" w:firstLine="0"/>
        <w:jc w:val="left"/>
        <w:rPr>
          <w:sz w:val="24"/>
        </w:rPr>
      </w:pPr>
      <w:r>
        <w:rPr>
          <w:spacing w:val="-2"/>
          <w:sz w:val="24"/>
        </w:rPr>
        <w:t>..……………………………………………………………………………………..</w:t>
      </w:r>
    </w:p>
    <w:p>
      <w:pPr>
        <w:spacing w:before="0"/>
        <w:ind w:left="1440" w:right="0" w:firstLine="0"/>
        <w:jc w:val="left"/>
        <w:rPr>
          <w:sz w:val="24"/>
        </w:rPr>
      </w:pPr>
      <w:r>
        <w:rPr>
          <w:spacing w:val="-2"/>
          <w:sz w:val="24"/>
        </w:rPr>
        <w:t>……………………………………………………………………………………...</w:t>
      </w:r>
    </w:p>
    <w:p>
      <w:pPr>
        <w:spacing w:after="0"/>
        <w:jc w:val="left"/>
        <w:rPr>
          <w:sz w:val="24"/>
        </w:rPr>
        <w:sectPr>
          <w:pgSz w:w="11910" w:h="16840"/>
          <w:pgMar w:header="0" w:footer="1561" w:top="1360" w:bottom="1760" w:left="720" w:right="180"/>
        </w:sectPr>
      </w:pPr>
    </w:p>
    <w:p>
      <w:pPr>
        <w:pStyle w:val="ListParagraph"/>
        <w:numPr>
          <w:ilvl w:val="0"/>
          <w:numId w:val="34"/>
        </w:numPr>
        <w:tabs>
          <w:tab w:pos="1925" w:val="left" w:leader="none"/>
        </w:tabs>
        <w:spacing w:line="235" w:lineRule="auto" w:before="63" w:after="0"/>
        <w:ind w:left="1440" w:right="1260" w:firstLine="0"/>
        <w:jc w:val="both"/>
        <w:rPr>
          <w:rFonts w:ascii="Calibri"/>
          <w:sz w:val="24"/>
        </w:rPr>
      </w:pPr>
      <w:r>
        <w:rPr/>
        <mc:AlternateContent>
          <mc:Choice Requires="wps">
            <w:drawing>
              <wp:anchor distT="0" distB="0" distL="0" distR="0" allowOverlap="1" layoutInCell="1" locked="0" behindDoc="1" simplePos="0" relativeHeight="480707584">
                <wp:simplePos x="0" y="0"/>
                <wp:positionH relativeFrom="page">
                  <wp:posOffset>-1537026</wp:posOffset>
                </wp:positionH>
                <wp:positionV relativeFrom="page">
                  <wp:posOffset>4900424</wp:posOffset>
                </wp:positionV>
                <wp:extent cx="10669905" cy="914400"/>
                <wp:effectExtent l="0" t="0" r="0" b="0"/>
                <wp:wrapNone/>
                <wp:docPr id="398" name="Textbox 398"/>
                <wp:cNvGraphicFramePr>
                  <a:graphicFrameLocks/>
                </wp:cNvGraphicFramePr>
                <a:graphic>
                  <a:graphicData uri="http://schemas.microsoft.com/office/word/2010/wordprocessingShape">
                    <wps:wsp>
                      <wps:cNvPr id="398" name="Textbox 398"/>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08896;rotation:306" type="#_x0000_t136" fillcolor="#ff5400" stroked="f">
                <o:extrusion v:ext="view" autorotationcenter="t"/>
                <v:textpath style="font-family:&quot;Arial MT&quot;;font-size:72pt;v-text-kern:t;mso-text-shadow:auto" string="UNIVERSITY OF IBADAN"/>
                <w10:wrap type="none"/>
              </v:shape>
            </w:pict>
          </mc:Fallback>
        </mc:AlternateContent>
      </w:r>
      <w:r>
        <w:rPr>
          <w:sz w:val="24"/>
        </w:rPr>
        <w:t>Inadequate logistics and lack of communications were among several factors hampering the successful achievement of the JTF mandate. How do you improve on </w:t>
      </w:r>
      <w:r>
        <w:rPr>
          <w:spacing w:val="-2"/>
          <w:sz w:val="24"/>
        </w:rPr>
        <w:t>this?</w:t>
      </w:r>
    </w:p>
    <w:p>
      <w:pPr>
        <w:spacing w:before="0"/>
        <w:ind w:left="1440" w:right="0" w:firstLine="0"/>
        <w:jc w:val="left"/>
        <w:rPr>
          <w:sz w:val="24"/>
        </w:rPr>
      </w:pPr>
      <w:r>
        <w:rPr>
          <w:spacing w:val="-2"/>
          <w:sz w:val="24"/>
        </w:rPr>
        <w:t>…………………………………………………………………………………</w:t>
      </w:r>
    </w:p>
    <w:p>
      <w:pPr>
        <w:spacing w:before="0"/>
        <w:ind w:left="1440" w:right="0" w:firstLine="0"/>
        <w:jc w:val="left"/>
        <w:rPr>
          <w:sz w:val="24"/>
        </w:rPr>
      </w:pPr>
      <w:r>
        <w:rPr>
          <w:spacing w:val="-2"/>
          <w:sz w:val="24"/>
        </w:rPr>
        <w:t>…………………………………………………………………………………</w:t>
      </w:r>
    </w:p>
    <w:p>
      <w:pPr>
        <w:pStyle w:val="ListParagraph"/>
        <w:numPr>
          <w:ilvl w:val="0"/>
          <w:numId w:val="34"/>
        </w:numPr>
        <w:tabs>
          <w:tab w:pos="1922" w:val="left" w:leader="none"/>
        </w:tabs>
        <w:spacing w:line="230" w:lineRule="auto" w:before="10" w:after="0"/>
        <w:ind w:left="1440" w:right="1264" w:firstLine="0"/>
        <w:jc w:val="left"/>
        <w:rPr>
          <w:rFonts w:ascii="Calibri"/>
          <w:sz w:val="24"/>
        </w:rPr>
      </w:pPr>
      <w:r>
        <w:rPr>
          <w:sz w:val="24"/>
        </w:rPr>
        <w:t>To</w:t>
      </w:r>
      <w:r>
        <w:rPr>
          <w:spacing w:val="30"/>
          <w:sz w:val="24"/>
        </w:rPr>
        <w:t> </w:t>
      </w:r>
      <w:r>
        <w:rPr>
          <w:sz w:val="24"/>
        </w:rPr>
        <w:t>what</w:t>
      </w:r>
      <w:r>
        <w:rPr>
          <w:spacing w:val="30"/>
          <w:sz w:val="24"/>
        </w:rPr>
        <w:t> </w:t>
      </w:r>
      <w:r>
        <w:rPr>
          <w:sz w:val="24"/>
        </w:rPr>
        <w:t>extent</w:t>
      </w:r>
      <w:r>
        <w:rPr>
          <w:spacing w:val="30"/>
          <w:sz w:val="24"/>
        </w:rPr>
        <w:t> </w:t>
      </w:r>
      <w:r>
        <w:rPr>
          <w:sz w:val="24"/>
        </w:rPr>
        <w:t>is</w:t>
      </w:r>
      <w:r>
        <w:rPr>
          <w:spacing w:val="31"/>
          <w:sz w:val="24"/>
        </w:rPr>
        <w:t> </w:t>
      </w:r>
      <w:r>
        <w:rPr>
          <w:sz w:val="24"/>
        </w:rPr>
        <w:t>the</w:t>
      </w:r>
      <w:r>
        <w:rPr>
          <w:spacing w:val="27"/>
          <w:sz w:val="24"/>
        </w:rPr>
        <w:t> </w:t>
      </w:r>
      <w:r>
        <w:rPr>
          <w:sz w:val="24"/>
        </w:rPr>
        <w:t>JTF</w:t>
      </w:r>
      <w:r>
        <w:rPr>
          <w:spacing w:val="28"/>
          <w:sz w:val="24"/>
        </w:rPr>
        <w:t> </w:t>
      </w:r>
      <w:r>
        <w:rPr>
          <w:sz w:val="24"/>
        </w:rPr>
        <w:t>Op</w:t>
      </w:r>
      <w:r>
        <w:rPr>
          <w:spacing w:val="29"/>
          <w:sz w:val="24"/>
        </w:rPr>
        <w:t> </w:t>
      </w:r>
      <w:r>
        <w:rPr>
          <w:sz w:val="24"/>
        </w:rPr>
        <w:t>RESTORE</w:t>
      </w:r>
      <w:r>
        <w:rPr>
          <w:spacing w:val="30"/>
          <w:sz w:val="24"/>
        </w:rPr>
        <w:t> </w:t>
      </w:r>
      <w:r>
        <w:rPr>
          <w:sz w:val="24"/>
        </w:rPr>
        <w:t>HOPE</w:t>
      </w:r>
      <w:r>
        <w:rPr>
          <w:spacing w:val="30"/>
          <w:sz w:val="24"/>
        </w:rPr>
        <w:t> </w:t>
      </w:r>
      <w:r>
        <w:rPr>
          <w:sz w:val="24"/>
        </w:rPr>
        <w:t>successful</w:t>
      </w:r>
      <w:r>
        <w:rPr>
          <w:spacing w:val="30"/>
          <w:sz w:val="24"/>
        </w:rPr>
        <w:t> </w:t>
      </w:r>
      <w:r>
        <w:rPr>
          <w:sz w:val="24"/>
        </w:rPr>
        <w:t>in</w:t>
      </w:r>
      <w:r>
        <w:rPr>
          <w:spacing w:val="30"/>
          <w:sz w:val="24"/>
        </w:rPr>
        <w:t> </w:t>
      </w:r>
      <w:r>
        <w:rPr>
          <w:sz w:val="24"/>
        </w:rPr>
        <w:t>restoring</w:t>
      </w:r>
      <w:r>
        <w:rPr>
          <w:spacing w:val="27"/>
          <w:sz w:val="24"/>
        </w:rPr>
        <w:t> </w:t>
      </w:r>
      <w:r>
        <w:rPr>
          <w:sz w:val="24"/>
        </w:rPr>
        <w:t>peace and security in the Niger Delta?</w:t>
      </w:r>
    </w:p>
    <w:p>
      <w:pPr>
        <w:spacing w:before="1"/>
        <w:ind w:left="1440" w:right="0" w:firstLine="0"/>
        <w:jc w:val="left"/>
        <w:rPr>
          <w:sz w:val="24"/>
        </w:rPr>
      </w:pPr>
      <w:r>
        <w:rPr>
          <w:spacing w:val="-2"/>
          <w:sz w:val="24"/>
        </w:rPr>
        <w:t>…………………………………………………………………………………………</w:t>
      </w:r>
    </w:p>
    <w:p>
      <w:pPr>
        <w:spacing w:before="0"/>
        <w:ind w:left="1440" w:right="0" w:firstLine="0"/>
        <w:jc w:val="left"/>
        <w:rPr>
          <w:sz w:val="24"/>
        </w:rPr>
      </w:pPr>
      <w:r>
        <w:rPr>
          <w:spacing w:val="-2"/>
          <w:sz w:val="24"/>
        </w:rPr>
        <w:t>……………………………………………………………………………………</w:t>
      </w:r>
    </w:p>
    <w:p>
      <w:pPr>
        <w:pStyle w:val="BodyText"/>
        <w:spacing w:before="12"/>
        <w:ind w:left="0"/>
      </w:pPr>
    </w:p>
    <w:p>
      <w:pPr>
        <w:pStyle w:val="ListParagraph"/>
        <w:numPr>
          <w:ilvl w:val="0"/>
          <w:numId w:val="34"/>
        </w:numPr>
        <w:tabs>
          <w:tab w:pos="1922" w:val="left" w:leader="none"/>
          <w:tab w:pos="2558" w:val="left" w:leader="none"/>
        </w:tabs>
        <w:spacing w:line="228" w:lineRule="auto" w:before="0" w:after="0"/>
        <w:ind w:left="1440" w:right="1260" w:firstLine="0"/>
        <w:jc w:val="left"/>
        <w:rPr>
          <w:rFonts w:ascii="Calibri"/>
          <w:sz w:val="24"/>
        </w:rPr>
      </w:pPr>
      <w:r>
        <w:rPr>
          <w:sz w:val="24"/>
        </w:rPr>
        <w:t>To</w:t>
      </w:r>
      <w:r>
        <w:rPr>
          <w:spacing w:val="63"/>
          <w:sz w:val="24"/>
        </w:rPr>
        <w:t> </w:t>
      </w:r>
      <w:r>
        <w:rPr>
          <w:sz w:val="24"/>
        </w:rPr>
        <w:t>what</w:t>
      </w:r>
      <w:r>
        <w:rPr>
          <w:spacing w:val="64"/>
          <w:sz w:val="24"/>
        </w:rPr>
        <w:t> </w:t>
      </w:r>
      <w:r>
        <w:rPr>
          <w:sz w:val="24"/>
        </w:rPr>
        <w:t>extent</w:t>
      </w:r>
      <w:r>
        <w:rPr>
          <w:spacing w:val="40"/>
          <w:sz w:val="24"/>
        </w:rPr>
        <w:t> </w:t>
      </w:r>
      <w:r>
        <w:rPr>
          <w:sz w:val="24"/>
        </w:rPr>
        <w:t>is</w:t>
      </w:r>
      <w:r>
        <w:rPr>
          <w:spacing w:val="64"/>
          <w:sz w:val="24"/>
        </w:rPr>
        <w:t> </w:t>
      </w:r>
      <w:r>
        <w:rPr>
          <w:sz w:val="24"/>
        </w:rPr>
        <w:t>the</w:t>
      </w:r>
      <w:r>
        <w:rPr>
          <w:spacing w:val="63"/>
          <w:sz w:val="24"/>
        </w:rPr>
        <w:t> </w:t>
      </w:r>
      <w:r>
        <w:rPr>
          <w:sz w:val="24"/>
        </w:rPr>
        <w:t>JTF</w:t>
      </w:r>
      <w:r>
        <w:rPr>
          <w:spacing w:val="40"/>
          <w:sz w:val="24"/>
        </w:rPr>
        <w:t> </w:t>
      </w:r>
      <w:r>
        <w:rPr>
          <w:sz w:val="24"/>
        </w:rPr>
        <w:t>Op</w:t>
      </w:r>
      <w:r>
        <w:rPr>
          <w:spacing w:val="63"/>
          <w:sz w:val="24"/>
        </w:rPr>
        <w:t> </w:t>
      </w:r>
      <w:r>
        <w:rPr>
          <w:sz w:val="24"/>
        </w:rPr>
        <w:t>RESTORE</w:t>
      </w:r>
      <w:r>
        <w:rPr>
          <w:spacing w:val="40"/>
          <w:sz w:val="24"/>
        </w:rPr>
        <w:t> </w:t>
      </w:r>
      <w:r>
        <w:rPr>
          <w:sz w:val="24"/>
        </w:rPr>
        <w:t>HOPE</w:t>
      </w:r>
      <w:r>
        <w:rPr>
          <w:spacing w:val="63"/>
          <w:sz w:val="24"/>
        </w:rPr>
        <w:t> </w:t>
      </w:r>
      <w:r>
        <w:rPr>
          <w:sz w:val="24"/>
        </w:rPr>
        <w:t>a</w:t>
      </w:r>
      <w:r>
        <w:rPr>
          <w:spacing w:val="63"/>
          <w:sz w:val="24"/>
        </w:rPr>
        <w:t> </w:t>
      </w:r>
      <w:r>
        <w:rPr>
          <w:sz w:val="24"/>
        </w:rPr>
        <w:t>failure</w:t>
      </w:r>
      <w:r>
        <w:rPr>
          <w:spacing w:val="63"/>
          <w:sz w:val="24"/>
        </w:rPr>
        <w:t> </w:t>
      </w:r>
      <w:r>
        <w:rPr>
          <w:sz w:val="24"/>
        </w:rPr>
        <w:t>in</w:t>
      </w:r>
      <w:r>
        <w:rPr>
          <w:spacing w:val="64"/>
          <w:sz w:val="24"/>
        </w:rPr>
        <w:t> </w:t>
      </w:r>
      <w:r>
        <w:rPr>
          <w:sz w:val="24"/>
        </w:rPr>
        <w:t>its</w:t>
      </w:r>
      <w:r>
        <w:rPr>
          <w:spacing w:val="40"/>
          <w:sz w:val="24"/>
        </w:rPr>
        <w:t> </w:t>
      </w:r>
      <w:r>
        <w:rPr>
          <w:sz w:val="24"/>
        </w:rPr>
        <w:t>operation </w:t>
      </w:r>
      <w:r>
        <w:rPr>
          <w:spacing w:val="-2"/>
          <w:sz w:val="24"/>
        </w:rPr>
        <w:t>towards</w:t>
      </w:r>
      <w:r>
        <w:rPr>
          <w:sz w:val="24"/>
        </w:rPr>
        <w:tab/>
        <w:t>restoration of peace in the Niger Delta?</w:t>
      </w:r>
    </w:p>
    <w:p>
      <w:pPr>
        <w:spacing w:before="2"/>
        <w:ind w:left="1440" w:right="0" w:firstLine="0"/>
        <w:jc w:val="left"/>
        <w:rPr>
          <w:sz w:val="24"/>
        </w:rPr>
      </w:pPr>
      <w:r>
        <w:rPr>
          <w:spacing w:val="-2"/>
          <w:sz w:val="24"/>
        </w:rPr>
        <w:t>…………………………………………………………………………………</w:t>
      </w:r>
    </w:p>
    <w:p>
      <w:pPr>
        <w:spacing w:before="0"/>
        <w:ind w:left="1440" w:right="0" w:firstLine="0"/>
        <w:jc w:val="left"/>
        <w:rPr>
          <w:sz w:val="24"/>
        </w:rPr>
      </w:pPr>
      <w:r>
        <w:rPr>
          <w:spacing w:val="-2"/>
          <w:sz w:val="24"/>
        </w:rPr>
        <w:t>…………………………………………………………………………………</w:t>
      </w:r>
    </w:p>
    <w:p>
      <w:pPr>
        <w:pStyle w:val="BodyText"/>
        <w:ind w:left="0"/>
      </w:pPr>
    </w:p>
    <w:p>
      <w:pPr>
        <w:pStyle w:val="ListParagraph"/>
        <w:numPr>
          <w:ilvl w:val="0"/>
          <w:numId w:val="34"/>
        </w:numPr>
        <w:tabs>
          <w:tab w:pos="1922" w:val="left" w:leader="none"/>
        </w:tabs>
        <w:spacing w:line="240" w:lineRule="auto" w:before="1" w:after="0"/>
        <w:ind w:left="1440" w:right="1823" w:firstLine="0"/>
        <w:jc w:val="left"/>
        <w:rPr>
          <w:sz w:val="24"/>
        </w:rPr>
      </w:pPr>
      <w:r>
        <w:rPr>
          <w:sz w:val="24"/>
        </w:rPr>
        <w:t>Is</w:t>
      </w:r>
      <w:r>
        <w:rPr>
          <w:spacing w:val="-3"/>
          <w:sz w:val="24"/>
        </w:rPr>
        <w:t> </w:t>
      </w:r>
      <w:r>
        <w:rPr>
          <w:sz w:val="24"/>
        </w:rPr>
        <w:t>the</w:t>
      </w:r>
      <w:r>
        <w:rPr>
          <w:spacing w:val="-2"/>
          <w:sz w:val="24"/>
        </w:rPr>
        <w:t> </w:t>
      </w:r>
      <w:r>
        <w:rPr>
          <w:sz w:val="24"/>
        </w:rPr>
        <w:t>establishment</w:t>
      </w:r>
      <w:r>
        <w:rPr>
          <w:spacing w:val="-3"/>
          <w:sz w:val="24"/>
        </w:rPr>
        <w:t> </w:t>
      </w:r>
      <w:r>
        <w:rPr>
          <w:sz w:val="24"/>
        </w:rPr>
        <w:t>of</w:t>
      </w:r>
      <w:r>
        <w:rPr>
          <w:spacing w:val="-3"/>
          <w:sz w:val="24"/>
        </w:rPr>
        <w:t> </w:t>
      </w:r>
      <w:r>
        <w:rPr>
          <w:sz w:val="24"/>
        </w:rPr>
        <w:t>the</w:t>
      </w:r>
      <w:r>
        <w:rPr>
          <w:spacing w:val="-4"/>
          <w:sz w:val="24"/>
        </w:rPr>
        <w:t> </w:t>
      </w:r>
      <w:r>
        <w:rPr>
          <w:sz w:val="24"/>
        </w:rPr>
        <w:t>JTF</w:t>
      </w:r>
      <w:r>
        <w:rPr>
          <w:spacing w:val="-5"/>
          <w:sz w:val="24"/>
        </w:rPr>
        <w:t> </w:t>
      </w:r>
      <w:r>
        <w:rPr>
          <w:sz w:val="24"/>
        </w:rPr>
        <w:t>in</w:t>
      </w:r>
      <w:r>
        <w:rPr>
          <w:spacing w:val="-3"/>
          <w:sz w:val="24"/>
        </w:rPr>
        <w:t> </w:t>
      </w:r>
      <w:r>
        <w:rPr>
          <w:sz w:val="24"/>
        </w:rPr>
        <w:t>the</w:t>
      </w:r>
      <w:r>
        <w:rPr>
          <w:spacing w:val="-4"/>
          <w:sz w:val="24"/>
        </w:rPr>
        <w:t> </w:t>
      </w:r>
      <w:r>
        <w:rPr>
          <w:sz w:val="24"/>
        </w:rPr>
        <w:t>Niger</w:t>
      </w:r>
      <w:r>
        <w:rPr>
          <w:spacing w:val="-3"/>
          <w:sz w:val="24"/>
        </w:rPr>
        <w:t> </w:t>
      </w:r>
      <w:r>
        <w:rPr>
          <w:sz w:val="24"/>
        </w:rPr>
        <w:t>Delta</w:t>
      </w:r>
      <w:r>
        <w:rPr>
          <w:spacing w:val="-4"/>
          <w:sz w:val="24"/>
        </w:rPr>
        <w:t> </w:t>
      </w:r>
      <w:r>
        <w:rPr>
          <w:sz w:val="24"/>
        </w:rPr>
        <w:t>justifiable,</w:t>
      </w:r>
      <w:r>
        <w:rPr>
          <w:spacing w:val="-3"/>
          <w:sz w:val="24"/>
        </w:rPr>
        <w:t> </w:t>
      </w:r>
      <w:r>
        <w:rPr>
          <w:sz w:val="24"/>
        </w:rPr>
        <w:t>judging</w:t>
      </w:r>
      <w:r>
        <w:rPr>
          <w:spacing w:val="-6"/>
          <w:sz w:val="24"/>
        </w:rPr>
        <w:t> </w:t>
      </w:r>
      <w:r>
        <w:rPr>
          <w:sz w:val="24"/>
        </w:rPr>
        <w:t>by</w:t>
      </w:r>
      <w:r>
        <w:rPr>
          <w:spacing w:val="-6"/>
          <w:sz w:val="24"/>
        </w:rPr>
        <w:t> </w:t>
      </w:r>
      <w:r>
        <w:rPr>
          <w:sz w:val="24"/>
        </w:rPr>
        <w:t>the success or failure</w:t>
      </w:r>
    </w:p>
    <w:p>
      <w:pPr>
        <w:spacing w:before="0"/>
        <w:ind w:left="1440" w:right="0" w:firstLine="0"/>
        <w:jc w:val="left"/>
        <w:rPr>
          <w:sz w:val="24"/>
        </w:rPr>
      </w:pPr>
      <w:r>
        <w:rPr>
          <w:spacing w:val="-2"/>
          <w:sz w:val="24"/>
        </w:rPr>
        <w:t>…………………………………………………………………………………</w:t>
      </w:r>
    </w:p>
    <w:p>
      <w:pPr>
        <w:spacing w:before="0"/>
        <w:ind w:left="1440" w:right="0" w:firstLine="0"/>
        <w:jc w:val="left"/>
        <w:rPr>
          <w:sz w:val="24"/>
        </w:rPr>
      </w:pPr>
      <w:r>
        <w:rPr>
          <w:spacing w:val="-2"/>
          <w:sz w:val="24"/>
        </w:rPr>
        <w:t>…………………………………………………………………………………</w:t>
      </w:r>
    </w:p>
    <w:p>
      <w:pPr>
        <w:pStyle w:val="ListParagraph"/>
        <w:numPr>
          <w:ilvl w:val="0"/>
          <w:numId w:val="34"/>
        </w:numPr>
        <w:tabs>
          <w:tab w:pos="1860" w:val="left" w:leader="none"/>
        </w:tabs>
        <w:spacing w:line="240" w:lineRule="auto" w:before="276" w:after="0"/>
        <w:ind w:left="1440" w:right="1458" w:firstLine="0"/>
        <w:jc w:val="left"/>
        <w:rPr>
          <w:sz w:val="24"/>
        </w:rPr>
      </w:pPr>
      <w:r>
        <w:rPr>
          <w:sz w:val="24"/>
        </w:rPr>
        <w:t>To</w:t>
      </w:r>
      <w:r>
        <w:rPr>
          <w:spacing w:val="-3"/>
          <w:sz w:val="24"/>
        </w:rPr>
        <w:t> </w:t>
      </w:r>
      <w:r>
        <w:rPr>
          <w:sz w:val="24"/>
        </w:rPr>
        <w:t>what</w:t>
      </w:r>
      <w:r>
        <w:rPr>
          <w:spacing w:val="-3"/>
          <w:sz w:val="24"/>
        </w:rPr>
        <w:t> </w:t>
      </w:r>
      <w:r>
        <w:rPr>
          <w:sz w:val="24"/>
        </w:rPr>
        <w:t>extent,</w:t>
      </w:r>
      <w:r>
        <w:rPr>
          <w:spacing w:val="-3"/>
          <w:sz w:val="24"/>
        </w:rPr>
        <w:t> </w:t>
      </w:r>
      <w:r>
        <w:rPr>
          <w:sz w:val="24"/>
        </w:rPr>
        <w:t>if</w:t>
      </w:r>
      <w:r>
        <w:rPr>
          <w:spacing w:val="-3"/>
          <w:sz w:val="24"/>
        </w:rPr>
        <w:t> </w:t>
      </w:r>
      <w:r>
        <w:rPr>
          <w:sz w:val="24"/>
        </w:rPr>
        <w:t>any,</w:t>
      </w:r>
      <w:r>
        <w:rPr>
          <w:spacing w:val="-1"/>
          <w:sz w:val="24"/>
        </w:rPr>
        <w:t> </w:t>
      </w:r>
      <w:r>
        <w:rPr>
          <w:sz w:val="24"/>
        </w:rPr>
        <w:t>does</w:t>
      </w:r>
      <w:r>
        <w:rPr>
          <w:spacing w:val="-3"/>
          <w:sz w:val="24"/>
        </w:rPr>
        <w:t> </w:t>
      </w:r>
      <w:r>
        <w:rPr>
          <w:sz w:val="24"/>
        </w:rPr>
        <w:t>the</w:t>
      </w:r>
      <w:r>
        <w:rPr>
          <w:spacing w:val="-4"/>
          <w:sz w:val="24"/>
        </w:rPr>
        <w:t> </w:t>
      </w:r>
      <w:r>
        <w:rPr>
          <w:sz w:val="24"/>
        </w:rPr>
        <w:t>State</w:t>
      </w:r>
      <w:r>
        <w:rPr>
          <w:spacing w:val="-4"/>
          <w:sz w:val="24"/>
        </w:rPr>
        <w:t> </w:t>
      </w:r>
      <w:r>
        <w:rPr>
          <w:sz w:val="24"/>
        </w:rPr>
        <w:t>(government)</w:t>
      </w:r>
      <w:r>
        <w:rPr>
          <w:spacing w:val="-4"/>
          <w:sz w:val="24"/>
        </w:rPr>
        <w:t> </w:t>
      </w:r>
      <w:r>
        <w:rPr>
          <w:sz w:val="24"/>
        </w:rPr>
        <w:t>perceive</w:t>
      </w:r>
      <w:r>
        <w:rPr>
          <w:spacing w:val="-3"/>
          <w:sz w:val="24"/>
        </w:rPr>
        <w:t> </w:t>
      </w:r>
      <w:r>
        <w:rPr>
          <w:sz w:val="24"/>
        </w:rPr>
        <w:t>the</w:t>
      </w:r>
      <w:r>
        <w:rPr>
          <w:spacing w:val="-4"/>
          <w:sz w:val="24"/>
        </w:rPr>
        <w:t> </w:t>
      </w:r>
      <w:r>
        <w:rPr>
          <w:sz w:val="24"/>
        </w:rPr>
        <w:t>JTF</w:t>
      </w:r>
      <w:r>
        <w:rPr>
          <w:spacing w:val="-3"/>
          <w:sz w:val="24"/>
        </w:rPr>
        <w:t> </w:t>
      </w:r>
      <w:r>
        <w:rPr>
          <w:sz w:val="24"/>
        </w:rPr>
        <w:t>mission</w:t>
      </w:r>
      <w:r>
        <w:rPr>
          <w:spacing w:val="40"/>
          <w:sz w:val="24"/>
        </w:rPr>
        <w:t> </w:t>
      </w:r>
      <w:r>
        <w:rPr>
          <w:sz w:val="24"/>
        </w:rPr>
        <w:t>in the Niger Delta sustainable and attainable</w:t>
      </w:r>
    </w:p>
    <w:p>
      <w:pPr>
        <w:spacing w:before="0"/>
        <w:ind w:left="1440" w:right="0" w:firstLine="0"/>
        <w:jc w:val="left"/>
        <w:rPr>
          <w:sz w:val="24"/>
        </w:rPr>
      </w:pPr>
      <w:r>
        <w:rPr>
          <w:spacing w:val="-2"/>
          <w:sz w:val="24"/>
        </w:rPr>
        <w:t>…………………………………………………………………………………………</w:t>
      </w:r>
    </w:p>
    <w:p>
      <w:pPr>
        <w:spacing w:before="0"/>
        <w:ind w:left="1440" w:right="0" w:firstLine="0"/>
        <w:jc w:val="left"/>
        <w:rPr>
          <w:sz w:val="24"/>
        </w:rPr>
      </w:pPr>
      <w:r>
        <w:rPr>
          <w:spacing w:val="-2"/>
          <w:sz w:val="24"/>
        </w:rPr>
        <w:t>…………………………………………………………………………</w:t>
      </w:r>
    </w:p>
    <w:p>
      <w:pPr>
        <w:pStyle w:val="BodyText"/>
        <w:ind w:left="0"/>
      </w:pPr>
    </w:p>
    <w:p>
      <w:pPr>
        <w:pStyle w:val="ListParagraph"/>
        <w:numPr>
          <w:ilvl w:val="0"/>
          <w:numId w:val="34"/>
        </w:numPr>
        <w:tabs>
          <w:tab w:pos="1860" w:val="left" w:leader="none"/>
        </w:tabs>
        <w:spacing w:line="240" w:lineRule="auto" w:before="0" w:after="0"/>
        <w:ind w:left="1860" w:right="0" w:hanging="420"/>
        <w:jc w:val="left"/>
        <w:rPr>
          <w:sz w:val="24"/>
        </w:rPr>
      </w:pPr>
      <w:r>
        <w:rPr>
          <w:sz w:val="24"/>
        </w:rPr>
        <w:t>Please</w:t>
      </w:r>
      <w:r>
        <w:rPr>
          <w:spacing w:val="-2"/>
          <w:sz w:val="24"/>
        </w:rPr>
        <w:t> </w:t>
      </w:r>
      <w:r>
        <w:rPr>
          <w:sz w:val="24"/>
        </w:rPr>
        <w:t>comment</w:t>
      </w:r>
      <w:r>
        <w:rPr>
          <w:spacing w:val="-1"/>
          <w:sz w:val="24"/>
        </w:rPr>
        <w:t> </w:t>
      </w:r>
      <w:r>
        <w:rPr>
          <w:sz w:val="24"/>
        </w:rPr>
        <w:t>freely</w:t>
      </w:r>
      <w:r>
        <w:rPr>
          <w:spacing w:val="-6"/>
          <w:sz w:val="24"/>
        </w:rPr>
        <w:t> </w:t>
      </w:r>
      <w:r>
        <w:rPr>
          <w:sz w:val="24"/>
        </w:rPr>
        <w:t>on the</w:t>
      </w:r>
      <w:r>
        <w:rPr>
          <w:spacing w:val="-1"/>
          <w:sz w:val="24"/>
        </w:rPr>
        <w:t> </w:t>
      </w:r>
      <w:r>
        <w:rPr>
          <w:sz w:val="24"/>
        </w:rPr>
        <w:t>Niger</w:t>
      </w:r>
      <w:r>
        <w:rPr>
          <w:spacing w:val="-1"/>
          <w:sz w:val="24"/>
        </w:rPr>
        <w:t> </w:t>
      </w:r>
      <w:r>
        <w:rPr>
          <w:sz w:val="24"/>
        </w:rPr>
        <w:t>Delta</w:t>
      </w:r>
      <w:r>
        <w:rPr>
          <w:spacing w:val="1"/>
          <w:sz w:val="24"/>
        </w:rPr>
        <w:t> </w:t>
      </w:r>
      <w:r>
        <w:rPr>
          <w:spacing w:val="-2"/>
          <w:sz w:val="24"/>
        </w:rPr>
        <w:t>conflict.</w:t>
      </w:r>
    </w:p>
    <w:p>
      <w:pPr>
        <w:spacing w:before="0"/>
        <w:ind w:left="1440" w:right="0" w:firstLine="0"/>
        <w:jc w:val="left"/>
        <w:rPr>
          <w:sz w:val="24"/>
        </w:rPr>
      </w:pPr>
      <w:r>
        <w:rPr>
          <w:spacing w:val="-2"/>
          <w:sz w:val="24"/>
        </w:rPr>
        <w:t>……………………………………………………………………………….…………</w:t>
      </w:r>
    </w:p>
    <w:p>
      <w:pPr>
        <w:spacing w:before="0"/>
        <w:ind w:left="1440" w:right="0" w:firstLine="0"/>
        <w:jc w:val="left"/>
        <w:rPr>
          <w:sz w:val="24"/>
        </w:rPr>
      </w:pPr>
      <w:r>
        <w:rPr>
          <w:spacing w:val="-2"/>
          <w:sz w:val="24"/>
        </w:rPr>
        <w:t>………………………………………………………………………….</w:t>
      </w:r>
    </w:p>
    <w:p>
      <w:pPr>
        <w:pStyle w:val="BodyText"/>
        <w:ind w:left="0"/>
      </w:pPr>
    </w:p>
    <w:p>
      <w:pPr>
        <w:pStyle w:val="ListParagraph"/>
        <w:numPr>
          <w:ilvl w:val="0"/>
          <w:numId w:val="34"/>
        </w:numPr>
        <w:tabs>
          <w:tab w:pos="1860" w:val="left" w:leader="none"/>
        </w:tabs>
        <w:spacing w:line="240" w:lineRule="auto" w:before="0" w:after="0"/>
        <w:ind w:left="1860" w:right="2585" w:hanging="420"/>
        <w:jc w:val="left"/>
        <w:rPr>
          <w:sz w:val="24"/>
        </w:rPr>
      </w:pPr>
      <w:r>
        <w:rPr>
          <w:sz w:val="24"/>
        </w:rPr>
        <w:t>From</w:t>
      </w:r>
      <w:r>
        <w:rPr>
          <w:spacing w:val="-1"/>
          <w:sz w:val="24"/>
        </w:rPr>
        <w:t> </w:t>
      </w:r>
      <w:r>
        <w:rPr>
          <w:sz w:val="24"/>
        </w:rPr>
        <w:t>your</w:t>
      </w:r>
      <w:r>
        <w:rPr>
          <w:spacing w:val="-5"/>
          <w:sz w:val="24"/>
        </w:rPr>
        <w:t> </w:t>
      </w:r>
      <w:r>
        <w:rPr>
          <w:sz w:val="24"/>
        </w:rPr>
        <w:t>own</w:t>
      </w:r>
      <w:r>
        <w:rPr>
          <w:spacing w:val="-5"/>
          <w:sz w:val="24"/>
        </w:rPr>
        <w:t> </w:t>
      </w:r>
      <w:r>
        <w:rPr>
          <w:sz w:val="24"/>
        </w:rPr>
        <w:t>opinion,</w:t>
      </w:r>
      <w:r>
        <w:rPr>
          <w:spacing w:val="-5"/>
          <w:sz w:val="24"/>
        </w:rPr>
        <w:t> </w:t>
      </w:r>
      <w:r>
        <w:rPr>
          <w:sz w:val="24"/>
        </w:rPr>
        <w:t>how</w:t>
      </w:r>
      <w:r>
        <w:rPr>
          <w:spacing w:val="-5"/>
          <w:sz w:val="24"/>
        </w:rPr>
        <w:t> </w:t>
      </w:r>
      <w:r>
        <w:rPr>
          <w:sz w:val="24"/>
        </w:rPr>
        <w:t>do</w:t>
      </w:r>
      <w:r>
        <w:rPr>
          <w:spacing w:val="-5"/>
          <w:sz w:val="24"/>
        </w:rPr>
        <w:t> </w:t>
      </w:r>
      <w:r>
        <w:rPr>
          <w:sz w:val="24"/>
        </w:rPr>
        <w:t>we</w:t>
      </w:r>
      <w:r>
        <w:rPr>
          <w:spacing w:val="-6"/>
          <w:sz w:val="24"/>
        </w:rPr>
        <w:t> </w:t>
      </w:r>
      <w:r>
        <w:rPr>
          <w:sz w:val="24"/>
        </w:rPr>
        <w:t>resolve/manage</w:t>
      </w:r>
      <w:r>
        <w:rPr>
          <w:spacing w:val="-6"/>
          <w:sz w:val="24"/>
        </w:rPr>
        <w:t> </w:t>
      </w:r>
      <w:r>
        <w:rPr>
          <w:sz w:val="24"/>
        </w:rPr>
        <w:t>the</w:t>
      </w:r>
      <w:r>
        <w:rPr>
          <w:spacing w:val="-5"/>
          <w:sz w:val="24"/>
        </w:rPr>
        <w:t> </w:t>
      </w:r>
      <w:r>
        <w:rPr>
          <w:sz w:val="24"/>
        </w:rPr>
        <w:t>Niger</w:t>
      </w:r>
      <w:r>
        <w:rPr>
          <w:spacing w:val="-5"/>
          <w:sz w:val="24"/>
        </w:rPr>
        <w:t> </w:t>
      </w:r>
      <w:r>
        <w:rPr>
          <w:sz w:val="24"/>
        </w:rPr>
        <w:t>Delta conflict for sustainable development?</w:t>
      </w:r>
    </w:p>
    <w:p>
      <w:pPr>
        <w:spacing w:before="0"/>
        <w:ind w:left="1440" w:right="0" w:firstLine="0"/>
        <w:jc w:val="left"/>
        <w:rPr>
          <w:sz w:val="24"/>
        </w:rPr>
      </w:pPr>
      <w:r>
        <w:rPr>
          <w:spacing w:val="-2"/>
          <w:sz w:val="24"/>
        </w:rPr>
        <w:t>…………………………………………………………………………………………</w:t>
      </w:r>
    </w:p>
    <w:p>
      <w:pPr>
        <w:spacing w:before="0"/>
        <w:ind w:left="1440" w:right="0" w:firstLine="0"/>
        <w:jc w:val="left"/>
        <w:rPr>
          <w:sz w:val="24"/>
        </w:rPr>
      </w:pPr>
      <w:r>
        <w:rPr>
          <w:spacing w:val="-2"/>
          <w:sz w:val="24"/>
        </w:rPr>
        <w:t>………………………………………………………………………………</w:t>
      </w:r>
    </w:p>
    <w:p>
      <w:pPr>
        <w:spacing w:after="0"/>
        <w:jc w:val="left"/>
        <w:rPr>
          <w:sz w:val="24"/>
        </w:rPr>
        <w:sectPr>
          <w:pgSz w:w="11910" w:h="16840"/>
          <w:pgMar w:header="0" w:footer="1561" w:top="1360" w:bottom="1760" w:left="720" w:right="180"/>
        </w:sectPr>
      </w:pPr>
    </w:p>
    <w:p>
      <w:pPr>
        <w:pStyle w:val="Heading2"/>
        <w:spacing w:before="75"/>
        <w:ind w:right="1260"/>
      </w:pPr>
      <w:r>
        <w:rPr/>
        <mc:AlternateContent>
          <mc:Choice Requires="wps">
            <w:drawing>
              <wp:anchor distT="0" distB="0" distL="0" distR="0" allowOverlap="1" layoutInCell="1" locked="0" behindDoc="1" simplePos="0" relativeHeight="480708096">
                <wp:simplePos x="0" y="0"/>
                <wp:positionH relativeFrom="page">
                  <wp:posOffset>-1537026</wp:posOffset>
                </wp:positionH>
                <wp:positionV relativeFrom="page">
                  <wp:posOffset>4900424</wp:posOffset>
                </wp:positionV>
                <wp:extent cx="10669905" cy="914400"/>
                <wp:effectExtent l="0" t="0" r="0" b="0"/>
                <wp:wrapNone/>
                <wp:docPr id="399" name="Textbox 399"/>
                <wp:cNvGraphicFramePr>
                  <a:graphicFrameLocks/>
                </wp:cNvGraphicFramePr>
                <a:graphic>
                  <a:graphicData uri="http://schemas.microsoft.com/office/word/2010/wordprocessingShape">
                    <wps:wsp>
                      <wps:cNvPr id="399" name="Textbox 399"/>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08384;rotation:306" type="#_x0000_t136" fillcolor="#ff5400" stroked="f">
                <o:extrusion v:ext="view" autorotationcenter="t"/>
                <v:textpath style="font-family:&quot;Arial MT&quot;;font-size:72pt;v-text-kern:t;mso-text-shadow:auto" string="UNIVERSITY OF IBADAN"/>
                <w10:wrap type="none"/>
              </v:shape>
            </w:pict>
          </mc:Fallback>
        </mc:AlternateContent>
      </w:r>
      <w:r>
        <w:rPr/>
        <w:t>SECTION</w:t>
      </w:r>
      <w:r>
        <w:rPr>
          <w:spacing w:val="-5"/>
        </w:rPr>
        <w:t> </w:t>
      </w:r>
      <w:r>
        <w:rPr/>
        <w:t>B:</w:t>
      </w:r>
      <w:r>
        <w:rPr>
          <w:spacing w:val="-5"/>
        </w:rPr>
        <w:t> </w:t>
      </w:r>
      <w:r>
        <w:rPr/>
        <w:t>Unstructured</w:t>
      </w:r>
      <w:r>
        <w:rPr>
          <w:spacing w:val="-5"/>
        </w:rPr>
        <w:t> </w:t>
      </w:r>
      <w:r>
        <w:rPr/>
        <w:t>Interview</w:t>
      </w:r>
      <w:r>
        <w:rPr>
          <w:spacing w:val="-4"/>
        </w:rPr>
        <w:t> </w:t>
      </w:r>
      <w:r>
        <w:rPr/>
        <w:t>on</w:t>
      </w:r>
      <w:r>
        <w:rPr>
          <w:spacing w:val="-5"/>
        </w:rPr>
        <w:t> </w:t>
      </w:r>
      <w:r>
        <w:rPr/>
        <w:t>the</w:t>
      </w:r>
      <w:r>
        <w:rPr>
          <w:spacing w:val="-6"/>
        </w:rPr>
        <w:t> </w:t>
      </w:r>
      <w:r>
        <w:rPr/>
        <w:t>Communities</w:t>
      </w:r>
      <w:r>
        <w:rPr>
          <w:spacing w:val="-5"/>
        </w:rPr>
        <w:t> </w:t>
      </w:r>
      <w:r>
        <w:rPr/>
        <w:t>within</w:t>
      </w:r>
      <w:r>
        <w:rPr>
          <w:spacing w:val="-5"/>
        </w:rPr>
        <w:t> </w:t>
      </w:r>
      <w:r>
        <w:rPr/>
        <w:t>Niger</w:t>
      </w:r>
      <w:r>
        <w:rPr>
          <w:spacing w:val="-6"/>
        </w:rPr>
        <w:t> </w:t>
      </w:r>
      <w:r>
        <w:rPr/>
        <w:t>Delta Please endeavour to provide suitable answers for this section.</w:t>
      </w:r>
    </w:p>
    <w:p>
      <w:pPr>
        <w:pStyle w:val="ListParagraph"/>
        <w:numPr>
          <w:ilvl w:val="0"/>
          <w:numId w:val="34"/>
        </w:numPr>
        <w:tabs>
          <w:tab w:pos="2160" w:val="left" w:leader="none"/>
        </w:tabs>
        <w:spacing w:line="240" w:lineRule="auto" w:before="271" w:after="0"/>
        <w:ind w:left="1440" w:right="1262" w:firstLine="0"/>
        <w:jc w:val="left"/>
        <w:rPr>
          <w:sz w:val="24"/>
        </w:rPr>
      </w:pPr>
      <w:r>
        <w:rPr>
          <w:sz w:val="24"/>
        </w:rPr>
        <w:t>How</w:t>
      </w:r>
      <w:r>
        <w:rPr>
          <w:spacing w:val="40"/>
          <w:sz w:val="24"/>
        </w:rPr>
        <w:t> </w:t>
      </w:r>
      <w:r>
        <w:rPr>
          <w:sz w:val="24"/>
        </w:rPr>
        <w:t>do</w:t>
      </w:r>
      <w:r>
        <w:rPr>
          <w:spacing w:val="40"/>
          <w:sz w:val="24"/>
        </w:rPr>
        <w:t> </w:t>
      </w:r>
      <w:r>
        <w:rPr>
          <w:sz w:val="24"/>
        </w:rPr>
        <w:t>you</w:t>
      </w:r>
      <w:r>
        <w:rPr>
          <w:spacing w:val="40"/>
          <w:sz w:val="24"/>
        </w:rPr>
        <w:t> </w:t>
      </w:r>
      <w:r>
        <w:rPr>
          <w:sz w:val="24"/>
        </w:rPr>
        <w:t>perceive</w:t>
      </w:r>
      <w:r>
        <w:rPr>
          <w:spacing w:val="40"/>
          <w:sz w:val="24"/>
        </w:rPr>
        <w:t> </w:t>
      </w:r>
      <w:r>
        <w:rPr>
          <w:sz w:val="24"/>
        </w:rPr>
        <w:t>the</w:t>
      </w:r>
      <w:r>
        <w:rPr>
          <w:spacing w:val="40"/>
          <w:sz w:val="24"/>
        </w:rPr>
        <w:t> </w:t>
      </w:r>
      <w:r>
        <w:rPr>
          <w:sz w:val="24"/>
        </w:rPr>
        <w:t>youth</w:t>
      </w:r>
      <w:r>
        <w:rPr>
          <w:spacing w:val="40"/>
          <w:sz w:val="24"/>
        </w:rPr>
        <w:t> </w:t>
      </w:r>
      <w:r>
        <w:rPr>
          <w:sz w:val="24"/>
        </w:rPr>
        <w:t>organization</w:t>
      </w:r>
      <w:r>
        <w:rPr>
          <w:spacing w:val="40"/>
          <w:sz w:val="24"/>
        </w:rPr>
        <w:t> </w:t>
      </w:r>
      <w:r>
        <w:rPr>
          <w:sz w:val="24"/>
        </w:rPr>
        <w:t>activities</w:t>
      </w:r>
      <w:r>
        <w:rPr>
          <w:spacing w:val="40"/>
          <w:sz w:val="24"/>
        </w:rPr>
        <w:t> </w:t>
      </w:r>
      <w:r>
        <w:rPr>
          <w:sz w:val="24"/>
        </w:rPr>
        <w:t>in</w:t>
      </w:r>
      <w:r>
        <w:rPr>
          <w:spacing w:val="40"/>
          <w:sz w:val="24"/>
        </w:rPr>
        <w:t> </w:t>
      </w:r>
      <w:r>
        <w:rPr>
          <w:sz w:val="24"/>
        </w:rPr>
        <w:t>the</w:t>
      </w:r>
      <w:r>
        <w:rPr>
          <w:spacing w:val="40"/>
          <w:sz w:val="24"/>
        </w:rPr>
        <w:t> </w:t>
      </w:r>
      <w:r>
        <w:rPr>
          <w:sz w:val="24"/>
        </w:rPr>
        <w:t>Niger</w:t>
      </w:r>
      <w:r>
        <w:rPr>
          <w:spacing w:val="40"/>
          <w:sz w:val="24"/>
        </w:rPr>
        <w:t> </w:t>
      </w:r>
      <w:r>
        <w:rPr>
          <w:sz w:val="24"/>
        </w:rPr>
        <w:t>Delta </w:t>
      </w:r>
      <w:r>
        <w:rPr>
          <w:spacing w:val="-2"/>
          <w:sz w:val="24"/>
        </w:rPr>
        <w:t>region?</w:t>
      </w:r>
    </w:p>
    <w:p>
      <w:pPr>
        <w:spacing w:before="1"/>
        <w:ind w:left="1440" w:right="0" w:firstLine="0"/>
        <w:jc w:val="left"/>
        <w:rPr>
          <w:sz w:val="24"/>
        </w:rPr>
      </w:pPr>
      <w:r>
        <w:rPr>
          <w:spacing w:val="-2"/>
          <w:sz w:val="24"/>
        </w:rPr>
        <w:t>…………………………………………………………………………………………</w:t>
      </w:r>
    </w:p>
    <w:p>
      <w:pPr>
        <w:spacing w:before="0"/>
        <w:ind w:left="1440" w:right="0" w:firstLine="0"/>
        <w:jc w:val="left"/>
        <w:rPr>
          <w:sz w:val="24"/>
        </w:rPr>
      </w:pPr>
      <w:r>
        <w:rPr>
          <w:spacing w:val="-2"/>
          <w:sz w:val="24"/>
        </w:rPr>
        <w:t>………………………………………………………………………………</w:t>
      </w:r>
    </w:p>
    <w:p>
      <w:pPr>
        <w:pStyle w:val="ListParagraph"/>
        <w:numPr>
          <w:ilvl w:val="0"/>
          <w:numId w:val="34"/>
        </w:numPr>
        <w:tabs>
          <w:tab w:pos="2160" w:val="left" w:leader="none"/>
        </w:tabs>
        <w:spacing w:line="240" w:lineRule="auto" w:before="276" w:after="0"/>
        <w:ind w:left="2160" w:right="0" w:hanging="720"/>
        <w:jc w:val="left"/>
        <w:rPr>
          <w:sz w:val="24"/>
        </w:rPr>
      </w:pPr>
      <w:r>
        <w:rPr>
          <w:sz w:val="24"/>
        </w:rPr>
        <w:t>Who</w:t>
      </w:r>
      <w:r>
        <w:rPr>
          <w:spacing w:val="-4"/>
          <w:sz w:val="24"/>
        </w:rPr>
        <w:t> </w:t>
      </w:r>
      <w:r>
        <w:rPr>
          <w:sz w:val="24"/>
        </w:rPr>
        <w:t>are</w:t>
      </w:r>
      <w:r>
        <w:rPr>
          <w:spacing w:val="-3"/>
          <w:sz w:val="24"/>
        </w:rPr>
        <w:t> </w:t>
      </w:r>
      <w:r>
        <w:rPr>
          <w:sz w:val="24"/>
        </w:rPr>
        <w:t>those</w:t>
      </w:r>
      <w:r>
        <w:rPr>
          <w:spacing w:val="-2"/>
          <w:sz w:val="24"/>
        </w:rPr>
        <w:t> </w:t>
      </w:r>
      <w:r>
        <w:rPr>
          <w:sz w:val="24"/>
        </w:rPr>
        <w:t>behind</w:t>
      </w:r>
      <w:r>
        <w:rPr>
          <w:spacing w:val="-1"/>
          <w:sz w:val="24"/>
        </w:rPr>
        <w:t> </w:t>
      </w:r>
      <w:r>
        <w:rPr>
          <w:sz w:val="24"/>
        </w:rPr>
        <w:t>confrontational</w:t>
      </w:r>
      <w:r>
        <w:rPr>
          <w:spacing w:val="3"/>
          <w:sz w:val="24"/>
        </w:rPr>
        <w:t> </w:t>
      </w:r>
      <w:r>
        <w:rPr>
          <w:sz w:val="24"/>
        </w:rPr>
        <w:t>youth</w:t>
      </w:r>
      <w:r>
        <w:rPr>
          <w:spacing w:val="-2"/>
          <w:sz w:val="24"/>
        </w:rPr>
        <w:t> </w:t>
      </w:r>
      <w:r>
        <w:rPr>
          <w:sz w:val="24"/>
        </w:rPr>
        <w:t>organizations</w:t>
      </w:r>
      <w:r>
        <w:rPr>
          <w:spacing w:val="-1"/>
          <w:sz w:val="24"/>
        </w:rPr>
        <w:t> </w:t>
      </w:r>
      <w:r>
        <w:rPr>
          <w:sz w:val="24"/>
        </w:rPr>
        <w:t>in</w:t>
      </w:r>
      <w:r>
        <w:rPr>
          <w:spacing w:val="-2"/>
          <w:sz w:val="24"/>
        </w:rPr>
        <w:t> </w:t>
      </w:r>
      <w:r>
        <w:rPr>
          <w:sz w:val="24"/>
        </w:rPr>
        <w:t>the</w:t>
      </w:r>
      <w:r>
        <w:rPr>
          <w:spacing w:val="-1"/>
          <w:sz w:val="24"/>
        </w:rPr>
        <w:t> </w:t>
      </w:r>
      <w:r>
        <w:rPr>
          <w:sz w:val="24"/>
        </w:rPr>
        <w:t>Niger</w:t>
      </w:r>
      <w:r>
        <w:rPr>
          <w:spacing w:val="-1"/>
          <w:sz w:val="24"/>
        </w:rPr>
        <w:t> </w:t>
      </w:r>
      <w:r>
        <w:rPr>
          <w:spacing w:val="-2"/>
          <w:sz w:val="24"/>
        </w:rPr>
        <w:t>Delta?</w:t>
      </w:r>
    </w:p>
    <w:p>
      <w:pPr>
        <w:spacing w:before="0"/>
        <w:ind w:left="1440" w:right="0" w:firstLine="0"/>
        <w:jc w:val="left"/>
        <w:rPr>
          <w:sz w:val="24"/>
        </w:rPr>
      </w:pPr>
      <w:r>
        <w:rPr>
          <w:spacing w:val="-2"/>
          <w:sz w:val="24"/>
        </w:rPr>
        <w:t>…………………………………………………………………………………………</w:t>
      </w:r>
    </w:p>
    <w:p>
      <w:pPr>
        <w:spacing w:before="0"/>
        <w:ind w:left="1440" w:right="0" w:firstLine="0"/>
        <w:jc w:val="left"/>
        <w:rPr>
          <w:sz w:val="24"/>
        </w:rPr>
      </w:pPr>
      <w:r>
        <w:rPr>
          <w:spacing w:val="-2"/>
          <w:sz w:val="24"/>
        </w:rPr>
        <w:t>………………………………………………………………………………</w:t>
      </w:r>
    </w:p>
    <w:p>
      <w:pPr>
        <w:pStyle w:val="BodyText"/>
        <w:ind w:left="0"/>
      </w:pPr>
    </w:p>
    <w:p>
      <w:pPr>
        <w:pStyle w:val="ListParagraph"/>
        <w:numPr>
          <w:ilvl w:val="0"/>
          <w:numId w:val="34"/>
        </w:numPr>
        <w:tabs>
          <w:tab w:pos="2160" w:val="left" w:leader="none"/>
        </w:tabs>
        <w:spacing w:line="240" w:lineRule="auto" w:before="0" w:after="0"/>
        <w:ind w:left="2160" w:right="0" w:hanging="720"/>
        <w:jc w:val="left"/>
        <w:rPr>
          <w:sz w:val="24"/>
        </w:rPr>
      </w:pPr>
      <w:r>
        <w:rPr>
          <w:sz w:val="24"/>
        </w:rPr>
        <w:t>From</w:t>
      </w:r>
      <w:r>
        <w:rPr>
          <w:spacing w:val="3"/>
          <w:sz w:val="24"/>
        </w:rPr>
        <w:t> </w:t>
      </w:r>
      <w:r>
        <w:rPr>
          <w:sz w:val="24"/>
        </w:rPr>
        <w:t>your</w:t>
      </w:r>
      <w:r>
        <w:rPr>
          <w:spacing w:val="-1"/>
          <w:sz w:val="24"/>
        </w:rPr>
        <w:t> </w:t>
      </w:r>
      <w:r>
        <w:rPr>
          <w:sz w:val="24"/>
        </w:rPr>
        <w:t>personal</w:t>
      </w:r>
      <w:r>
        <w:rPr>
          <w:spacing w:val="-1"/>
          <w:sz w:val="24"/>
        </w:rPr>
        <w:t> </w:t>
      </w:r>
      <w:r>
        <w:rPr>
          <w:sz w:val="24"/>
        </w:rPr>
        <w:t>assessment,</w:t>
      </w:r>
      <w:r>
        <w:rPr>
          <w:spacing w:val="-1"/>
          <w:sz w:val="24"/>
        </w:rPr>
        <w:t> </w:t>
      </w:r>
      <w:r>
        <w:rPr>
          <w:sz w:val="24"/>
        </w:rPr>
        <w:t>what are</w:t>
      </w:r>
      <w:r>
        <w:rPr>
          <w:spacing w:val="-2"/>
          <w:sz w:val="24"/>
        </w:rPr>
        <w:t> </w:t>
      </w:r>
      <w:r>
        <w:rPr>
          <w:sz w:val="24"/>
        </w:rPr>
        <w:t>the</w:t>
      </w:r>
      <w:r>
        <w:rPr>
          <w:spacing w:val="-2"/>
          <w:sz w:val="24"/>
        </w:rPr>
        <w:t> </w:t>
      </w:r>
      <w:r>
        <w:rPr>
          <w:sz w:val="24"/>
        </w:rPr>
        <w:t>achievement</w:t>
      </w:r>
      <w:r>
        <w:rPr>
          <w:spacing w:val="-1"/>
          <w:sz w:val="24"/>
        </w:rPr>
        <w:t> </w:t>
      </w:r>
      <w:r>
        <w:rPr>
          <w:sz w:val="24"/>
        </w:rPr>
        <w:t>of</w:t>
      </w:r>
      <w:r>
        <w:rPr>
          <w:spacing w:val="-1"/>
          <w:sz w:val="24"/>
        </w:rPr>
        <w:t> </w:t>
      </w:r>
      <w:r>
        <w:rPr>
          <w:sz w:val="24"/>
        </w:rPr>
        <w:t>the</w:t>
      </w:r>
      <w:r>
        <w:rPr>
          <w:spacing w:val="-1"/>
          <w:sz w:val="24"/>
        </w:rPr>
        <w:t> </w:t>
      </w:r>
      <w:r>
        <w:rPr>
          <w:sz w:val="24"/>
        </w:rPr>
        <w:t>JTF</w:t>
      </w:r>
      <w:r>
        <w:rPr>
          <w:spacing w:val="-3"/>
          <w:sz w:val="24"/>
        </w:rPr>
        <w:t> </w:t>
      </w:r>
      <w:r>
        <w:rPr>
          <w:sz w:val="24"/>
        </w:rPr>
        <w:t>so </w:t>
      </w:r>
      <w:r>
        <w:rPr>
          <w:spacing w:val="-4"/>
          <w:sz w:val="24"/>
        </w:rPr>
        <w:t>far?</w:t>
      </w:r>
    </w:p>
    <w:p>
      <w:pPr>
        <w:spacing w:before="0"/>
        <w:ind w:left="1440" w:right="1406" w:firstLine="0"/>
        <w:jc w:val="right"/>
        <w:rPr>
          <w:sz w:val="24"/>
        </w:rPr>
      </w:pPr>
      <w:r>
        <w:rPr>
          <w:spacing w:val="-2"/>
          <w:sz w:val="24"/>
        </w:rPr>
        <w:t>…………………………………………………………………………………</w:t>
      </w:r>
    </w:p>
    <w:p>
      <w:pPr>
        <w:spacing w:before="0"/>
        <w:ind w:left="1440" w:right="1406" w:firstLine="0"/>
        <w:jc w:val="right"/>
        <w:rPr>
          <w:sz w:val="24"/>
        </w:rPr>
      </w:pPr>
      <w:r>
        <w:rPr>
          <w:spacing w:val="-2"/>
          <w:sz w:val="24"/>
        </w:rPr>
        <w:t>…………………………………………………………………………………………</w:t>
      </w:r>
    </w:p>
    <w:p>
      <w:pPr>
        <w:pStyle w:val="BodyText"/>
        <w:ind w:left="0"/>
      </w:pPr>
    </w:p>
    <w:p>
      <w:pPr>
        <w:pStyle w:val="ListParagraph"/>
        <w:numPr>
          <w:ilvl w:val="0"/>
          <w:numId w:val="34"/>
        </w:numPr>
        <w:tabs>
          <w:tab w:pos="1920" w:val="left" w:leader="none"/>
        </w:tabs>
        <w:spacing w:line="240" w:lineRule="auto" w:before="0" w:after="0"/>
        <w:ind w:left="1440" w:right="1257" w:firstLine="0"/>
        <w:jc w:val="left"/>
        <w:rPr>
          <w:sz w:val="24"/>
        </w:rPr>
      </w:pPr>
      <w:r>
        <w:rPr>
          <w:sz w:val="24"/>
        </w:rPr>
        <w:t>Can</w:t>
      </w:r>
      <w:r>
        <w:rPr>
          <w:spacing w:val="40"/>
          <w:sz w:val="24"/>
        </w:rPr>
        <w:t> </w:t>
      </w:r>
      <w:r>
        <w:rPr>
          <w:sz w:val="24"/>
        </w:rPr>
        <w:t>you</w:t>
      </w:r>
      <w:r>
        <w:rPr>
          <w:spacing w:val="40"/>
          <w:sz w:val="24"/>
        </w:rPr>
        <w:t> </w:t>
      </w:r>
      <w:r>
        <w:rPr>
          <w:sz w:val="24"/>
        </w:rPr>
        <w:t>please</w:t>
      </w:r>
      <w:r>
        <w:rPr>
          <w:spacing w:val="40"/>
          <w:sz w:val="24"/>
        </w:rPr>
        <w:t> </w:t>
      </w:r>
      <w:r>
        <w:rPr>
          <w:sz w:val="24"/>
        </w:rPr>
        <w:t>suggest</w:t>
      </w:r>
      <w:r>
        <w:rPr>
          <w:spacing w:val="40"/>
          <w:sz w:val="24"/>
        </w:rPr>
        <w:t> </w:t>
      </w:r>
      <w:r>
        <w:rPr>
          <w:sz w:val="24"/>
        </w:rPr>
        <w:t>any</w:t>
      </w:r>
      <w:r>
        <w:rPr>
          <w:spacing w:val="40"/>
          <w:sz w:val="24"/>
        </w:rPr>
        <w:t> </w:t>
      </w:r>
      <w:r>
        <w:rPr>
          <w:sz w:val="24"/>
        </w:rPr>
        <w:t>other</w:t>
      </w:r>
      <w:r>
        <w:rPr>
          <w:spacing w:val="40"/>
          <w:sz w:val="24"/>
        </w:rPr>
        <w:t> </w:t>
      </w:r>
      <w:r>
        <w:rPr>
          <w:sz w:val="24"/>
        </w:rPr>
        <w:t>preferred</w:t>
      </w:r>
      <w:r>
        <w:rPr>
          <w:spacing w:val="40"/>
          <w:sz w:val="24"/>
        </w:rPr>
        <w:t> </w:t>
      </w:r>
      <w:r>
        <w:rPr>
          <w:sz w:val="24"/>
        </w:rPr>
        <w:t>options</w:t>
      </w:r>
      <w:r>
        <w:rPr>
          <w:spacing w:val="40"/>
          <w:sz w:val="24"/>
        </w:rPr>
        <w:t> </w:t>
      </w:r>
      <w:r>
        <w:rPr>
          <w:sz w:val="24"/>
        </w:rPr>
        <w:t>other</w:t>
      </w:r>
      <w:r>
        <w:rPr>
          <w:spacing w:val="40"/>
          <w:sz w:val="24"/>
        </w:rPr>
        <w:t> </w:t>
      </w:r>
      <w:r>
        <w:rPr>
          <w:sz w:val="24"/>
        </w:rPr>
        <w:t>than</w:t>
      </w:r>
      <w:r>
        <w:rPr>
          <w:spacing w:val="40"/>
          <w:sz w:val="24"/>
        </w:rPr>
        <w:t> </w:t>
      </w:r>
      <w:r>
        <w:rPr>
          <w:sz w:val="24"/>
        </w:rPr>
        <w:t>that</w:t>
      </w:r>
      <w:r>
        <w:rPr>
          <w:spacing w:val="40"/>
          <w:sz w:val="24"/>
        </w:rPr>
        <w:t> </w:t>
      </w:r>
      <w:r>
        <w:rPr>
          <w:sz w:val="24"/>
        </w:rPr>
        <w:t>of</w:t>
      </w:r>
      <w:r>
        <w:rPr>
          <w:spacing w:val="40"/>
          <w:sz w:val="24"/>
        </w:rPr>
        <w:t> </w:t>
      </w:r>
      <w:r>
        <w:rPr>
          <w:sz w:val="24"/>
        </w:rPr>
        <w:t>JTF</w:t>
      </w:r>
      <w:r>
        <w:rPr>
          <w:spacing w:val="80"/>
          <w:sz w:val="24"/>
        </w:rPr>
        <w:t> </w:t>
      </w:r>
      <w:r>
        <w:rPr>
          <w:spacing w:val="-2"/>
          <w:sz w:val="24"/>
        </w:rPr>
        <w:t>approach.</w:t>
      </w:r>
    </w:p>
    <w:p>
      <w:pPr>
        <w:spacing w:before="0"/>
        <w:ind w:left="1440" w:right="0" w:firstLine="0"/>
        <w:jc w:val="left"/>
        <w:rPr>
          <w:sz w:val="24"/>
        </w:rPr>
      </w:pPr>
      <w:r>
        <w:rPr>
          <w:spacing w:val="-2"/>
          <w:sz w:val="24"/>
        </w:rPr>
        <w:t>…………………………………………………………………………………………</w:t>
      </w:r>
    </w:p>
    <w:p>
      <w:pPr>
        <w:spacing w:before="0"/>
        <w:ind w:left="1440" w:right="0" w:firstLine="0"/>
        <w:jc w:val="left"/>
        <w:rPr>
          <w:sz w:val="24"/>
        </w:rPr>
      </w:pPr>
      <w:r>
        <w:rPr>
          <w:spacing w:val="-2"/>
          <w:sz w:val="24"/>
        </w:rPr>
        <w:t>……………………………………………………………………………………</w:t>
      </w:r>
    </w:p>
    <w:p>
      <w:pPr>
        <w:pStyle w:val="BodyText"/>
        <w:ind w:left="0"/>
      </w:pPr>
    </w:p>
    <w:p>
      <w:pPr>
        <w:pStyle w:val="ListParagraph"/>
        <w:numPr>
          <w:ilvl w:val="0"/>
          <w:numId w:val="34"/>
        </w:numPr>
        <w:tabs>
          <w:tab w:pos="1860" w:val="left" w:leader="none"/>
        </w:tabs>
        <w:spacing w:line="240" w:lineRule="auto" w:before="0" w:after="0"/>
        <w:ind w:left="1860" w:right="0" w:hanging="420"/>
        <w:jc w:val="left"/>
        <w:rPr>
          <w:sz w:val="24"/>
        </w:rPr>
      </w:pPr>
      <w:r>
        <w:rPr>
          <w:sz w:val="24"/>
        </w:rPr>
        <w:t>Who</w:t>
      </w:r>
      <w:r>
        <w:rPr>
          <w:spacing w:val="-5"/>
          <w:sz w:val="24"/>
        </w:rPr>
        <w:t> </w:t>
      </w:r>
      <w:r>
        <w:rPr>
          <w:sz w:val="24"/>
        </w:rPr>
        <w:t>are</w:t>
      </w:r>
      <w:r>
        <w:rPr>
          <w:spacing w:val="-6"/>
          <w:sz w:val="24"/>
        </w:rPr>
        <w:t> </w:t>
      </w:r>
      <w:r>
        <w:rPr>
          <w:sz w:val="24"/>
        </w:rPr>
        <w:t>the</w:t>
      </w:r>
      <w:r>
        <w:rPr>
          <w:spacing w:val="-4"/>
          <w:sz w:val="24"/>
        </w:rPr>
        <w:t> </w:t>
      </w:r>
      <w:r>
        <w:rPr>
          <w:sz w:val="24"/>
        </w:rPr>
        <w:t>main</w:t>
      </w:r>
      <w:r>
        <w:rPr>
          <w:spacing w:val="-4"/>
          <w:sz w:val="24"/>
        </w:rPr>
        <w:t> </w:t>
      </w:r>
      <w:r>
        <w:rPr>
          <w:sz w:val="24"/>
        </w:rPr>
        <w:t>role‟s</w:t>
      </w:r>
      <w:r>
        <w:rPr>
          <w:spacing w:val="-2"/>
          <w:sz w:val="24"/>
        </w:rPr>
        <w:t> </w:t>
      </w:r>
      <w:r>
        <w:rPr>
          <w:sz w:val="24"/>
        </w:rPr>
        <w:t>players</w:t>
      </w:r>
      <w:r>
        <w:rPr>
          <w:spacing w:val="-5"/>
          <w:sz w:val="24"/>
        </w:rPr>
        <w:t> </w:t>
      </w:r>
      <w:r>
        <w:rPr>
          <w:sz w:val="24"/>
        </w:rPr>
        <w:t>in</w:t>
      </w:r>
      <w:r>
        <w:rPr>
          <w:spacing w:val="-4"/>
          <w:sz w:val="24"/>
        </w:rPr>
        <w:t> </w:t>
      </w:r>
      <w:r>
        <w:rPr>
          <w:sz w:val="24"/>
        </w:rPr>
        <w:t>the</w:t>
      </w:r>
      <w:r>
        <w:rPr>
          <w:spacing w:val="-4"/>
          <w:sz w:val="24"/>
        </w:rPr>
        <w:t> </w:t>
      </w:r>
      <w:r>
        <w:rPr>
          <w:sz w:val="24"/>
        </w:rPr>
        <w:t>militant</w:t>
      </w:r>
      <w:r>
        <w:rPr>
          <w:spacing w:val="-4"/>
          <w:sz w:val="24"/>
        </w:rPr>
        <w:t> </w:t>
      </w:r>
      <w:r>
        <w:rPr>
          <w:spacing w:val="-2"/>
          <w:sz w:val="24"/>
        </w:rPr>
        <w:t>activities?</w:t>
      </w:r>
    </w:p>
    <w:p>
      <w:pPr>
        <w:spacing w:before="1"/>
        <w:ind w:left="1440" w:right="0" w:firstLine="0"/>
        <w:jc w:val="left"/>
        <w:rPr>
          <w:sz w:val="24"/>
        </w:rPr>
      </w:pPr>
      <w:r>
        <w:rPr>
          <w:spacing w:val="-2"/>
          <w:sz w:val="24"/>
        </w:rPr>
        <w:t>………………………………………………………………………………………</w:t>
      </w:r>
    </w:p>
    <w:p>
      <w:pPr>
        <w:spacing w:before="0"/>
        <w:ind w:left="1440" w:right="0" w:firstLine="0"/>
        <w:jc w:val="left"/>
        <w:rPr>
          <w:sz w:val="24"/>
        </w:rPr>
      </w:pPr>
      <w:r>
        <w:rPr>
          <w:spacing w:val="-2"/>
          <w:sz w:val="24"/>
        </w:rPr>
        <w:t>………………………………………………………………………………………</w:t>
      </w:r>
    </w:p>
    <w:p>
      <w:pPr>
        <w:pStyle w:val="ListParagraph"/>
        <w:numPr>
          <w:ilvl w:val="0"/>
          <w:numId w:val="34"/>
        </w:numPr>
        <w:tabs>
          <w:tab w:pos="1920" w:val="left" w:leader="none"/>
        </w:tabs>
        <w:spacing w:line="240" w:lineRule="auto" w:before="0" w:after="0"/>
        <w:ind w:left="1920" w:right="0" w:hanging="480"/>
        <w:jc w:val="left"/>
        <w:rPr>
          <w:sz w:val="24"/>
        </w:rPr>
      </w:pPr>
      <w:r>
        <w:rPr>
          <w:sz w:val="24"/>
        </w:rPr>
        <w:t>How</w:t>
      </w:r>
      <w:r>
        <w:rPr>
          <w:spacing w:val="-2"/>
          <w:sz w:val="24"/>
        </w:rPr>
        <w:t> </w:t>
      </w:r>
      <w:r>
        <w:rPr>
          <w:sz w:val="24"/>
        </w:rPr>
        <w:t>do the</w:t>
      </w:r>
      <w:r>
        <w:rPr>
          <w:spacing w:val="-1"/>
          <w:sz w:val="24"/>
        </w:rPr>
        <w:t> </w:t>
      </w:r>
      <w:r>
        <w:rPr>
          <w:sz w:val="24"/>
        </w:rPr>
        <w:t>militants mobilized</w:t>
      </w:r>
      <w:r>
        <w:rPr>
          <w:spacing w:val="-1"/>
          <w:sz w:val="24"/>
        </w:rPr>
        <w:t> </w:t>
      </w:r>
      <w:r>
        <w:rPr>
          <w:sz w:val="24"/>
        </w:rPr>
        <w:t>for</w:t>
      </w:r>
      <w:r>
        <w:rPr>
          <w:spacing w:val="-2"/>
          <w:sz w:val="24"/>
        </w:rPr>
        <w:t> resources?</w:t>
      </w:r>
    </w:p>
    <w:p>
      <w:pPr>
        <w:spacing w:before="0"/>
        <w:ind w:left="1440" w:right="0" w:firstLine="0"/>
        <w:jc w:val="left"/>
        <w:rPr>
          <w:sz w:val="24"/>
        </w:rPr>
      </w:pPr>
      <w:r>
        <w:rPr>
          <w:spacing w:val="-2"/>
          <w:sz w:val="24"/>
        </w:rPr>
        <w:t>…………………………………………………………………………………………</w:t>
      </w:r>
    </w:p>
    <w:p>
      <w:pPr>
        <w:spacing w:before="0"/>
        <w:ind w:left="1440" w:right="0" w:firstLine="0"/>
        <w:jc w:val="left"/>
        <w:rPr>
          <w:sz w:val="24"/>
        </w:rPr>
      </w:pPr>
      <w:r>
        <w:rPr>
          <w:spacing w:val="-2"/>
          <w:sz w:val="24"/>
        </w:rPr>
        <w:t>……………………………………………………………………………………</w:t>
      </w:r>
    </w:p>
    <w:p>
      <w:pPr>
        <w:pStyle w:val="BodyText"/>
        <w:ind w:left="0"/>
      </w:pPr>
    </w:p>
    <w:p>
      <w:pPr>
        <w:pStyle w:val="ListParagraph"/>
        <w:numPr>
          <w:ilvl w:val="0"/>
          <w:numId w:val="34"/>
        </w:numPr>
        <w:tabs>
          <w:tab w:pos="1800" w:val="left" w:leader="none"/>
        </w:tabs>
        <w:spacing w:line="240" w:lineRule="auto" w:before="0" w:after="0"/>
        <w:ind w:left="1800" w:right="0" w:hanging="360"/>
        <w:jc w:val="left"/>
        <w:rPr>
          <w:sz w:val="24"/>
        </w:rPr>
      </w:pPr>
      <w:r>
        <w:rPr>
          <w:sz w:val="24"/>
        </w:rPr>
        <w:t>How</w:t>
      </w:r>
      <w:r>
        <w:rPr>
          <w:spacing w:val="-4"/>
          <w:sz w:val="24"/>
        </w:rPr>
        <w:t> </w:t>
      </w:r>
      <w:r>
        <w:rPr>
          <w:sz w:val="24"/>
        </w:rPr>
        <w:t>does</w:t>
      </w:r>
      <w:r>
        <w:rPr>
          <w:spacing w:val="-1"/>
          <w:sz w:val="24"/>
        </w:rPr>
        <w:t> </w:t>
      </w:r>
      <w:r>
        <w:rPr>
          <w:sz w:val="24"/>
        </w:rPr>
        <w:t>the Niger</w:t>
      </w:r>
      <w:r>
        <w:rPr>
          <w:spacing w:val="-1"/>
          <w:sz w:val="24"/>
        </w:rPr>
        <w:t> </w:t>
      </w:r>
      <w:r>
        <w:rPr>
          <w:sz w:val="24"/>
        </w:rPr>
        <w:t>Delta</w:t>
      </w:r>
      <w:r>
        <w:rPr>
          <w:spacing w:val="-1"/>
          <w:sz w:val="24"/>
        </w:rPr>
        <w:t> </w:t>
      </w:r>
      <w:r>
        <w:rPr>
          <w:sz w:val="24"/>
        </w:rPr>
        <w:t>communities</w:t>
      </w:r>
      <w:r>
        <w:rPr>
          <w:spacing w:val="-1"/>
          <w:sz w:val="24"/>
        </w:rPr>
        <w:t> </w:t>
      </w:r>
      <w:r>
        <w:rPr>
          <w:sz w:val="24"/>
        </w:rPr>
        <w:t>perceived</w:t>
      </w:r>
      <w:r>
        <w:rPr>
          <w:spacing w:val="1"/>
          <w:sz w:val="24"/>
        </w:rPr>
        <w:t> </w:t>
      </w:r>
      <w:r>
        <w:rPr>
          <w:sz w:val="24"/>
        </w:rPr>
        <w:t>the</w:t>
      </w:r>
      <w:r>
        <w:rPr>
          <w:spacing w:val="-1"/>
          <w:sz w:val="24"/>
        </w:rPr>
        <w:t> </w:t>
      </w:r>
      <w:r>
        <w:rPr>
          <w:sz w:val="24"/>
        </w:rPr>
        <w:t>JTF</w:t>
      </w:r>
      <w:r>
        <w:rPr>
          <w:spacing w:val="-2"/>
          <w:sz w:val="24"/>
        </w:rPr>
        <w:t> operations?</w:t>
      </w:r>
    </w:p>
    <w:p>
      <w:pPr>
        <w:spacing w:before="0"/>
        <w:ind w:left="1440" w:right="0" w:firstLine="0"/>
        <w:jc w:val="left"/>
        <w:rPr>
          <w:sz w:val="24"/>
        </w:rPr>
      </w:pPr>
      <w:r>
        <w:rPr>
          <w:spacing w:val="-2"/>
          <w:sz w:val="24"/>
        </w:rPr>
        <w:t>…………………………………………………………………………………………</w:t>
      </w:r>
    </w:p>
    <w:p>
      <w:pPr>
        <w:spacing w:before="0"/>
        <w:ind w:left="1440" w:right="0" w:firstLine="0"/>
        <w:jc w:val="left"/>
        <w:rPr>
          <w:sz w:val="24"/>
        </w:rPr>
      </w:pPr>
      <w:r>
        <w:rPr>
          <w:spacing w:val="-2"/>
          <w:sz w:val="24"/>
        </w:rPr>
        <w:t>……………………………………………………………………………………</w:t>
      </w:r>
    </w:p>
    <w:p>
      <w:pPr>
        <w:pStyle w:val="BodyText"/>
        <w:ind w:left="0"/>
      </w:pPr>
    </w:p>
    <w:p>
      <w:pPr>
        <w:pStyle w:val="ListParagraph"/>
        <w:numPr>
          <w:ilvl w:val="0"/>
          <w:numId w:val="34"/>
        </w:numPr>
        <w:tabs>
          <w:tab w:pos="1800" w:val="left" w:leader="none"/>
        </w:tabs>
        <w:spacing w:line="240" w:lineRule="auto" w:before="0" w:after="0"/>
        <w:ind w:left="1800" w:right="1348" w:hanging="360"/>
        <w:jc w:val="left"/>
        <w:rPr>
          <w:sz w:val="24"/>
        </w:rPr>
      </w:pPr>
      <w:r>
        <w:rPr>
          <w:sz w:val="24"/>
        </w:rPr>
        <w:t>Who</w:t>
      </w:r>
      <w:r>
        <w:rPr>
          <w:spacing w:val="-3"/>
          <w:sz w:val="24"/>
        </w:rPr>
        <w:t> </w:t>
      </w:r>
      <w:r>
        <w:rPr>
          <w:sz w:val="24"/>
        </w:rPr>
        <w:t>are</w:t>
      </w:r>
      <w:r>
        <w:rPr>
          <w:spacing w:val="-5"/>
          <w:sz w:val="24"/>
        </w:rPr>
        <w:t> </w:t>
      </w:r>
      <w:r>
        <w:rPr>
          <w:sz w:val="24"/>
        </w:rPr>
        <w:t>the</w:t>
      </w:r>
      <w:r>
        <w:rPr>
          <w:spacing w:val="-3"/>
          <w:sz w:val="24"/>
        </w:rPr>
        <w:t> </w:t>
      </w:r>
      <w:r>
        <w:rPr>
          <w:sz w:val="24"/>
        </w:rPr>
        <w:t>extant</w:t>
      </w:r>
      <w:r>
        <w:rPr>
          <w:spacing w:val="-3"/>
          <w:sz w:val="24"/>
        </w:rPr>
        <w:t> </w:t>
      </w:r>
      <w:r>
        <w:rPr>
          <w:sz w:val="24"/>
        </w:rPr>
        <w:t>stakeholders</w:t>
      </w:r>
      <w:r>
        <w:rPr>
          <w:spacing w:val="-3"/>
          <w:sz w:val="24"/>
        </w:rPr>
        <w:t> </w:t>
      </w:r>
      <w:r>
        <w:rPr>
          <w:sz w:val="24"/>
        </w:rPr>
        <w:t>the</w:t>
      </w:r>
      <w:r>
        <w:rPr>
          <w:spacing w:val="-3"/>
          <w:sz w:val="24"/>
        </w:rPr>
        <w:t> </w:t>
      </w:r>
      <w:r>
        <w:rPr>
          <w:sz w:val="24"/>
        </w:rPr>
        <w:t>JTF</w:t>
      </w:r>
      <w:r>
        <w:rPr>
          <w:spacing w:val="-5"/>
          <w:sz w:val="24"/>
        </w:rPr>
        <w:t> </w:t>
      </w:r>
      <w:r>
        <w:rPr>
          <w:sz w:val="24"/>
        </w:rPr>
        <w:t>ought</w:t>
      </w:r>
      <w:r>
        <w:rPr>
          <w:spacing w:val="-3"/>
          <w:sz w:val="24"/>
        </w:rPr>
        <w:t> </w:t>
      </w:r>
      <w:r>
        <w:rPr>
          <w:sz w:val="24"/>
        </w:rPr>
        <w:t>to</w:t>
      </w:r>
      <w:r>
        <w:rPr>
          <w:spacing w:val="-1"/>
          <w:sz w:val="24"/>
        </w:rPr>
        <w:t> </w:t>
      </w:r>
      <w:r>
        <w:rPr>
          <w:sz w:val="24"/>
        </w:rPr>
        <w:t>have</w:t>
      </w:r>
      <w:r>
        <w:rPr>
          <w:spacing w:val="-4"/>
          <w:sz w:val="24"/>
        </w:rPr>
        <w:t> </w:t>
      </w:r>
      <w:r>
        <w:rPr>
          <w:sz w:val="24"/>
        </w:rPr>
        <w:t>partnered</w:t>
      </w:r>
      <w:r>
        <w:rPr>
          <w:spacing w:val="-1"/>
          <w:sz w:val="24"/>
        </w:rPr>
        <w:t> </w:t>
      </w:r>
      <w:r>
        <w:rPr>
          <w:sz w:val="24"/>
        </w:rPr>
        <w:t>with</w:t>
      </w:r>
      <w:r>
        <w:rPr>
          <w:spacing w:val="-3"/>
          <w:sz w:val="24"/>
        </w:rPr>
        <w:t> </w:t>
      </w:r>
      <w:r>
        <w:rPr>
          <w:sz w:val="24"/>
        </w:rPr>
        <w:t>towards</w:t>
      </w:r>
      <w:r>
        <w:rPr>
          <w:spacing w:val="-3"/>
          <w:sz w:val="24"/>
        </w:rPr>
        <w:t> </w:t>
      </w:r>
      <w:r>
        <w:rPr>
          <w:sz w:val="24"/>
        </w:rPr>
        <w:t>the management of the Niger Delta crisis?</w:t>
      </w:r>
    </w:p>
    <w:p>
      <w:pPr>
        <w:spacing w:before="0"/>
        <w:ind w:left="1440" w:right="0" w:firstLine="0"/>
        <w:jc w:val="left"/>
        <w:rPr>
          <w:sz w:val="24"/>
        </w:rPr>
      </w:pPr>
      <w:r>
        <w:rPr>
          <w:spacing w:val="-2"/>
          <w:sz w:val="24"/>
        </w:rPr>
        <w:t>…………………………………………………………………………………………</w:t>
      </w:r>
    </w:p>
    <w:p>
      <w:pPr>
        <w:spacing w:before="0"/>
        <w:ind w:left="1440" w:right="0" w:firstLine="0"/>
        <w:jc w:val="left"/>
        <w:rPr>
          <w:sz w:val="24"/>
        </w:rPr>
      </w:pPr>
      <w:r>
        <w:rPr>
          <w:spacing w:val="-2"/>
          <w:sz w:val="24"/>
        </w:rPr>
        <w:t>……………………………………………………………………………………</w:t>
      </w:r>
    </w:p>
    <w:p>
      <w:pPr>
        <w:spacing w:after="0"/>
        <w:jc w:val="left"/>
        <w:rPr>
          <w:sz w:val="24"/>
        </w:rPr>
        <w:sectPr>
          <w:pgSz w:w="11910" w:h="16840"/>
          <w:pgMar w:header="0" w:footer="1561" w:top="1900" w:bottom="1760" w:left="720" w:right="180"/>
        </w:sectPr>
      </w:pPr>
    </w:p>
    <w:p>
      <w:pPr>
        <w:spacing w:before="91"/>
        <w:ind w:left="0" w:right="197" w:firstLine="0"/>
        <w:jc w:val="center"/>
        <w:rPr>
          <w:b/>
          <w:sz w:val="20"/>
        </w:rPr>
      </w:pPr>
      <w:r>
        <w:rPr/>
        <mc:AlternateContent>
          <mc:Choice Requires="wps">
            <w:drawing>
              <wp:anchor distT="0" distB="0" distL="0" distR="0" allowOverlap="1" layoutInCell="1" locked="0" behindDoc="1" simplePos="0" relativeHeight="480708608">
                <wp:simplePos x="0" y="0"/>
                <wp:positionH relativeFrom="page">
                  <wp:posOffset>-1537026</wp:posOffset>
                </wp:positionH>
                <wp:positionV relativeFrom="page">
                  <wp:posOffset>4900424</wp:posOffset>
                </wp:positionV>
                <wp:extent cx="10669905" cy="914400"/>
                <wp:effectExtent l="0" t="0" r="0" b="0"/>
                <wp:wrapNone/>
                <wp:docPr id="400" name="Textbox 400"/>
                <wp:cNvGraphicFramePr>
                  <a:graphicFrameLocks/>
                </wp:cNvGraphicFramePr>
                <a:graphic>
                  <a:graphicData uri="http://schemas.microsoft.com/office/word/2010/wordprocessingShape">
                    <wps:wsp>
                      <wps:cNvPr id="400" name="Textbox 400"/>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07872;rotation:306" type="#_x0000_t136" fillcolor="#ff5400" stroked="f">
                <o:extrusion v:ext="view" autorotationcenter="t"/>
                <v:textpath style="font-family:&quot;Arial MT&quot;;font-size:72pt;v-text-kern:t;mso-text-shadow:auto" string="UNIVERSITY OF IBADAN"/>
                <w10:wrap type="none"/>
              </v:shape>
            </w:pict>
          </mc:Fallback>
        </mc:AlternateContent>
      </w:r>
      <w:r>
        <w:rPr>
          <w:b/>
          <w:sz w:val="24"/>
        </w:rPr>
        <w:t>APPENDIX</w:t>
      </w:r>
      <w:r>
        <w:rPr>
          <w:b/>
          <w:spacing w:val="-6"/>
          <w:sz w:val="24"/>
        </w:rPr>
        <w:t> </w:t>
      </w:r>
      <w:r>
        <w:rPr>
          <w:b/>
          <w:sz w:val="24"/>
        </w:rPr>
        <w:t>3</w:t>
      </w:r>
      <w:r>
        <w:rPr>
          <w:b/>
          <w:spacing w:val="-4"/>
          <w:sz w:val="24"/>
        </w:rPr>
        <w:t> </w:t>
      </w:r>
      <w:r>
        <w:rPr>
          <w:b/>
          <w:sz w:val="24"/>
        </w:rPr>
        <w:t>:</w:t>
      </w:r>
      <w:r>
        <w:rPr>
          <w:b/>
          <w:spacing w:val="53"/>
          <w:sz w:val="24"/>
        </w:rPr>
        <w:t> </w:t>
      </w:r>
      <w:r>
        <w:rPr>
          <w:b/>
          <w:sz w:val="20"/>
        </w:rPr>
        <w:t>LIST</w:t>
      </w:r>
      <w:r>
        <w:rPr>
          <w:b/>
          <w:spacing w:val="-4"/>
          <w:sz w:val="20"/>
        </w:rPr>
        <w:t> </w:t>
      </w:r>
      <w:r>
        <w:rPr>
          <w:b/>
          <w:sz w:val="20"/>
        </w:rPr>
        <w:t>OF</w:t>
      </w:r>
      <w:r>
        <w:rPr>
          <w:b/>
          <w:spacing w:val="-4"/>
          <w:sz w:val="20"/>
        </w:rPr>
        <w:t> </w:t>
      </w:r>
      <w:r>
        <w:rPr>
          <w:b/>
          <w:sz w:val="20"/>
        </w:rPr>
        <w:t>KEY</w:t>
      </w:r>
      <w:r>
        <w:rPr>
          <w:b/>
          <w:spacing w:val="-4"/>
          <w:sz w:val="20"/>
        </w:rPr>
        <w:t> </w:t>
      </w:r>
      <w:r>
        <w:rPr>
          <w:b/>
          <w:sz w:val="20"/>
        </w:rPr>
        <w:t>PERSONNEL</w:t>
      </w:r>
      <w:r>
        <w:rPr>
          <w:b/>
          <w:spacing w:val="-4"/>
          <w:sz w:val="20"/>
        </w:rPr>
        <w:t> </w:t>
      </w:r>
      <w:r>
        <w:rPr>
          <w:b/>
          <w:sz w:val="20"/>
        </w:rPr>
        <w:t>INTERVIEWED</w:t>
      </w:r>
      <w:r>
        <w:rPr>
          <w:b/>
          <w:spacing w:val="46"/>
          <w:sz w:val="20"/>
        </w:rPr>
        <w:t> </w:t>
      </w:r>
      <w:r>
        <w:rPr>
          <w:b/>
          <w:sz w:val="20"/>
        </w:rPr>
        <w:t>(PRIMARY</w:t>
      </w:r>
      <w:r>
        <w:rPr>
          <w:b/>
          <w:spacing w:val="-3"/>
          <w:sz w:val="20"/>
        </w:rPr>
        <w:t> </w:t>
      </w:r>
      <w:r>
        <w:rPr>
          <w:b/>
          <w:spacing w:val="-2"/>
          <w:sz w:val="20"/>
        </w:rPr>
        <w:t>SOURCES)</w:t>
      </w:r>
    </w:p>
    <w:p>
      <w:pPr>
        <w:pStyle w:val="BodyText"/>
        <w:spacing w:before="13" w:after="1"/>
        <w:ind w:left="0"/>
        <w:rPr>
          <w:b/>
          <w:sz w:val="20"/>
        </w:rPr>
      </w:pPr>
    </w:p>
    <w:tbl>
      <w:tblPr>
        <w:tblW w:w="0" w:type="auto"/>
        <w:jc w:val="left"/>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0"/>
        <w:gridCol w:w="2578"/>
        <w:gridCol w:w="1692"/>
        <w:gridCol w:w="1892"/>
        <w:gridCol w:w="1057"/>
        <w:gridCol w:w="2184"/>
      </w:tblGrid>
      <w:tr>
        <w:trPr>
          <w:trHeight w:val="858" w:hRule="atLeast"/>
        </w:trPr>
        <w:tc>
          <w:tcPr>
            <w:tcW w:w="590" w:type="dxa"/>
          </w:tcPr>
          <w:p>
            <w:pPr>
              <w:pStyle w:val="TableParagraph"/>
              <w:spacing w:line="225" w:lineRule="exact"/>
              <w:ind w:left="107"/>
              <w:rPr>
                <w:sz w:val="20"/>
              </w:rPr>
            </w:pPr>
            <w:r>
              <w:rPr>
                <w:spacing w:val="-5"/>
                <w:sz w:val="20"/>
              </w:rPr>
              <w:t>S/N</w:t>
            </w:r>
          </w:p>
        </w:tc>
        <w:tc>
          <w:tcPr>
            <w:tcW w:w="2578" w:type="dxa"/>
          </w:tcPr>
          <w:p>
            <w:pPr>
              <w:pStyle w:val="TableParagraph"/>
              <w:spacing w:line="225" w:lineRule="exact"/>
              <w:ind w:left="108"/>
              <w:rPr>
                <w:sz w:val="20"/>
              </w:rPr>
            </w:pPr>
            <w:r>
              <w:rPr>
                <w:spacing w:val="-2"/>
                <w:sz w:val="20"/>
              </w:rPr>
              <w:t>INFORMANTS</w:t>
            </w:r>
          </w:p>
        </w:tc>
        <w:tc>
          <w:tcPr>
            <w:tcW w:w="1692" w:type="dxa"/>
          </w:tcPr>
          <w:p>
            <w:pPr>
              <w:pStyle w:val="TableParagraph"/>
              <w:spacing w:line="225" w:lineRule="exact"/>
              <w:ind w:left="108"/>
              <w:rPr>
                <w:sz w:val="20"/>
              </w:rPr>
            </w:pPr>
            <w:r>
              <w:rPr>
                <w:spacing w:val="-2"/>
                <w:sz w:val="20"/>
              </w:rPr>
              <w:t>ADDRESS</w:t>
            </w:r>
          </w:p>
        </w:tc>
        <w:tc>
          <w:tcPr>
            <w:tcW w:w="1892" w:type="dxa"/>
          </w:tcPr>
          <w:p>
            <w:pPr>
              <w:pStyle w:val="TableParagraph"/>
              <w:spacing w:line="225" w:lineRule="exact"/>
              <w:ind w:left="108"/>
              <w:rPr>
                <w:sz w:val="20"/>
              </w:rPr>
            </w:pPr>
            <w:r>
              <w:rPr>
                <w:spacing w:val="-2"/>
                <w:sz w:val="20"/>
              </w:rPr>
              <w:t>OCCUPATION/</w:t>
            </w:r>
          </w:p>
          <w:p>
            <w:pPr>
              <w:pStyle w:val="TableParagraph"/>
              <w:spacing w:before="199"/>
              <w:ind w:left="108"/>
              <w:rPr>
                <w:sz w:val="20"/>
              </w:rPr>
            </w:pPr>
            <w:r>
              <w:rPr>
                <w:spacing w:val="-2"/>
                <w:sz w:val="20"/>
              </w:rPr>
              <w:t>STATUS</w:t>
            </w:r>
          </w:p>
        </w:tc>
        <w:tc>
          <w:tcPr>
            <w:tcW w:w="1057" w:type="dxa"/>
          </w:tcPr>
          <w:p>
            <w:pPr>
              <w:pStyle w:val="TableParagraph"/>
              <w:spacing w:line="225" w:lineRule="exact"/>
              <w:ind w:left="105"/>
              <w:rPr>
                <w:sz w:val="20"/>
              </w:rPr>
            </w:pPr>
            <w:r>
              <w:rPr>
                <w:spacing w:val="-2"/>
                <w:sz w:val="20"/>
              </w:rPr>
              <w:t>AGE(YR)</w:t>
            </w:r>
          </w:p>
        </w:tc>
        <w:tc>
          <w:tcPr>
            <w:tcW w:w="2184" w:type="dxa"/>
          </w:tcPr>
          <w:p>
            <w:pPr>
              <w:pStyle w:val="TableParagraph"/>
              <w:spacing w:line="242" w:lineRule="auto"/>
              <w:ind w:left="129" w:right="133"/>
              <w:rPr>
                <w:sz w:val="20"/>
              </w:rPr>
            </w:pPr>
            <w:r>
              <w:rPr>
                <w:sz w:val="20"/>
              </w:rPr>
              <w:t>DATE OF </w:t>
            </w:r>
            <w:r>
              <w:rPr>
                <w:spacing w:val="-2"/>
                <w:sz w:val="20"/>
              </w:rPr>
              <w:t>INTERVIEW</w:t>
            </w:r>
          </w:p>
        </w:tc>
      </w:tr>
      <w:tr>
        <w:trPr>
          <w:trHeight w:val="659" w:hRule="atLeast"/>
        </w:trPr>
        <w:tc>
          <w:tcPr>
            <w:tcW w:w="590" w:type="dxa"/>
          </w:tcPr>
          <w:p>
            <w:pPr>
              <w:pStyle w:val="TableParagraph"/>
              <w:spacing w:line="225" w:lineRule="exact"/>
              <w:ind w:left="107"/>
              <w:rPr>
                <w:sz w:val="20"/>
              </w:rPr>
            </w:pPr>
            <w:r>
              <w:rPr>
                <w:spacing w:val="-5"/>
                <w:sz w:val="20"/>
              </w:rPr>
              <w:t>1.</w:t>
            </w:r>
          </w:p>
        </w:tc>
        <w:tc>
          <w:tcPr>
            <w:tcW w:w="2578" w:type="dxa"/>
          </w:tcPr>
          <w:p>
            <w:pPr>
              <w:pStyle w:val="TableParagraph"/>
              <w:spacing w:line="225" w:lineRule="exact"/>
              <w:ind w:left="108"/>
              <w:rPr>
                <w:sz w:val="20"/>
              </w:rPr>
            </w:pPr>
            <w:r>
              <w:rPr>
                <w:sz w:val="20"/>
              </w:rPr>
              <w:t>Maj</w:t>
            </w:r>
            <w:r>
              <w:rPr>
                <w:spacing w:val="-2"/>
                <w:sz w:val="20"/>
              </w:rPr>
              <w:t> </w:t>
            </w:r>
            <w:r>
              <w:rPr>
                <w:sz w:val="20"/>
              </w:rPr>
              <w:t>Gen</w:t>
            </w:r>
            <w:r>
              <w:rPr>
                <w:spacing w:val="-4"/>
                <w:sz w:val="20"/>
              </w:rPr>
              <w:t> </w:t>
            </w:r>
            <w:r>
              <w:rPr>
                <w:sz w:val="20"/>
              </w:rPr>
              <w:t>S.Y.</w:t>
            </w:r>
            <w:r>
              <w:rPr>
                <w:spacing w:val="-3"/>
                <w:sz w:val="20"/>
              </w:rPr>
              <w:t> </w:t>
            </w:r>
            <w:r>
              <w:rPr>
                <w:spacing w:val="-2"/>
                <w:sz w:val="20"/>
              </w:rPr>
              <w:t>Bello</w:t>
            </w:r>
          </w:p>
        </w:tc>
        <w:tc>
          <w:tcPr>
            <w:tcW w:w="1692" w:type="dxa"/>
          </w:tcPr>
          <w:p>
            <w:pPr>
              <w:pStyle w:val="TableParagraph"/>
              <w:spacing w:line="242" w:lineRule="auto"/>
              <w:ind w:left="108"/>
              <w:rPr>
                <w:sz w:val="20"/>
              </w:rPr>
            </w:pPr>
            <w:r>
              <w:rPr>
                <w:sz w:val="20"/>
              </w:rPr>
              <w:t>Bori Camp, </w:t>
            </w:r>
            <w:r>
              <w:rPr>
                <w:spacing w:val="-2"/>
                <w:sz w:val="20"/>
              </w:rPr>
              <w:t>PortHarcourt</w:t>
            </w:r>
          </w:p>
        </w:tc>
        <w:tc>
          <w:tcPr>
            <w:tcW w:w="1892" w:type="dxa"/>
          </w:tcPr>
          <w:p>
            <w:pPr>
              <w:pStyle w:val="TableParagraph"/>
              <w:spacing w:line="225" w:lineRule="exact"/>
              <w:ind w:left="108"/>
              <w:rPr>
                <w:sz w:val="20"/>
              </w:rPr>
            </w:pPr>
            <w:r>
              <w:rPr>
                <w:spacing w:val="-2"/>
                <w:sz w:val="20"/>
              </w:rPr>
              <w:t>Commander</w:t>
            </w:r>
          </w:p>
        </w:tc>
        <w:tc>
          <w:tcPr>
            <w:tcW w:w="1057" w:type="dxa"/>
          </w:tcPr>
          <w:p>
            <w:pPr>
              <w:pStyle w:val="TableParagraph"/>
              <w:spacing w:line="225" w:lineRule="exact"/>
              <w:ind w:left="105"/>
              <w:rPr>
                <w:sz w:val="20"/>
              </w:rPr>
            </w:pPr>
            <w:r>
              <w:rPr>
                <w:spacing w:val="-5"/>
                <w:sz w:val="20"/>
              </w:rPr>
              <w:t>54</w:t>
            </w:r>
          </w:p>
        </w:tc>
        <w:tc>
          <w:tcPr>
            <w:tcW w:w="2184" w:type="dxa"/>
          </w:tcPr>
          <w:p>
            <w:pPr>
              <w:pStyle w:val="TableParagraph"/>
              <w:spacing w:line="225" w:lineRule="exact"/>
              <w:ind w:left="107"/>
              <w:rPr>
                <w:sz w:val="20"/>
              </w:rPr>
            </w:pPr>
            <w:r>
              <w:rPr>
                <w:sz w:val="20"/>
              </w:rPr>
              <w:t>27</w:t>
            </w:r>
            <w:r>
              <w:rPr>
                <w:spacing w:val="-5"/>
                <w:sz w:val="20"/>
              </w:rPr>
              <w:t> </w:t>
            </w:r>
            <w:r>
              <w:rPr>
                <w:sz w:val="20"/>
              </w:rPr>
              <w:t>December,</w:t>
            </w:r>
            <w:r>
              <w:rPr>
                <w:spacing w:val="-6"/>
                <w:sz w:val="20"/>
              </w:rPr>
              <w:t> </w:t>
            </w:r>
            <w:r>
              <w:rPr>
                <w:spacing w:val="-4"/>
                <w:sz w:val="20"/>
              </w:rPr>
              <w:t>2008</w:t>
            </w:r>
          </w:p>
        </w:tc>
      </w:tr>
      <w:tr>
        <w:trPr>
          <w:trHeight w:val="431" w:hRule="atLeast"/>
        </w:trPr>
        <w:tc>
          <w:tcPr>
            <w:tcW w:w="590" w:type="dxa"/>
          </w:tcPr>
          <w:p>
            <w:pPr>
              <w:pStyle w:val="TableParagraph"/>
              <w:spacing w:line="228" w:lineRule="exact"/>
              <w:ind w:left="107"/>
              <w:rPr>
                <w:sz w:val="20"/>
              </w:rPr>
            </w:pPr>
            <w:r>
              <w:rPr>
                <w:spacing w:val="-5"/>
                <w:sz w:val="20"/>
              </w:rPr>
              <w:t>2.</w:t>
            </w:r>
          </w:p>
        </w:tc>
        <w:tc>
          <w:tcPr>
            <w:tcW w:w="2578" w:type="dxa"/>
          </w:tcPr>
          <w:p>
            <w:pPr>
              <w:pStyle w:val="TableParagraph"/>
              <w:spacing w:line="228" w:lineRule="exact"/>
              <w:ind w:left="108"/>
              <w:rPr>
                <w:sz w:val="20"/>
              </w:rPr>
            </w:pPr>
            <w:r>
              <w:rPr>
                <w:sz w:val="20"/>
              </w:rPr>
              <w:t>Brig</w:t>
            </w:r>
            <w:r>
              <w:rPr>
                <w:spacing w:val="44"/>
                <w:sz w:val="20"/>
              </w:rPr>
              <w:t> </w:t>
            </w:r>
            <w:r>
              <w:rPr>
                <w:sz w:val="20"/>
              </w:rPr>
              <w:t>Gen</w:t>
            </w:r>
            <w:r>
              <w:rPr>
                <w:spacing w:val="-3"/>
                <w:sz w:val="20"/>
              </w:rPr>
              <w:t> </w:t>
            </w:r>
            <w:r>
              <w:rPr>
                <w:sz w:val="20"/>
              </w:rPr>
              <w:t>N.W.</w:t>
            </w:r>
            <w:r>
              <w:rPr>
                <w:spacing w:val="-3"/>
                <w:sz w:val="20"/>
              </w:rPr>
              <w:t> </w:t>
            </w:r>
            <w:r>
              <w:rPr>
                <w:spacing w:val="-2"/>
                <w:sz w:val="20"/>
              </w:rPr>
              <w:t>Rimtip</w:t>
            </w:r>
          </w:p>
        </w:tc>
        <w:tc>
          <w:tcPr>
            <w:tcW w:w="1692" w:type="dxa"/>
          </w:tcPr>
          <w:p>
            <w:pPr>
              <w:pStyle w:val="TableParagraph"/>
              <w:spacing w:line="228" w:lineRule="exact"/>
              <w:ind w:left="108"/>
              <w:rPr>
                <w:sz w:val="20"/>
              </w:rPr>
            </w:pPr>
            <w:r>
              <w:rPr>
                <w:sz w:val="20"/>
              </w:rPr>
              <w:t>JTF</w:t>
            </w:r>
            <w:r>
              <w:rPr>
                <w:spacing w:val="-6"/>
                <w:sz w:val="20"/>
              </w:rPr>
              <w:t> </w:t>
            </w:r>
            <w:r>
              <w:rPr>
                <w:sz w:val="20"/>
              </w:rPr>
              <w:t>Camp,</w:t>
            </w:r>
            <w:r>
              <w:rPr>
                <w:spacing w:val="-5"/>
                <w:sz w:val="20"/>
              </w:rPr>
              <w:t> </w:t>
            </w:r>
            <w:r>
              <w:rPr>
                <w:spacing w:val="-2"/>
                <w:sz w:val="20"/>
              </w:rPr>
              <w:t>Warri</w:t>
            </w:r>
          </w:p>
        </w:tc>
        <w:tc>
          <w:tcPr>
            <w:tcW w:w="1892" w:type="dxa"/>
          </w:tcPr>
          <w:p>
            <w:pPr>
              <w:pStyle w:val="TableParagraph"/>
              <w:spacing w:line="228" w:lineRule="exact"/>
              <w:ind w:left="108"/>
              <w:rPr>
                <w:sz w:val="20"/>
              </w:rPr>
            </w:pPr>
            <w:r>
              <w:rPr>
                <w:spacing w:val="-2"/>
                <w:sz w:val="20"/>
              </w:rPr>
              <w:t>Commander</w:t>
            </w:r>
          </w:p>
        </w:tc>
        <w:tc>
          <w:tcPr>
            <w:tcW w:w="1057" w:type="dxa"/>
          </w:tcPr>
          <w:p>
            <w:pPr>
              <w:pStyle w:val="TableParagraph"/>
              <w:spacing w:line="228" w:lineRule="exact"/>
              <w:ind w:left="105"/>
              <w:rPr>
                <w:sz w:val="20"/>
              </w:rPr>
            </w:pPr>
            <w:r>
              <w:rPr>
                <w:spacing w:val="-5"/>
                <w:sz w:val="20"/>
              </w:rPr>
              <w:t>53</w:t>
            </w:r>
          </w:p>
        </w:tc>
        <w:tc>
          <w:tcPr>
            <w:tcW w:w="2184" w:type="dxa"/>
          </w:tcPr>
          <w:p>
            <w:pPr>
              <w:pStyle w:val="TableParagraph"/>
              <w:spacing w:line="228" w:lineRule="exact"/>
              <w:ind w:left="107"/>
              <w:rPr>
                <w:sz w:val="20"/>
              </w:rPr>
            </w:pPr>
            <w:r>
              <w:rPr>
                <w:sz w:val="20"/>
              </w:rPr>
              <w:t>29</w:t>
            </w:r>
            <w:r>
              <w:rPr>
                <w:spacing w:val="-5"/>
                <w:sz w:val="20"/>
              </w:rPr>
              <w:t> </w:t>
            </w:r>
            <w:r>
              <w:rPr>
                <w:sz w:val="20"/>
              </w:rPr>
              <w:t>December.</w:t>
            </w:r>
            <w:r>
              <w:rPr>
                <w:spacing w:val="-6"/>
                <w:sz w:val="20"/>
              </w:rPr>
              <w:t> </w:t>
            </w:r>
            <w:r>
              <w:rPr>
                <w:spacing w:val="-4"/>
                <w:sz w:val="20"/>
              </w:rPr>
              <w:t>2008</w:t>
            </w:r>
          </w:p>
        </w:tc>
      </w:tr>
      <w:tr>
        <w:trPr>
          <w:trHeight w:val="429" w:hRule="atLeast"/>
        </w:trPr>
        <w:tc>
          <w:tcPr>
            <w:tcW w:w="590" w:type="dxa"/>
          </w:tcPr>
          <w:p>
            <w:pPr>
              <w:pStyle w:val="TableParagraph"/>
              <w:spacing w:line="225" w:lineRule="exact"/>
              <w:ind w:left="107"/>
              <w:rPr>
                <w:sz w:val="20"/>
              </w:rPr>
            </w:pPr>
            <w:r>
              <w:rPr>
                <w:spacing w:val="-5"/>
                <w:sz w:val="20"/>
              </w:rPr>
              <w:t>3.</w:t>
            </w:r>
          </w:p>
        </w:tc>
        <w:tc>
          <w:tcPr>
            <w:tcW w:w="2578" w:type="dxa"/>
          </w:tcPr>
          <w:p>
            <w:pPr>
              <w:pStyle w:val="TableParagraph"/>
              <w:spacing w:line="225" w:lineRule="exact"/>
              <w:ind w:left="108"/>
              <w:rPr>
                <w:sz w:val="20"/>
              </w:rPr>
            </w:pPr>
            <w:r>
              <w:rPr>
                <w:sz w:val="20"/>
              </w:rPr>
              <w:t>Maj</w:t>
            </w:r>
            <w:r>
              <w:rPr>
                <w:spacing w:val="-1"/>
                <w:sz w:val="20"/>
              </w:rPr>
              <w:t> </w:t>
            </w:r>
            <w:r>
              <w:rPr>
                <w:sz w:val="20"/>
              </w:rPr>
              <w:t>Gen</w:t>
            </w:r>
            <w:r>
              <w:rPr>
                <w:spacing w:val="-3"/>
                <w:sz w:val="20"/>
              </w:rPr>
              <w:t> </w:t>
            </w:r>
            <w:r>
              <w:rPr>
                <w:sz w:val="20"/>
              </w:rPr>
              <w:t>I.</w:t>
            </w:r>
            <w:r>
              <w:rPr>
                <w:spacing w:val="-3"/>
                <w:sz w:val="20"/>
              </w:rPr>
              <w:t> </w:t>
            </w:r>
            <w:r>
              <w:rPr>
                <w:sz w:val="20"/>
              </w:rPr>
              <w:t>D.</w:t>
            </w:r>
            <w:r>
              <w:rPr>
                <w:spacing w:val="-2"/>
                <w:sz w:val="20"/>
              </w:rPr>
              <w:t> Pennap</w:t>
            </w:r>
          </w:p>
        </w:tc>
        <w:tc>
          <w:tcPr>
            <w:tcW w:w="1692" w:type="dxa"/>
          </w:tcPr>
          <w:p>
            <w:pPr>
              <w:pStyle w:val="TableParagraph"/>
              <w:spacing w:line="225" w:lineRule="exact"/>
              <w:ind w:left="108"/>
              <w:rPr>
                <w:sz w:val="20"/>
              </w:rPr>
            </w:pPr>
            <w:r>
              <w:rPr>
                <w:sz w:val="20"/>
              </w:rPr>
              <w:t>DHQ</w:t>
            </w:r>
            <w:r>
              <w:rPr>
                <w:spacing w:val="-2"/>
                <w:sz w:val="20"/>
              </w:rPr>
              <w:t> Abuja</w:t>
            </w:r>
          </w:p>
        </w:tc>
        <w:tc>
          <w:tcPr>
            <w:tcW w:w="1892" w:type="dxa"/>
          </w:tcPr>
          <w:p>
            <w:pPr>
              <w:pStyle w:val="TableParagraph"/>
              <w:spacing w:line="225" w:lineRule="exact"/>
              <w:ind w:left="108"/>
              <w:rPr>
                <w:sz w:val="20"/>
              </w:rPr>
            </w:pPr>
            <w:r>
              <w:rPr>
                <w:sz w:val="20"/>
              </w:rPr>
              <w:t>Chief</w:t>
            </w:r>
            <w:r>
              <w:rPr>
                <w:spacing w:val="-6"/>
                <w:sz w:val="20"/>
              </w:rPr>
              <w:t> </w:t>
            </w:r>
            <w:r>
              <w:rPr>
                <w:sz w:val="20"/>
              </w:rPr>
              <w:t>of</w:t>
            </w:r>
            <w:r>
              <w:rPr>
                <w:spacing w:val="-5"/>
                <w:sz w:val="20"/>
              </w:rPr>
              <w:t> </w:t>
            </w:r>
            <w:r>
              <w:rPr>
                <w:spacing w:val="-2"/>
                <w:sz w:val="20"/>
              </w:rPr>
              <w:t>Operations</w:t>
            </w:r>
          </w:p>
        </w:tc>
        <w:tc>
          <w:tcPr>
            <w:tcW w:w="1057" w:type="dxa"/>
          </w:tcPr>
          <w:p>
            <w:pPr>
              <w:pStyle w:val="TableParagraph"/>
              <w:spacing w:line="225" w:lineRule="exact"/>
              <w:ind w:left="105"/>
              <w:rPr>
                <w:sz w:val="20"/>
              </w:rPr>
            </w:pPr>
            <w:r>
              <w:rPr>
                <w:spacing w:val="-5"/>
                <w:sz w:val="20"/>
              </w:rPr>
              <w:t>55</w:t>
            </w:r>
          </w:p>
        </w:tc>
        <w:tc>
          <w:tcPr>
            <w:tcW w:w="2184" w:type="dxa"/>
          </w:tcPr>
          <w:p>
            <w:pPr>
              <w:pStyle w:val="TableParagraph"/>
              <w:spacing w:line="225" w:lineRule="exact"/>
              <w:ind w:left="107"/>
              <w:rPr>
                <w:sz w:val="20"/>
              </w:rPr>
            </w:pPr>
            <w:r>
              <w:rPr>
                <w:sz w:val="20"/>
              </w:rPr>
              <w:t>02</w:t>
            </w:r>
            <w:r>
              <w:rPr>
                <w:spacing w:val="-3"/>
                <w:sz w:val="20"/>
              </w:rPr>
              <w:t> </w:t>
            </w:r>
            <w:r>
              <w:rPr>
                <w:sz w:val="20"/>
              </w:rPr>
              <w:t>April,</w:t>
            </w:r>
            <w:r>
              <w:rPr>
                <w:spacing w:val="-4"/>
                <w:sz w:val="20"/>
              </w:rPr>
              <w:t> 2009</w:t>
            </w:r>
          </w:p>
        </w:tc>
      </w:tr>
      <w:tr>
        <w:trPr>
          <w:trHeight w:val="429" w:hRule="atLeast"/>
        </w:trPr>
        <w:tc>
          <w:tcPr>
            <w:tcW w:w="590" w:type="dxa"/>
          </w:tcPr>
          <w:p>
            <w:pPr>
              <w:pStyle w:val="TableParagraph"/>
              <w:spacing w:line="225" w:lineRule="exact"/>
              <w:ind w:left="107"/>
              <w:rPr>
                <w:sz w:val="20"/>
              </w:rPr>
            </w:pPr>
            <w:r>
              <w:rPr>
                <w:spacing w:val="-5"/>
                <w:sz w:val="20"/>
              </w:rPr>
              <w:t>4.</w:t>
            </w:r>
          </w:p>
        </w:tc>
        <w:tc>
          <w:tcPr>
            <w:tcW w:w="2578" w:type="dxa"/>
          </w:tcPr>
          <w:p>
            <w:pPr>
              <w:pStyle w:val="TableParagraph"/>
              <w:spacing w:line="225" w:lineRule="exact"/>
              <w:ind w:left="108"/>
              <w:rPr>
                <w:sz w:val="20"/>
              </w:rPr>
            </w:pPr>
            <w:r>
              <w:rPr>
                <w:sz w:val="20"/>
              </w:rPr>
              <w:t>Maj</w:t>
            </w:r>
            <w:r>
              <w:rPr>
                <w:spacing w:val="-3"/>
                <w:sz w:val="20"/>
              </w:rPr>
              <w:t> </w:t>
            </w:r>
            <w:r>
              <w:rPr>
                <w:sz w:val="20"/>
              </w:rPr>
              <w:t>Gen</w:t>
            </w:r>
            <w:r>
              <w:rPr>
                <w:spacing w:val="-5"/>
                <w:sz w:val="20"/>
              </w:rPr>
              <w:t> </w:t>
            </w:r>
            <w:r>
              <w:rPr>
                <w:sz w:val="20"/>
              </w:rPr>
              <w:t>E.C.G</w:t>
            </w:r>
            <w:r>
              <w:rPr>
                <w:spacing w:val="-4"/>
                <w:sz w:val="20"/>
              </w:rPr>
              <w:t> </w:t>
            </w:r>
            <w:r>
              <w:rPr>
                <w:spacing w:val="-2"/>
                <w:sz w:val="20"/>
              </w:rPr>
              <w:t>Nwanguma</w:t>
            </w:r>
          </w:p>
        </w:tc>
        <w:tc>
          <w:tcPr>
            <w:tcW w:w="1692" w:type="dxa"/>
          </w:tcPr>
          <w:p>
            <w:pPr>
              <w:pStyle w:val="TableParagraph"/>
              <w:spacing w:line="225" w:lineRule="exact"/>
              <w:ind w:left="108"/>
              <w:rPr>
                <w:sz w:val="20"/>
              </w:rPr>
            </w:pPr>
            <w:r>
              <w:rPr>
                <w:sz w:val="20"/>
              </w:rPr>
              <w:t>DHQ</w:t>
            </w:r>
            <w:r>
              <w:rPr>
                <w:spacing w:val="-2"/>
                <w:sz w:val="20"/>
              </w:rPr>
              <w:t> Abuja</w:t>
            </w:r>
          </w:p>
        </w:tc>
        <w:tc>
          <w:tcPr>
            <w:tcW w:w="1892" w:type="dxa"/>
          </w:tcPr>
          <w:p>
            <w:pPr>
              <w:pStyle w:val="TableParagraph"/>
              <w:spacing w:line="225" w:lineRule="exact"/>
              <w:ind w:left="108"/>
              <w:rPr>
                <w:sz w:val="20"/>
              </w:rPr>
            </w:pPr>
            <w:r>
              <w:rPr>
                <w:sz w:val="20"/>
              </w:rPr>
              <w:t>Director</w:t>
            </w:r>
            <w:r>
              <w:rPr>
                <w:spacing w:val="-7"/>
                <w:sz w:val="20"/>
              </w:rPr>
              <w:t> </w:t>
            </w:r>
            <w:r>
              <w:rPr>
                <w:spacing w:val="-2"/>
                <w:sz w:val="20"/>
              </w:rPr>
              <w:t>Plans</w:t>
            </w:r>
          </w:p>
        </w:tc>
        <w:tc>
          <w:tcPr>
            <w:tcW w:w="1057" w:type="dxa"/>
          </w:tcPr>
          <w:p>
            <w:pPr>
              <w:pStyle w:val="TableParagraph"/>
              <w:spacing w:line="225" w:lineRule="exact"/>
              <w:ind w:left="105"/>
              <w:rPr>
                <w:sz w:val="20"/>
              </w:rPr>
            </w:pPr>
            <w:r>
              <w:rPr>
                <w:spacing w:val="-5"/>
                <w:sz w:val="20"/>
              </w:rPr>
              <w:t>55</w:t>
            </w:r>
          </w:p>
        </w:tc>
        <w:tc>
          <w:tcPr>
            <w:tcW w:w="2184" w:type="dxa"/>
          </w:tcPr>
          <w:p>
            <w:pPr>
              <w:pStyle w:val="TableParagraph"/>
              <w:spacing w:line="225" w:lineRule="exact"/>
              <w:ind w:left="107"/>
              <w:rPr>
                <w:sz w:val="20"/>
              </w:rPr>
            </w:pPr>
            <w:r>
              <w:rPr>
                <w:sz w:val="20"/>
              </w:rPr>
              <w:t>13</w:t>
            </w:r>
            <w:r>
              <w:rPr>
                <w:spacing w:val="-6"/>
                <w:sz w:val="20"/>
              </w:rPr>
              <w:t> </w:t>
            </w:r>
            <w:r>
              <w:rPr>
                <w:sz w:val="20"/>
              </w:rPr>
              <w:t>February,</w:t>
            </w:r>
            <w:r>
              <w:rPr>
                <w:spacing w:val="-6"/>
                <w:sz w:val="20"/>
              </w:rPr>
              <w:t> </w:t>
            </w:r>
            <w:r>
              <w:rPr>
                <w:spacing w:val="-4"/>
                <w:sz w:val="20"/>
              </w:rPr>
              <w:t>2009</w:t>
            </w:r>
          </w:p>
        </w:tc>
      </w:tr>
      <w:tr>
        <w:trPr>
          <w:trHeight w:val="890" w:hRule="atLeast"/>
        </w:trPr>
        <w:tc>
          <w:tcPr>
            <w:tcW w:w="590" w:type="dxa"/>
          </w:tcPr>
          <w:p>
            <w:pPr>
              <w:pStyle w:val="TableParagraph"/>
              <w:spacing w:line="226" w:lineRule="exact"/>
              <w:ind w:left="107"/>
              <w:rPr>
                <w:sz w:val="20"/>
              </w:rPr>
            </w:pPr>
            <w:r>
              <w:rPr>
                <w:spacing w:val="-5"/>
                <w:sz w:val="20"/>
              </w:rPr>
              <w:t>5.</w:t>
            </w:r>
          </w:p>
        </w:tc>
        <w:tc>
          <w:tcPr>
            <w:tcW w:w="2578" w:type="dxa"/>
          </w:tcPr>
          <w:p>
            <w:pPr>
              <w:pStyle w:val="TableParagraph"/>
              <w:spacing w:line="226" w:lineRule="exact"/>
              <w:ind w:left="108"/>
              <w:rPr>
                <w:sz w:val="20"/>
              </w:rPr>
            </w:pPr>
            <w:r>
              <w:rPr>
                <w:sz w:val="20"/>
              </w:rPr>
              <w:t>Maj</w:t>
            </w:r>
            <w:r>
              <w:rPr>
                <w:spacing w:val="-2"/>
                <w:sz w:val="20"/>
              </w:rPr>
              <w:t> </w:t>
            </w:r>
            <w:r>
              <w:rPr>
                <w:sz w:val="20"/>
              </w:rPr>
              <w:t>Gen</w:t>
            </w:r>
            <w:r>
              <w:rPr>
                <w:spacing w:val="-5"/>
                <w:sz w:val="20"/>
              </w:rPr>
              <w:t> </w:t>
            </w:r>
            <w:r>
              <w:rPr>
                <w:sz w:val="20"/>
              </w:rPr>
              <w:t>L.P</w:t>
            </w:r>
            <w:r>
              <w:rPr>
                <w:spacing w:val="-2"/>
                <w:sz w:val="20"/>
              </w:rPr>
              <w:t> Ngubane</w:t>
            </w:r>
          </w:p>
        </w:tc>
        <w:tc>
          <w:tcPr>
            <w:tcW w:w="1692" w:type="dxa"/>
          </w:tcPr>
          <w:p>
            <w:pPr>
              <w:pStyle w:val="TableParagraph"/>
              <w:spacing w:line="226" w:lineRule="exact"/>
              <w:ind w:left="108"/>
              <w:rPr>
                <w:sz w:val="20"/>
              </w:rPr>
            </w:pPr>
            <w:r>
              <w:rPr>
                <w:sz w:val="20"/>
              </w:rPr>
              <w:t>NWC</w:t>
            </w:r>
            <w:r>
              <w:rPr>
                <w:spacing w:val="-5"/>
                <w:sz w:val="20"/>
              </w:rPr>
              <w:t> </w:t>
            </w:r>
            <w:r>
              <w:rPr>
                <w:spacing w:val="-2"/>
                <w:sz w:val="20"/>
              </w:rPr>
              <w:t>Abuja</w:t>
            </w:r>
          </w:p>
        </w:tc>
        <w:tc>
          <w:tcPr>
            <w:tcW w:w="1892" w:type="dxa"/>
          </w:tcPr>
          <w:p>
            <w:pPr>
              <w:pStyle w:val="TableParagraph"/>
              <w:spacing w:line="242" w:lineRule="auto"/>
              <w:ind w:left="108" w:right="139"/>
              <w:rPr>
                <w:sz w:val="20"/>
              </w:rPr>
            </w:pPr>
            <w:r>
              <w:rPr>
                <w:sz w:val="20"/>
              </w:rPr>
              <w:t>Former</w:t>
            </w:r>
            <w:r>
              <w:rPr>
                <w:spacing w:val="-13"/>
                <w:sz w:val="20"/>
              </w:rPr>
              <w:t> </w:t>
            </w:r>
            <w:r>
              <w:rPr>
                <w:sz w:val="20"/>
              </w:rPr>
              <w:t>Commander </w:t>
            </w:r>
            <w:r>
              <w:rPr>
                <w:spacing w:val="-2"/>
                <w:sz w:val="20"/>
              </w:rPr>
              <w:t>JTF/Deputy Commandant</w:t>
            </w:r>
          </w:p>
        </w:tc>
        <w:tc>
          <w:tcPr>
            <w:tcW w:w="1057" w:type="dxa"/>
          </w:tcPr>
          <w:p>
            <w:pPr>
              <w:pStyle w:val="TableParagraph"/>
              <w:spacing w:line="226" w:lineRule="exact"/>
              <w:ind w:left="105"/>
              <w:rPr>
                <w:sz w:val="20"/>
              </w:rPr>
            </w:pPr>
            <w:r>
              <w:rPr>
                <w:spacing w:val="-5"/>
                <w:sz w:val="20"/>
              </w:rPr>
              <w:t>53</w:t>
            </w:r>
          </w:p>
        </w:tc>
        <w:tc>
          <w:tcPr>
            <w:tcW w:w="2184" w:type="dxa"/>
          </w:tcPr>
          <w:p>
            <w:pPr>
              <w:pStyle w:val="TableParagraph"/>
              <w:spacing w:line="226" w:lineRule="exact"/>
              <w:ind w:left="107"/>
              <w:rPr>
                <w:sz w:val="20"/>
              </w:rPr>
            </w:pPr>
            <w:r>
              <w:rPr>
                <w:sz w:val="20"/>
              </w:rPr>
              <w:t>09</w:t>
            </w:r>
            <w:r>
              <w:rPr>
                <w:spacing w:val="-6"/>
                <w:sz w:val="20"/>
              </w:rPr>
              <w:t> </w:t>
            </w:r>
            <w:r>
              <w:rPr>
                <w:sz w:val="20"/>
              </w:rPr>
              <w:t>January,</w:t>
            </w:r>
            <w:r>
              <w:rPr>
                <w:spacing w:val="-6"/>
                <w:sz w:val="20"/>
              </w:rPr>
              <w:t> </w:t>
            </w:r>
            <w:r>
              <w:rPr>
                <w:spacing w:val="-4"/>
                <w:sz w:val="20"/>
              </w:rPr>
              <w:t>2009</w:t>
            </w:r>
          </w:p>
        </w:tc>
      </w:tr>
      <w:tr>
        <w:trPr>
          <w:trHeight w:val="659" w:hRule="atLeast"/>
        </w:trPr>
        <w:tc>
          <w:tcPr>
            <w:tcW w:w="590" w:type="dxa"/>
          </w:tcPr>
          <w:p>
            <w:pPr>
              <w:pStyle w:val="TableParagraph"/>
              <w:spacing w:line="225" w:lineRule="exact"/>
              <w:ind w:left="107"/>
              <w:rPr>
                <w:sz w:val="20"/>
              </w:rPr>
            </w:pPr>
            <w:r>
              <w:rPr>
                <w:spacing w:val="-5"/>
                <w:sz w:val="20"/>
              </w:rPr>
              <w:t>6.</w:t>
            </w:r>
          </w:p>
        </w:tc>
        <w:tc>
          <w:tcPr>
            <w:tcW w:w="2578" w:type="dxa"/>
          </w:tcPr>
          <w:p>
            <w:pPr>
              <w:pStyle w:val="TableParagraph"/>
              <w:spacing w:line="225" w:lineRule="exact"/>
              <w:ind w:left="108"/>
              <w:rPr>
                <w:sz w:val="20"/>
              </w:rPr>
            </w:pPr>
            <w:r>
              <w:rPr>
                <w:sz w:val="20"/>
              </w:rPr>
              <w:t>Colonel</w:t>
            </w:r>
            <w:r>
              <w:rPr>
                <w:spacing w:val="-5"/>
                <w:sz w:val="20"/>
              </w:rPr>
              <w:t> </w:t>
            </w:r>
            <w:r>
              <w:rPr>
                <w:sz w:val="20"/>
              </w:rPr>
              <w:t>O.</w:t>
            </w:r>
            <w:r>
              <w:rPr>
                <w:spacing w:val="-3"/>
                <w:sz w:val="20"/>
              </w:rPr>
              <w:t> </w:t>
            </w:r>
            <w:r>
              <w:rPr>
                <w:sz w:val="20"/>
              </w:rPr>
              <w:t>A.</w:t>
            </w:r>
            <w:r>
              <w:rPr>
                <w:spacing w:val="-5"/>
                <w:sz w:val="20"/>
              </w:rPr>
              <w:t> </w:t>
            </w:r>
            <w:r>
              <w:rPr>
                <w:spacing w:val="-4"/>
                <w:sz w:val="20"/>
              </w:rPr>
              <w:t>Umahi</w:t>
            </w:r>
          </w:p>
        </w:tc>
        <w:tc>
          <w:tcPr>
            <w:tcW w:w="1692" w:type="dxa"/>
          </w:tcPr>
          <w:p>
            <w:pPr>
              <w:pStyle w:val="TableParagraph"/>
              <w:spacing w:line="225" w:lineRule="exact"/>
              <w:ind w:left="108"/>
              <w:rPr>
                <w:sz w:val="20"/>
              </w:rPr>
            </w:pPr>
            <w:r>
              <w:rPr>
                <w:sz w:val="20"/>
              </w:rPr>
              <w:t>JTF</w:t>
            </w:r>
            <w:r>
              <w:rPr>
                <w:spacing w:val="-4"/>
                <w:sz w:val="20"/>
              </w:rPr>
              <w:t> </w:t>
            </w:r>
            <w:r>
              <w:rPr>
                <w:spacing w:val="-2"/>
                <w:sz w:val="20"/>
              </w:rPr>
              <w:t>Warri</w:t>
            </w:r>
          </w:p>
        </w:tc>
        <w:tc>
          <w:tcPr>
            <w:tcW w:w="1892" w:type="dxa"/>
          </w:tcPr>
          <w:p>
            <w:pPr>
              <w:pStyle w:val="TableParagraph"/>
              <w:spacing w:line="242" w:lineRule="auto"/>
              <w:ind w:left="108" w:right="417"/>
              <w:rPr>
                <w:sz w:val="20"/>
              </w:rPr>
            </w:pPr>
            <w:r>
              <w:rPr>
                <w:sz w:val="20"/>
              </w:rPr>
              <w:t>JTF</w:t>
            </w:r>
            <w:r>
              <w:rPr>
                <w:spacing w:val="-13"/>
                <w:sz w:val="20"/>
              </w:rPr>
              <w:t> </w:t>
            </w:r>
            <w:r>
              <w:rPr>
                <w:sz w:val="20"/>
              </w:rPr>
              <w:t>Commander </w:t>
            </w:r>
            <w:r>
              <w:rPr>
                <w:spacing w:val="-4"/>
                <w:sz w:val="20"/>
              </w:rPr>
              <w:t>Army</w:t>
            </w:r>
          </w:p>
        </w:tc>
        <w:tc>
          <w:tcPr>
            <w:tcW w:w="1057" w:type="dxa"/>
          </w:tcPr>
          <w:p>
            <w:pPr>
              <w:pStyle w:val="TableParagraph"/>
              <w:spacing w:line="225" w:lineRule="exact"/>
              <w:ind w:left="105"/>
              <w:rPr>
                <w:sz w:val="20"/>
              </w:rPr>
            </w:pPr>
            <w:r>
              <w:rPr>
                <w:spacing w:val="-5"/>
                <w:sz w:val="20"/>
              </w:rPr>
              <w:t>49</w:t>
            </w:r>
          </w:p>
        </w:tc>
        <w:tc>
          <w:tcPr>
            <w:tcW w:w="2184" w:type="dxa"/>
          </w:tcPr>
          <w:p>
            <w:pPr>
              <w:pStyle w:val="TableParagraph"/>
              <w:spacing w:line="225" w:lineRule="exact"/>
              <w:ind w:left="107"/>
              <w:rPr>
                <w:sz w:val="20"/>
              </w:rPr>
            </w:pPr>
            <w:r>
              <w:rPr>
                <w:sz w:val="20"/>
              </w:rPr>
              <w:t>20</w:t>
            </w:r>
            <w:r>
              <w:rPr>
                <w:spacing w:val="-4"/>
                <w:sz w:val="20"/>
              </w:rPr>
              <w:t> </w:t>
            </w:r>
            <w:r>
              <w:rPr>
                <w:sz w:val="20"/>
              </w:rPr>
              <w:t>July,</w:t>
            </w:r>
            <w:r>
              <w:rPr>
                <w:spacing w:val="-5"/>
                <w:sz w:val="20"/>
              </w:rPr>
              <w:t> </w:t>
            </w:r>
            <w:r>
              <w:rPr>
                <w:spacing w:val="-4"/>
                <w:sz w:val="20"/>
              </w:rPr>
              <w:t>2008</w:t>
            </w:r>
          </w:p>
        </w:tc>
      </w:tr>
      <w:tr>
        <w:trPr>
          <w:trHeight w:val="662" w:hRule="atLeast"/>
        </w:trPr>
        <w:tc>
          <w:tcPr>
            <w:tcW w:w="590" w:type="dxa"/>
          </w:tcPr>
          <w:p>
            <w:pPr>
              <w:pStyle w:val="TableParagraph"/>
              <w:spacing w:line="228" w:lineRule="exact"/>
              <w:ind w:left="107"/>
              <w:rPr>
                <w:sz w:val="20"/>
              </w:rPr>
            </w:pPr>
            <w:r>
              <w:rPr>
                <w:spacing w:val="-5"/>
                <w:sz w:val="20"/>
              </w:rPr>
              <w:t>7.</w:t>
            </w:r>
          </w:p>
        </w:tc>
        <w:tc>
          <w:tcPr>
            <w:tcW w:w="2578" w:type="dxa"/>
          </w:tcPr>
          <w:p>
            <w:pPr>
              <w:pStyle w:val="TableParagraph"/>
              <w:spacing w:line="228" w:lineRule="exact"/>
              <w:ind w:left="108"/>
              <w:rPr>
                <w:sz w:val="20"/>
              </w:rPr>
            </w:pPr>
            <w:r>
              <w:rPr>
                <w:sz w:val="20"/>
              </w:rPr>
              <w:t>Colonel</w:t>
            </w:r>
            <w:r>
              <w:rPr>
                <w:spacing w:val="-4"/>
                <w:sz w:val="20"/>
              </w:rPr>
              <w:t> </w:t>
            </w:r>
            <w:r>
              <w:rPr>
                <w:sz w:val="20"/>
              </w:rPr>
              <w:t>A.</w:t>
            </w:r>
            <w:r>
              <w:rPr>
                <w:spacing w:val="-5"/>
                <w:sz w:val="20"/>
              </w:rPr>
              <w:t> </w:t>
            </w:r>
            <w:r>
              <w:rPr>
                <w:sz w:val="20"/>
              </w:rPr>
              <w:t>O.</w:t>
            </w:r>
            <w:r>
              <w:rPr>
                <w:spacing w:val="-5"/>
                <w:sz w:val="20"/>
              </w:rPr>
              <w:t> </w:t>
            </w:r>
            <w:r>
              <w:rPr>
                <w:spacing w:val="-2"/>
                <w:sz w:val="20"/>
              </w:rPr>
              <w:t>Mohammed</w:t>
            </w:r>
          </w:p>
        </w:tc>
        <w:tc>
          <w:tcPr>
            <w:tcW w:w="1692" w:type="dxa"/>
          </w:tcPr>
          <w:p>
            <w:pPr>
              <w:pStyle w:val="TableParagraph"/>
              <w:spacing w:line="228" w:lineRule="exact"/>
              <w:ind w:left="108"/>
              <w:rPr>
                <w:sz w:val="20"/>
              </w:rPr>
            </w:pPr>
            <w:r>
              <w:rPr>
                <w:sz w:val="20"/>
              </w:rPr>
              <w:t>JTF</w:t>
            </w:r>
            <w:r>
              <w:rPr>
                <w:spacing w:val="-4"/>
                <w:sz w:val="20"/>
              </w:rPr>
              <w:t> </w:t>
            </w:r>
            <w:r>
              <w:rPr>
                <w:spacing w:val="-2"/>
                <w:sz w:val="20"/>
              </w:rPr>
              <w:t>Warri</w:t>
            </w:r>
          </w:p>
        </w:tc>
        <w:tc>
          <w:tcPr>
            <w:tcW w:w="1892" w:type="dxa"/>
          </w:tcPr>
          <w:p>
            <w:pPr>
              <w:pStyle w:val="TableParagraph"/>
              <w:ind w:left="108" w:right="417"/>
              <w:rPr>
                <w:sz w:val="20"/>
              </w:rPr>
            </w:pPr>
            <w:r>
              <w:rPr>
                <w:sz w:val="20"/>
              </w:rPr>
              <w:t>JTF</w:t>
            </w:r>
            <w:r>
              <w:rPr>
                <w:spacing w:val="-13"/>
                <w:sz w:val="20"/>
              </w:rPr>
              <w:t> </w:t>
            </w:r>
            <w:r>
              <w:rPr>
                <w:sz w:val="20"/>
              </w:rPr>
              <w:t>Commander </w:t>
            </w:r>
            <w:r>
              <w:rPr>
                <w:spacing w:val="-4"/>
                <w:sz w:val="20"/>
              </w:rPr>
              <w:t>Army</w:t>
            </w:r>
          </w:p>
        </w:tc>
        <w:tc>
          <w:tcPr>
            <w:tcW w:w="1057" w:type="dxa"/>
          </w:tcPr>
          <w:p>
            <w:pPr>
              <w:pStyle w:val="TableParagraph"/>
              <w:spacing w:line="228" w:lineRule="exact"/>
              <w:ind w:left="105"/>
              <w:rPr>
                <w:sz w:val="20"/>
              </w:rPr>
            </w:pPr>
            <w:r>
              <w:rPr>
                <w:spacing w:val="-5"/>
                <w:sz w:val="20"/>
              </w:rPr>
              <w:t>48</w:t>
            </w:r>
          </w:p>
        </w:tc>
        <w:tc>
          <w:tcPr>
            <w:tcW w:w="2184" w:type="dxa"/>
          </w:tcPr>
          <w:p>
            <w:pPr>
              <w:pStyle w:val="TableParagraph"/>
              <w:spacing w:line="228" w:lineRule="exact"/>
              <w:ind w:left="107"/>
              <w:rPr>
                <w:sz w:val="20"/>
              </w:rPr>
            </w:pPr>
            <w:r>
              <w:rPr>
                <w:sz w:val="20"/>
              </w:rPr>
              <w:t>22</w:t>
            </w:r>
            <w:r>
              <w:rPr>
                <w:spacing w:val="43"/>
                <w:sz w:val="20"/>
              </w:rPr>
              <w:t> </w:t>
            </w:r>
            <w:r>
              <w:rPr>
                <w:sz w:val="20"/>
              </w:rPr>
              <w:t>July,</w:t>
            </w:r>
            <w:r>
              <w:rPr>
                <w:spacing w:val="-2"/>
                <w:sz w:val="20"/>
              </w:rPr>
              <w:t> </w:t>
            </w:r>
            <w:r>
              <w:rPr>
                <w:spacing w:val="-4"/>
                <w:sz w:val="20"/>
              </w:rPr>
              <w:t>2008</w:t>
            </w:r>
          </w:p>
        </w:tc>
      </w:tr>
      <w:tr>
        <w:trPr>
          <w:trHeight w:val="659" w:hRule="atLeast"/>
        </w:trPr>
        <w:tc>
          <w:tcPr>
            <w:tcW w:w="590" w:type="dxa"/>
          </w:tcPr>
          <w:p>
            <w:pPr>
              <w:pStyle w:val="TableParagraph"/>
              <w:spacing w:line="225" w:lineRule="exact"/>
              <w:ind w:left="107"/>
              <w:rPr>
                <w:sz w:val="20"/>
              </w:rPr>
            </w:pPr>
            <w:r>
              <w:rPr>
                <w:spacing w:val="-5"/>
                <w:sz w:val="20"/>
              </w:rPr>
              <w:t>8.</w:t>
            </w:r>
          </w:p>
        </w:tc>
        <w:tc>
          <w:tcPr>
            <w:tcW w:w="2578" w:type="dxa"/>
          </w:tcPr>
          <w:p>
            <w:pPr>
              <w:pStyle w:val="TableParagraph"/>
              <w:spacing w:line="225" w:lineRule="exact"/>
              <w:ind w:left="108"/>
              <w:rPr>
                <w:sz w:val="20"/>
              </w:rPr>
            </w:pPr>
            <w:r>
              <w:rPr>
                <w:sz w:val="20"/>
              </w:rPr>
              <w:t>Commodore</w:t>
            </w:r>
            <w:r>
              <w:rPr>
                <w:spacing w:val="-6"/>
                <w:sz w:val="20"/>
              </w:rPr>
              <w:t> </w:t>
            </w:r>
            <w:r>
              <w:rPr>
                <w:sz w:val="20"/>
              </w:rPr>
              <w:t>H.</w:t>
            </w:r>
            <w:r>
              <w:rPr>
                <w:spacing w:val="-5"/>
                <w:sz w:val="20"/>
              </w:rPr>
              <w:t> </w:t>
            </w:r>
            <w:r>
              <w:rPr>
                <w:spacing w:val="-2"/>
                <w:sz w:val="20"/>
              </w:rPr>
              <w:t>Babalola</w:t>
            </w:r>
          </w:p>
        </w:tc>
        <w:tc>
          <w:tcPr>
            <w:tcW w:w="1692" w:type="dxa"/>
          </w:tcPr>
          <w:p>
            <w:pPr>
              <w:pStyle w:val="TableParagraph"/>
              <w:spacing w:line="225" w:lineRule="exact"/>
              <w:ind w:left="108"/>
              <w:rPr>
                <w:sz w:val="20"/>
              </w:rPr>
            </w:pPr>
            <w:r>
              <w:rPr>
                <w:sz w:val="20"/>
              </w:rPr>
              <w:t>NTGp</w:t>
            </w:r>
            <w:r>
              <w:rPr>
                <w:spacing w:val="45"/>
                <w:sz w:val="20"/>
              </w:rPr>
              <w:t> </w:t>
            </w:r>
            <w:r>
              <w:rPr>
                <w:spacing w:val="-2"/>
                <w:sz w:val="20"/>
              </w:rPr>
              <w:t>Warri</w:t>
            </w:r>
          </w:p>
        </w:tc>
        <w:tc>
          <w:tcPr>
            <w:tcW w:w="1892" w:type="dxa"/>
          </w:tcPr>
          <w:p>
            <w:pPr>
              <w:pStyle w:val="TableParagraph"/>
              <w:spacing w:line="242" w:lineRule="auto"/>
              <w:ind w:left="108" w:right="783"/>
              <w:rPr>
                <w:sz w:val="20"/>
              </w:rPr>
            </w:pPr>
            <w:r>
              <w:rPr>
                <w:sz w:val="20"/>
              </w:rPr>
              <w:t>JTF</w:t>
            </w:r>
            <w:r>
              <w:rPr>
                <w:spacing w:val="40"/>
                <w:sz w:val="20"/>
              </w:rPr>
              <w:t> </w:t>
            </w:r>
            <w:r>
              <w:rPr>
                <w:sz w:val="20"/>
              </w:rPr>
              <w:t>Naval </w:t>
            </w:r>
            <w:r>
              <w:rPr>
                <w:spacing w:val="-2"/>
                <w:sz w:val="20"/>
              </w:rPr>
              <w:t>Commander</w:t>
            </w:r>
          </w:p>
        </w:tc>
        <w:tc>
          <w:tcPr>
            <w:tcW w:w="1057" w:type="dxa"/>
          </w:tcPr>
          <w:p>
            <w:pPr>
              <w:pStyle w:val="TableParagraph"/>
              <w:spacing w:line="225" w:lineRule="exact"/>
              <w:ind w:left="105"/>
              <w:rPr>
                <w:sz w:val="20"/>
              </w:rPr>
            </w:pPr>
            <w:r>
              <w:rPr>
                <w:spacing w:val="-5"/>
                <w:sz w:val="20"/>
              </w:rPr>
              <w:t>50</w:t>
            </w:r>
          </w:p>
        </w:tc>
        <w:tc>
          <w:tcPr>
            <w:tcW w:w="2184" w:type="dxa"/>
          </w:tcPr>
          <w:p>
            <w:pPr>
              <w:pStyle w:val="TableParagraph"/>
              <w:spacing w:line="225" w:lineRule="exact"/>
              <w:ind w:left="107"/>
              <w:rPr>
                <w:sz w:val="20"/>
              </w:rPr>
            </w:pPr>
            <w:r>
              <w:rPr>
                <w:sz w:val="20"/>
              </w:rPr>
              <w:t>17</w:t>
            </w:r>
            <w:r>
              <w:rPr>
                <w:spacing w:val="-4"/>
                <w:sz w:val="20"/>
              </w:rPr>
              <w:t> </w:t>
            </w:r>
            <w:r>
              <w:rPr>
                <w:sz w:val="20"/>
              </w:rPr>
              <w:t>May,</w:t>
            </w:r>
            <w:r>
              <w:rPr>
                <w:spacing w:val="-5"/>
                <w:sz w:val="20"/>
              </w:rPr>
              <w:t> </w:t>
            </w:r>
            <w:r>
              <w:rPr>
                <w:spacing w:val="-4"/>
                <w:sz w:val="20"/>
              </w:rPr>
              <w:t>2011</w:t>
            </w:r>
          </w:p>
        </w:tc>
      </w:tr>
      <w:tr>
        <w:trPr>
          <w:trHeight w:val="659" w:hRule="atLeast"/>
        </w:trPr>
        <w:tc>
          <w:tcPr>
            <w:tcW w:w="590" w:type="dxa"/>
          </w:tcPr>
          <w:p>
            <w:pPr>
              <w:pStyle w:val="TableParagraph"/>
              <w:spacing w:line="225" w:lineRule="exact"/>
              <w:ind w:left="107"/>
              <w:rPr>
                <w:sz w:val="20"/>
              </w:rPr>
            </w:pPr>
            <w:r>
              <w:rPr>
                <w:spacing w:val="-5"/>
                <w:sz w:val="20"/>
              </w:rPr>
              <w:t>9.</w:t>
            </w:r>
          </w:p>
        </w:tc>
        <w:tc>
          <w:tcPr>
            <w:tcW w:w="2578" w:type="dxa"/>
          </w:tcPr>
          <w:p>
            <w:pPr>
              <w:pStyle w:val="TableParagraph"/>
              <w:spacing w:line="225" w:lineRule="exact"/>
              <w:ind w:left="108"/>
              <w:rPr>
                <w:sz w:val="20"/>
              </w:rPr>
            </w:pPr>
            <w:r>
              <w:rPr>
                <w:sz w:val="20"/>
              </w:rPr>
              <w:t>Commodore</w:t>
            </w:r>
            <w:r>
              <w:rPr>
                <w:spacing w:val="-7"/>
                <w:sz w:val="20"/>
              </w:rPr>
              <w:t> </w:t>
            </w:r>
            <w:r>
              <w:rPr>
                <w:sz w:val="20"/>
              </w:rPr>
              <w:t>E.D.</w:t>
            </w:r>
            <w:r>
              <w:rPr>
                <w:spacing w:val="-6"/>
                <w:sz w:val="20"/>
              </w:rPr>
              <w:t> </w:t>
            </w:r>
            <w:r>
              <w:rPr>
                <w:spacing w:val="-4"/>
                <w:sz w:val="20"/>
              </w:rPr>
              <w:t>Agba</w:t>
            </w:r>
          </w:p>
        </w:tc>
        <w:tc>
          <w:tcPr>
            <w:tcW w:w="1692" w:type="dxa"/>
          </w:tcPr>
          <w:p>
            <w:pPr>
              <w:pStyle w:val="TableParagraph"/>
              <w:spacing w:line="225" w:lineRule="exact"/>
              <w:ind w:left="108"/>
              <w:rPr>
                <w:sz w:val="20"/>
              </w:rPr>
            </w:pPr>
            <w:r>
              <w:rPr>
                <w:sz w:val="20"/>
              </w:rPr>
              <w:t>NTGp</w:t>
            </w:r>
            <w:r>
              <w:rPr>
                <w:spacing w:val="-5"/>
                <w:sz w:val="20"/>
              </w:rPr>
              <w:t> </w:t>
            </w:r>
            <w:r>
              <w:rPr>
                <w:spacing w:val="-2"/>
                <w:sz w:val="20"/>
              </w:rPr>
              <w:t>Warri</w:t>
            </w:r>
          </w:p>
        </w:tc>
        <w:tc>
          <w:tcPr>
            <w:tcW w:w="1892" w:type="dxa"/>
          </w:tcPr>
          <w:p>
            <w:pPr>
              <w:pStyle w:val="TableParagraph"/>
              <w:spacing w:line="242" w:lineRule="auto"/>
              <w:ind w:left="108" w:right="783"/>
              <w:rPr>
                <w:sz w:val="20"/>
              </w:rPr>
            </w:pPr>
            <w:r>
              <w:rPr>
                <w:sz w:val="20"/>
              </w:rPr>
              <w:t>JTF</w:t>
            </w:r>
            <w:r>
              <w:rPr>
                <w:spacing w:val="40"/>
                <w:sz w:val="20"/>
              </w:rPr>
              <w:t> </w:t>
            </w:r>
            <w:r>
              <w:rPr>
                <w:sz w:val="20"/>
              </w:rPr>
              <w:t>Naval </w:t>
            </w:r>
            <w:r>
              <w:rPr>
                <w:spacing w:val="-2"/>
                <w:sz w:val="20"/>
              </w:rPr>
              <w:t>Commander</w:t>
            </w:r>
          </w:p>
        </w:tc>
        <w:tc>
          <w:tcPr>
            <w:tcW w:w="1057" w:type="dxa"/>
          </w:tcPr>
          <w:p>
            <w:pPr>
              <w:pStyle w:val="TableParagraph"/>
              <w:spacing w:line="225" w:lineRule="exact"/>
              <w:ind w:left="105"/>
              <w:rPr>
                <w:sz w:val="20"/>
              </w:rPr>
            </w:pPr>
            <w:r>
              <w:rPr>
                <w:spacing w:val="-5"/>
                <w:sz w:val="20"/>
              </w:rPr>
              <w:t>51</w:t>
            </w:r>
          </w:p>
        </w:tc>
        <w:tc>
          <w:tcPr>
            <w:tcW w:w="2184" w:type="dxa"/>
          </w:tcPr>
          <w:p>
            <w:pPr>
              <w:pStyle w:val="TableParagraph"/>
              <w:spacing w:line="225" w:lineRule="exact"/>
              <w:ind w:left="107"/>
              <w:rPr>
                <w:sz w:val="20"/>
              </w:rPr>
            </w:pPr>
            <w:r>
              <w:rPr>
                <w:sz w:val="20"/>
              </w:rPr>
              <w:t>30</w:t>
            </w:r>
            <w:r>
              <w:rPr>
                <w:spacing w:val="-5"/>
                <w:sz w:val="20"/>
              </w:rPr>
              <w:t> </w:t>
            </w:r>
            <w:r>
              <w:rPr>
                <w:sz w:val="20"/>
              </w:rPr>
              <w:t>December,</w:t>
            </w:r>
            <w:r>
              <w:rPr>
                <w:spacing w:val="-6"/>
                <w:sz w:val="20"/>
              </w:rPr>
              <w:t> </w:t>
            </w:r>
            <w:r>
              <w:rPr>
                <w:spacing w:val="-4"/>
                <w:sz w:val="20"/>
              </w:rPr>
              <w:t>2008</w:t>
            </w:r>
          </w:p>
        </w:tc>
      </w:tr>
      <w:tr>
        <w:trPr>
          <w:trHeight w:val="890" w:hRule="atLeast"/>
        </w:trPr>
        <w:tc>
          <w:tcPr>
            <w:tcW w:w="590" w:type="dxa"/>
          </w:tcPr>
          <w:p>
            <w:pPr>
              <w:pStyle w:val="TableParagraph"/>
              <w:spacing w:line="226" w:lineRule="exact"/>
              <w:ind w:left="107"/>
              <w:rPr>
                <w:sz w:val="20"/>
              </w:rPr>
            </w:pPr>
            <w:r>
              <w:rPr>
                <w:spacing w:val="-5"/>
                <w:sz w:val="20"/>
              </w:rPr>
              <w:t>10.</w:t>
            </w:r>
          </w:p>
        </w:tc>
        <w:tc>
          <w:tcPr>
            <w:tcW w:w="2578" w:type="dxa"/>
          </w:tcPr>
          <w:p>
            <w:pPr>
              <w:pStyle w:val="TableParagraph"/>
              <w:spacing w:line="226" w:lineRule="exact"/>
              <w:ind w:left="108"/>
              <w:rPr>
                <w:sz w:val="20"/>
              </w:rPr>
            </w:pPr>
            <w:r>
              <w:rPr>
                <w:sz w:val="20"/>
              </w:rPr>
              <w:t>Lt.</w:t>
            </w:r>
            <w:r>
              <w:rPr>
                <w:spacing w:val="-4"/>
                <w:sz w:val="20"/>
              </w:rPr>
              <w:t> </w:t>
            </w:r>
            <w:r>
              <w:rPr>
                <w:sz w:val="20"/>
              </w:rPr>
              <w:t>Col.</w:t>
            </w:r>
            <w:r>
              <w:rPr>
                <w:spacing w:val="-4"/>
                <w:sz w:val="20"/>
              </w:rPr>
              <w:t> </w:t>
            </w:r>
            <w:r>
              <w:rPr>
                <w:sz w:val="20"/>
              </w:rPr>
              <w:t>M.</w:t>
            </w:r>
            <w:r>
              <w:rPr>
                <w:spacing w:val="-1"/>
                <w:sz w:val="20"/>
              </w:rPr>
              <w:t> </w:t>
            </w:r>
            <w:r>
              <w:rPr>
                <w:sz w:val="20"/>
              </w:rPr>
              <w:t>A.</w:t>
            </w:r>
            <w:r>
              <w:rPr>
                <w:spacing w:val="-3"/>
                <w:sz w:val="20"/>
              </w:rPr>
              <w:t> </w:t>
            </w:r>
            <w:r>
              <w:rPr>
                <w:spacing w:val="-2"/>
                <w:sz w:val="20"/>
              </w:rPr>
              <w:t>Yekini</w:t>
            </w:r>
          </w:p>
        </w:tc>
        <w:tc>
          <w:tcPr>
            <w:tcW w:w="1692" w:type="dxa"/>
          </w:tcPr>
          <w:p>
            <w:pPr>
              <w:pStyle w:val="TableParagraph"/>
              <w:spacing w:line="242" w:lineRule="auto"/>
              <w:ind w:left="108" w:right="483"/>
              <w:rPr>
                <w:sz w:val="20"/>
              </w:rPr>
            </w:pPr>
            <w:r>
              <w:rPr>
                <w:sz w:val="20"/>
              </w:rPr>
              <w:t>2 Brigade Garrison</w:t>
            </w:r>
            <w:r>
              <w:rPr>
                <w:spacing w:val="-13"/>
                <w:sz w:val="20"/>
              </w:rPr>
              <w:t> </w:t>
            </w:r>
            <w:r>
              <w:rPr>
                <w:sz w:val="20"/>
              </w:rPr>
              <w:t>Port</w:t>
            </w:r>
            <w:r>
              <w:rPr>
                <w:sz w:val="20"/>
              </w:rPr>
              <w:t> </w:t>
            </w:r>
            <w:r>
              <w:rPr>
                <w:spacing w:val="-2"/>
                <w:sz w:val="20"/>
              </w:rPr>
              <w:t>Harcourt</w:t>
            </w:r>
          </w:p>
        </w:tc>
        <w:tc>
          <w:tcPr>
            <w:tcW w:w="1892" w:type="dxa"/>
          </w:tcPr>
          <w:p>
            <w:pPr>
              <w:pStyle w:val="TableParagraph"/>
              <w:spacing w:line="242" w:lineRule="auto"/>
              <w:ind w:left="108" w:right="417"/>
              <w:rPr>
                <w:sz w:val="20"/>
              </w:rPr>
            </w:pPr>
            <w:r>
              <w:rPr>
                <w:spacing w:val="-2"/>
                <w:sz w:val="20"/>
              </w:rPr>
              <w:t>Commanding Officer</w:t>
            </w:r>
          </w:p>
        </w:tc>
        <w:tc>
          <w:tcPr>
            <w:tcW w:w="1057" w:type="dxa"/>
          </w:tcPr>
          <w:p>
            <w:pPr>
              <w:pStyle w:val="TableParagraph"/>
              <w:spacing w:line="226" w:lineRule="exact"/>
              <w:ind w:left="105"/>
              <w:rPr>
                <w:sz w:val="20"/>
              </w:rPr>
            </w:pPr>
            <w:r>
              <w:rPr>
                <w:spacing w:val="-5"/>
                <w:sz w:val="20"/>
              </w:rPr>
              <w:t>46</w:t>
            </w:r>
          </w:p>
        </w:tc>
        <w:tc>
          <w:tcPr>
            <w:tcW w:w="2184" w:type="dxa"/>
          </w:tcPr>
          <w:p>
            <w:pPr>
              <w:pStyle w:val="TableParagraph"/>
              <w:spacing w:line="226" w:lineRule="exact"/>
              <w:ind w:left="107"/>
              <w:rPr>
                <w:sz w:val="20"/>
              </w:rPr>
            </w:pPr>
            <w:r>
              <w:rPr>
                <w:sz w:val="20"/>
              </w:rPr>
              <w:t>27</w:t>
            </w:r>
            <w:r>
              <w:rPr>
                <w:spacing w:val="-5"/>
                <w:sz w:val="20"/>
              </w:rPr>
              <w:t> </w:t>
            </w:r>
            <w:r>
              <w:rPr>
                <w:sz w:val="20"/>
              </w:rPr>
              <w:t>December,</w:t>
            </w:r>
            <w:r>
              <w:rPr>
                <w:spacing w:val="-6"/>
                <w:sz w:val="20"/>
              </w:rPr>
              <w:t> </w:t>
            </w:r>
            <w:r>
              <w:rPr>
                <w:spacing w:val="-4"/>
                <w:sz w:val="20"/>
              </w:rPr>
              <w:t>2008</w:t>
            </w:r>
          </w:p>
        </w:tc>
      </w:tr>
      <w:tr>
        <w:trPr>
          <w:trHeight w:val="659" w:hRule="atLeast"/>
        </w:trPr>
        <w:tc>
          <w:tcPr>
            <w:tcW w:w="590" w:type="dxa"/>
          </w:tcPr>
          <w:p>
            <w:pPr>
              <w:pStyle w:val="TableParagraph"/>
              <w:spacing w:line="225" w:lineRule="exact"/>
              <w:ind w:left="107"/>
              <w:rPr>
                <w:sz w:val="20"/>
              </w:rPr>
            </w:pPr>
            <w:r>
              <w:rPr>
                <w:spacing w:val="-5"/>
                <w:sz w:val="20"/>
              </w:rPr>
              <w:t>11.</w:t>
            </w:r>
          </w:p>
        </w:tc>
        <w:tc>
          <w:tcPr>
            <w:tcW w:w="2578" w:type="dxa"/>
          </w:tcPr>
          <w:p>
            <w:pPr>
              <w:pStyle w:val="TableParagraph"/>
              <w:spacing w:line="225" w:lineRule="exact"/>
              <w:ind w:left="108"/>
              <w:rPr>
                <w:sz w:val="20"/>
              </w:rPr>
            </w:pPr>
            <w:r>
              <w:rPr>
                <w:sz w:val="20"/>
              </w:rPr>
              <w:t>Lt.</w:t>
            </w:r>
            <w:r>
              <w:rPr>
                <w:spacing w:val="-4"/>
                <w:sz w:val="20"/>
              </w:rPr>
              <w:t> </w:t>
            </w:r>
            <w:r>
              <w:rPr>
                <w:sz w:val="20"/>
              </w:rPr>
              <w:t>Col.</w:t>
            </w:r>
            <w:r>
              <w:rPr>
                <w:spacing w:val="-3"/>
                <w:sz w:val="20"/>
              </w:rPr>
              <w:t> </w:t>
            </w:r>
            <w:r>
              <w:rPr>
                <w:sz w:val="20"/>
              </w:rPr>
              <w:t>J.A</w:t>
            </w:r>
            <w:r>
              <w:rPr>
                <w:spacing w:val="-5"/>
                <w:sz w:val="20"/>
              </w:rPr>
              <w:t> </w:t>
            </w:r>
            <w:r>
              <w:rPr>
                <w:spacing w:val="-2"/>
                <w:sz w:val="20"/>
              </w:rPr>
              <w:t>Ogunlade</w:t>
            </w:r>
          </w:p>
        </w:tc>
        <w:tc>
          <w:tcPr>
            <w:tcW w:w="1692" w:type="dxa"/>
          </w:tcPr>
          <w:p>
            <w:pPr>
              <w:pStyle w:val="TableParagraph"/>
              <w:spacing w:line="225" w:lineRule="exact"/>
              <w:ind w:left="108"/>
              <w:rPr>
                <w:sz w:val="20"/>
              </w:rPr>
            </w:pPr>
            <w:r>
              <w:rPr>
                <w:sz w:val="20"/>
              </w:rPr>
              <w:t>2</w:t>
            </w:r>
            <w:r>
              <w:rPr>
                <w:spacing w:val="-3"/>
                <w:sz w:val="20"/>
              </w:rPr>
              <w:t> </w:t>
            </w:r>
            <w:r>
              <w:rPr>
                <w:sz w:val="20"/>
              </w:rPr>
              <w:t>Battalion</w:t>
            </w:r>
            <w:r>
              <w:rPr>
                <w:spacing w:val="-4"/>
                <w:sz w:val="20"/>
              </w:rPr>
              <w:t> </w:t>
            </w:r>
            <w:r>
              <w:rPr>
                <w:spacing w:val="-5"/>
                <w:sz w:val="20"/>
              </w:rPr>
              <w:t>P.H</w:t>
            </w:r>
          </w:p>
        </w:tc>
        <w:tc>
          <w:tcPr>
            <w:tcW w:w="1892" w:type="dxa"/>
          </w:tcPr>
          <w:p>
            <w:pPr>
              <w:pStyle w:val="TableParagraph"/>
              <w:spacing w:line="242" w:lineRule="auto"/>
              <w:ind w:left="108" w:right="417"/>
              <w:rPr>
                <w:sz w:val="20"/>
              </w:rPr>
            </w:pPr>
            <w:r>
              <w:rPr>
                <w:spacing w:val="-2"/>
                <w:sz w:val="20"/>
              </w:rPr>
              <w:t>Commanding Officer</w:t>
            </w:r>
          </w:p>
        </w:tc>
        <w:tc>
          <w:tcPr>
            <w:tcW w:w="1057" w:type="dxa"/>
          </w:tcPr>
          <w:p>
            <w:pPr>
              <w:pStyle w:val="TableParagraph"/>
              <w:spacing w:line="225" w:lineRule="exact"/>
              <w:ind w:left="105"/>
              <w:rPr>
                <w:sz w:val="20"/>
              </w:rPr>
            </w:pPr>
            <w:r>
              <w:rPr>
                <w:spacing w:val="-5"/>
                <w:sz w:val="20"/>
              </w:rPr>
              <w:t>45</w:t>
            </w:r>
          </w:p>
        </w:tc>
        <w:tc>
          <w:tcPr>
            <w:tcW w:w="2184" w:type="dxa"/>
          </w:tcPr>
          <w:p>
            <w:pPr>
              <w:pStyle w:val="TableParagraph"/>
              <w:spacing w:line="225" w:lineRule="exact"/>
              <w:ind w:left="107"/>
              <w:rPr>
                <w:sz w:val="20"/>
              </w:rPr>
            </w:pPr>
            <w:r>
              <w:rPr>
                <w:sz w:val="20"/>
              </w:rPr>
              <w:t>27</w:t>
            </w:r>
            <w:r>
              <w:rPr>
                <w:spacing w:val="-5"/>
                <w:sz w:val="20"/>
              </w:rPr>
              <w:t> </w:t>
            </w:r>
            <w:r>
              <w:rPr>
                <w:sz w:val="20"/>
              </w:rPr>
              <w:t>December,</w:t>
            </w:r>
            <w:r>
              <w:rPr>
                <w:spacing w:val="-6"/>
                <w:sz w:val="20"/>
              </w:rPr>
              <w:t> </w:t>
            </w:r>
            <w:r>
              <w:rPr>
                <w:spacing w:val="-4"/>
                <w:sz w:val="20"/>
              </w:rPr>
              <w:t>2008</w:t>
            </w:r>
          </w:p>
        </w:tc>
      </w:tr>
      <w:tr>
        <w:trPr>
          <w:trHeight w:val="659" w:hRule="atLeast"/>
        </w:trPr>
        <w:tc>
          <w:tcPr>
            <w:tcW w:w="590" w:type="dxa"/>
          </w:tcPr>
          <w:p>
            <w:pPr>
              <w:pStyle w:val="TableParagraph"/>
              <w:spacing w:line="225" w:lineRule="exact"/>
              <w:ind w:left="107"/>
              <w:rPr>
                <w:sz w:val="20"/>
              </w:rPr>
            </w:pPr>
            <w:r>
              <w:rPr>
                <w:spacing w:val="-5"/>
                <w:sz w:val="20"/>
              </w:rPr>
              <w:t>12.</w:t>
            </w:r>
          </w:p>
        </w:tc>
        <w:tc>
          <w:tcPr>
            <w:tcW w:w="2578" w:type="dxa"/>
          </w:tcPr>
          <w:p>
            <w:pPr>
              <w:pStyle w:val="TableParagraph"/>
              <w:spacing w:line="225" w:lineRule="exact"/>
              <w:ind w:left="108"/>
              <w:rPr>
                <w:sz w:val="20"/>
              </w:rPr>
            </w:pPr>
            <w:r>
              <w:rPr>
                <w:sz w:val="20"/>
              </w:rPr>
              <w:t>Lt.</w:t>
            </w:r>
            <w:r>
              <w:rPr>
                <w:spacing w:val="-5"/>
                <w:sz w:val="20"/>
              </w:rPr>
              <w:t> </w:t>
            </w:r>
            <w:r>
              <w:rPr>
                <w:sz w:val="20"/>
              </w:rPr>
              <w:t>Col.</w:t>
            </w:r>
            <w:r>
              <w:rPr>
                <w:spacing w:val="-4"/>
                <w:sz w:val="20"/>
              </w:rPr>
              <w:t> </w:t>
            </w:r>
            <w:r>
              <w:rPr>
                <w:sz w:val="20"/>
              </w:rPr>
              <w:t>C.G.</w:t>
            </w:r>
            <w:r>
              <w:rPr>
                <w:spacing w:val="-4"/>
                <w:sz w:val="20"/>
              </w:rPr>
              <w:t> Musa</w:t>
            </w:r>
          </w:p>
        </w:tc>
        <w:tc>
          <w:tcPr>
            <w:tcW w:w="1692" w:type="dxa"/>
          </w:tcPr>
          <w:p>
            <w:pPr>
              <w:pStyle w:val="TableParagraph"/>
              <w:spacing w:line="225" w:lineRule="exact"/>
              <w:ind w:left="108"/>
              <w:rPr>
                <w:sz w:val="20"/>
              </w:rPr>
            </w:pPr>
            <w:r>
              <w:rPr>
                <w:sz w:val="20"/>
              </w:rPr>
              <w:t>JTF</w:t>
            </w:r>
            <w:r>
              <w:rPr>
                <w:spacing w:val="-4"/>
                <w:sz w:val="20"/>
              </w:rPr>
              <w:t> </w:t>
            </w:r>
            <w:r>
              <w:rPr>
                <w:spacing w:val="-2"/>
                <w:sz w:val="20"/>
              </w:rPr>
              <w:t>Yenagoa</w:t>
            </w:r>
          </w:p>
        </w:tc>
        <w:tc>
          <w:tcPr>
            <w:tcW w:w="1892" w:type="dxa"/>
          </w:tcPr>
          <w:p>
            <w:pPr>
              <w:pStyle w:val="TableParagraph"/>
              <w:spacing w:line="242" w:lineRule="auto"/>
              <w:ind w:left="108" w:right="417"/>
              <w:rPr>
                <w:sz w:val="20"/>
              </w:rPr>
            </w:pPr>
            <w:r>
              <w:rPr>
                <w:spacing w:val="-2"/>
                <w:sz w:val="20"/>
              </w:rPr>
              <w:t>Commanding Officer</w:t>
            </w:r>
          </w:p>
        </w:tc>
        <w:tc>
          <w:tcPr>
            <w:tcW w:w="1057" w:type="dxa"/>
          </w:tcPr>
          <w:p>
            <w:pPr>
              <w:pStyle w:val="TableParagraph"/>
              <w:spacing w:line="225" w:lineRule="exact"/>
              <w:ind w:left="105"/>
              <w:rPr>
                <w:sz w:val="20"/>
              </w:rPr>
            </w:pPr>
            <w:r>
              <w:rPr>
                <w:spacing w:val="-5"/>
                <w:sz w:val="20"/>
              </w:rPr>
              <w:t>44</w:t>
            </w:r>
          </w:p>
        </w:tc>
        <w:tc>
          <w:tcPr>
            <w:tcW w:w="2184" w:type="dxa"/>
          </w:tcPr>
          <w:p>
            <w:pPr>
              <w:pStyle w:val="TableParagraph"/>
              <w:spacing w:line="225" w:lineRule="exact"/>
              <w:ind w:left="107"/>
              <w:rPr>
                <w:sz w:val="20"/>
              </w:rPr>
            </w:pPr>
            <w:r>
              <w:rPr>
                <w:sz w:val="20"/>
              </w:rPr>
              <w:t>28</w:t>
            </w:r>
            <w:r>
              <w:rPr>
                <w:spacing w:val="-5"/>
                <w:sz w:val="20"/>
              </w:rPr>
              <w:t> </w:t>
            </w:r>
            <w:r>
              <w:rPr>
                <w:sz w:val="20"/>
              </w:rPr>
              <w:t>December,</w:t>
            </w:r>
            <w:r>
              <w:rPr>
                <w:spacing w:val="-6"/>
                <w:sz w:val="20"/>
              </w:rPr>
              <w:t> </w:t>
            </w:r>
            <w:r>
              <w:rPr>
                <w:spacing w:val="-4"/>
                <w:sz w:val="20"/>
              </w:rPr>
              <w:t>2008</w:t>
            </w:r>
          </w:p>
        </w:tc>
      </w:tr>
      <w:tr>
        <w:trPr>
          <w:trHeight w:val="659" w:hRule="atLeast"/>
        </w:trPr>
        <w:tc>
          <w:tcPr>
            <w:tcW w:w="590" w:type="dxa"/>
          </w:tcPr>
          <w:p>
            <w:pPr>
              <w:pStyle w:val="TableParagraph"/>
              <w:spacing w:line="225" w:lineRule="exact"/>
              <w:ind w:left="107"/>
              <w:rPr>
                <w:sz w:val="20"/>
              </w:rPr>
            </w:pPr>
            <w:r>
              <w:rPr>
                <w:spacing w:val="-5"/>
                <w:sz w:val="20"/>
              </w:rPr>
              <w:t>13.</w:t>
            </w:r>
          </w:p>
        </w:tc>
        <w:tc>
          <w:tcPr>
            <w:tcW w:w="2578" w:type="dxa"/>
          </w:tcPr>
          <w:p>
            <w:pPr>
              <w:pStyle w:val="TableParagraph"/>
              <w:spacing w:line="225" w:lineRule="exact"/>
              <w:ind w:left="108"/>
              <w:rPr>
                <w:sz w:val="20"/>
              </w:rPr>
            </w:pPr>
            <w:r>
              <w:rPr>
                <w:sz w:val="20"/>
              </w:rPr>
              <w:t>Lt.</w:t>
            </w:r>
            <w:r>
              <w:rPr>
                <w:spacing w:val="-3"/>
                <w:sz w:val="20"/>
              </w:rPr>
              <w:t> </w:t>
            </w:r>
            <w:r>
              <w:rPr>
                <w:sz w:val="20"/>
              </w:rPr>
              <w:t>Col.</w:t>
            </w:r>
            <w:r>
              <w:rPr>
                <w:spacing w:val="-3"/>
                <w:sz w:val="20"/>
              </w:rPr>
              <w:t> </w:t>
            </w:r>
            <w:r>
              <w:rPr>
                <w:sz w:val="20"/>
              </w:rPr>
              <w:t>N.</w:t>
            </w:r>
            <w:r>
              <w:rPr>
                <w:spacing w:val="-3"/>
                <w:sz w:val="20"/>
              </w:rPr>
              <w:t> </w:t>
            </w:r>
            <w:r>
              <w:rPr>
                <w:sz w:val="20"/>
              </w:rPr>
              <w:t>U.</w:t>
            </w:r>
            <w:r>
              <w:rPr>
                <w:spacing w:val="-3"/>
                <w:sz w:val="20"/>
              </w:rPr>
              <w:t> </w:t>
            </w:r>
            <w:r>
              <w:rPr>
                <w:spacing w:val="-4"/>
                <w:sz w:val="20"/>
              </w:rPr>
              <w:t>Efik</w:t>
            </w:r>
          </w:p>
        </w:tc>
        <w:tc>
          <w:tcPr>
            <w:tcW w:w="1692" w:type="dxa"/>
          </w:tcPr>
          <w:p>
            <w:pPr>
              <w:pStyle w:val="TableParagraph"/>
              <w:spacing w:line="225" w:lineRule="exact"/>
              <w:ind w:left="108"/>
              <w:rPr>
                <w:sz w:val="20"/>
              </w:rPr>
            </w:pPr>
            <w:r>
              <w:rPr>
                <w:sz w:val="20"/>
              </w:rPr>
              <w:t>JTF</w:t>
            </w:r>
            <w:r>
              <w:rPr>
                <w:spacing w:val="-4"/>
                <w:sz w:val="20"/>
              </w:rPr>
              <w:t> </w:t>
            </w:r>
            <w:r>
              <w:rPr>
                <w:spacing w:val="-2"/>
                <w:sz w:val="20"/>
              </w:rPr>
              <w:t>Yenagoa</w:t>
            </w:r>
          </w:p>
        </w:tc>
        <w:tc>
          <w:tcPr>
            <w:tcW w:w="1892" w:type="dxa"/>
          </w:tcPr>
          <w:p>
            <w:pPr>
              <w:pStyle w:val="TableParagraph"/>
              <w:spacing w:line="242" w:lineRule="auto"/>
              <w:ind w:left="108" w:right="417"/>
              <w:rPr>
                <w:sz w:val="20"/>
              </w:rPr>
            </w:pPr>
            <w:r>
              <w:rPr>
                <w:spacing w:val="-2"/>
                <w:sz w:val="20"/>
              </w:rPr>
              <w:t>Commanding Officer</w:t>
            </w:r>
          </w:p>
        </w:tc>
        <w:tc>
          <w:tcPr>
            <w:tcW w:w="1057" w:type="dxa"/>
          </w:tcPr>
          <w:p>
            <w:pPr>
              <w:pStyle w:val="TableParagraph"/>
              <w:spacing w:line="225" w:lineRule="exact"/>
              <w:ind w:left="105"/>
              <w:rPr>
                <w:sz w:val="20"/>
              </w:rPr>
            </w:pPr>
            <w:r>
              <w:rPr>
                <w:spacing w:val="-5"/>
                <w:sz w:val="20"/>
              </w:rPr>
              <w:t>45</w:t>
            </w:r>
          </w:p>
        </w:tc>
        <w:tc>
          <w:tcPr>
            <w:tcW w:w="2184" w:type="dxa"/>
          </w:tcPr>
          <w:p>
            <w:pPr>
              <w:pStyle w:val="TableParagraph"/>
              <w:spacing w:line="225" w:lineRule="exact"/>
              <w:ind w:left="107"/>
              <w:rPr>
                <w:sz w:val="20"/>
              </w:rPr>
            </w:pPr>
            <w:r>
              <w:rPr>
                <w:sz w:val="20"/>
              </w:rPr>
              <w:t>28</w:t>
            </w:r>
            <w:r>
              <w:rPr>
                <w:spacing w:val="-5"/>
                <w:sz w:val="20"/>
              </w:rPr>
              <w:t> </w:t>
            </w:r>
            <w:r>
              <w:rPr>
                <w:sz w:val="20"/>
              </w:rPr>
              <w:t>December,</w:t>
            </w:r>
            <w:r>
              <w:rPr>
                <w:spacing w:val="-6"/>
                <w:sz w:val="20"/>
              </w:rPr>
              <w:t> </w:t>
            </w:r>
            <w:r>
              <w:rPr>
                <w:spacing w:val="-4"/>
                <w:sz w:val="20"/>
              </w:rPr>
              <w:t>2008</w:t>
            </w:r>
          </w:p>
        </w:tc>
      </w:tr>
      <w:tr>
        <w:trPr>
          <w:trHeight w:val="659" w:hRule="atLeast"/>
        </w:trPr>
        <w:tc>
          <w:tcPr>
            <w:tcW w:w="590" w:type="dxa"/>
          </w:tcPr>
          <w:p>
            <w:pPr>
              <w:pStyle w:val="TableParagraph"/>
              <w:spacing w:line="225" w:lineRule="exact"/>
              <w:ind w:left="107"/>
              <w:rPr>
                <w:sz w:val="20"/>
              </w:rPr>
            </w:pPr>
            <w:r>
              <w:rPr>
                <w:spacing w:val="-5"/>
                <w:sz w:val="20"/>
              </w:rPr>
              <w:t>14.</w:t>
            </w:r>
          </w:p>
        </w:tc>
        <w:tc>
          <w:tcPr>
            <w:tcW w:w="2578" w:type="dxa"/>
          </w:tcPr>
          <w:p>
            <w:pPr>
              <w:pStyle w:val="TableParagraph"/>
              <w:spacing w:line="225" w:lineRule="exact"/>
              <w:ind w:left="108"/>
              <w:rPr>
                <w:sz w:val="20"/>
              </w:rPr>
            </w:pPr>
            <w:r>
              <w:rPr>
                <w:sz w:val="20"/>
              </w:rPr>
              <w:t>Lt.</w:t>
            </w:r>
            <w:r>
              <w:rPr>
                <w:spacing w:val="-5"/>
                <w:sz w:val="20"/>
              </w:rPr>
              <w:t> </w:t>
            </w:r>
            <w:r>
              <w:rPr>
                <w:sz w:val="20"/>
              </w:rPr>
              <w:t>Col.A.T.</w:t>
            </w:r>
            <w:r>
              <w:rPr>
                <w:spacing w:val="-4"/>
                <w:sz w:val="20"/>
              </w:rPr>
              <w:t> Lawal</w:t>
            </w:r>
          </w:p>
        </w:tc>
        <w:tc>
          <w:tcPr>
            <w:tcW w:w="1692" w:type="dxa"/>
          </w:tcPr>
          <w:p>
            <w:pPr>
              <w:pStyle w:val="TableParagraph"/>
              <w:spacing w:line="225" w:lineRule="exact"/>
              <w:ind w:left="509"/>
              <w:rPr>
                <w:sz w:val="20"/>
              </w:rPr>
            </w:pPr>
            <w:r>
              <w:rPr>
                <w:spacing w:val="-2"/>
                <w:sz w:val="20"/>
              </w:rPr>
              <w:t>Warri</w:t>
            </w:r>
          </w:p>
        </w:tc>
        <w:tc>
          <w:tcPr>
            <w:tcW w:w="1892" w:type="dxa"/>
          </w:tcPr>
          <w:p>
            <w:pPr>
              <w:pStyle w:val="TableParagraph"/>
              <w:spacing w:line="242" w:lineRule="auto"/>
              <w:ind w:left="108" w:right="417"/>
              <w:rPr>
                <w:sz w:val="20"/>
              </w:rPr>
            </w:pPr>
            <w:r>
              <w:rPr>
                <w:spacing w:val="-2"/>
                <w:sz w:val="20"/>
              </w:rPr>
              <w:t>Commanding Officer</w:t>
            </w:r>
          </w:p>
        </w:tc>
        <w:tc>
          <w:tcPr>
            <w:tcW w:w="1057" w:type="dxa"/>
          </w:tcPr>
          <w:p>
            <w:pPr>
              <w:pStyle w:val="TableParagraph"/>
              <w:spacing w:line="225" w:lineRule="exact"/>
              <w:ind w:left="105"/>
              <w:rPr>
                <w:sz w:val="20"/>
              </w:rPr>
            </w:pPr>
            <w:r>
              <w:rPr>
                <w:spacing w:val="-5"/>
                <w:sz w:val="20"/>
              </w:rPr>
              <w:t>46</w:t>
            </w:r>
          </w:p>
        </w:tc>
        <w:tc>
          <w:tcPr>
            <w:tcW w:w="2184" w:type="dxa"/>
          </w:tcPr>
          <w:p>
            <w:pPr>
              <w:pStyle w:val="TableParagraph"/>
              <w:spacing w:line="225" w:lineRule="exact"/>
              <w:ind w:left="107"/>
              <w:rPr>
                <w:sz w:val="20"/>
              </w:rPr>
            </w:pPr>
            <w:r>
              <w:rPr>
                <w:sz w:val="20"/>
              </w:rPr>
              <w:t>29</w:t>
            </w:r>
            <w:r>
              <w:rPr>
                <w:spacing w:val="-5"/>
                <w:sz w:val="20"/>
              </w:rPr>
              <w:t> </w:t>
            </w:r>
            <w:r>
              <w:rPr>
                <w:sz w:val="20"/>
              </w:rPr>
              <w:t>December,</w:t>
            </w:r>
            <w:r>
              <w:rPr>
                <w:spacing w:val="-6"/>
                <w:sz w:val="20"/>
              </w:rPr>
              <w:t> </w:t>
            </w:r>
            <w:r>
              <w:rPr>
                <w:spacing w:val="-4"/>
                <w:sz w:val="20"/>
              </w:rPr>
              <w:t>2008</w:t>
            </w:r>
          </w:p>
        </w:tc>
      </w:tr>
      <w:tr>
        <w:trPr>
          <w:trHeight w:val="662" w:hRule="atLeast"/>
        </w:trPr>
        <w:tc>
          <w:tcPr>
            <w:tcW w:w="590" w:type="dxa"/>
          </w:tcPr>
          <w:p>
            <w:pPr>
              <w:pStyle w:val="TableParagraph"/>
              <w:spacing w:line="228" w:lineRule="exact"/>
              <w:ind w:left="107"/>
              <w:rPr>
                <w:sz w:val="20"/>
              </w:rPr>
            </w:pPr>
            <w:r>
              <w:rPr>
                <w:spacing w:val="-5"/>
                <w:sz w:val="20"/>
              </w:rPr>
              <w:t>15.</w:t>
            </w:r>
          </w:p>
        </w:tc>
        <w:tc>
          <w:tcPr>
            <w:tcW w:w="2578" w:type="dxa"/>
          </w:tcPr>
          <w:p>
            <w:pPr>
              <w:pStyle w:val="TableParagraph"/>
              <w:spacing w:line="228" w:lineRule="exact"/>
              <w:ind w:left="108"/>
              <w:rPr>
                <w:sz w:val="20"/>
              </w:rPr>
            </w:pPr>
            <w:r>
              <w:rPr>
                <w:sz w:val="20"/>
              </w:rPr>
              <w:t>Lt.</w:t>
            </w:r>
            <w:r>
              <w:rPr>
                <w:spacing w:val="-4"/>
                <w:sz w:val="20"/>
              </w:rPr>
              <w:t> </w:t>
            </w:r>
            <w:r>
              <w:rPr>
                <w:sz w:val="20"/>
              </w:rPr>
              <w:t>Col.</w:t>
            </w:r>
            <w:r>
              <w:rPr>
                <w:spacing w:val="-4"/>
                <w:sz w:val="20"/>
              </w:rPr>
              <w:t> </w:t>
            </w:r>
            <w:r>
              <w:rPr>
                <w:spacing w:val="-2"/>
                <w:sz w:val="20"/>
              </w:rPr>
              <w:t>Fejokwu</w:t>
            </w:r>
          </w:p>
        </w:tc>
        <w:tc>
          <w:tcPr>
            <w:tcW w:w="1692" w:type="dxa"/>
          </w:tcPr>
          <w:p>
            <w:pPr>
              <w:pStyle w:val="TableParagraph"/>
              <w:spacing w:line="228" w:lineRule="exact"/>
              <w:ind w:left="559"/>
              <w:rPr>
                <w:sz w:val="20"/>
              </w:rPr>
            </w:pPr>
            <w:r>
              <w:rPr>
                <w:spacing w:val="-2"/>
                <w:sz w:val="20"/>
              </w:rPr>
              <w:t>Warri</w:t>
            </w:r>
          </w:p>
        </w:tc>
        <w:tc>
          <w:tcPr>
            <w:tcW w:w="1892" w:type="dxa"/>
          </w:tcPr>
          <w:p>
            <w:pPr>
              <w:pStyle w:val="TableParagraph"/>
              <w:ind w:left="108" w:right="417"/>
              <w:rPr>
                <w:sz w:val="20"/>
              </w:rPr>
            </w:pPr>
            <w:r>
              <w:rPr>
                <w:spacing w:val="-2"/>
                <w:sz w:val="20"/>
              </w:rPr>
              <w:t>Commanding Officer</w:t>
            </w:r>
          </w:p>
        </w:tc>
        <w:tc>
          <w:tcPr>
            <w:tcW w:w="1057" w:type="dxa"/>
          </w:tcPr>
          <w:p>
            <w:pPr>
              <w:pStyle w:val="TableParagraph"/>
              <w:spacing w:line="228" w:lineRule="exact"/>
              <w:ind w:left="105"/>
              <w:rPr>
                <w:sz w:val="20"/>
              </w:rPr>
            </w:pPr>
            <w:r>
              <w:rPr>
                <w:spacing w:val="-5"/>
                <w:sz w:val="20"/>
              </w:rPr>
              <w:t>43</w:t>
            </w:r>
          </w:p>
        </w:tc>
        <w:tc>
          <w:tcPr>
            <w:tcW w:w="2184" w:type="dxa"/>
          </w:tcPr>
          <w:p>
            <w:pPr>
              <w:pStyle w:val="TableParagraph"/>
              <w:spacing w:line="228" w:lineRule="exact"/>
              <w:ind w:left="107"/>
              <w:rPr>
                <w:sz w:val="20"/>
              </w:rPr>
            </w:pPr>
            <w:r>
              <w:rPr>
                <w:sz w:val="20"/>
              </w:rPr>
              <w:t>29</w:t>
            </w:r>
            <w:r>
              <w:rPr>
                <w:spacing w:val="-5"/>
                <w:sz w:val="20"/>
              </w:rPr>
              <w:t> </w:t>
            </w:r>
            <w:r>
              <w:rPr>
                <w:sz w:val="20"/>
              </w:rPr>
              <w:t>December,</w:t>
            </w:r>
            <w:r>
              <w:rPr>
                <w:spacing w:val="-6"/>
                <w:sz w:val="20"/>
              </w:rPr>
              <w:t> </w:t>
            </w:r>
            <w:r>
              <w:rPr>
                <w:spacing w:val="-4"/>
                <w:sz w:val="20"/>
              </w:rPr>
              <w:t>2008</w:t>
            </w:r>
          </w:p>
        </w:tc>
      </w:tr>
      <w:tr>
        <w:trPr>
          <w:trHeight w:val="659" w:hRule="atLeast"/>
        </w:trPr>
        <w:tc>
          <w:tcPr>
            <w:tcW w:w="590" w:type="dxa"/>
          </w:tcPr>
          <w:p>
            <w:pPr>
              <w:pStyle w:val="TableParagraph"/>
              <w:spacing w:line="225" w:lineRule="exact"/>
              <w:ind w:left="107"/>
              <w:rPr>
                <w:sz w:val="20"/>
              </w:rPr>
            </w:pPr>
            <w:r>
              <w:rPr>
                <w:spacing w:val="-5"/>
                <w:sz w:val="20"/>
              </w:rPr>
              <w:t>16.</w:t>
            </w:r>
          </w:p>
        </w:tc>
        <w:tc>
          <w:tcPr>
            <w:tcW w:w="2578" w:type="dxa"/>
          </w:tcPr>
          <w:p>
            <w:pPr>
              <w:pStyle w:val="TableParagraph"/>
              <w:spacing w:line="225" w:lineRule="exact"/>
              <w:ind w:left="108"/>
              <w:rPr>
                <w:sz w:val="20"/>
              </w:rPr>
            </w:pPr>
            <w:r>
              <w:rPr>
                <w:sz w:val="20"/>
              </w:rPr>
              <w:t>CSP</w:t>
            </w:r>
            <w:r>
              <w:rPr>
                <w:spacing w:val="-6"/>
                <w:sz w:val="20"/>
              </w:rPr>
              <w:t> </w:t>
            </w:r>
            <w:r>
              <w:rPr>
                <w:sz w:val="20"/>
              </w:rPr>
              <w:t>Tokunbo</w:t>
            </w:r>
            <w:r>
              <w:rPr>
                <w:spacing w:val="-6"/>
                <w:sz w:val="20"/>
              </w:rPr>
              <w:t> </w:t>
            </w:r>
            <w:r>
              <w:rPr>
                <w:spacing w:val="-2"/>
                <w:sz w:val="20"/>
              </w:rPr>
              <w:t>Afolabi</w:t>
            </w:r>
          </w:p>
        </w:tc>
        <w:tc>
          <w:tcPr>
            <w:tcW w:w="1692" w:type="dxa"/>
          </w:tcPr>
          <w:p>
            <w:pPr>
              <w:pStyle w:val="TableParagraph"/>
              <w:spacing w:line="225" w:lineRule="exact"/>
              <w:ind w:left="108"/>
              <w:rPr>
                <w:sz w:val="20"/>
              </w:rPr>
            </w:pPr>
            <w:r>
              <w:rPr>
                <w:sz w:val="20"/>
              </w:rPr>
              <w:t>NPFTG</w:t>
            </w:r>
            <w:r>
              <w:rPr>
                <w:spacing w:val="-5"/>
                <w:sz w:val="20"/>
              </w:rPr>
              <w:t> </w:t>
            </w:r>
            <w:r>
              <w:rPr>
                <w:spacing w:val="-2"/>
                <w:sz w:val="20"/>
              </w:rPr>
              <w:t>Warri</w:t>
            </w:r>
          </w:p>
        </w:tc>
        <w:tc>
          <w:tcPr>
            <w:tcW w:w="1892" w:type="dxa"/>
          </w:tcPr>
          <w:p>
            <w:pPr>
              <w:pStyle w:val="TableParagraph"/>
              <w:spacing w:line="242" w:lineRule="auto"/>
              <w:ind w:left="108" w:firstLine="50"/>
              <w:rPr>
                <w:sz w:val="20"/>
              </w:rPr>
            </w:pPr>
            <w:r>
              <w:rPr>
                <w:sz w:val="20"/>
              </w:rPr>
              <w:t>JTF</w:t>
            </w:r>
            <w:r>
              <w:rPr>
                <w:spacing w:val="-13"/>
                <w:sz w:val="20"/>
              </w:rPr>
              <w:t> </w:t>
            </w:r>
            <w:r>
              <w:rPr>
                <w:sz w:val="20"/>
              </w:rPr>
              <w:t>Police</w:t>
            </w:r>
            <w:r>
              <w:rPr>
                <w:spacing w:val="-12"/>
                <w:sz w:val="20"/>
              </w:rPr>
              <w:t> </w:t>
            </w:r>
            <w:r>
              <w:rPr>
                <w:sz w:val="20"/>
              </w:rPr>
              <w:t>Force </w:t>
            </w:r>
            <w:r>
              <w:rPr>
                <w:spacing w:val="-2"/>
                <w:sz w:val="20"/>
              </w:rPr>
              <w:t>Commander</w:t>
            </w:r>
          </w:p>
        </w:tc>
        <w:tc>
          <w:tcPr>
            <w:tcW w:w="1057" w:type="dxa"/>
          </w:tcPr>
          <w:p>
            <w:pPr>
              <w:pStyle w:val="TableParagraph"/>
              <w:spacing w:line="225" w:lineRule="exact"/>
              <w:ind w:left="105"/>
              <w:rPr>
                <w:sz w:val="20"/>
              </w:rPr>
            </w:pPr>
            <w:r>
              <w:rPr>
                <w:spacing w:val="-5"/>
                <w:sz w:val="20"/>
              </w:rPr>
              <w:t>46</w:t>
            </w:r>
          </w:p>
        </w:tc>
        <w:tc>
          <w:tcPr>
            <w:tcW w:w="2184" w:type="dxa"/>
          </w:tcPr>
          <w:p>
            <w:pPr>
              <w:pStyle w:val="TableParagraph"/>
              <w:spacing w:line="225" w:lineRule="exact"/>
              <w:ind w:left="107"/>
              <w:rPr>
                <w:sz w:val="20"/>
              </w:rPr>
            </w:pPr>
            <w:r>
              <w:rPr>
                <w:sz w:val="20"/>
              </w:rPr>
              <w:t>29</w:t>
            </w:r>
            <w:r>
              <w:rPr>
                <w:spacing w:val="-5"/>
                <w:sz w:val="20"/>
              </w:rPr>
              <w:t> </w:t>
            </w:r>
            <w:r>
              <w:rPr>
                <w:sz w:val="20"/>
              </w:rPr>
              <w:t>December,</w:t>
            </w:r>
            <w:r>
              <w:rPr>
                <w:spacing w:val="-6"/>
                <w:sz w:val="20"/>
              </w:rPr>
              <w:t> </w:t>
            </w:r>
            <w:r>
              <w:rPr>
                <w:spacing w:val="-4"/>
                <w:sz w:val="20"/>
              </w:rPr>
              <w:t>2008</w:t>
            </w:r>
          </w:p>
        </w:tc>
      </w:tr>
      <w:tr>
        <w:trPr>
          <w:trHeight w:val="659" w:hRule="atLeast"/>
        </w:trPr>
        <w:tc>
          <w:tcPr>
            <w:tcW w:w="590" w:type="dxa"/>
          </w:tcPr>
          <w:p>
            <w:pPr>
              <w:pStyle w:val="TableParagraph"/>
              <w:spacing w:line="225" w:lineRule="exact"/>
              <w:ind w:left="107"/>
              <w:rPr>
                <w:sz w:val="20"/>
              </w:rPr>
            </w:pPr>
            <w:r>
              <w:rPr>
                <w:spacing w:val="-5"/>
                <w:sz w:val="20"/>
              </w:rPr>
              <w:t>17.</w:t>
            </w:r>
          </w:p>
        </w:tc>
        <w:tc>
          <w:tcPr>
            <w:tcW w:w="2578" w:type="dxa"/>
          </w:tcPr>
          <w:p>
            <w:pPr>
              <w:pStyle w:val="TableParagraph"/>
              <w:spacing w:line="225" w:lineRule="exact"/>
              <w:ind w:left="108"/>
              <w:rPr>
                <w:sz w:val="20"/>
              </w:rPr>
            </w:pPr>
            <w:r>
              <w:rPr>
                <w:sz w:val="20"/>
              </w:rPr>
              <w:t>Wing</w:t>
            </w:r>
            <w:r>
              <w:rPr>
                <w:spacing w:val="-4"/>
                <w:sz w:val="20"/>
              </w:rPr>
              <w:t> </w:t>
            </w:r>
            <w:r>
              <w:rPr>
                <w:sz w:val="20"/>
              </w:rPr>
              <w:t>Cdr</w:t>
            </w:r>
            <w:r>
              <w:rPr>
                <w:spacing w:val="-4"/>
                <w:sz w:val="20"/>
              </w:rPr>
              <w:t> </w:t>
            </w:r>
            <w:r>
              <w:rPr>
                <w:sz w:val="20"/>
              </w:rPr>
              <w:t>A.A</w:t>
            </w:r>
            <w:r>
              <w:rPr>
                <w:spacing w:val="-6"/>
                <w:sz w:val="20"/>
              </w:rPr>
              <w:t> </w:t>
            </w:r>
            <w:r>
              <w:rPr>
                <w:spacing w:val="-4"/>
                <w:sz w:val="20"/>
              </w:rPr>
              <w:t>Umaru</w:t>
            </w:r>
          </w:p>
        </w:tc>
        <w:tc>
          <w:tcPr>
            <w:tcW w:w="1692" w:type="dxa"/>
          </w:tcPr>
          <w:p>
            <w:pPr>
              <w:pStyle w:val="TableParagraph"/>
              <w:spacing w:line="225" w:lineRule="exact"/>
              <w:ind w:left="108"/>
              <w:rPr>
                <w:sz w:val="20"/>
              </w:rPr>
            </w:pPr>
            <w:r>
              <w:rPr>
                <w:sz w:val="20"/>
              </w:rPr>
              <w:t>JTF</w:t>
            </w:r>
            <w:r>
              <w:rPr>
                <w:spacing w:val="-4"/>
                <w:sz w:val="20"/>
              </w:rPr>
              <w:t> </w:t>
            </w:r>
            <w:r>
              <w:rPr>
                <w:spacing w:val="-2"/>
                <w:sz w:val="20"/>
              </w:rPr>
              <w:t>Warri</w:t>
            </w:r>
          </w:p>
        </w:tc>
        <w:tc>
          <w:tcPr>
            <w:tcW w:w="1892" w:type="dxa"/>
          </w:tcPr>
          <w:p>
            <w:pPr>
              <w:pStyle w:val="TableParagraph"/>
              <w:spacing w:line="242" w:lineRule="auto"/>
              <w:ind w:left="108" w:right="139"/>
              <w:rPr>
                <w:sz w:val="20"/>
              </w:rPr>
            </w:pPr>
            <w:r>
              <w:rPr>
                <w:sz w:val="20"/>
              </w:rPr>
              <w:t>JTF Air Force Liaison</w:t>
            </w:r>
            <w:r>
              <w:rPr>
                <w:spacing w:val="-7"/>
                <w:sz w:val="20"/>
              </w:rPr>
              <w:t> </w:t>
            </w:r>
            <w:r>
              <w:rPr>
                <w:spacing w:val="-2"/>
                <w:sz w:val="20"/>
              </w:rPr>
              <w:t>Officer</w:t>
            </w:r>
          </w:p>
        </w:tc>
        <w:tc>
          <w:tcPr>
            <w:tcW w:w="1057" w:type="dxa"/>
          </w:tcPr>
          <w:p>
            <w:pPr>
              <w:pStyle w:val="TableParagraph"/>
              <w:spacing w:line="225" w:lineRule="exact"/>
              <w:ind w:left="105"/>
              <w:rPr>
                <w:sz w:val="20"/>
              </w:rPr>
            </w:pPr>
            <w:r>
              <w:rPr>
                <w:spacing w:val="-5"/>
                <w:sz w:val="20"/>
              </w:rPr>
              <w:t>44</w:t>
            </w:r>
          </w:p>
        </w:tc>
        <w:tc>
          <w:tcPr>
            <w:tcW w:w="2184" w:type="dxa"/>
          </w:tcPr>
          <w:p>
            <w:pPr>
              <w:pStyle w:val="TableParagraph"/>
              <w:spacing w:line="225" w:lineRule="exact"/>
              <w:ind w:left="107"/>
              <w:rPr>
                <w:sz w:val="20"/>
              </w:rPr>
            </w:pPr>
            <w:r>
              <w:rPr>
                <w:sz w:val="20"/>
              </w:rPr>
              <w:t>30</w:t>
            </w:r>
            <w:r>
              <w:rPr>
                <w:spacing w:val="-5"/>
                <w:sz w:val="20"/>
              </w:rPr>
              <w:t> </w:t>
            </w:r>
            <w:r>
              <w:rPr>
                <w:sz w:val="20"/>
              </w:rPr>
              <w:t>December,</w:t>
            </w:r>
            <w:r>
              <w:rPr>
                <w:spacing w:val="-6"/>
                <w:sz w:val="20"/>
              </w:rPr>
              <w:t> </w:t>
            </w:r>
            <w:r>
              <w:rPr>
                <w:spacing w:val="-4"/>
                <w:sz w:val="20"/>
              </w:rPr>
              <w:t>2008</w:t>
            </w:r>
          </w:p>
        </w:tc>
      </w:tr>
    </w:tbl>
    <w:p>
      <w:pPr>
        <w:spacing w:after="0" w:line="225" w:lineRule="exact"/>
        <w:rPr>
          <w:sz w:val="20"/>
        </w:rPr>
        <w:sectPr>
          <w:pgSz w:w="11910" w:h="16840"/>
          <w:pgMar w:header="0" w:footer="1561" w:top="1920" w:bottom="1760" w:left="720" w:right="180"/>
        </w:sectPr>
      </w:pPr>
    </w:p>
    <w:p>
      <w:pPr>
        <w:pStyle w:val="BodyText"/>
        <w:spacing w:before="3"/>
        <w:ind w:left="0"/>
        <w:rPr>
          <w:b/>
          <w:sz w:val="2"/>
        </w:rPr>
      </w:pPr>
      <w:r>
        <w:rPr/>
        <mc:AlternateContent>
          <mc:Choice Requires="wps">
            <w:drawing>
              <wp:anchor distT="0" distB="0" distL="0" distR="0" allowOverlap="1" layoutInCell="1" locked="0" behindDoc="1" simplePos="0" relativeHeight="480709120">
                <wp:simplePos x="0" y="0"/>
                <wp:positionH relativeFrom="page">
                  <wp:posOffset>-1537026</wp:posOffset>
                </wp:positionH>
                <wp:positionV relativeFrom="page">
                  <wp:posOffset>4900424</wp:posOffset>
                </wp:positionV>
                <wp:extent cx="10669905" cy="914400"/>
                <wp:effectExtent l="0" t="0" r="0" b="0"/>
                <wp:wrapNone/>
                <wp:docPr id="401" name="Textbox 401"/>
                <wp:cNvGraphicFramePr>
                  <a:graphicFrameLocks/>
                </wp:cNvGraphicFramePr>
                <a:graphic>
                  <a:graphicData uri="http://schemas.microsoft.com/office/word/2010/wordprocessingShape">
                    <wps:wsp>
                      <wps:cNvPr id="401" name="Textbox 401"/>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07360;rotation:306" type="#_x0000_t136" fillcolor="#ff5400" stroked="f">
                <o:extrusion v:ext="view" autorotationcenter="t"/>
                <v:textpath style="font-family:&quot;Arial MT&quot;;font-size:72pt;v-text-kern:t;mso-text-shadow:auto" string="UNIVERSITY OF IBADAN"/>
                <w10:wrap type="none"/>
              </v:shape>
            </w:pict>
          </mc:Fallback>
        </mc:AlternateContent>
      </w:r>
    </w:p>
    <w:tbl>
      <w:tblPr>
        <w:tblW w:w="0" w:type="auto"/>
        <w:jc w:val="left"/>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0"/>
        <w:gridCol w:w="2578"/>
        <w:gridCol w:w="1692"/>
        <w:gridCol w:w="1892"/>
        <w:gridCol w:w="1057"/>
        <w:gridCol w:w="2184"/>
      </w:tblGrid>
      <w:tr>
        <w:trPr>
          <w:trHeight w:val="859" w:hRule="atLeast"/>
        </w:trPr>
        <w:tc>
          <w:tcPr>
            <w:tcW w:w="590" w:type="dxa"/>
          </w:tcPr>
          <w:p>
            <w:pPr>
              <w:pStyle w:val="TableParagraph"/>
              <w:spacing w:line="225" w:lineRule="exact"/>
              <w:ind w:right="109"/>
              <w:jc w:val="center"/>
              <w:rPr>
                <w:sz w:val="20"/>
              </w:rPr>
            </w:pPr>
            <w:r>
              <w:rPr>
                <w:spacing w:val="-5"/>
                <w:sz w:val="20"/>
              </w:rPr>
              <w:t>18.</w:t>
            </w:r>
          </w:p>
        </w:tc>
        <w:tc>
          <w:tcPr>
            <w:tcW w:w="2578" w:type="dxa"/>
          </w:tcPr>
          <w:p>
            <w:pPr>
              <w:pStyle w:val="TableParagraph"/>
              <w:spacing w:line="225" w:lineRule="exact"/>
              <w:ind w:left="108"/>
              <w:rPr>
                <w:sz w:val="20"/>
              </w:rPr>
            </w:pPr>
            <w:r>
              <w:rPr>
                <w:sz w:val="20"/>
              </w:rPr>
              <w:t>CSP</w:t>
            </w:r>
            <w:r>
              <w:rPr>
                <w:spacing w:val="-5"/>
                <w:sz w:val="20"/>
              </w:rPr>
              <w:t> </w:t>
            </w:r>
            <w:r>
              <w:rPr>
                <w:sz w:val="20"/>
              </w:rPr>
              <w:t>Ahmed</w:t>
            </w:r>
            <w:r>
              <w:rPr>
                <w:spacing w:val="-5"/>
                <w:sz w:val="20"/>
              </w:rPr>
              <w:t> </w:t>
            </w:r>
            <w:r>
              <w:rPr>
                <w:spacing w:val="-2"/>
                <w:sz w:val="20"/>
              </w:rPr>
              <w:t>Magaji</w:t>
            </w:r>
          </w:p>
        </w:tc>
        <w:tc>
          <w:tcPr>
            <w:tcW w:w="1692" w:type="dxa"/>
          </w:tcPr>
          <w:p>
            <w:pPr>
              <w:pStyle w:val="TableParagraph"/>
              <w:spacing w:line="225" w:lineRule="exact"/>
              <w:ind w:left="108"/>
              <w:rPr>
                <w:sz w:val="20"/>
              </w:rPr>
            </w:pPr>
            <w:r>
              <w:rPr>
                <w:sz w:val="20"/>
              </w:rPr>
              <w:t>JTF</w:t>
            </w:r>
            <w:r>
              <w:rPr>
                <w:spacing w:val="-4"/>
                <w:sz w:val="20"/>
              </w:rPr>
              <w:t> </w:t>
            </w:r>
            <w:r>
              <w:rPr>
                <w:spacing w:val="-2"/>
                <w:sz w:val="20"/>
              </w:rPr>
              <w:t>Warri</w:t>
            </w:r>
          </w:p>
        </w:tc>
        <w:tc>
          <w:tcPr>
            <w:tcW w:w="1892" w:type="dxa"/>
          </w:tcPr>
          <w:p>
            <w:pPr>
              <w:pStyle w:val="TableParagraph"/>
              <w:spacing w:line="242" w:lineRule="auto"/>
              <w:ind w:left="108" w:right="783"/>
              <w:rPr>
                <w:sz w:val="20"/>
              </w:rPr>
            </w:pPr>
            <w:r>
              <w:rPr>
                <w:sz w:val="20"/>
              </w:rPr>
              <w:t>JTF Police </w:t>
            </w:r>
            <w:r>
              <w:rPr>
                <w:spacing w:val="-2"/>
                <w:sz w:val="20"/>
              </w:rPr>
              <w:t>Commander</w:t>
            </w:r>
          </w:p>
        </w:tc>
        <w:tc>
          <w:tcPr>
            <w:tcW w:w="1057" w:type="dxa"/>
          </w:tcPr>
          <w:p>
            <w:pPr>
              <w:pStyle w:val="TableParagraph"/>
              <w:spacing w:line="225" w:lineRule="exact"/>
              <w:ind w:left="105"/>
              <w:rPr>
                <w:sz w:val="20"/>
              </w:rPr>
            </w:pPr>
            <w:r>
              <w:rPr>
                <w:spacing w:val="-5"/>
                <w:sz w:val="20"/>
              </w:rPr>
              <w:t>48</w:t>
            </w:r>
          </w:p>
        </w:tc>
        <w:tc>
          <w:tcPr>
            <w:tcW w:w="2184" w:type="dxa"/>
          </w:tcPr>
          <w:p>
            <w:pPr>
              <w:pStyle w:val="TableParagraph"/>
              <w:spacing w:line="225" w:lineRule="exact"/>
              <w:ind w:left="107"/>
              <w:rPr>
                <w:sz w:val="20"/>
              </w:rPr>
            </w:pPr>
            <w:r>
              <w:rPr>
                <w:sz w:val="20"/>
              </w:rPr>
              <w:t>29</w:t>
            </w:r>
            <w:r>
              <w:rPr>
                <w:spacing w:val="-5"/>
                <w:sz w:val="20"/>
              </w:rPr>
              <w:t> </w:t>
            </w:r>
            <w:r>
              <w:rPr>
                <w:sz w:val="20"/>
              </w:rPr>
              <w:t>December,</w:t>
            </w:r>
            <w:r>
              <w:rPr>
                <w:spacing w:val="-6"/>
                <w:sz w:val="20"/>
              </w:rPr>
              <w:t> </w:t>
            </w:r>
            <w:r>
              <w:rPr>
                <w:spacing w:val="-4"/>
                <w:sz w:val="20"/>
              </w:rPr>
              <w:t>2008</w:t>
            </w:r>
          </w:p>
        </w:tc>
      </w:tr>
      <w:tr>
        <w:trPr>
          <w:trHeight w:val="890" w:hRule="atLeast"/>
        </w:trPr>
        <w:tc>
          <w:tcPr>
            <w:tcW w:w="590" w:type="dxa"/>
          </w:tcPr>
          <w:p>
            <w:pPr>
              <w:pStyle w:val="TableParagraph"/>
              <w:spacing w:line="228" w:lineRule="exact"/>
              <w:ind w:right="109"/>
              <w:jc w:val="center"/>
              <w:rPr>
                <w:sz w:val="20"/>
              </w:rPr>
            </w:pPr>
            <w:r>
              <w:rPr>
                <w:spacing w:val="-5"/>
                <w:sz w:val="20"/>
              </w:rPr>
              <w:t>19.</w:t>
            </w:r>
          </w:p>
        </w:tc>
        <w:tc>
          <w:tcPr>
            <w:tcW w:w="2578" w:type="dxa"/>
          </w:tcPr>
          <w:p>
            <w:pPr>
              <w:pStyle w:val="TableParagraph"/>
              <w:spacing w:line="228" w:lineRule="exact"/>
              <w:ind w:left="108"/>
              <w:rPr>
                <w:sz w:val="20"/>
              </w:rPr>
            </w:pPr>
            <w:r>
              <w:rPr>
                <w:sz w:val="20"/>
              </w:rPr>
              <w:t>Mr.</w:t>
            </w:r>
            <w:r>
              <w:rPr>
                <w:spacing w:val="-2"/>
                <w:sz w:val="20"/>
              </w:rPr>
              <w:t> </w:t>
            </w:r>
            <w:r>
              <w:rPr>
                <w:sz w:val="20"/>
              </w:rPr>
              <w:t>J.</w:t>
            </w:r>
            <w:r>
              <w:rPr>
                <w:spacing w:val="-1"/>
                <w:sz w:val="20"/>
              </w:rPr>
              <w:t> </w:t>
            </w:r>
            <w:r>
              <w:rPr>
                <w:sz w:val="20"/>
              </w:rPr>
              <w:t>O.</w:t>
            </w:r>
            <w:r>
              <w:rPr>
                <w:spacing w:val="-3"/>
                <w:sz w:val="20"/>
              </w:rPr>
              <w:t> </w:t>
            </w:r>
            <w:r>
              <w:rPr>
                <w:spacing w:val="-2"/>
                <w:sz w:val="20"/>
              </w:rPr>
              <w:t>Agbara</w:t>
            </w:r>
          </w:p>
        </w:tc>
        <w:tc>
          <w:tcPr>
            <w:tcW w:w="1692" w:type="dxa"/>
          </w:tcPr>
          <w:p>
            <w:pPr>
              <w:pStyle w:val="TableParagraph"/>
              <w:ind w:left="108" w:right="605"/>
              <w:rPr>
                <w:sz w:val="20"/>
              </w:rPr>
            </w:pPr>
            <w:r>
              <w:rPr>
                <w:sz w:val="20"/>
              </w:rPr>
              <w:t>SPDC</w:t>
            </w:r>
            <w:r>
              <w:rPr>
                <w:spacing w:val="-13"/>
                <w:sz w:val="20"/>
              </w:rPr>
              <w:t> </w:t>
            </w:r>
            <w:r>
              <w:rPr>
                <w:sz w:val="20"/>
              </w:rPr>
              <w:t>West </w:t>
            </w:r>
            <w:r>
              <w:rPr>
                <w:spacing w:val="-2"/>
                <w:sz w:val="20"/>
              </w:rPr>
              <w:t>Warri</w:t>
            </w:r>
          </w:p>
        </w:tc>
        <w:tc>
          <w:tcPr>
            <w:tcW w:w="1892" w:type="dxa"/>
          </w:tcPr>
          <w:p>
            <w:pPr>
              <w:pStyle w:val="TableParagraph"/>
              <w:ind w:left="108" w:right="595"/>
              <w:rPr>
                <w:sz w:val="20"/>
              </w:rPr>
            </w:pPr>
            <w:r>
              <w:rPr>
                <w:sz w:val="20"/>
              </w:rPr>
              <w:t>Vice</w:t>
            </w:r>
            <w:r>
              <w:rPr>
                <w:spacing w:val="-13"/>
                <w:sz w:val="20"/>
              </w:rPr>
              <w:t> </w:t>
            </w:r>
            <w:r>
              <w:rPr>
                <w:sz w:val="20"/>
              </w:rPr>
              <w:t>President </w:t>
            </w:r>
            <w:r>
              <w:rPr>
                <w:spacing w:val="-2"/>
                <w:sz w:val="20"/>
              </w:rPr>
              <w:t>Security International</w:t>
            </w:r>
          </w:p>
        </w:tc>
        <w:tc>
          <w:tcPr>
            <w:tcW w:w="1057" w:type="dxa"/>
          </w:tcPr>
          <w:p>
            <w:pPr>
              <w:pStyle w:val="TableParagraph"/>
              <w:spacing w:line="228" w:lineRule="exact"/>
              <w:ind w:left="105"/>
              <w:rPr>
                <w:sz w:val="20"/>
              </w:rPr>
            </w:pPr>
            <w:r>
              <w:rPr>
                <w:spacing w:val="-5"/>
                <w:sz w:val="20"/>
              </w:rPr>
              <w:t>56</w:t>
            </w:r>
          </w:p>
        </w:tc>
        <w:tc>
          <w:tcPr>
            <w:tcW w:w="2184" w:type="dxa"/>
          </w:tcPr>
          <w:p>
            <w:pPr>
              <w:pStyle w:val="TableParagraph"/>
              <w:spacing w:line="228" w:lineRule="exact"/>
              <w:ind w:left="107"/>
              <w:rPr>
                <w:sz w:val="20"/>
              </w:rPr>
            </w:pPr>
            <w:r>
              <w:rPr>
                <w:sz w:val="20"/>
              </w:rPr>
              <w:t>30</w:t>
            </w:r>
            <w:r>
              <w:rPr>
                <w:spacing w:val="-5"/>
                <w:sz w:val="20"/>
              </w:rPr>
              <w:t> </w:t>
            </w:r>
            <w:r>
              <w:rPr>
                <w:sz w:val="20"/>
              </w:rPr>
              <w:t>December,</w:t>
            </w:r>
            <w:r>
              <w:rPr>
                <w:spacing w:val="-6"/>
                <w:sz w:val="20"/>
              </w:rPr>
              <w:t> </w:t>
            </w:r>
            <w:r>
              <w:rPr>
                <w:spacing w:val="-4"/>
                <w:sz w:val="20"/>
              </w:rPr>
              <w:t>2008</w:t>
            </w:r>
          </w:p>
        </w:tc>
      </w:tr>
      <w:tr>
        <w:trPr>
          <w:trHeight w:val="662" w:hRule="atLeast"/>
        </w:trPr>
        <w:tc>
          <w:tcPr>
            <w:tcW w:w="590" w:type="dxa"/>
          </w:tcPr>
          <w:p>
            <w:pPr>
              <w:pStyle w:val="TableParagraph"/>
              <w:spacing w:line="228" w:lineRule="exact"/>
              <w:ind w:right="109"/>
              <w:jc w:val="center"/>
              <w:rPr>
                <w:sz w:val="20"/>
              </w:rPr>
            </w:pPr>
            <w:r>
              <w:rPr>
                <w:spacing w:val="-5"/>
                <w:sz w:val="20"/>
              </w:rPr>
              <w:t>20.</w:t>
            </w:r>
          </w:p>
        </w:tc>
        <w:tc>
          <w:tcPr>
            <w:tcW w:w="2578" w:type="dxa"/>
          </w:tcPr>
          <w:p>
            <w:pPr>
              <w:pStyle w:val="TableParagraph"/>
              <w:spacing w:line="228" w:lineRule="exact"/>
              <w:ind w:left="108"/>
              <w:rPr>
                <w:sz w:val="20"/>
              </w:rPr>
            </w:pPr>
            <w:r>
              <w:rPr>
                <w:sz w:val="20"/>
              </w:rPr>
              <w:t>Mr.</w:t>
            </w:r>
            <w:r>
              <w:rPr>
                <w:spacing w:val="-2"/>
                <w:sz w:val="20"/>
              </w:rPr>
              <w:t> </w:t>
            </w:r>
            <w:r>
              <w:rPr>
                <w:sz w:val="20"/>
              </w:rPr>
              <w:t>H.</w:t>
            </w:r>
            <w:r>
              <w:rPr>
                <w:spacing w:val="-2"/>
                <w:sz w:val="20"/>
              </w:rPr>
              <w:t> Ugbede</w:t>
            </w:r>
          </w:p>
        </w:tc>
        <w:tc>
          <w:tcPr>
            <w:tcW w:w="1692" w:type="dxa"/>
          </w:tcPr>
          <w:p>
            <w:pPr>
              <w:pStyle w:val="TableParagraph"/>
              <w:spacing w:line="228" w:lineRule="exact"/>
              <w:ind w:left="108"/>
              <w:rPr>
                <w:sz w:val="20"/>
              </w:rPr>
            </w:pPr>
            <w:r>
              <w:rPr>
                <w:sz w:val="20"/>
              </w:rPr>
              <w:t>CNL</w:t>
            </w:r>
            <w:r>
              <w:rPr>
                <w:spacing w:val="-7"/>
                <w:sz w:val="20"/>
              </w:rPr>
              <w:t> </w:t>
            </w:r>
            <w:r>
              <w:rPr>
                <w:spacing w:val="-2"/>
                <w:sz w:val="20"/>
              </w:rPr>
              <w:t>Warri</w:t>
            </w:r>
          </w:p>
        </w:tc>
        <w:tc>
          <w:tcPr>
            <w:tcW w:w="1892" w:type="dxa"/>
          </w:tcPr>
          <w:p>
            <w:pPr>
              <w:pStyle w:val="TableParagraph"/>
              <w:ind w:left="108" w:right="784"/>
              <w:rPr>
                <w:sz w:val="20"/>
              </w:rPr>
            </w:pPr>
            <w:r>
              <w:rPr>
                <w:sz w:val="20"/>
              </w:rPr>
              <w:t>Acting</w:t>
            </w:r>
            <w:r>
              <w:rPr>
                <w:spacing w:val="-13"/>
                <w:sz w:val="20"/>
              </w:rPr>
              <w:t> </w:t>
            </w:r>
            <w:r>
              <w:rPr>
                <w:sz w:val="20"/>
              </w:rPr>
              <w:t>Area </w:t>
            </w:r>
            <w:r>
              <w:rPr>
                <w:spacing w:val="-2"/>
                <w:sz w:val="20"/>
              </w:rPr>
              <w:t>Manager</w:t>
            </w:r>
          </w:p>
        </w:tc>
        <w:tc>
          <w:tcPr>
            <w:tcW w:w="1057" w:type="dxa"/>
          </w:tcPr>
          <w:p>
            <w:pPr>
              <w:pStyle w:val="TableParagraph"/>
              <w:spacing w:line="228" w:lineRule="exact"/>
              <w:ind w:left="105"/>
              <w:rPr>
                <w:sz w:val="20"/>
              </w:rPr>
            </w:pPr>
            <w:r>
              <w:rPr>
                <w:spacing w:val="-5"/>
                <w:sz w:val="20"/>
              </w:rPr>
              <w:t>53</w:t>
            </w:r>
          </w:p>
        </w:tc>
        <w:tc>
          <w:tcPr>
            <w:tcW w:w="2184" w:type="dxa"/>
          </w:tcPr>
          <w:p>
            <w:pPr>
              <w:pStyle w:val="TableParagraph"/>
              <w:spacing w:line="228" w:lineRule="exact"/>
              <w:ind w:left="107"/>
              <w:rPr>
                <w:sz w:val="20"/>
              </w:rPr>
            </w:pPr>
            <w:r>
              <w:rPr>
                <w:sz w:val="20"/>
              </w:rPr>
              <w:t>30</w:t>
            </w:r>
            <w:r>
              <w:rPr>
                <w:spacing w:val="-5"/>
                <w:sz w:val="20"/>
              </w:rPr>
              <w:t> </w:t>
            </w:r>
            <w:r>
              <w:rPr>
                <w:sz w:val="20"/>
              </w:rPr>
              <w:t>December,</w:t>
            </w:r>
            <w:r>
              <w:rPr>
                <w:spacing w:val="-6"/>
                <w:sz w:val="20"/>
              </w:rPr>
              <w:t> </w:t>
            </w:r>
            <w:r>
              <w:rPr>
                <w:spacing w:val="-4"/>
                <w:sz w:val="20"/>
              </w:rPr>
              <w:t>2008</w:t>
            </w:r>
          </w:p>
        </w:tc>
      </w:tr>
      <w:tr>
        <w:trPr>
          <w:trHeight w:val="429" w:hRule="atLeast"/>
        </w:trPr>
        <w:tc>
          <w:tcPr>
            <w:tcW w:w="590" w:type="dxa"/>
          </w:tcPr>
          <w:p>
            <w:pPr>
              <w:pStyle w:val="TableParagraph"/>
              <w:spacing w:line="225" w:lineRule="exact"/>
              <w:ind w:right="109"/>
              <w:jc w:val="center"/>
              <w:rPr>
                <w:sz w:val="20"/>
              </w:rPr>
            </w:pPr>
            <w:r>
              <w:rPr>
                <w:spacing w:val="-5"/>
                <w:sz w:val="20"/>
              </w:rPr>
              <w:t>21.</w:t>
            </w:r>
          </w:p>
        </w:tc>
        <w:tc>
          <w:tcPr>
            <w:tcW w:w="2578" w:type="dxa"/>
          </w:tcPr>
          <w:p>
            <w:pPr>
              <w:pStyle w:val="TableParagraph"/>
              <w:spacing w:line="225" w:lineRule="exact"/>
              <w:ind w:left="108"/>
              <w:rPr>
                <w:sz w:val="20"/>
              </w:rPr>
            </w:pPr>
            <w:r>
              <w:rPr>
                <w:sz w:val="20"/>
              </w:rPr>
              <w:t>Colonel</w:t>
            </w:r>
            <w:r>
              <w:rPr>
                <w:spacing w:val="-3"/>
                <w:sz w:val="20"/>
              </w:rPr>
              <w:t> </w:t>
            </w:r>
            <w:r>
              <w:rPr>
                <w:sz w:val="20"/>
              </w:rPr>
              <w:t>L.</w:t>
            </w:r>
            <w:r>
              <w:rPr>
                <w:spacing w:val="-5"/>
                <w:sz w:val="20"/>
              </w:rPr>
              <w:t> </w:t>
            </w:r>
            <w:r>
              <w:rPr>
                <w:sz w:val="20"/>
              </w:rPr>
              <w:t>M.</w:t>
            </w:r>
            <w:r>
              <w:rPr>
                <w:spacing w:val="-4"/>
                <w:sz w:val="20"/>
              </w:rPr>
              <w:t> </w:t>
            </w:r>
            <w:r>
              <w:rPr>
                <w:spacing w:val="-2"/>
                <w:sz w:val="20"/>
              </w:rPr>
              <w:t>Bello</w:t>
            </w:r>
          </w:p>
        </w:tc>
        <w:tc>
          <w:tcPr>
            <w:tcW w:w="1692" w:type="dxa"/>
          </w:tcPr>
          <w:p>
            <w:pPr>
              <w:pStyle w:val="TableParagraph"/>
              <w:spacing w:line="225" w:lineRule="exact"/>
              <w:ind w:left="108"/>
              <w:rPr>
                <w:sz w:val="20"/>
              </w:rPr>
            </w:pPr>
            <w:r>
              <w:rPr>
                <w:sz w:val="20"/>
              </w:rPr>
              <w:t>DHQ</w:t>
            </w:r>
            <w:r>
              <w:rPr>
                <w:spacing w:val="-2"/>
                <w:sz w:val="20"/>
              </w:rPr>
              <w:t> Abuja</w:t>
            </w:r>
          </w:p>
        </w:tc>
        <w:tc>
          <w:tcPr>
            <w:tcW w:w="1892" w:type="dxa"/>
          </w:tcPr>
          <w:p>
            <w:pPr>
              <w:pStyle w:val="TableParagraph"/>
              <w:spacing w:line="225" w:lineRule="exact"/>
              <w:ind w:left="108"/>
              <w:rPr>
                <w:sz w:val="20"/>
              </w:rPr>
            </w:pPr>
            <w:r>
              <w:rPr>
                <w:spacing w:val="-2"/>
                <w:sz w:val="20"/>
              </w:rPr>
              <w:t>Soldiering</w:t>
            </w:r>
          </w:p>
        </w:tc>
        <w:tc>
          <w:tcPr>
            <w:tcW w:w="1057" w:type="dxa"/>
          </w:tcPr>
          <w:p>
            <w:pPr>
              <w:pStyle w:val="TableParagraph"/>
              <w:spacing w:line="225" w:lineRule="exact"/>
              <w:ind w:left="105"/>
              <w:rPr>
                <w:sz w:val="20"/>
              </w:rPr>
            </w:pPr>
            <w:r>
              <w:rPr>
                <w:spacing w:val="-5"/>
                <w:sz w:val="20"/>
              </w:rPr>
              <w:t>46</w:t>
            </w:r>
          </w:p>
        </w:tc>
        <w:tc>
          <w:tcPr>
            <w:tcW w:w="2184" w:type="dxa"/>
          </w:tcPr>
          <w:p>
            <w:pPr>
              <w:pStyle w:val="TableParagraph"/>
              <w:spacing w:line="225" w:lineRule="exact"/>
              <w:ind w:left="107"/>
              <w:rPr>
                <w:sz w:val="20"/>
              </w:rPr>
            </w:pPr>
            <w:r>
              <w:rPr>
                <w:sz w:val="20"/>
              </w:rPr>
              <w:t>15</w:t>
            </w:r>
            <w:r>
              <w:rPr>
                <w:spacing w:val="-4"/>
                <w:sz w:val="20"/>
              </w:rPr>
              <w:t> </w:t>
            </w:r>
            <w:r>
              <w:rPr>
                <w:sz w:val="20"/>
              </w:rPr>
              <w:t>June,</w:t>
            </w:r>
            <w:r>
              <w:rPr>
                <w:spacing w:val="-3"/>
                <w:sz w:val="20"/>
              </w:rPr>
              <w:t> </w:t>
            </w:r>
            <w:r>
              <w:rPr>
                <w:spacing w:val="-4"/>
                <w:sz w:val="20"/>
              </w:rPr>
              <w:t>2009</w:t>
            </w:r>
          </w:p>
        </w:tc>
      </w:tr>
      <w:tr>
        <w:trPr>
          <w:trHeight w:val="659" w:hRule="atLeast"/>
        </w:trPr>
        <w:tc>
          <w:tcPr>
            <w:tcW w:w="590" w:type="dxa"/>
          </w:tcPr>
          <w:p>
            <w:pPr>
              <w:pStyle w:val="TableParagraph"/>
              <w:spacing w:line="225" w:lineRule="exact"/>
              <w:ind w:right="109"/>
              <w:jc w:val="center"/>
              <w:rPr>
                <w:sz w:val="20"/>
              </w:rPr>
            </w:pPr>
            <w:r>
              <w:rPr>
                <w:spacing w:val="-5"/>
                <w:sz w:val="20"/>
              </w:rPr>
              <w:t>22.</w:t>
            </w:r>
          </w:p>
        </w:tc>
        <w:tc>
          <w:tcPr>
            <w:tcW w:w="2578" w:type="dxa"/>
          </w:tcPr>
          <w:p>
            <w:pPr>
              <w:pStyle w:val="TableParagraph"/>
              <w:spacing w:line="242" w:lineRule="auto"/>
              <w:ind w:left="108" w:right="145"/>
              <w:rPr>
                <w:sz w:val="20"/>
              </w:rPr>
            </w:pPr>
            <w:r>
              <w:rPr>
                <w:sz w:val="20"/>
              </w:rPr>
              <w:t>Air</w:t>
            </w:r>
            <w:r>
              <w:rPr>
                <w:spacing w:val="-13"/>
                <w:sz w:val="20"/>
              </w:rPr>
              <w:t> </w:t>
            </w:r>
            <w:r>
              <w:rPr>
                <w:sz w:val="20"/>
              </w:rPr>
              <w:t>Vice</w:t>
            </w:r>
            <w:r>
              <w:rPr>
                <w:spacing w:val="-12"/>
                <w:sz w:val="20"/>
              </w:rPr>
              <w:t> </w:t>
            </w:r>
            <w:r>
              <w:rPr>
                <w:sz w:val="20"/>
              </w:rPr>
              <w:t>Marshall </w:t>
            </w:r>
            <w:r>
              <w:rPr>
                <w:spacing w:val="-2"/>
                <w:sz w:val="20"/>
              </w:rPr>
              <w:t>Ogunsanmi</w:t>
            </w:r>
          </w:p>
        </w:tc>
        <w:tc>
          <w:tcPr>
            <w:tcW w:w="1692" w:type="dxa"/>
          </w:tcPr>
          <w:p>
            <w:pPr>
              <w:pStyle w:val="TableParagraph"/>
              <w:spacing w:line="225" w:lineRule="exact"/>
              <w:ind w:left="108"/>
              <w:rPr>
                <w:sz w:val="20"/>
              </w:rPr>
            </w:pPr>
            <w:r>
              <w:rPr>
                <w:sz w:val="20"/>
              </w:rPr>
              <w:t>DHQ</w:t>
            </w:r>
            <w:r>
              <w:rPr>
                <w:spacing w:val="-3"/>
                <w:sz w:val="20"/>
              </w:rPr>
              <w:t> </w:t>
            </w:r>
            <w:r>
              <w:rPr>
                <w:spacing w:val="-2"/>
                <w:sz w:val="20"/>
              </w:rPr>
              <w:t>Abuja</w:t>
            </w:r>
          </w:p>
        </w:tc>
        <w:tc>
          <w:tcPr>
            <w:tcW w:w="1892" w:type="dxa"/>
          </w:tcPr>
          <w:p>
            <w:pPr>
              <w:pStyle w:val="TableParagraph"/>
              <w:spacing w:line="225" w:lineRule="exact"/>
              <w:ind w:left="108"/>
              <w:rPr>
                <w:sz w:val="20"/>
              </w:rPr>
            </w:pPr>
            <w:r>
              <w:rPr>
                <w:sz w:val="20"/>
              </w:rPr>
              <w:t>Director</w:t>
            </w:r>
            <w:r>
              <w:rPr>
                <w:spacing w:val="-7"/>
                <w:sz w:val="20"/>
              </w:rPr>
              <w:t> </w:t>
            </w:r>
            <w:r>
              <w:rPr>
                <w:spacing w:val="-2"/>
                <w:sz w:val="20"/>
              </w:rPr>
              <w:t>Operations</w:t>
            </w:r>
          </w:p>
        </w:tc>
        <w:tc>
          <w:tcPr>
            <w:tcW w:w="1057" w:type="dxa"/>
          </w:tcPr>
          <w:p>
            <w:pPr>
              <w:pStyle w:val="TableParagraph"/>
              <w:spacing w:line="225" w:lineRule="exact"/>
              <w:ind w:left="105"/>
              <w:rPr>
                <w:sz w:val="20"/>
              </w:rPr>
            </w:pPr>
            <w:r>
              <w:rPr>
                <w:spacing w:val="-5"/>
                <w:sz w:val="20"/>
              </w:rPr>
              <w:t>53</w:t>
            </w:r>
          </w:p>
        </w:tc>
        <w:tc>
          <w:tcPr>
            <w:tcW w:w="2184" w:type="dxa"/>
          </w:tcPr>
          <w:p>
            <w:pPr>
              <w:pStyle w:val="TableParagraph"/>
              <w:spacing w:line="225" w:lineRule="exact"/>
              <w:ind w:left="107"/>
              <w:rPr>
                <w:sz w:val="20"/>
              </w:rPr>
            </w:pPr>
            <w:r>
              <w:rPr>
                <w:sz w:val="20"/>
              </w:rPr>
              <w:t>15</w:t>
            </w:r>
            <w:r>
              <w:rPr>
                <w:spacing w:val="-4"/>
                <w:sz w:val="20"/>
              </w:rPr>
              <w:t> </w:t>
            </w:r>
            <w:r>
              <w:rPr>
                <w:sz w:val="20"/>
              </w:rPr>
              <w:t>June,</w:t>
            </w:r>
            <w:r>
              <w:rPr>
                <w:spacing w:val="-3"/>
                <w:sz w:val="20"/>
              </w:rPr>
              <w:t> </w:t>
            </w:r>
            <w:r>
              <w:rPr>
                <w:spacing w:val="-4"/>
                <w:sz w:val="20"/>
              </w:rPr>
              <w:t>2009</w:t>
            </w:r>
          </w:p>
        </w:tc>
      </w:tr>
      <w:tr>
        <w:trPr>
          <w:trHeight w:val="429" w:hRule="atLeast"/>
        </w:trPr>
        <w:tc>
          <w:tcPr>
            <w:tcW w:w="590" w:type="dxa"/>
          </w:tcPr>
          <w:p>
            <w:pPr>
              <w:pStyle w:val="TableParagraph"/>
              <w:spacing w:line="225" w:lineRule="exact"/>
              <w:ind w:right="109"/>
              <w:jc w:val="center"/>
              <w:rPr>
                <w:sz w:val="20"/>
              </w:rPr>
            </w:pPr>
            <w:r>
              <w:rPr>
                <w:spacing w:val="-5"/>
                <w:sz w:val="20"/>
              </w:rPr>
              <w:t>23.</w:t>
            </w:r>
          </w:p>
        </w:tc>
        <w:tc>
          <w:tcPr>
            <w:tcW w:w="2578" w:type="dxa"/>
          </w:tcPr>
          <w:p>
            <w:pPr>
              <w:pStyle w:val="TableParagraph"/>
              <w:spacing w:line="225" w:lineRule="exact"/>
              <w:ind w:left="108"/>
              <w:rPr>
                <w:sz w:val="20"/>
              </w:rPr>
            </w:pPr>
            <w:r>
              <w:rPr>
                <w:sz w:val="20"/>
              </w:rPr>
              <w:t>Commodore</w:t>
            </w:r>
            <w:r>
              <w:rPr>
                <w:spacing w:val="-8"/>
                <w:sz w:val="20"/>
              </w:rPr>
              <w:t> </w:t>
            </w:r>
            <w:r>
              <w:rPr>
                <w:spacing w:val="-2"/>
                <w:sz w:val="20"/>
              </w:rPr>
              <w:t>Sekoni</w:t>
            </w:r>
          </w:p>
        </w:tc>
        <w:tc>
          <w:tcPr>
            <w:tcW w:w="1692" w:type="dxa"/>
          </w:tcPr>
          <w:p>
            <w:pPr>
              <w:pStyle w:val="TableParagraph"/>
              <w:spacing w:line="225" w:lineRule="exact"/>
              <w:ind w:left="108"/>
              <w:rPr>
                <w:sz w:val="20"/>
              </w:rPr>
            </w:pPr>
            <w:r>
              <w:rPr>
                <w:sz w:val="20"/>
              </w:rPr>
              <w:t>NTG</w:t>
            </w:r>
            <w:r>
              <w:rPr>
                <w:spacing w:val="-3"/>
                <w:sz w:val="20"/>
              </w:rPr>
              <w:t> </w:t>
            </w:r>
            <w:r>
              <w:rPr>
                <w:spacing w:val="-2"/>
                <w:sz w:val="20"/>
              </w:rPr>
              <w:t>Yenagoa</w:t>
            </w:r>
          </w:p>
        </w:tc>
        <w:tc>
          <w:tcPr>
            <w:tcW w:w="1892" w:type="dxa"/>
          </w:tcPr>
          <w:p>
            <w:pPr>
              <w:pStyle w:val="TableParagraph"/>
              <w:spacing w:line="225" w:lineRule="exact"/>
              <w:ind w:left="108"/>
              <w:rPr>
                <w:sz w:val="20"/>
              </w:rPr>
            </w:pPr>
            <w:r>
              <w:rPr>
                <w:sz w:val="20"/>
              </w:rPr>
              <w:t>Naval</w:t>
            </w:r>
            <w:r>
              <w:rPr>
                <w:spacing w:val="-6"/>
                <w:sz w:val="20"/>
              </w:rPr>
              <w:t> </w:t>
            </w:r>
            <w:r>
              <w:rPr>
                <w:spacing w:val="-2"/>
                <w:sz w:val="20"/>
              </w:rPr>
              <w:t>Commander</w:t>
            </w:r>
          </w:p>
        </w:tc>
        <w:tc>
          <w:tcPr>
            <w:tcW w:w="1057" w:type="dxa"/>
          </w:tcPr>
          <w:p>
            <w:pPr>
              <w:pStyle w:val="TableParagraph"/>
              <w:spacing w:line="225" w:lineRule="exact"/>
              <w:ind w:left="105"/>
              <w:rPr>
                <w:sz w:val="20"/>
              </w:rPr>
            </w:pPr>
            <w:r>
              <w:rPr>
                <w:spacing w:val="-5"/>
                <w:sz w:val="20"/>
              </w:rPr>
              <w:t>52</w:t>
            </w:r>
          </w:p>
        </w:tc>
        <w:tc>
          <w:tcPr>
            <w:tcW w:w="2184" w:type="dxa"/>
          </w:tcPr>
          <w:p>
            <w:pPr>
              <w:pStyle w:val="TableParagraph"/>
              <w:spacing w:line="225" w:lineRule="exact"/>
              <w:ind w:left="107"/>
              <w:rPr>
                <w:sz w:val="20"/>
              </w:rPr>
            </w:pPr>
            <w:r>
              <w:rPr>
                <w:sz w:val="20"/>
              </w:rPr>
              <w:t>30</w:t>
            </w:r>
            <w:r>
              <w:rPr>
                <w:spacing w:val="-3"/>
                <w:sz w:val="20"/>
              </w:rPr>
              <w:t> </w:t>
            </w:r>
            <w:r>
              <w:rPr>
                <w:sz w:val="20"/>
              </w:rPr>
              <w:t>March,</w:t>
            </w:r>
            <w:r>
              <w:rPr>
                <w:spacing w:val="-4"/>
                <w:sz w:val="20"/>
              </w:rPr>
              <w:t> 2011</w:t>
            </w:r>
          </w:p>
        </w:tc>
      </w:tr>
      <w:tr>
        <w:trPr>
          <w:trHeight w:val="432" w:hRule="atLeast"/>
        </w:trPr>
        <w:tc>
          <w:tcPr>
            <w:tcW w:w="590" w:type="dxa"/>
          </w:tcPr>
          <w:p>
            <w:pPr>
              <w:pStyle w:val="TableParagraph"/>
              <w:spacing w:line="228" w:lineRule="exact"/>
              <w:ind w:right="109"/>
              <w:jc w:val="center"/>
              <w:rPr>
                <w:sz w:val="20"/>
              </w:rPr>
            </w:pPr>
            <w:r>
              <w:rPr>
                <w:spacing w:val="-5"/>
                <w:sz w:val="20"/>
              </w:rPr>
              <w:t>24.</w:t>
            </w:r>
          </w:p>
        </w:tc>
        <w:tc>
          <w:tcPr>
            <w:tcW w:w="2578" w:type="dxa"/>
          </w:tcPr>
          <w:p>
            <w:pPr>
              <w:pStyle w:val="TableParagraph"/>
              <w:spacing w:line="228" w:lineRule="exact"/>
              <w:ind w:left="108"/>
              <w:rPr>
                <w:sz w:val="20"/>
              </w:rPr>
            </w:pPr>
            <w:r>
              <w:rPr>
                <w:sz w:val="20"/>
              </w:rPr>
              <w:t>Maj.</w:t>
            </w:r>
            <w:r>
              <w:rPr>
                <w:spacing w:val="-3"/>
                <w:sz w:val="20"/>
              </w:rPr>
              <w:t> </w:t>
            </w:r>
            <w:r>
              <w:rPr>
                <w:sz w:val="20"/>
              </w:rPr>
              <w:t>Gen</w:t>
            </w:r>
            <w:r>
              <w:rPr>
                <w:spacing w:val="-4"/>
                <w:sz w:val="20"/>
              </w:rPr>
              <w:t> </w:t>
            </w:r>
            <w:r>
              <w:rPr>
                <w:spacing w:val="-2"/>
                <w:sz w:val="20"/>
              </w:rPr>
              <w:t>Ochoga</w:t>
            </w:r>
          </w:p>
        </w:tc>
        <w:tc>
          <w:tcPr>
            <w:tcW w:w="1692" w:type="dxa"/>
          </w:tcPr>
          <w:p>
            <w:pPr>
              <w:pStyle w:val="TableParagraph"/>
              <w:spacing w:line="228" w:lineRule="exact"/>
              <w:ind w:left="108"/>
              <w:rPr>
                <w:sz w:val="20"/>
              </w:rPr>
            </w:pPr>
            <w:r>
              <w:rPr>
                <w:sz w:val="20"/>
              </w:rPr>
              <w:t>JTF</w:t>
            </w:r>
            <w:r>
              <w:rPr>
                <w:spacing w:val="-6"/>
                <w:sz w:val="20"/>
              </w:rPr>
              <w:t> </w:t>
            </w:r>
            <w:r>
              <w:rPr>
                <w:sz w:val="20"/>
              </w:rPr>
              <w:t>HQ</w:t>
            </w:r>
            <w:r>
              <w:rPr>
                <w:spacing w:val="-2"/>
                <w:sz w:val="20"/>
              </w:rPr>
              <w:t> Yenagoa</w:t>
            </w:r>
          </w:p>
        </w:tc>
        <w:tc>
          <w:tcPr>
            <w:tcW w:w="1892" w:type="dxa"/>
          </w:tcPr>
          <w:p>
            <w:pPr>
              <w:pStyle w:val="TableParagraph"/>
              <w:spacing w:line="228" w:lineRule="exact"/>
              <w:ind w:left="108"/>
              <w:rPr>
                <w:sz w:val="20"/>
              </w:rPr>
            </w:pPr>
            <w:r>
              <w:rPr>
                <w:sz w:val="20"/>
              </w:rPr>
              <w:t>JTF</w:t>
            </w:r>
            <w:r>
              <w:rPr>
                <w:spacing w:val="-4"/>
                <w:sz w:val="20"/>
              </w:rPr>
              <w:t> </w:t>
            </w:r>
            <w:r>
              <w:rPr>
                <w:spacing w:val="-2"/>
                <w:sz w:val="20"/>
              </w:rPr>
              <w:t>Commander</w:t>
            </w:r>
          </w:p>
        </w:tc>
        <w:tc>
          <w:tcPr>
            <w:tcW w:w="1057" w:type="dxa"/>
          </w:tcPr>
          <w:p>
            <w:pPr>
              <w:pStyle w:val="TableParagraph"/>
              <w:spacing w:line="228" w:lineRule="exact"/>
              <w:ind w:left="105"/>
              <w:rPr>
                <w:sz w:val="20"/>
              </w:rPr>
            </w:pPr>
            <w:r>
              <w:rPr>
                <w:spacing w:val="-5"/>
                <w:sz w:val="20"/>
              </w:rPr>
              <w:t>54</w:t>
            </w:r>
          </w:p>
        </w:tc>
        <w:tc>
          <w:tcPr>
            <w:tcW w:w="2184" w:type="dxa"/>
          </w:tcPr>
          <w:p>
            <w:pPr>
              <w:pStyle w:val="TableParagraph"/>
              <w:spacing w:line="228" w:lineRule="exact"/>
              <w:ind w:left="107"/>
              <w:rPr>
                <w:sz w:val="20"/>
              </w:rPr>
            </w:pPr>
            <w:r>
              <w:rPr>
                <w:sz w:val="20"/>
              </w:rPr>
              <w:t>30</w:t>
            </w:r>
            <w:r>
              <w:rPr>
                <w:spacing w:val="-3"/>
                <w:sz w:val="20"/>
              </w:rPr>
              <w:t> </w:t>
            </w:r>
            <w:r>
              <w:rPr>
                <w:sz w:val="20"/>
              </w:rPr>
              <w:t>March,</w:t>
            </w:r>
            <w:r>
              <w:rPr>
                <w:spacing w:val="-4"/>
                <w:sz w:val="20"/>
              </w:rPr>
              <w:t> 2011</w:t>
            </w:r>
          </w:p>
        </w:tc>
      </w:tr>
      <w:tr>
        <w:trPr>
          <w:trHeight w:val="429" w:hRule="atLeast"/>
        </w:trPr>
        <w:tc>
          <w:tcPr>
            <w:tcW w:w="590" w:type="dxa"/>
          </w:tcPr>
          <w:p>
            <w:pPr>
              <w:pStyle w:val="TableParagraph"/>
              <w:spacing w:line="225" w:lineRule="exact"/>
              <w:ind w:right="109"/>
              <w:jc w:val="center"/>
              <w:rPr>
                <w:sz w:val="20"/>
              </w:rPr>
            </w:pPr>
            <w:r>
              <w:rPr>
                <w:spacing w:val="-5"/>
                <w:sz w:val="20"/>
              </w:rPr>
              <w:t>25.</w:t>
            </w:r>
          </w:p>
        </w:tc>
        <w:tc>
          <w:tcPr>
            <w:tcW w:w="2578" w:type="dxa"/>
          </w:tcPr>
          <w:p>
            <w:pPr>
              <w:pStyle w:val="TableParagraph"/>
              <w:spacing w:line="225" w:lineRule="exact"/>
              <w:ind w:left="108"/>
              <w:rPr>
                <w:sz w:val="20"/>
              </w:rPr>
            </w:pPr>
            <w:r>
              <w:rPr>
                <w:sz w:val="20"/>
              </w:rPr>
              <w:t>Brig.</w:t>
            </w:r>
            <w:r>
              <w:rPr>
                <w:spacing w:val="-5"/>
                <w:sz w:val="20"/>
              </w:rPr>
              <w:t> </w:t>
            </w:r>
            <w:r>
              <w:rPr>
                <w:sz w:val="20"/>
              </w:rPr>
              <w:t>General</w:t>
            </w:r>
            <w:r>
              <w:rPr>
                <w:spacing w:val="-3"/>
                <w:sz w:val="20"/>
              </w:rPr>
              <w:t> </w:t>
            </w:r>
            <w:r>
              <w:rPr>
                <w:sz w:val="20"/>
              </w:rPr>
              <w:t>U.</w:t>
            </w:r>
            <w:r>
              <w:rPr>
                <w:spacing w:val="-5"/>
                <w:sz w:val="20"/>
              </w:rPr>
              <w:t> </w:t>
            </w:r>
            <w:r>
              <w:rPr>
                <w:spacing w:val="-4"/>
                <w:sz w:val="20"/>
              </w:rPr>
              <w:t>Chima</w:t>
            </w:r>
          </w:p>
        </w:tc>
        <w:tc>
          <w:tcPr>
            <w:tcW w:w="1692" w:type="dxa"/>
          </w:tcPr>
          <w:p>
            <w:pPr>
              <w:pStyle w:val="TableParagraph"/>
              <w:spacing w:line="225" w:lineRule="exact"/>
              <w:ind w:left="108"/>
              <w:rPr>
                <w:sz w:val="20"/>
              </w:rPr>
            </w:pPr>
            <w:r>
              <w:rPr>
                <w:sz w:val="20"/>
              </w:rPr>
              <w:t>JTF</w:t>
            </w:r>
            <w:r>
              <w:rPr>
                <w:spacing w:val="-6"/>
                <w:sz w:val="20"/>
              </w:rPr>
              <w:t> </w:t>
            </w:r>
            <w:r>
              <w:rPr>
                <w:sz w:val="20"/>
              </w:rPr>
              <w:t>HQ</w:t>
            </w:r>
            <w:r>
              <w:rPr>
                <w:spacing w:val="-2"/>
                <w:sz w:val="20"/>
              </w:rPr>
              <w:t> Yenagoa</w:t>
            </w:r>
          </w:p>
        </w:tc>
        <w:tc>
          <w:tcPr>
            <w:tcW w:w="1892" w:type="dxa"/>
          </w:tcPr>
          <w:p>
            <w:pPr>
              <w:pStyle w:val="TableParagraph"/>
              <w:spacing w:line="225" w:lineRule="exact"/>
              <w:ind w:left="108"/>
              <w:rPr>
                <w:sz w:val="20"/>
              </w:rPr>
            </w:pPr>
            <w:r>
              <w:rPr>
                <w:sz w:val="20"/>
              </w:rPr>
              <w:t>JTF</w:t>
            </w:r>
            <w:r>
              <w:rPr>
                <w:spacing w:val="-4"/>
                <w:sz w:val="20"/>
              </w:rPr>
              <w:t> </w:t>
            </w:r>
            <w:r>
              <w:rPr>
                <w:spacing w:val="-2"/>
                <w:sz w:val="20"/>
              </w:rPr>
              <w:t>Commander</w:t>
            </w:r>
          </w:p>
        </w:tc>
        <w:tc>
          <w:tcPr>
            <w:tcW w:w="1057" w:type="dxa"/>
          </w:tcPr>
          <w:p>
            <w:pPr>
              <w:pStyle w:val="TableParagraph"/>
              <w:spacing w:line="225" w:lineRule="exact"/>
              <w:ind w:left="105"/>
              <w:rPr>
                <w:sz w:val="20"/>
              </w:rPr>
            </w:pPr>
            <w:r>
              <w:rPr>
                <w:spacing w:val="-5"/>
                <w:sz w:val="20"/>
              </w:rPr>
              <w:t>52</w:t>
            </w:r>
          </w:p>
        </w:tc>
        <w:tc>
          <w:tcPr>
            <w:tcW w:w="2184" w:type="dxa"/>
          </w:tcPr>
          <w:p>
            <w:pPr>
              <w:pStyle w:val="TableParagraph"/>
              <w:spacing w:line="225" w:lineRule="exact"/>
              <w:ind w:left="107"/>
              <w:rPr>
                <w:sz w:val="20"/>
              </w:rPr>
            </w:pPr>
            <w:r>
              <w:rPr>
                <w:sz w:val="20"/>
              </w:rPr>
              <w:t>30</w:t>
            </w:r>
            <w:r>
              <w:rPr>
                <w:spacing w:val="-3"/>
                <w:sz w:val="20"/>
              </w:rPr>
              <w:t> </w:t>
            </w:r>
            <w:r>
              <w:rPr>
                <w:sz w:val="20"/>
              </w:rPr>
              <w:t>March,</w:t>
            </w:r>
            <w:r>
              <w:rPr>
                <w:spacing w:val="-4"/>
                <w:sz w:val="20"/>
              </w:rPr>
              <w:t> 2011</w:t>
            </w:r>
          </w:p>
        </w:tc>
      </w:tr>
      <w:tr>
        <w:trPr>
          <w:trHeight w:val="429" w:hRule="atLeast"/>
        </w:trPr>
        <w:tc>
          <w:tcPr>
            <w:tcW w:w="590" w:type="dxa"/>
          </w:tcPr>
          <w:p>
            <w:pPr>
              <w:pStyle w:val="TableParagraph"/>
              <w:spacing w:line="225" w:lineRule="exact"/>
              <w:ind w:right="109"/>
              <w:jc w:val="center"/>
              <w:rPr>
                <w:sz w:val="20"/>
              </w:rPr>
            </w:pPr>
            <w:r>
              <w:rPr>
                <w:spacing w:val="-5"/>
                <w:sz w:val="20"/>
              </w:rPr>
              <w:t>26.</w:t>
            </w:r>
          </w:p>
        </w:tc>
        <w:tc>
          <w:tcPr>
            <w:tcW w:w="2578" w:type="dxa"/>
          </w:tcPr>
          <w:p>
            <w:pPr>
              <w:pStyle w:val="TableParagraph"/>
              <w:spacing w:line="225" w:lineRule="exact"/>
              <w:ind w:left="108"/>
              <w:rPr>
                <w:sz w:val="20"/>
              </w:rPr>
            </w:pPr>
            <w:r>
              <w:rPr>
                <w:sz w:val="20"/>
              </w:rPr>
              <w:t>Colonel</w:t>
            </w:r>
            <w:r>
              <w:rPr>
                <w:spacing w:val="-6"/>
                <w:sz w:val="20"/>
              </w:rPr>
              <w:t> </w:t>
            </w:r>
            <w:r>
              <w:rPr>
                <w:sz w:val="20"/>
              </w:rPr>
              <w:t>E.M.</w:t>
            </w:r>
            <w:r>
              <w:rPr>
                <w:spacing w:val="-6"/>
                <w:sz w:val="20"/>
              </w:rPr>
              <w:t> </w:t>
            </w:r>
            <w:r>
              <w:rPr>
                <w:spacing w:val="-4"/>
                <w:sz w:val="20"/>
              </w:rPr>
              <w:t>Ukagu</w:t>
            </w:r>
          </w:p>
        </w:tc>
        <w:tc>
          <w:tcPr>
            <w:tcW w:w="1692" w:type="dxa"/>
          </w:tcPr>
          <w:p>
            <w:pPr>
              <w:pStyle w:val="TableParagraph"/>
              <w:spacing w:line="225" w:lineRule="exact"/>
              <w:ind w:left="108"/>
              <w:rPr>
                <w:sz w:val="20"/>
              </w:rPr>
            </w:pPr>
            <w:r>
              <w:rPr>
                <w:sz w:val="20"/>
              </w:rPr>
              <w:t>JTF</w:t>
            </w:r>
            <w:r>
              <w:rPr>
                <w:spacing w:val="-4"/>
                <w:sz w:val="20"/>
              </w:rPr>
              <w:t> </w:t>
            </w:r>
            <w:r>
              <w:rPr>
                <w:spacing w:val="-2"/>
                <w:sz w:val="20"/>
              </w:rPr>
              <w:t>Warri</w:t>
            </w:r>
          </w:p>
        </w:tc>
        <w:tc>
          <w:tcPr>
            <w:tcW w:w="1892" w:type="dxa"/>
          </w:tcPr>
          <w:p>
            <w:pPr>
              <w:pStyle w:val="TableParagraph"/>
              <w:spacing w:line="225" w:lineRule="exact"/>
              <w:ind w:left="108"/>
              <w:rPr>
                <w:sz w:val="20"/>
              </w:rPr>
            </w:pPr>
            <w:r>
              <w:rPr>
                <w:sz w:val="20"/>
              </w:rPr>
              <w:t>Field</w:t>
            </w:r>
            <w:r>
              <w:rPr>
                <w:spacing w:val="-5"/>
                <w:sz w:val="20"/>
              </w:rPr>
              <w:t> </w:t>
            </w:r>
            <w:r>
              <w:rPr>
                <w:spacing w:val="-2"/>
                <w:sz w:val="20"/>
              </w:rPr>
              <w:t>Commander</w:t>
            </w:r>
          </w:p>
        </w:tc>
        <w:tc>
          <w:tcPr>
            <w:tcW w:w="1057" w:type="dxa"/>
          </w:tcPr>
          <w:p>
            <w:pPr>
              <w:pStyle w:val="TableParagraph"/>
              <w:spacing w:line="225" w:lineRule="exact"/>
              <w:ind w:left="105"/>
              <w:rPr>
                <w:sz w:val="20"/>
              </w:rPr>
            </w:pPr>
            <w:r>
              <w:rPr>
                <w:spacing w:val="-5"/>
                <w:sz w:val="20"/>
              </w:rPr>
              <w:t>50</w:t>
            </w:r>
          </w:p>
        </w:tc>
        <w:tc>
          <w:tcPr>
            <w:tcW w:w="2184" w:type="dxa"/>
          </w:tcPr>
          <w:p>
            <w:pPr>
              <w:pStyle w:val="TableParagraph"/>
              <w:spacing w:line="225" w:lineRule="exact"/>
              <w:ind w:left="107"/>
              <w:rPr>
                <w:sz w:val="20"/>
              </w:rPr>
            </w:pPr>
            <w:r>
              <w:rPr>
                <w:sz w:val="20"/>
              </w:rPr>
              <w:t>31</w:t>
            </w:r>
            <w:r>
              <w:rPr>
                <w:spacing w:val="-3"/>
                <w:sz w:val="20"/>
              </w:rPr>
              <w:t> </w:t>
            </w:r>
            <w:r>
              <w:rPr>
                <w:sz w:val="20"/>
              </w:rPr>
              <w:t>March,</w:t>
            </w:r>
            <w:r>
              <w:rPr>
                <w:spacing w:val="-4"/>
                <w:sz w:val="20"/>
              </w:rPr>
              <w:t> 2011</w:t>
            </w:r>
          </w:p>
        </w:tc>
      </w:tr>
      <w:tr>
        <w:trPr>
          <w:trHeight w:val="431" w:hRule="atLeast"/>
        </w:trPr>
        <w:tc>
          <w:tcPr>
            <w:tcW w:w="590" w:type="dxa"/>
          </w:tcPr>
          <w:p>
            <w:pPr>
              <w:pStyle w:val="TableParagraph"/>
              <w:spacing w:line="228" w:lineRule="exact"/>
              <w:ind w:right="109"/>
              <w:jc w:val="center"/>
              <w:rPr>
                <w:sz w:val="20"/>
              </w:rPr>
            </w:pPr>
            <w:r>
              <w:rPr>
                <w:spacing w:val="-5"/>
                <w:sz w:val="20"/>
              </w:rPr>
              <w:t>27.</w:t>
            </w:r>
          </w:p>
        </w:tc>
        <w:tc>
          <w:tcPr>
            <w:tcW w:w="2578" w:type="dxa"/>
          </w:tcPr>
          <w:p>
            <w:pPr>
              <w:pStyle w:val="TableParagraph"/>
              <w:spacing w:line="228" w:lineRule="exact"/>
              <w:ind w:left="108"/>
              <w:rPr>
                <w:sz w:val="20"/>
              </w:rPr>
            </w:pPr>
            <w:r>
              <w:rPr>
                <w:sz w:val="20"/>
              </w:rPr>
              <w:t>Colonel</w:t>
            </w:r>
            <w:r>
              <w:rPr>
                <w:spacing w:val="-5"/>
                <w:sz w:val="20"/>
              </w:rPr>
              <w:t> </w:t>
            </w:r>
            <w:r>
              <w:rPr>
                <w:sz w:val="20"/>
              </w:rPr>
              <w:t>M.</w:t>
            </w:r>
            <w:r>
              <w:rPr>
                <w:spacing w:val="-2"/>
                <w:sz w:val="20"/>
              </w:rPr>
              <w:t> </w:t>
            </w:r>
            <w:r>
              <w:rPr>
                <w:sz w:val="20"/>
              </w:rPr>
              <w:t>A.</w:t>
            </w:r>
            <w:r>
              <w:rPr>
                <w:spacing w:val="-4"/>
                <w:sz w:val="20"/>
              </w:rPr>
              <w:t> </w:t>
            </w:r>
            <w:r>
              <w:rPr>
                <w:spacing w:val="-2"/>
                <w:sz w:val="20"/>
              </w:rPr>
              <w:t>Lasisi</w:t>
            </w:r>
          </w:p>
        </w:tc>
        <w:tc>
          <w:tcPr>
            <w:tcW w:w="1692" w:type="dxa"/>
          </w:tcPr>
          <w:p>
            <w:pPr>
              <w:pStyle w:val="TableParagraph"/>
              <w:spacing w:line="228" w:lineRule="exact"/>
              <w:ind w:left="108"/>
              <w:rPr>
                <w:sz w:val="20"/>
              </w:rPr>
            </w:pPr>
            <w:r>
              <w:rPr>
                <w:sz w:val="20"/>
              </w:rPr>
              <w:t>JTF</w:t>
            </w:r>
            <w:r>
              <w:rPr>
                <w:spacing w:val="-4"/>
                <w:sz w:val="20"/>
              </w:rPr>
              <w:t> </w:t>
            </w:r>
            <w:r>
              <w:rPr>
                <w:spacing w:val="-2"/>
                <w:sz w:val="20"/>
              </w:rPr>
              <w:t>Yenagoa</w:t>
            </w:r>
          </w:p>
        </w:tc>
        <w:tc>
          <w:tcPr>
            <w:tcW w:w="1892" w:type="dxa"/>
          </w:tcPr>
          <w:p>
            <w:pPr>
              <w:pStyle w:val="TableParagraph"/>
              <w:spacing w:line="228" w:lineRule="exact"/>
              <w:ind w:left="108"/>
              <w:rPr>
                <w:sz w:val="20"/>
              </w:rPr>
            </w:pPr>
            <w:r>
              <w:rPr>
                <w:sz w:val="20"/>
              </w:rPr>
              <w:t>Field</w:t>
            </w:r>
            <w:r>
              <w:rPr>
                <w:spacing w:val="-5"/>
                <w:sz w:val="20"/>
              </w:rPr>
              <w:t> </w:t>
            </w:r>
            <w:r>
              <w:rPr>
                <w:spacing w:val="-2"/>
                <w:sz w:val="20"/>
              </w:rPr>
              <w:t>Commander</w:t>
            </w:r>
          </w:p>
        </w:tc>
        <w:tc>
          <w:tcPr>
            <w:tcW w:w="1057" w:type="dxa"/>
          </w:tcPr>
          <w:p>
            <w:pPr>
              <w:pStyle w:val="TableParagraph"/>
              <w:spacing w:line="228" w:lineRule="exact"/>
              <w:ind w:left="105"/>
              <w:rPr>
                <w:sz w:val="20"/>
              </w:rPr>
            </w:pPr>
            <w:r>
              <w:rPr>
                <w:spacing w:val="-5"/>
                <w:sz w:val="20"/>
              </w:rPr>
              <w:t>49</w:t>
            </w:r>
          </w:p>
        </w:tc>
        <w:tc>
          <w:tcPr>
            <w:tcW w:w="2184" w:type="dxa"/>
          </w:tcPr>
          <w:p>
            <w:pPr>
              <w:pStyle w:val="TableParagraph"/>
              <w:spacing w:line="228" w:lineRule="exact"/>
              <w:ind w:left="107"/>
              <w:rPr>
                <w:sz w:val="20"/>
              </w:rPr>
            </w:pPr>
            <w:r>
              <w:rPr>
                <w:sz w:val="20"/>
              </w:rPr>
              <w:t>30</w:t>
            </w:r>
            <w:r>
              <w:rPr>
                <w:spacing w:val="-3"/>
                <w:sz w:val="20"/>
              </w:rPr>
              <w:t> </w:t>
            </w:r>
            <w:r>
              <w:rPr>
                <w:sz w:val="20"/>
              </w:rPr>
              <w:t>March,</w:t>
            </w:r>
            <w:r>
              <w:rPr>
                <w:spacing w:val="-4"/>
                <w:sz w:val="20"/>
              </w:rPr>
              <w:t> 2011</w:t>
            </w:r>
          </w:p>
        </w:tc>
      </w:tr>
      <w:tr>
        <w:trPr>
          <w:trHeight w:val="659" w:hRule="atLeast"/>
        </w:trPr>
        <w:tc>
          <w:tcPr>
            <w:tcW w:w="590" w:type="dxa"/>
          </w:tcPr>
          <w:p>
            <w:pPr>
              <w:pStyle w:val="TableParagraph"/>
              <w:spacing w:line="225" w:lineRule="exact"/>
              <w:ind w:right="109"/>
              <w:jc w:val="center"/>
              <w:rPr>
                <w:sz w:val="20"/>
              </w:rPr>
            </w:pPr>
            <w:r>
              <w:rPr>
                <w:spacing w:val="-5"/>
                <w:sz w:val="20"/>
              </w:rPr>
              <w:t>28.</w:t>
            </w:r>
          </w:p>
        </w:tc>
        <w:tc>
          <w:tcPr>
            <w:tcW w:w="2578" w:type="dxa"/>
          </w:tcPr>
          <w:p>
            <w:pPr>
              <w:pStyle w:val="TableParagraph"/>
              <w:spacing w:line="225" w:lineRule="exact"/>
              <w:ind w:left="108"/>
              <w:rPr>
                <w:sz w:val="20"/>
              </w:rPr>
            </w:pPr>
            <w:r>
              <w:rPr>
                <w:sz w:val="20"/>
              </w:rPr>
              <w:t>Lt.</w:t>
            </w:r>
            <w:r>
              <w:rPr>
                <w:spacing w:val="-3"/>
                <w:sz w:val="20"/>
              </w:rPr>
              <w:t> </w:t>
            </w:r>
            <w:r>
              <w:rPr>
                <w:sz w:val="20"/>
              </w:rPr>
              <w:t>Col</w:t>
            </w:r>
            <w:r>
              <w:rPr>
                <w:spacing w:val="-2"/>
                <w:sz w:val="20"/>
              </w:rPr>
              <w:t> </w:t>
            </w:r>
            <w:r>
              <w:rPr>
                <w:sz w:val="20"/>
              </w:rPr>
              <w:t>Z.</w:t>
            </w:r>
            <w:r>
              <w:rPr>
                <w:spacing w:val="-3"/>
                <w:sz w:val="20"/>
              </w:rPr>
              <w:t> </w:t>
            </w:r>
            <w:r>
              <w:rPr>
                <w:sz w:val="20"/>
              </w:rPr>
              <w:t>L</w:t>
            </w:r>
            <w:r>
              <w:rPr>
                <w:spacing w:val="-3"/>
                <w:sz w:val="20"/>
              </w:rPr>
              <w:t> </w:t>
            </w:r>
            <w:r>
              <w:rPr>
                <w:spacing w:val="-2"/>
                <w:sz w:val="20"/>
              </w:rPr>
              <w:t>Abubakar</w:t>
            </w:r>
          </w:p>
        </w:tc>
        <w:tc>
          <w:tcPr>
            <w:tcW w:w="1692" w:type="dxa"/>
          </w:tcPr>
          <w:p>
            <w:pPr>
              <w:pStyle w:val="TableParagraph"/>
              <w:spacing w:line="242" w:lineRule="auto"/>
              <w:ind w:left="108" w:right="339"/>
              <w:rPr>
                <w:sz w:val="20"/>
              </w:rPr>
            </w:pPr>
            <w:r>
              <w:rPr>
                <w:sz w:val="20"/>
              </w:rPr>
              <w:t>Army</w:t>
            </w:r>
            <w:r>
              <w:rPr>
                <w:spacing w:val="-13"/>
                <w:sz w:val="20"/>
              </w:rPr>
              <w:t> </w:t>
            </w:r>
            <w:r>
              <w:rPr>
                <w:sz w:val="20"/>
              </w:rPr>
              <w:t>Barracks </w:t>
            </w:r>
            <w:r>
              <w:rPr>
                <w:spacing w:val="-2"/>
                <w:sz w:val="20"/>
              </w:rPr>
              <w:t>Elele</w:t>
            </w:r>
          </w:p>
        </w:tc>
        <w:tc>
          <w:tcPr>
            <w:tcW w:w="1892" w:type="dxa"/>
          </w:tcPr>
          <w:p>
            <w:pPr>
              <w:pStyle w:val="TableParagraph"/>
              <w:spacing w:line="242" w:lineRule="auto"/>
              <w:ind w:left="108" w:right="417"/>
              <w:rPr>
                <w:sz w:val="20"/>
              </w:rPr>
            </w:pPr>
            <w:r>
              <w:rPr>
                <w:spacing w:val="-2"/>
                <w:sz w:val="20"/>
              </w:rPr>
              <w:t>Commanding Officer</w:t>
            </w:r>
          </w:p>
        </w:tc>
        <w:tc>
          <w:tcPr>
            <w:tcW w:w="1057" w:type="dxa"/>
          </w:tcPr>
          <w:p>
            <w:pPr>
              <w:pStyle w:val="TableParagraph"/>
              <w:spacing w:line="225" w:lineRule="exact"/>
              <w:ind w:left="105"/>
              <w:rPr>
                <w:sz w:val="20"/>
              </w:rPr>
            </w:pPr>
            <w:r>
              <w:rPr>
                <w:spacing w:val="-5"/>
                <w:sz w:val="20"/>
              </w:rPr>
              <w:t>47</w:t>
            </w:r>
          </w:p>
        </w:tc>
        <w:tc>
          <w:tcPr>
            <w:tcW w:w="2184" w:type="dxa"/>
          </w:tcPr>
          <w:p>
            <w:pPr>
              <w:pStyle w:val="TableParagraph"/>
              <w:spacing w:line="225" w:lineRule="exact"/>
              <w:ind w:left="107"/>
              <w:rPr>
                <w:sz w:val="20"/>
              </w:rPr>
            </w:pPr>
            <w:r>
              <w:rPr>
                <w:sz w:val="20"/>
              </w:rPr>
              <w:t>30</w:t>
            </w:r>
            <w:r>
              <w:rPr>
                <w:spacing w:val="-3"/>
                <w:sz w:val="20"/>
              </w:rPr>
              <w:t> </w:t>
            </w:r>
            <w:r>
              <w:rPr>
                <w:sz w:val="20"/>
              </w:rPr>
              <w:t>March,</w:t>
            </w:r>
            <w:r>
              <w:rPr>
                <w:spacing w:val="-4"/>
                <w:sz w:val="20"/>
              </w:rPr>
              <w:t> 2011</w:t>
            </w:r>
          </w:p>
        </w:tc>
      </w:tr>
      <w:tr>
        <w:trPr>
          <w:trHeight w:val="659" w:hRule="atLeast"/>
        </w:trPr>
        <w:tc>
          <w:tcPr>
            <w:tcW w:w="590" w:type="dxa"/>
          </w:tcPr>
          <w:p>
            <w:pPr>
              <w:pStyle w:val="TableParagraph"/>
              <w:spacing w:line="225" w:lineRule="exact"/>
              <w:ind w:right="109"/>
              <w:jc w:val="center"/>
              <w:rPr>
                <w:sz w:val="20"/>
              </w:rPr>
            </w:pPr>
            <w:r>
              <w:rPr>
                <w:spacing w:val="-5"/>
                <w:sz w:val="20"/>
              </w:rPr>
              <w:t>29.</w:t>
            </w:r>
          </w:p>
        </w:tc>
        <w:tc>
          <w:tcPr>
            <w:tcW w:w="2578" w:type="dxa"/>
          </w:tcPr>
          <w:p>
            <w:pPr>
              <w:pStyle w:val="TableParagraph"/>
              <w:spacing w:line="225" w:lineRule="exact"/>
              <w:ind w:left="108"/>
              <w:rPr>
                <w:sz w:val="20"/>
              </w:rPr>
            </w:pPr>
            <w:r>
              <w:rPr>
                <w:sz w:val="20"/>
              </w:rPr>
              <w:t>Lt.</w:t>
            </w:r>
            <w:r>
              <w:rPr>
                <w:spacing w:val="-4"/>
                <w:sz w:val="20"/>
              </w:rPr>
              <w:t> </w:t>
            </w:r>
            <w:r>
              <w:rPr>
                <w:sz w:val="20"/>
              </w:rPr>
              <w:t>Col.</w:t>
            </w:r>
            <w:r>
              <w:rPr>
                <w:spacing w:val="-4"/>
                <w:sz w:val="20"/>
              </w:rPr>
              <w:t> </w:t>
            </w:r>
            <w:r>
              <w:rPr>
                <w:sz w:val="20"/>
              </w:rPr>
              <w:t>Sagir</w:t>
            </w:r>
            <w:r>
              <w:rPr>
                <w:spacing w:val="-4"/>
                <w:sz w:val="20"/>
              </w:rPr>
              <w:t> Musa</w:t>
            </w:r>
          </w:p>
        </w:tc>
        <w:tc>
          <w:tcPr>
            <w:tcW w:w="1692" w:type="dxa"/>
          </w:tcPr>
          <w:p>
            <w:pPr>
              <w:pStyle w:val="TableParagraph"/>
              <w:spacing w:line="225" w:lineRule="exact"/>
              <w:ind w:left="108"/>
              <w:rPr>
                <w:sz w:val="20"/>
              </w:rPr>
            </w:pPr>
            <w:r>
              <w:rPr>
                <w:sz w:val="20"/>
              </w:rPr>
              <w:t>JTF</w:t>
            </w:r>
            <w:r>
              <w:rPr>
                <w:spacing w:val="-4"/>
                <w:sz w:val="20"/>
              </w:rPr>
              <w:t> </w:t>
            </w:r>
            <w:r>
              <w:rPr>
                <w:sz w:val="20"/>
              </w:rPr>
              <w:t>Port</w:t>
            </w:r>
            <w:r>
              <w:rPr>
                <w:spacing w:val="-3"/>
                <w:sz w:val="20"/>
              </w:rPr>
              <w:t> </w:t>
            </w:r>
            <w:r>
              <w:rPr>
                <w:spacing w:val="-2"/>
                <w:sz w:val="20"/>
              </w:rPr>
              <w:t>Harcourt</w:t>
            </w:r>
          </w:p>
        </w:tc>
        <w:tc>
          <w:tcPr>
            <w:tcW w:w="1892" w:type="dxa"/>
          </w:tcPr>
          <w:p>
            <w:pPr>
              <w:pStyle w:val="TableParagraph"/>
              <w:spacing w:line="242" w:lineRule="auto"/>
              <w:ind w:left="108" w:right="239"/>
              <w:rPr>
                <w:sz w:val="20"/>
              </w:rPr>
            </w:pPr>
            <w:r>
              <w:rPr>
                <w:sz w:val="20"/>
              </w:rPr>
              <w:t>JTF Public </w:t>
            </w:r>
            <w:r>
              <w:rPr>
                <w:spacing w:val="-2"/>
                <w:sz w:val="20"/>
              </w:rPr>
              <w:t>Relations</w:t>
            </w:r>
            <w:r>
              <w:rPr>
                <w:spacing w:val="-11"/>
                <w:sz w:val="20"/>
              </w:rPr>
              <w:t> </w:t>
            </w:r>
            <w:r>
              <w:rPr>
                <w:spacing w:val="-2"/>
                <w:sz w:val="20"/>
              </w:rPr>
              <w:t>Officer</w:t>
            </w:r>
          </w:p>
        </w:tc>
        <w:tc>
          <w:tcPr>
            <w:tcW w:w="1057" w:type="dxa"/>
          </w:tcPr>
          <w:p>
            <w:pPr>
              <w:pStyle w:val="TableParagraph"/>
              <w:spacing w:line="225" w:lineRule="exact"/>
              <w:ind w:left="105"/>
              <w:rPr>
                <w:sz w:val="20"/>
              </w:rPr>
            </w:pPr>
            <w:r>
              <w:rPr>
                <w:spacing w:val="-5"/>
                <w:sz w:val="20"/>
              </w:rPr>
              <w:t>45</w:t>
            </w:r>
          </w:p>
        </w:tc>
        <w:tc>
          <w:tcPr>
            <w:tcW w:w="2184" w:type="dxa"/>
          </w:tcPr>
          <w:p>
            <w:pPr>
              <w:pStyle w:val="TableParagraph"/>
              <w:spacing w:line="225" w:lineRule="exact"/>
              <w:ind w:left="107"/>
              <w:rPr>
                <w:sz w:val="20"/>
              </w:rPr>
            </w:pPr>
            <w:r>
              <w:rPr>
                <w:sz w:val="20"/>
              </w:rPr>
              <w:t>15</w:t>
            </w:r>
            <w:r>
              <w:rPr>
                <w:spacing w:val="-5"/>
                <w:sz w:val="20"/>
              </w:rPr>
              <w:t> </w:t>
            </w:r>
            <w:r>
              <w:rPr>
                <w:sz w:val="20"/>
              </w:rPr>
              <w:t>August,</w:t>
            </w:r>
            <w:r>
              <w:rPr>
                <w:spacing w:val="-6"/>
                <w:sz w:val="20"/>
              </w:rPr>
              <w:t> </w:t>
            </w:r>
            <w:r>
              <w:rPr>
                <w:spacing w:val="-4"/>
                <w:sz w:val="20"/>
              </w:rPr>
              <w:t>2009</w:t>
            </w:r>
          </w:p>
        </w:tc>
      </w:tr>
      <w:tr>
        <w:trPr>
          <w:trHeight w:val="660" w:hRule="atLeast"/>
        </w:trPr>
        <w:tc>
          <w:tcPr>
            <w:tcW w:w="590" w:type="dxa"/>
          </w:tcPr>
          <w:p>
            <w:pPr>
              <w:pStyle w:val="TableParagraph"/>
              <w:spacing w:line="225" w:lineRule="exact"/>
              <w:ind w:right="109"/>
              <w:jc w:val="center"/>
              <w:rPr>
                <w:sz w:val="20"/>
              </w:rPr>
            </w:pPr>
            <w:r>
              <w:rPr>
                <w:spacing w:val="-5"/>
                <w:sz w:val="20"/>
              </w:rPr>
              <w:t>30.</w:t>
            </w:r>
          </w:p>
        </w:tc>
        <w:tc>
          <w:tcPr>
            <w:tcW w:w="2578" w:type="dxa"/>
          </w:tcPr>
          <w:p>
            <w:pPr>
              <w:pStyle w:val="TableParagraph"/>
              <w:spacing w:line="242" w:lineRule="auto"/>
              <w:ind w:left="108"/>
              <w:rPr>
                <w:sz w:val="20"/>
              </w:rPr>
            </w:pPr>
            <w:r>
              <w:rPr>
                <w:sz w:val="20"/>
              </w:rPr>
              <w:t>Group</w:t>
            </w:r>
            <w:r>
              <w:rPr>
                <w:spacing w:val="-13"/>
                <w:sz w:val="20"/>
              </w:rPr>
              <w:t> </w:t>
            </w:r>
            <w:r>
              <w:rPr>
                <w:sz w:val="20"/>
              </w:rPr>
              <w:t>Captain</w:t>
            </w:r>
            <w:r>
              <w:rPr>
                <w:spacing w:val="-12"/>
                <w:sz w:val="20"/>
              </w:rPr>
              <w:t> </w:t>
            </w:r>
            <w:r>
              <w:rPr>
                <w:sz w:val="20"/>
              </w:rPr>
              <w:t>O.A </w:t>
            </w:r>
            <w:r>
              <w:rPr>
                <w:spacing w:val="-2"/>
                <w:sz w:val="20"/>
              </w:rPr>
              <w:t>Mohammed</w:t>
            </w:r>
          </w:p>
        </w:tc>
        <w:tc>
          <w:tcPr>
            <w:tcW w:w="1692" w:type="dxa"/>
          </w:tcPr>
          <w:p>
            <w:pPr>
              <w:pStyle w:val="TableParagraph"/>
              <w:spacing w:line="225" w:lineRule="exact"/>
              <w:ind w:left="108"/>
              <w:rPr>
                <w:sz w:val="20"/>
              </w:rPr>
            </w:pPr>
            <w:r>
              <w:rPr>
                <w:sz w:val="20"/>
              </w:rPr>
              <w:t>JTF</w:t>
            </w:r>
            <w:r>
              <w:rPr>
                <w:spacing w:val="-4"/>
                <w:sz w:val="20"/>
              </w:rPr>
              <w:t> </w:t>
            </w:r>
            <w:r>
              <w:rPr>
                <w:spacing w:val="-2"/>
                <w:sz w:val="20"/>
              </w:rPr>
              <w:t>Warri</w:t>
            </w:r>
          </w:p>
        </w:tc>
        <w:tc>
          <w:tcPr>
            <w:tcW w:w="1892" w:type="dxa"/>
          </w:tcPr>
          <w:p>
            <w:pPr>
              <w:pStyle w:val="TableParagraph"/>
              <w:spacing w:line="225" w:lineRule="exact"/>
              <w:ind w:left="108"/>
              <w:rPr>
                <w:sz w:val="20"/>
              </w:rPr>
            </w:pPr>
            <w:r>
              <w:rPr>
                <w:sz w:val="20"/>
              </w:rPr>
              <w:t>JTF</w:t>
            </w:r>
            <w:r>
              <w:rPr>
                <w:spacing w:val="-5"/>
                <w:sz w:val="20"/>
              </w:rPr>
              <w:t> </w:t>
            </w:r>
            <w:r>
              <w:rPr>
                <w:sz w:val="20"/>
              </w:rPr>
              <w:t>ATG</w:t>
            </w:r>
            <w:r>
              <w:rPr>
                <w:spacing w:val="-3"/>
                <w:sz w:val="20"/>
              </w:rPr>
              <w:t> </w:t>
            </w:r>
            <w:r>
              <w:rPr>
                <w:spacing w:val="-2"/>
                <w:sz w:val="20"/>
              </w:rPr>
              <w:t>Warri</w:t>
            </w:r>
          </w:p>
        </w:tc>
        <w:tc>
          <w:tcPr>
            <w:tcW w:w="1057" w:type="dxa"/>
          </w:tcPr>
          <w:p>
            <w:pPr>
              <w:pStyle w:val="TableParagraph"/>
              <w:spacing w:line="225" w:lineRule="exact"/>
              <w:ind w:left="105"/>
              <w:rPr>
                <w:sz w:val="20"/>
              </w:rPr>
            </w:pPr>
            <w:r>
              <w:rPr>
                <w:spacing w:val="-5"/>
                <w:sz w:val="20"/>
              </w:rPr>
              <w:t>43</w:t>
            </w:r>
          </w:p>
        </w:tc>
        <w:tc>
          <w:tcPr>
            <w:tcW w:w="2184" w:type="dxa"/>
          </w:tcPr>
          <w:p>
            <w:pPr>
              <w:pStyle w:val="TableParagraph"/>
              <w:spacing w:line="225" w:lineRule="exact"/>
              <w:ind w:left="107"/>
              <w:rPr>
                <w:sz w:val="20"/>
              </w:rPr>
            </w:pPr>
            <w:r>
              <w:rPr>
                <w:sz w:val="20"/>
              </w:rPr>
              <w:t>30</w:t>
            </w:r>
            <w:r>
              <w:rPr>
                <w:spacing w:val="-5"/>
                <w:sz w:val="20"/>
              </w:rPr>
              <w:t> </w:t>
            </w:r>
            <w:r>
              <w:rPr>
                <w:sz w:val="20"/>
              </w:rPr>
              <w:t>December,</w:t>
            </w:r>
            <w:r>
              <w:rPr>
                <w:spacing w:val="-6"/>
                <w:sz w:val="20"/>
              </w:rPr>
              <w:t> </w:t>
            </w:r>
            <w:r>
              <w:rPr>
                <w:spacing w:val="-4"/>
                <w:sz w:val="20"/>
              </w:rPr>
              <w:t>2008</w:t>
            </w:r>
          </w:p>
        </w:tc>
      </w:tr>
      <w:tr>
        <w:trPr>
          <w:trHeight w:val="659" w:hRule="atLeast"/>
        </w:trPr>
        <w:tc>
          <w:tcPr>
            <w:tcW w:w="590" w:type="dxa"/>
          </w:tcPr>
          <w:p>
            <w:pPr>
              <w:pStyle w:val="TableParagraph"/>
              <w:spacing w:line="225" w:lineRule="exact"/>
              <w:ind w:right="109"/>
              <w:jc w:val="center"/>
              <w:rPr>
                <w:sz w:val="20"/>
              </w:rPr>
            </w:pPr>
            <w:r>
              <w:rPr>
                <w:spacing w:val="-5"/>
                <w:sz w:val="20"/>
              </w:rPr>
              <w:t>31.</w:t>
            </w:r>
          </w:p>
        </w:tc>
        <w:tc>
          <w:tcPr>
            <w:tcW w:w="2578" w:type="dxa"/>
          </w:tcPr>
          <w:p>
            <w:pPr>
              <w:pStyle w:val="TableParagraph"/>
              <w:spacing w:line="225" w:lineRule="exact"/>
              <w:ind w:left="108"/>
              <w:rPr>
                <w:sz w:val="20"/>
              </w:rPr>
            </w:pPr>
            <w:r>
              <w:rPr>
                <w:sz w:val="20"/>
              </w:rPr>
              <w:t>Colonel</w:t>
            </w:r>
            <w:r>
              <w:rPr>
                <w:spacing w:val="41"/>
                <w:sz w:val="20"/>
              </w:rPr>
              <w:t> </w:t>
            </w:r>
            <w:r>
              <w:rPr>
                <w:sz w:val="20"/>
              </w:rPr>
              <w:t>Rabe</w:t>
            </w:r>
            <w:r>
              <w:rPr>
                <w:spacing w:val="-2"/>
                <w:sz w:val="20"/>
              </w:rPr>
              <w:t> Abubakar</w:t>
            </w:r>
          </w:p>
        </w:tc>
        <w:tc>
          <w:tcPr>
            <w:tcW w:w="1692" w:type="dxa"/>
          </w:tcPr>
          <w:p>
            <w:pPr>
              <w:pStyle w:val="TableParagraph"/>
              <w:spacing w:line="225" w:lineRule="exact"/>
              <w:ind w:left="108"/>
              <w:rPr>
                <w:sz w:val="20"/>
              </w:rPr>
            </w:pPr>
            <w:r>
              <w:rPr>
                <w:sz w:val="20"/>
              </w:rPr>
              <w:t>JTF</w:t>
            </w:r>
            <w:r>
              <w:rPr>
                <w:spacing w:val="-4"/>
                <w:sz w:val="20"/>
              </w:rPr>
              <w:t> </w:t>
            </w:r>
            <w:r>
              <w:rPr>
                <w:spacing w:val="-2"/>
                <w:sz w:val="20"/>
              </w:rPr>
              <w:t>Warri</w:t>
            </w:r>
          </w:p>
        </w:tc>
        <w:tc>
          <w:tcPr>
            <w:tcW w:w="1892" w:type="dxa"/>
          </w:tcPr>
          <w:p>
            <w:pPr>
              <w:pStyle w:val="TableParagraph"/>
              <w:spacing w:line="242" w:lineRule="auto"/>
              <w:ind w:left="108" w:right="239"/>
              <w:rPr>
                <w:sz w:val="20"/>
              </w:rPr>
            </w:pPr>
            <w:r>
              <w:rPr>
                <w:sz w:val="20"/>
              </w:rPr>
              <w:t>JTF Public </w:t>
            </w:r>
            <w:r>
              <w:rPr>
                <w:spacing w:val="-2"/>
                <w:sz w:val="20"/>
              </w:rPr>
              <w:t>Relations</w:t>
            </w:r>
            <w:r>
              <w:rPr>
                <w:spacing w:val="-11"/>
                <w:sz w:val="20"/>
              </w:rPr>
              <w:t> </w:t>
            </w:r>
            <w:r>
              <w:rPr>
                <w:spacing w:val="-2"/>
                <w:sz w:val="20"/>
              </w:rPr>
              <w:t>Officer</w:t>
            </w:r>
          </w:p>
        </w:tc>
        <w:tc>
          <w:tcPr>
            <w:tcW w:w="1057" w:type="dxa"/>
          </w:tcPr>
          <w:p>
            <w:pPr>
              <w:pStyle w:val="TableParagraph"/>
              <w:spacing w:line="225" w:lineRule="exact"/>
              <w:ind w:left="105"/>
              <w:rPr>
                <w:sz w:val="20"/>
              </w:rPr>
            </w:pPr>
            <w:r>
              <w:rPr>
                <w:spacing w:val="-5"/>
                <w:sz w:val="20"/>
              </w:rPr>
              <w:t>47</w:t>
            </w:r>
          </w:p>
        </w:tc>
        <w:tc>
          <w:tcPr>
            <w:tcW w:w="2184" w:type="dxa"/>
          </w:tcPr>
          <w:p>
            <w:pPr>
              <w:pStyle w:val="TableParagraph"/>
              <w:spacing w:line="225" w:lineRule="exact"/>
              <w:ind w:left="157"/>
              <w:rPr>
                <w:sz w:val="20"/>
              </w:rPr>
            </w:pPr>
            <w:r>
              <w:rPr>
                <w:sz w:val="20"/>
              </w:rPr>
              <w:t>26</w:t>
            </w:r>
            <w:r>
              <w:rPr>
                <w:spacing w:val="-4"/>
                <w:sz w:val="20"/>
              </w:rPr>
              <w:t> </w:t>
            </w:r>
            <w:r>
              <w:rPr>
                <w:sz w:val="20"/>
              </w:rPr>
              <w:t>May,</w:t>
            </w:r>
            <w:r>
              <w:rPr>
                <w:spacing w:val="-5"/>
                <w:sz w:val="20"/>
              </w:rPr>
              <w:t> </w:t>
            </w:r>
            <w:r>
              <w:rPr>
                <w:spacing w:val="-4"/>
                <w:sz w:val="20"/>
              </w:rPr>
              <w:t>2011</w:t>
            </w:r>
          </w:p>
        </w:tc>
      </w:tr>
      <w:tr>
        <w:trPr>
          <w:trHeight w:val="431" w:hRule="atLeast"/>
        </w:trPr>
        <w:tc>
          <w:tcPr>
            <w:tcW w:w="590" w:type="dxa"/>
          </w:tcPr>
          <w:p>
            <w:pPr>
              <w:pStyle w:val="TableParagraph"/>
              <w:spacing w:line="225" w:lineRule="exact"/>
              <w:ind w:right="109"/>
              <w:jc w:val="center"/>
              <w:rPr>
                <w:sz w:val="20"/>
              </w:rPr>
            </w:pPr>
            <w:r>
              <w:rPr>
                <w:spacing w:val="-5"/>
                <w:sz w:val="20"/>
              </w:rPr>
              <w:t>32.</w:t>
            </w:r>
          </w:p>
        </w:tc>
        <w:tc>
          <w:tcPr>
            <w:tcW w:w="2578" w:type="dxa"/>
          </w:tcPr>
          <w:p>
            <w:pPr>
              <w:pStyle w:val="TableParagraph"/>
              <w:spacing w:line="225" w:lineRule="exact"/>
              <w:ind w:left="108"/>
              <w:rPr>
                <w:sz w:val="20"/>
              </w:rPr>
            </w:pPr>
            <w:r>
              <w:rPr>
                <w:sz w:val="20"/>
              </w:rPr>
              <w:t>Mr</w:t>
            </w:r>
            <w:r>
              <w:rPr>
                <w:spacing w:val="-2"/>
                <w:sz w:val="20"/>
              </w:rPr>
              <w:t> </w:t>
            </w:r>
            <w:r>
              <w:rPr>
                <w:sz w:val="20"/>
              </w:rPr>
              <w:t>A.</w:t>
            </w:r>
            <w:r>
              <w:rPr>
                <w:spacing w:val="-2"/>
                <w:sz w:val="20"/>
              </w:rPr>
              <w:t> </w:t>
            </w:r>
            <w:r>
              <w:rPr>
                <w:sz w:val="20"/>
              </w:rPr>
              <w:t>T.</w:t>
            </w:r>
            <w:r>
              <w:rPr>
                <w:spacing w:val="-3"/>
                <w:sz w:val="20"/>
              </w:rPr>
              <w:t> </w:t>
            </w:r>
            <w:r>
              <w:rPr>
                <w:spacing w:val="-2"/>
                <w:sz w:val="20"/>
              </w:rPr>
              <w:t>Akene</w:t>
            </w:r>
          </w:p>
        </w:tc>
        <w:tc>
          <w:tcPr>
            <w:tcW w:w="1692" w:type="dxa"/>
          </w:tcPr>
          <w:p>
            <w:pPr>
              <w:pStyle w:val="TableParagraph"/>
              <w:spacing w:line="225" w:lineRule="exact"/>
              <w:ind w:left="108"/>
              <w:rPr>
                <w:sz w:val="20"/>
              </w:rPr>
            </w:pPr>
            <w:r>
              <w:rPr>
                <w:sz w:val="20"/>
              </w:rPr>
              <w:t>Port</w:t>
            </w:r>
            <w:r>
              <w:rPr>
                <w:spacing w:val="-3"/>
                <w:sz w:val="20"/>
              </w:rPr>
              <w:t> </w:t>
            </w:r>
            <w:r>
              <w:rPr>
                <w:spacing w:val="-2"/>
                <w:sz w:val="20"/>
              </w:rPr>
              <w:t>Harcourt</w:t>
            </w:r>
          </w:p>
        </w:tc>
        <w:tc>
          <w:tcPr>
            <w:tcW w:w="1892" w:type="dxa"/>
          </w:tcPr>
          <w:p>
            <w:pPr>
              <w:pStyle w:val="TableParagraph"/>
              <w:spacing w:line="225" w:lineRule="exact"/>
              <w:ind w:left="108"/>
              <w:rPr>
                <w:sz w:val="20"/>
              </w:rPr>
            </w:pPr>
            <w:r>
              <w:rPr>
                <w:sz w:val="20"/>
              </w:rPr>
              <w:t>Civil</w:t>
            </w:r>
            <w:r>
              <w:rPr>
                <w:spacing w:val="-8"/>
                <w:sz w:val="20"/>
              </w:rPr>
              <w:t> </w:t>
            </w:r>
            <w:r>
              <w:rPr>
                <w:spacing w:val="-2"/>
                <w:sz w:val="20"/>
              </w:rPr>
              <w:t>Servant</w:t>
            </w:r>
          </w:p>
        </w:tc>
        <w:tc>
          <w:tcPr>
            <w:tcW w:w="1057" w:type="dxa"/>
          </w:tcPr>
          <w:p>
            <w:pPr>
              <w:pStyle w:val="TableParagraph"/>
              <w:spacing w:line="225" w:lineRule="exact"/>
              <w:ind w:left="105"/>
              <w:rPr>
                <w:sz w:val="20"/>
              </w:rPr>
            </w:pPr>
            <w:r>
              <w:rPr>
                <w:spacing w:val="-5"/>
                <w:sz w:val="20"/>
              </w:rPr>
              <w:t>56</w:t>
            </w:r>
          </w:p>
        </w:tc>
        <w:tc>
          <w:tcPr>
            <w:tcW w:w="2184" w:type="dxa"/>
          </w:tcPr>
          <w:p>
            <w:pPr>
              <w:pStyle w:val="TableParagraph"/>
              <w:spacing w:line="225" w:lineRule="exact"/>
              <w:ind w:left="107"/>
              <w:rPr>
                <w:sz w:val="20"/>
              </w:rPr>
            </w:pPr>
            <w:r>
              <w:rPr>
                <w:sz w:val="20"/>
              </w:rPr>
              <w:t>15</w:t>
            </w:r>
            <w:r>
              <w:rPr>
                <w:spacing w:val="-5"/>
                <w:sz w:val="20"/>
              </w:rPr>
              <w:t> </w:t>
            </w:r>
            <w:r>
              <w:rPr>
                <w:sz w:val="20"/>
              </w:rPr>
              <w:t>August,</w:t>
            </w:r>
            <w:r>
              <w:rPr>
                <w:spacing w:val="-6"/>
                <w:sz w:val="20"/>
              </w:rPr>
              <w:t> </w:t>
            </w:r>
            <w:r>
              <w:rPr>
                <w:spacing w:val="-4"/>
                <w:sz w:val="20"/>
              </w:rPr>
              <w:t>2009</w:t>
            </w:r>
          </w:p>
        </w:tc>
      </w:tr>
      <w:tr>
        <w:trPr>
          <w:trHeight w:val="659" w:hRule="atLeast"/>
        </w:trPr>
        <w:tc>
          <w:tcPr>
            <w:tcW w:w="590" w:type="dxa"/>
          </w:tcPr>
          <w:p>
            <w:pPr>
              <w:pStyle w:val="TableParagraph"/>
              <w:spacing w:line="225" w:lineRule="exact"/>
              <w:ind w:right="109"/>
              <w:jc w:val="center"/>
              <w:rPr>
                <w:sz w:val="20"/>
              </w:rPr>
            </w:pPr>
            <w:r>
              <w:rPr>
                <w:spacing w:val="-5"/>
                <w:sz w:val="20"/>
              </w:rPr>
              <w:t>33.</w:t>
            </w:r>
          </w:p>
        </w:tc>
        <w:tc>
          <w:tcPr>
            <w:tcW w:w="2578" w:type="dxa"/>
          </w:tcPr>
          <w:p>
            <w:pPr>
              <w:pStyle w:val="TableParagraph"/>
              <w:spacing w:line="225" w:lineRule="exact"/>
              <w:ind w:left="108"/>
              <w:rPr>
                <w:sz w:val="20"/>
              </w:rPr>
            </w:pPr>
            <w:r>
              <w:rPr>
                <w:sz w:val="20"/>
              </w:rPr>
              <w:t>Chief</w:t>
            </w:r>
            <w:r>
              <w:rPr>
                <w:spacing w:val="-5"/>
                <w:sz w:val="20"/>
              </w:rPr>
              <w:t> </w:t>
            </w:r>
            <w:r>
              <w:rPr>
                <w:sz w:val="20"/>
              </w:rPr>
              <w:t>J.</w:t>
            </w:r>
            <w:r>
              <w:rPr>
                <w:spacing w:val="-3"/>
                <w:sz w:val="20"/>
              </w:rPr>
              <w:t> </w:t>
            </w:r>
            <w:r>
              <w:rPr>
                <w:sz w:val="20"/>
              </w:rPr>
              <w:t>K.</w:t>
            </w:r>
            <w:r>
              <w:rPr>
                <w:spacing w:val="-2"/>
                <w:sz w:val="20"/>
              </w:rPr>
              <w:t> Ileberi</w:t>
            </w:r>
          </w:p>
        </w:tc>
        <w:tc>
          <w:tcPr>
            <w:tcW w:w="1692" w:type="dxa"/>
          </w:tcPr>
          <w:p>
            <w:pPr>
              <w:pStyle w:val="TableParagraph"/>
              <w:spacing w:line="242" w:lineRule="auto"/>
              <w:ind w:left="108" w:right="439"/>
              <w:rPr>
                <w:sz w:val="20"/>
              </w:rPr>
            </w:pPr>
            <w:r>
              <w:rPr>
                <w:sz w:val="20"/>
              </w:rPr>
              <w:t>Southern</w:t>
            </w:r>
            <w:r>
              <w:rPr>
                <w:spacing w:val="-13"/>
                <w:sz w:val="20"/>
              </w:rPr>
              <w:t> </w:t>
            </w:r>
            <w:r>
              <w:rPr>
                <w:sz w:val="20"/>
              </w:rPr>
              <w:t>Ijaw </w:t>
            </w:r>
            <w:r>
              <w:rPr>
                <w:spacing w:val="-2"/>
                <w:sz w:val="20"/>
              </w:rPr>
              <w:t>L.G.A</w:t>
            </w:r>
          </w:p>
        </w:tc>
        <w:tc>
          <w:tcPr>
            <w:tcW w:w="1892" w:type="dxa"/>
          </w:tcPr>
          <w:p>
            <w:pPr>
              <w:pStyle w:val="TableParagraph"/>
              <w:spacing w:line="225" w:lineRule="exact"/>
              <w:ind w:left="108"/>
              <w:rPr>
                <w:sz w:val="20"/>
              </w:rPr>
            </w:pPr>
            <w:r>
              <w:rPr>
                <w:spacing w:val="-2"/>
                <w:sz w:val="20"/>
              </w:rPr>
              <w:t>Politician</w:t>
            </w:r>
          </w:p>
        </w:tc>
        <w:tc>
          <w:tcPr>
            <w:tcW w:w="1057" w:type="dxa"/>
          </w:tcPr>
          <w:p>
            <w:pPr>
              <w:pStyle w:val="TableParagraph"/>
              <w:spacing w:line="225" w:lineRule="exact"/>
              <w:ind w:left="105"/>
              <w:rPr>
                <w:sz w:val="20"/>
              </w:rPr>
            </w:pPr>
            <w:r>
              <w:rPr>
                <w:spacing w:val="-5"/>
                <w:sz w:val="20"/>
              </w:rPr>
              <w:t>52</w:t>
            </w:r>
          </w:p>
        </w:tc>
        <w:tc>
          <w:tcPr>
            <w:tcW w:w="2184" w:type="dxa"/>
          </w:tcPr>
          <w:p>
            <w:pPr>
              <w:pStyle w:val="TableParagraph"/>
              <w:spacing w:line="225" w:lineRule="exact"/>
              <w:ind w:left="107"/>
              <w:rPr>
                <w:sz w:val="20"/>
              </w:rPr>
            </w:pPr>
            <w:r>
              <w:rPr>
                <w:sz w:val="20"/>
              </w:rPr>
              <w:t>30</w:t>
            </w:r>
            <w:r>
              <w:rPr>
                <w:spacing w:val="-5"/>
                <w:sz w:val="20"/>
              </w:rPr>
              <w:t> </w:t>
            </w:r>
            <w:r>
              <w:rPr>
                <w:sz w:val="20"/>
              </w:rPr>
              <w:t>December,</w:t>
            </w:r>
            <w:r>
              <w:rPr>
                <w:spacing w:val="-6"/>
                <w:sz w:val="20"/>
              </w:rPr>
              <w:t> </w:t>
            </w:r>
            <w:r>
              <w:rPr>
                <w:spacing w:val="-4"/>
                <w:sz w:val="20"/>
              </w:rPr>
              <w:t>2008</w:t>
            </w:r>
          </w:p>
        </w:tc>
      </w:tr>
      <w:tr>
        <w:trPr>
          <w:trHeight w:val="429" w:hRule="atLeast"/>
        </w:trPr>
        <w:tc>
          <w:tcPr>
            <w:tcW w:w="590" w:type="dxa"/>
          </w:tcPr>
          <w:p>
            <w:pPr>
              <w:pStyle w:val="TableParagraph"/>
              <w:spacing w:line="225" w:lineRule="exact"/>
              <w:ind w:right="109"/>
              <w:jc w:val="center"/>
              <w:rPr>
                <w:sz w:val="20"/>
              </w:rPr>
            </w:pPr>
            <w:r>
              <w:rPr>
                <w:spacing w:val="-5"/>
                <w:sz w:val="20"/>
              </w:rPr>
              <w:t>34.</w:t>
            </w:r>
          </w:p>
        </w:tc>
        <w:tc>
          <w:tcPr>
            <w:tcW w:w="2578" w:type="dxa"/>
          </w:tcPr>
          <w:p>
            <w:pPr>
              <w:pStyle w:val="TableParagraph"/>
              <w:spacing w:line="225" w:lineRule="exact"/>
              <w:ind w:left="108"/>
              <w:rPr>
                <w:sz w:val="20"/>
              </w:rPr>
            </w:pPr>
            <w:r>
              <w:rPr>
                <w:sz w:val="20"/>
              </w:rPr>
              <w:t>Mr.</w:t>
            </w:r>
            <w:r>
              <w:rPr>
                <w:spacing w:val="-6"/>
                <w:sz w:val="20"/>
              </w:rPr>
              <w:t> </w:t>
            </w:r>
            <w:r>
              <w:rPr>
                <w:sz w:val="20"/>
              </w:rPr>
              <w:t>Nimizuo</w:t>
            </w:r>
            <w:r>
              <w:rPr>
                <w:spacing w:val="-4"/>
                <w:sz w:val="20"/>
              </w:rPr>
              <w:t> </w:t>
            </w:r>
            <w:r>
              <w:rPr>
                <w:spacing w:val="-2"/>
                <w:sz w:val="20"/>
              </w:rPr>
              <w:t>Itonyo</w:t>
            </w:r>
          </w:p>
        </w:tc>
        <w:tc>
          <w:tcPr>
            <w:tcW w:w="1692" w:type="dxa"/>
          </w:tcPr>
          <w:p>
            <w:pPr>
              <w:pStyle w:val="TableParagraph"/>
              <w:spacing w:line="225" w:lineRule="exact"/>
              <w:ind w:left="108"/>
              <w:rPr>
                <w:sz w:val="20"/>
              </w:rPr>
            </w:pPr>
            <w:r>
              <w:rPr>
                <w:spacing w:val="-2"/>
                <w:sz w:val="20"/>
              </w:rPr>
              <w:t>Yenagoa</w:t>
            </w:r>
          </w:p>
        </w:tc>
        <w:tc>
          <w:tcPr>
            <w:tcW w:w="1892" w:type="dxa"/>
          </w:tcPr>
          <w:p>
            <w:pPr>
              <w:pStyle w:val="TableParagraph"/>
              <w:spacing w:line="225" w:lineRule="exact"/>
              <w:ind w:left="108"/>
              <w:rPr>
                <w:sz w:val="20"/>
              </w:rPr>
            </w:pPr>
            <w:r>
              <w:rPr>
                <w:spacing w:val="-2"/>
                <w:sz w:val="20"/>
              </w:rPr>
              <w:t>Politician</w:t>
            </w:r>
          </w:p>
        </w:tc>
        <w:tc>
          <w:tcPr>
            <w:tcW w:w="1057" w:type="dxa"/>
          </w:tcPr>
          <w:p>
            <w:pPr>
              <w:pStyle w:val="TableParagraph"/>
              <w:spacing w:line="225" w:lineRule="exact"/>
              <w:ind w:left="105"/>
              <w:rPr>
                <w:sz w:val="20"/>
              </w:rPr>
            </w:pPr>
            <w:r>
              <w:rPr>
                <w:spacing w:val="-5"/>
                <w:sz w:val="20"/>
              </w:rPr>
              <w:t>48</w:t>
            </w:r>
          </w:p>
        </w:tc>
        <w:tc>
          <w:tcPr>
            <w:tcW w:w="2184" w:type="dxa"/>
          </w:tcPr>
          <w:p>
            <w:pPr>
              <w:pStyle w:val="TableParagraph"/>
              <w:spacing w:line="225" w:lineRule="exact"/>
              <w:ind w:left="107"/>
              <w:rPr>
                <w:sz w:val="20"/>
              </w:rPr>
            </w:pPr>
            <w:r>
              <w:rPr>
                <w:sz w:val="20"/>
              </w:rPr>
              <w:t>30</w:t>
            </w:r>
            <w:r>
              <w:rPr>
                <w:spacing w:val="-5"/>
                <w:sz w:val="20"/>
              </w:rPr>
              <w:t> </w:t>
            </w:r>
            <w:r>
              <w:rPr>
                <w:sz w:val="20"/>
              </w:rPr>
              <w:t>December,</w:t>
            </w:r>
            <w:r>
              <w:rPr>
                <w:spacing w:val="-6"/>
                <w:sz w:val="20"/>
              </w:rPr>
              <w:t> </w:t>
            </w:r>
            <w:r>
              <w:rPr>
                <w:spacing w:val="-4"/>
                <w:sz w:val="20"/>
              </w:rPr>
              <w:t>2008</w:t>
            </w:r>
          </w:p>
        </w:tc>
      </w:tr>
      <w:tr>
        <w:trPr>
          <w:trHeight w:val="659" w:hRule="atLeast"/>
        </w:trPr>
        <w:tc>
          <w:tcPr>
            <w:tcW w:w="590" w:type="dxa"/>
          </w:tcPr>
          <w:p>
            <w:pPr>
              <w:pStyle w:val="TableParagraph"/>
              <w:spacing w:line="225" w:lineRule="exact"/>
              <w:ind w:right="109"/>
              <w:jc w:val="center"/>
              <w:rPr>
                <w:sz w:val="20"/>
              </w:rPr>
            </w:pPr>
            <w:r>
              <w:rPr>
                <w:spacing w:val="-5"/>
                <w:sz w:val="20"/>
              </w:rPr>
              <w:t>35.</w:t>
            </w:r>
          </w:p>
        </w:tc>
        <w:tc>
          <w:tcPr>
            <w:tcW w:w="2578" w:type="dxa"/>
          </w:tcPr>
          <w:p>
            <w:pPr>
              <w:pStyle w:val="TableParagraph"/>
              <w:spacing w:line="225" w:lineRule="exact"/>
              <w:ind w:left="108"/>
              <w:rPr>
                <w:sz w:val="20"/>
              </w:rPr>
            </w:pPr>
            <w:r>
              <w:rPr>
                <w:sz w:val="20"/>
              </w:rPr>
              <w:t>Surv.</w:t>
            </w:r>
            <w:r>
              <w:rPr>
                <w:spacing w:val="-4"/>
                <w:sz w:val="20"/>
              </w:rPr>
              <w:t> </w:t>
            </w:r>
            <w:r>
              <w:rPr>
                <w:sz w:val="20"/>
              </w:rPr>
              <w:t>H.</w:t>
            </w:r>
            <w:r>
              <w:rPr>
                <w:spacing w:val="-4"/>
                <w:sz w:val="20"/>
              </w:rPr>
              <w:t> </w:t>
            </w:r>
            <w:r>
              <w:rPr>
                <w:sz w:val="20"/>
              </w:rPr>
              <w:t>I.</w:t>
            </w:r>
            <w:r>
              <w:rPr>
                <w:spacing w:val="-4"/>
                <w:sz w:val="20"/>
              </w:rPr>
              <w:t> </w:t>
            </w:r>
            <w:r>
              <w:rPr>
                <w:spacing w:val="-2"/>
                <w:sz w:val="20"/>
              </w:rPr>
              <w:t>Festus</w:t>
            </w:r>
          </w:p>
        </w:tc>
        <w:tc>
          <w:tcPr>
            <w:tcW w:w="1692" w:type="dxa"/>
          </w:tcPr>
          <w:p>
            <w:pPr>
              <w:pStyle w:val="TableParagraph"/>
              <w:spacing w:line="242" w:lineRule="auto"/>
              <w:ind w:left="108"/>
              <w:rPr>
                <w:sz w:val="20"/>
              </w:rPr>
            </w:pPr>
            <w:r>
              <w:rPr>
                <w:sz w:val="20"/>
              </w:rPr>
              <w:t>Southern</w:t>
            </w:r>
            <w:r>
              <w:rPr>
                <w:spacing w:val="14"/>
                <w:sz w:val="20"/>
              </w:rPr>
              <w:t> </w:t>
            </w:r>
            <w:r>
              <w:rPr>
                <w:sz w:val="20"/>
              </w:rPr>
              <w:t>Ijaw </w:t>
            </w:r>
            <w:r>
              <w:rPr>
                <w:spacing w:val="-2"/>
                <w:sz w:val="20"/>
              </w:rPr>
              <w:t>L.G.A</w:t>
            </w:r>
          </w:p>
        </w:tc>
        <w:tc>
          <w:tcPr>
            <w:tcW w:w="1892" w:type="dxa"/>
          </w:tcPr>
          <w:p>
            <w:pPr>
              <w:pStyle w:val="TableParagraph"/>
              <w:spacing w:line="225" w:lineRule="exact"/>
              <w:ind w:left="108"/>
              <w:rPr>
                <w:sz w:val="20"/>
              </w:rPr>
            </w:pPr>
            <w:r>
              <w:rPr>
                <w:sz w:val="20"/>
              </w:rPr>
              <w:t>Private</w:t>
            </w:r>
            <w:r>
              <w:rPr>
                <w:spacing w:val="-6"/>
                <w:sz w:val="20"/>
              </w:rPr>
              <w:t> </w:t>
            </w:r>
            <w:r>
              <w:rPr>
                <w:spacing w:val="-2"/>
                <w:sz w:val="20"/>
              </w:rPr>
              <w:t>Practice</w:t>
            </w:r>
          </w:p>
        </w:tc>
        <w:tc>
          <w:tcPr>
            <w:tcW w:w="1057" w:type="dxa"/>
          </w:tcPr>
          <w:p>
            <w:pPr>
              <w:pStyle w:val="TableParagraph"/>
              <w:spacing w:line="225" w:lineRule="exact"/>
              <w:ind w:left="105"/>
              <w:rPr>
                <w:sz w:val="20"/>
              </w:rPr>
            </w:pPr>
            <w:r>
              <w:rPr>
                <w:spacing w:val="-5"/>
                <w:sz w:val="20"/>
              </w:rPr>
              <w:t>46</w:t>
            </w:r>
          </w:p>
        </w:tc>
        <w:tc>
          <w:tcPr>
            <w:tcW w:w="2184" w:type="dxa"/>
          </w:tcPr>
          <w:p>
            <w:pPr>
              <w:pStyle w:val="TableParagraph"/>
              <w:spacing w:line="225" w:lineRule="exact"/>
              <w:ind w:left="107"/>
              <w:rPr>
                <w:sz w:val="20"/>
              </w:rPr>
            </w:pPr>
            <w:r>
              <w:rPr>
                <w:sz w:val="20"/>
              </w:rPr>
              <w:t>30</w:t>
            </w:r>
            <w:r>
              <w:rPr>
                <w:spacing w:val="-5"/>
                <w:sz w:val="20"/>
              </w:rPr>
              <w:t> </w:t>
            </w:r>
            <w:r>
              <w:rPr>
                <w:sz w:val="20"/>
              </w:rPr>
              <w:t>December,</w:t>
            </w:r>
            <w:r>
              <w:rPr>
                <w:spacing w:val="-6"/>
                <w:sz w:val="20"/>
              </w:rPr>
              <w:t> </w:t>
            </w:r>
            <w:r>
              <w:rPr>
                <w:spacing w:val="-4"/>
                <w:sz w:val="20"/>
              </w:rPr>
              <w:t>2008</w:t>
            </w:r>
          </w:p>
        </w:tc>
      </w:tr>
      <w:tr>
        <w:trPr>
          <w:trHeight w:val="861" w:hRule="atLeast"/>
        </w:trPr>
        <w:tc>
          <w:tcPr>
            <w:tcW w:w="590" w:type="dxa"/>
          </w:tcPr>
          <w:p>
            <w:pPr>
              <w:pStyle w:val="TableParagraph"/>
              <w:spacing w:line="225" w:lineRule="exact"/>
              <w:ind w:right="109"/>
              <w:jc w:val="center"/>
              <w:rPr>
                <w:sz w:val="20"/>
              </w:rPr>
            </w:pPr>
            <w:r>
              <w:rPr>
                <w:spacing w:val="-5"/>
                <w:sz w:val="20"/>
              </w:rPr>
              <w:t>36.</w:t>
            </w:r>
          </w:p>
        </w:tc>
        <w:tc>
          <w:tcPr>
            <w:tcW w:w="2578" w:type="dxa"/>
          </w:tcPr>
          <w:p>
            <w:pPr>
              <w:pStyle w:val="TableParagraph"/>
              <w:spacing w:line="225" w:lineRule="exact"/>
              <w:ind w:left="108"/>
              <w:rPr>
                <w:sz w:val="20"/>
              </w:rPr>
            </w:pPr>
            <w:r>
              <w:rPr>
                <w:sz w:val="20"/>
              </w:rPr>
              <w:t>Prince</w:t>
            </w:r>
            <w:r>
              <w:rPr>
                <w:spacing w:val="-7"/>
                <w:sz w:val="20"/>
              </w:rPr>
              <w:t> </w:t>
            </w:r>
            <w:r>
              <w:rPr>
                <w:spacing w:val="-2"/>
                <w:sz w:val="20"/>
              </w:rPr>
              <w:t>Bebenimibo</w:t>
            </w:r>
          </w:p>
        </w:tc>
        <w:tc>
          <w:tcPr>
            <w:tcW w:w="1692" w:type="dxa"/>
          </w:tcPr>
          <w:p>
            <w:pPr>
              <w:pStyle w:val="TableParagraph"/>
              <w:spacing w:line="242" w:lineRule="auto"/>
              <w:ind w:left="108" w:right="683"/>
              <w:rPr>
                <w:sz w:val="20"/>
              </w:rPr>
            </w:pPr>
            <w:r>
              <w:rPr>
                <w:spacing w:val="-2"/>
                <w:sz w:val="20"/>
              </w:rPr>
              <w:t>Gbaramatu Kingdom</w:t>
            </w:r>
          </w:p>
        </w:tc>
        <w:tc>
          <w:tcPr>
            <w:tcW w:w="1892" w:type="dxa"/>
          </w:tcPr>
          <w:p>
            <w:pPr>
              <w:pStyle w:val="TableParagraph"/>
              <w:spacing w:line="225" w:lineRule="exact"/>
              <w:ind w:left="108"/>
              <w:rPr>
                <w:sz w:val="20"/>
              </w:rPr>
            </w:pPr>
            <w:r>
              <w:rPr>
                <w:spacing w:val="-2"/>
                <w:sz w:val="20"/>
              </w:rPr>
              <w:t>Businessman</w:t>
            </w:r>
          </w:p>
        </w:tc>
        <w:tc>
          <w:tcPr>
            <w:tcW w:w="1057" w:type="dxa"/>
          </w:tcPr>
          <w:p>
            <w:pPr>
              <w:pStyle w:val="TableParagraph"/>
              <w:spacing w:line="225" w:lineRule="exact"/>
              <w:ind w:left="105"/>
              <w:rPr>
                <w:sz w:val="20"/>
              </w:rPr>
            </w:pPr>
            <w:r>
              <w:rPr>
                <w:spacing w:val="-5"/>
                <w:sz w:val="20"/>
              </w:rPr>
              <w:t>47</w:t>
            </w:r>
          </w:p>
        </w:tc>
        <w:tc>
          <w:tcPr>
            <w:tcW w:w="2184" w:type="dxa"/>
          </w:tcPr>
          <w:p>
            <w:pPr>
              <w:pStyle w:val="TableParagraph"/>
              <w:spacing w:line="225" w:lineRule="exact"/>
              <w:ind w:left="208"/>
              <w:rPr>
                <w:sz w:val="20"/>
              </w:rPr>
            </w:pPr>
            <w:r>
              <w:rPr>
                <w:sz w:val="20"/>
              </w:rPr>
              <w:t>24</w:t>
            </w:r>
            <w:r>
              <w:rPr>
                <w:spacing w:val="43"/>
                <w:sz w:val="20"/>
              </w:rPr>
              <w:t> </w:t>
            </w:r>
            <w:r>
              <w:rPr>
                <w:sz w:val="20"/>
              </w:rPr>
              <w:t>July,</w:t>
            </w:r>
            <w:r>
              <w:rPr>
                <w:spacing w:val="-2"/>
                <w:sz w:val="20"/>
              </w:rPr>
              <w:t> </w:t>
            </w:r>
            <w:r>
              <w:rPr>
                <w:spacing w:val="-4"/>
                <w:sz w:val="20"/>
              </w:rPr>
              <w:t>2008</w:t>
            </w:r>
          </w:p>
        </w:tc>
      </w:tr>
      <w:tr>
        <w:trPr>
          <w:trHeight w:val="429" w:hRule="atLeast"/>
        </w:trPr>
        <w:tc>
          <w:tcPr>
            <w:tcW w:w="590" w:type="dxa"/>
          </w:tcPr>
          <w:p>
            <w:pPr>
              <w:pStyle w:val="TableParagraph"/>
              <w:spacing w:line="225" w:lineRule="exact"/>
              <w:ind w:right="109"/>
              <w:jc w:val="center"/>
              <w:rPr>
                <w:sz w:val="20"/>
              </w:rPr>
            </w:pPr>
            <w:r>
              <w:rPr>
                <w:spacing w:val="-5"/>
                <w:sz w:val="20"/>
              </w:rPr>
              <w:t>37.</w:t>
            </w:r>
          </w:p>
        </w:tc>
        <w:tc>
          <w:tcPr>
            <w:tcW w:w="2578" w:type="dxa"/>
          </w:tcPr>
          <w:p>
            <w:pPr>
              <w:pStyle w:val="TableParagraph"/>
              <w:spacing w:line="225" w:lineRule="exact"/>
              <w:ind w:left="108"/>
              <w:rPr>
                <w:sz w:val="20"/>
              </w:rPr>
            </w:pPr>
            <w:r>
              <w:rPr>
                <w:sz w:val="20"/>
              </w:rPr>
              <w:t>Mr.</w:t>
            </w:r>
            <w:r>
              <w:rPr>
                <w:spacing w:val="-6"/>
                <w:sz w:val="20"/>
              </w:rPr>
              <w:t> </w:t>
            </w:r>
            <w:r>
              <w:rPr>
                <w:sz w:val="20"/>
              </w:rPr>
              <w:t>Gbenga</w:t>
            </w:r>
            <w:r>
              <w:rPr>
                <w:spacing w:val="-5"/>
                <w:sz w:val="20"/>
              </w:rPr>
              <w:t> </w:t>
            </w:r>
            <w:r>
              <w:rPr>
                <w:spacing w:val="-2"/>
                <w:sz w:val="20"/>
              </w:rPr>
              <w:t>Obembe</w:t>
            </w:r>
          </w:p>
        </w:tc>
        <w:tc>
          <w:tcPr>
            <w:tcW w:w="1692" w:type="dxa"/>
          </w:tcPr>
          <w:p>
            <w:pPr>
              <w:pStyle w:val="TableParagraph"/>
              <w:spacing w:line="225" w:lineRule="exact"/>
              <w:ind w:left="108"/>
              <w:rPr>
                <w:sz w:val="20"/>
              </w:rPr>
            </w:pPr>
            <w:r>
              <w:rPr>
                <w:spacing w:val="-2"/>
                <w:sz w:val="20"/>
              </w:rPr>
              <w:t>Warri</w:t>
            </w:r>
          </w:p>
        </w:tc>
        <w:tc>
          <w:tcPr>
            <w:tcW w:w="1892" w:type="dxa"/>
          </w:tcPr>
          <w:p>
            <w:pPr>
              <w:pStyle w:val="TableParagraph"/>
              <w:spacing w:line="225" w:lineRule="exact"/>
              <w:ind w:left="108"/>
              <w:rPr>
                <w:sz w:val="20"/>
              </w:rPr>
            </w:pPr>
            <w:r>
              <w:rPr>
                <w:sz w:val="20"/>
              </w:rPr>
              <w:t>Private</w:t>
            </w:r>
            <w:r>
              <w:rPr>
                <w:spacing w:val="-7"/>
                <w:sz w:val="20"/>
              </w:rPr>
              <w:t> </w:t>
            </w:r>
            <w:r>
              <w:rPr>
                <w:spacing w:val="-2"/>
                <w:sz w:val="20"/>
              </w:rPr>
              <w:t>Practice</w:t>
            </w:r>
          </w:p>
        </w:tc>
        <w:tc>
          <w:tcPr>
            <w:tcW w:w="1057" w:type="dxa"/>
          </w:tcPr>
          <w:p>
            <w:pPr>
              <w:pStyle w:val="TableParagraph"/>
              <w:spacing w:line="225" w:lineRule="exact"/>
              <w:ind w:left="105"/>
              <w:rPr>
                <w:sz w:val="20"/>
              </w:rPr>
            </w:pPr>
            <w:r>
              <w:rPr>
                <w:spacing w:val="-5"/>
                <w:sz w:val="20"/>
              </w:rPr>
              <w:t>44</w:t>
            </w:r>
          </w:p>
        </w:tc>
        <w:tc>
          <w:tcPr>
            <w:tcW w:w="2184" w:type="dxa"/>
          </w:tcPr>
          <w:p>
            <w:pPr>
              <w:pStyle w:val="TableParagraph"/>
              <w:spacing w:line="225" w:lineRule="exact"/>
              <w:ind w:left="208"/>
              <w:rPr>
                <w:sz w:val="20"/>
              </w:rPr>
            </w:pPr>
            <w:r>
              <w:rPr>
                <w:sz w:val="20"/>
              </w:rPr>
              <w:t>24</w:t>
            </w:r>
            <w:r>
              <w:rPr>
                <w:spacing w:val="43"/>
                <w:sz w:val="20"/>
              </w:rPr>
              <w:t> </w:t>
            </w:r>
            <w:r>
              <w:rPr>
                <w:sz w:val="20"/>
              </w:rPr>
              <w:t>July,</w:t>
            </w:r>
            <w:r>
              <w:rPr>
                <w:spacing w:val="-2"/>
                <w:sz w:val="20"/>
              </w:rPr>
              <w:t> </w:t>
            </w:r>
            <w:r>
              <w:rPr>
                <w:spacing w:val="-4"/>
                <w:sz w:val="20"/>
              </w:rPr>
              <w:t>2008</w:t>
            </w:r>
          </w:p>
        </w:tc>
      </w:tr>
      <w:tr>
        <w:trPr>
          <w:trHeight w:val="1120" w:hRule="atLeast"/>
        </w:trPr>
        <w:tc>
          <w:tcPr>
            <w:tcW w:w="590" w:type="dxa"/>
          </w:tcPr>
          <w:p>
            <w:pPr>
              <w:pStyle w:val="TableParagraph"/>
              <w:spacing w:line="225" w:lineRule="exact"/>
              <w:ind w:right="109"/>
              <w:jc w:val="center"/>
              <w:rPr>
                <w:sz w:val="20"/>
              </w:rPr>
            </w:pPr>
            <w:r>
              <w:rPr>
                <w:spacing w:val="-5"/>
                <w:sz w:val="20"/>
              </w:rPr>
              <w:t>38.</w:t>
            </w:r>
          </w:p>
        </w:tc>
        <w:tc>
          <w:tcPr>
            <w:tcW w:w="2578" w:type="dxa"/>
          </w:tcPr>
          <w:p>
            <w:pPr>
              <w:pStyle w:val="TableParagraph"/>
              <w:spacing w:line="225" w:lineRule="exact"/>
              <w:ind w:left="108"/>
              <w:rPr>
                <w:sz w:val="20"/>
              </w:rPr>
            </w:pPr>
            <w:r>
              <w:rPr>
                <w:sz w:val="20"/>
              </w:rPr>
              <w:t>Mr.</w:t>
            </w:r>
            <w:r>
              <w:rPr>
                <w:spacing w:val="-2"/>
                <w:sz w:val="20"/>
              </w:rPr>
              <w:t> </w:t>
            </w:r>
            <w:r>
              <w:rPr>
                <w:sz w:val="20"/>
              </w:rPr>
              <w:t>S.</w:t>
            </w:r>
            <w:r>
              <w:rPr>
                <w:spacing w:val="-2"/>
                <w:sz w:val="20"/>
              </w:rPr>
              <w:t> </w:t>
            </w:r>
            <w:r>
              <w:rPr>
                <w:sz w:val="20"/>
              </w:rPr>
              <w:t>O.</w:t>
            </w:r>
            <w:r>
              <w:rPr>
                <w:spacing w:val="-2"/>
                <w:sz w:val="20"/>
              </w:rPr>
              <w:t> Aminu</w:t>
            </w:r>
          </w:p>
        </w:tc>
        <w:tc>
          <w:tcPr>
            <w:tcW w:w="1692" w:type="dxa"/>
          </w:tcPr>
          <w:p>
            <w:pPr>
              <w:pStyle w:val="TableParagraph"/>
              <w:spacing w:line="225" w:lineRule="exact"/>
              <w:ind w:left="108"/>
              <w:rPr>
                <w:sz w:val="20"/>
              </w:rPr>
            </w:pPr>
            <w:r>
              <w:rPr>
                <w:sz w:val="20"/>
              </w:rPr>
              <w:t>Port</w:t>
            </w:r>
            <w:r>
              <w:rPr>
                <w:spacing w:val="-3"/>
                <w:sz w:val="20"/>
              </w:rPr>
              <w:t> </w:t>
            </w:r>
            <w:r>
              <w:rPr>
                <w:spacing w:val="-2"/>
                <w:sz w:val="20"/>
              </w:rPr>
              <w:t>Harcourt</w:t>
            </w:r>
          </w:p>
        </w:tc>
        <w:tc>
          <w:tcPr>
            <w:tcW w:w="1892" w:type="dxa"/>
          </w:tcPr>
          <w:p>
            <w:pPr>
              <w:pStyle w:val="TableParagraph"/>
              <w:ind w:left="108" w:right="239"/>
              <w:rPr>
                <w:sz w:val="20"/>
              </w:rPr>
            </w:pPr>
            <w:r>
              <w:rPr>
                <w:sz w:val="20"/>
              </w:rPr>
              <w:t>Manager Security Eastern</w:t>
            </w:r>
            <w:r>
              <w:rPr>
                <w:spacing w:val="-13"/>
                <w:sz w:val="20"/>
              </w:rPr>
              <w:t> </w:t>
            </w:r>
            <w:r>
              <w:rPr>
                <w:sz w:val="20"/>
              </w:rPr>
              <w:t>Operations –</w:t>
            </w:r>
            <w:r>
              <w:rPr>
                <w:spacing w:val="-5"/>
                <w:sz w:val="20"/>
              </w:rPr>
              <w:t> </w:t>
            </w:r>
            <w:r>
              <w:rPr>
                <w:sz w:val="20"/>
              </w:rPr>
              <w:t>CHEVRON</w:t>
            </w:r>
            <w:r>
              <w:rPr>
                <w:spacing w:val="-6"/>
                <w:sz w:val="20"/>
              </w:rPr>
              <w:t> </w:t>
            </w:r>
            <w:r>
              <w:rPr>
                <w:spacing w:val="-4"/>
                <w:sz w:val="20"/>
              </w:rPr>
              <w:t>Nig.</w:t>
            </w:r>
          </w:p>
          <w:p>
            <w:pPr>
              <w:pStyle w:val="TableParagraph"/>
              <w:ind w:left="108"/>
              <w:rPr>
                <w:sz w:val="20"/>
              </w:rPr>
            </w:pPr>
            <w:r>
              <w:rPr>
                <w:spacing w:val="-4"/>
                <w:sz w:val="20"/>
              </w:rPr>
              <w:t>Ltd.</w:t>
            </w:r>
          </w:p>
        </w:tc>
        <w:tc>
          <w:tcPr>
            <w:tcW w:w="1057" w:type="dxa"/>
          </w:tcPr>
          <w:p>
            <w:pPr>
              <w:pStyle w:val="TableParagraph"/>
              <w:spacing w:line="225" w:lineRule="exact"/>
              <w:ind w:left="105"/>
              <w:rPr>
                <w:sz w:val="20"/>
              </w:rPr>
            </w:pPr>
            <w:r>
              <w:rPr>
                <w:spacing w:val="-5"/>
                <w:sz w:val="20"/>
              </w:rPr>
              <w:t>48</w:t>
            </w:r>
          </w:p>
        </w:tc>
        <w:tc>
          <w:tcPr>
            <w:tcW w:w="2184" w:type="dxa"/>
          </w:tcPr>
          <w:p>
            <w:pPr>
              <w:pStyle w:val="TableParagraph"/>
              <w:spacing w:line="225" w:lineRule="exact"/>
              <w:ind w:left="107"/>
              <w:rPr>
                <w:sz w:val="20"/>
              </w:rPr>
            </w:pPr>
            <w:r>
              <w:rPr>
                <w:sz w:val="20"/>
              </w:rPr>
              <w:t>15</w:t>
            </w:r>
            <w:r>
              <w:rPr>
                <w:spacing w:val="-5"/>
                <w:sz w:val="20"/>
              </w:rPr>
              <w:t> </w:t>
            </w:r>
            <w:r>
              <w:rPr>
                <w:sz w:val="20"/>
              </w:rPr>
              <w:t>August,</w:t>
            </w:r>
            <w:r>
              <w:rPr>
                <w:spacing w:val="-6"/>
                <w:sz w:val="20"/>
              </w:rPr>
              <w:t> </w:t>
            </w:r>
            <w:r>
              <w:rPr>
                <w:spacing w:val="-4"/>
                <w:sz w:val="20"/>
              </w:rPr>
              <w:t>2009</w:t>
            </w:r>
          </w:p>
        </w:tc>
      </w:tr>
    </w:tbl>
    <w:p>
      <w:pPr>
        <w:spacing w:after="0" w:line="225" w:lineRule="exact"/>
        <w:rPr>
          <w:sz w:val="20"/>
        </w:rPr>
        <w:sectPr>
          <w:pgSz w:w="11910" w:h="16840"/>
          <w:pgMar w:header="0" w:footer="1561" w:top="1400" w:bottom="1760" w:left="720" w:right="180"/>
        </w:sectPr>
      </w:pPr>
    </w:p>
    <w:p>
      <w:pPr>
        <w:spacing w:before="63" w:after="3"/>
        <w:ind w:left="1440" w:right="0" w:firstLine="0"/>
        <w:jc w:val="left"/>
        <w:rPr>
          <w:b/>
          <w:sz w:val="24"/>
        </w:rPr>
      </w:pPr>
      <w:r>
        <w:rPr/>
        <mc:AlternateContent>
          <mc:Choice Requires="wps">
            <w:drawing>
              <wp:anchor distT="0" distB="0" distL="0" distR="0" allowOverlap="1" layoutInCell="1" locked="0" behindDoc="1" simplePos="0" relativeHeight="480709632">
                <wp:simplePos x="0" y="0"/>
                <wp:positionH relativeFrom="page">
                  <wp:posOffset>-1537026</wp:posOffset>
                </wp:positionH>
                <wp:positionV relativeFrom="page">
                  <wp:posOffset>4900424</wp:posOffset>
                </wp:positionV>
                <wp:extent cx="10669905" cy="914400"/>
                <wp:effectExtent l="0" t="0" r="0" b="0"/>
                <wp:wrapNone/>
                <wp:docPr id="402" name="Textbox 402"/>
                <wp:cNvGraphicFramePr>
                  <a:graphicFrameLocks/>
                </wp:cNvGraphicFramePr>
                <a:graphic>
                  <a:graphicData uri="http://schemas.microsoft.com/office/word/2010/wordprocessingShape">
                    <wps:wsp>
                      <wps:cNvPr id="402" name="Textbox 402"/>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06848;rotation:306" type="#_x0000_t136" fillcolor="#ff5400" stroked="f">
                <o:extrusion v:ext="view" autorotationcenter="t"/>
                <v:textpath style="font-family:&quot;Arial MT&quot;;font-size:72pt;v-text-kern:t;mso-text-shadow:auto" string="UNIVERSITY OF IBADAN"/>
                <w10:wrap type="none"/>
              </v:shape>
            </w:pict>
          </mc:Fallback>
        </mc:AlternateContent>
      </w:r>
      <w:r>
        <w:rPr>
          <w:b/>
          <w:sz w:val="24"/>
        </w:rPr>
        <w:t>Appendix</w:t>
      </w:r>
      <w:r>
        <w:rPr>
          <w:b/>
          <w:spacing w:val="-2"/>
          <w:sz w:val="24"/>
        </w:rPr>
        <w:t> </w:t>
      </w:r>
      <w:r>
        <w:rPr>
          <w:b/>
          <w:sz w:val="24"/>
        </w:rPr>
        <w:t>4-</w:t>
      </w:r>
      <w:r>
        <w:rPr>
          <w:b/>
          <w:spacing w:val="-2"/>
          <w:sz w:val="24"/>
        </w:rPr>
        <w:t> </w:t>
      </w:r>
      <w:r>
        <w:rPr>
          <w:b/>
          <w:sz w:val="24"/>
        </w:rPr>
        <w:t>Details</w:t>
      </w:r>
      <w:r>
        <w:rPr>
          <w:b/>
          <w:spacing w:val="-1"/>
          <w:sz w:val="24"/>
        </w:rPr>
        <w:t> </w:t>
      </w:r>
      <w:r>
        <w:rPr>
          <w:b/>
          <w:sz w:val="24"/>
        </w:rPr>
        <w:t>of Identified</w:t>
      </w:r>
      <w:r>
        <w:rPr>
          <w:b/>
          <w:spacing w:val="-1"/>
          <w:sz w:val="24"/>
        </w:rPr>
        <w:t> </w:t>
      </w:r>
      <w:r>
        <w:rPr>
          <w:b/>
          <w:sz w:val="24"/>
        </w:rPr>
        <w:t>Militants</w:t>
      </w:r>
      <w:r>
        <w:rPr>
          <w:b/>
          <w:spacing w:val="-1"/>
          <w:sz w:val="24"/>
        </w:rPr>
        <w:t> </w:t>
      </w:r>
      <w:r>
        <w:rPr>
          <w:b/>
          <w:sz w:val="24"/>
        </w:rPr>
        <w:t>Camps</w:t>
      </w:r>
      <w:r>
        <w:rPr>
          <w:b/>
          <w:spacing w:val="-1"/>
          <w:sz w:val="24"/>
        </w:rPr>
        <w:t> </w:t>
      </w:r>
      <w:r>
        <w:rPr>
          <w:b/>
          <w:sz w:val="24"/>
        </w:rPr>
        <w:t>in</w:t>
      </w:r>
      <w:r>
        <w:rPr>
          <w:b/>
          <w:spacing w:val="-1"/>
          <w:sz w:val="24"/>
        </w:rPr>
        <w:t> </w:t>
      </w:r>
      <w:r>
        <w:rPr>
          <w:b/>
          <w:sz w:val="24"/>
        </w:rPr>
        <w:t>Niger</w:t>
      </w:r>
      <w:r>
        <w:rPr>
          <w:b/>
          <w:spacing w:val="-2"/>
          <w:sz w:val="24"/>
        </w:rPr>
        <w:t> Delta</w:t>
      </w: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0"/>
        <w:gridCol w:w="2449"/>
        <w:gridCol w:w="1801"/>
        <w:gridCol w:w="1441"/>
        <w:gridCol w:w="1442"/>
        <w:gridCol w:w="1441"/>
      </w:tblGrid>
      <w:tr>
        <w:trPr>
          <w:trHeight w:val="552" w:hRule="atLeast"/>
        </w:trPr>
        <w:tc>
          <w:tcPr>
            <w:tcW w:w="720" w:type="dxa"/>
          </w:tcPr>
          <w:p>
            <w:pPr>
              <w:pStyle w:val="TableParagraph"/>
              <w:spacing w:line="268" w:lineRule="exact"/>
              <w:ind w:left="107"/>
              <w:rPr>
                <w:sz w:val="24"/>
              </w:rPr>
            </w:pPr>
            <w:r>
              <w:rPr>
                <w:spacing w:val="-2"/>
                <w:sz w:val="24"/>
              </w:rPr>
              <w:t>Seria</w:t>
            </w:r>
          </w:p>
          <w:p>
            <w:pPr>
              <w:pStyle w:val="TableParagraph"/>
              <w:spacing w:line="264" w:lineRule="exact"/>
              <w:ind w:left="107"/>
              <w:rPr>
                <w:sz w:val="24"/>
              </w:rPr>
            </w:pPr>
            <w:r>
              <w:rPr>
                <w:spacing w:val="-10"/>
                <w:sz w:val="24"/>
              </w:rPr>
              <w:t>l</w:t>
            </w:r>
          </w:p>
        </w:tc>
        <w:tc>
          <w:tcPr>
            <w:tcW w:w="2449" w:type="dxa"/>
          </w:tcPr>
          <w:p>
            <w:pPr>
              <w:pStyle w:val="TableParagraph"/>
              <w:spacing w:line="268" w:lineRule="exact"/>
              <w:ind w:left="107"/>
              <w:rPr>
                <w:sz w:val="24"/>
              </w:rPr>
            </w:pPr>
            <w:r>
              <w:rPr>
                <w:sz w:val="24"/>
              </w:rPr>
              <w:t>Camp</w:t>
            </w:r>
            <w:r>
              <w:rPr>
                <w:spacing w:val="-1"/>
                <w:sz w:val="24"/>
              </w:rPr>
              <w:t> </w:t>
            </w:r>
            <w:r>
              <w:rPr>
                <w:spacing w:val="-2"/>
                <w:sz w:val="24"/>
              </w:rPr>
              <w:t>Location</w:t>
            </w:r>
          </w:p>
        </w:tc>
        <w:tc>
          <w:tcPr>
            <w:tcW w:w="1801" w:type="dxa"/>
          </w:tcPr>
          <w:p>
            <w:pPr>
              <w:pStyle w:val="TableParagraph"/>
              <w:spacing w:line="268" w:lineRule="exact"/>
              <w:ind w:left="107"/>
              <w:rPr>
                <w:sz w:val="24"/>
              </w:rPr>
            </w:pPr>
            <w:r>
              <w:rPr>
                <w:spacing w:val="-2"/>
                <w:sz w:val="24"/>
              </w:rPr>
              <w:t>Leadership</w:t>
            </w:r>
          </w:p>
        </w:tc>
        <w:tc>
          <w:tcPr>
            <w:tcW w:w="1441" w:type="dxa"/>
          </w:tcPr>
          <w:p>
            <w:pPr>
              <w:pStyle w:val="TableParagraph"/>
              <w:spacing w:line="268" w:lineRule="exact"/>
              <w:ind w:left="106"/>
              <w:rPr>
                <w:sz w:val="24"/>
              </w:rPr>
            </w:pPr>
            <w:r>
              <w:rPr>
                <w:spacing w:val="-2"/>
                <w:sz w:val="24"/>
              </w:rPr>
              <w:t>State</w:t>
            </w:r>
          </w:p>
        </w:tc>
        <w:tc>
          <w:tcPr>
            <w:tcW w:w="1442" w:type="dxa"/>
          </w:tcPr>
          <w:p>
            <w:pPr>
              <w:pStyle w:val="TableParagraph"/>
              <w:spacing w:line="268" w:lineRule="exact"/>
              <w:ind w:left="105"/>
              <w:rPr>
                <w:sz w:val="24"/>
              </w:rPr>
            </w:pPr>
            <w:r>
              <w:rPr>
                <w:spacing w:val="-2"/>
                <w:sz w:val="24"/>
              </w:rPr>
              <w:t>Facility/</w:t>
            </w:r>
          </w:p>
          <w:p>
            <w:pPr>
              <w:pStyle w:val="TableParagraph"/>
              <w:spacing w:line="264" w:lineRule="exact"/>
              <w:ind w:left="105"/>
              <w:rPr>
                <w:sz w:val="24"/>
              </w:rPr>
            </w:pPr>
            <w:r>
              <w:rPr>
                <w:spacing w:val="-2"/>
                <w:sz w:val="24"/>
              </w:rPr>
              <w:t>Installation</w:t>
            </w:r>
          </w:p>
        </w:tc>
        <w:tc>
          <w:tcPr>
            <w:tcW w:w="1441" w:type="dxa"/>
          </w:tcPr>
          <w:p>
            <w:pPr>
              <w:pStyle w:val="TableParagraph"/>
              <w:spacing w:line="268" w:lineRule="exact"/>
              <w:ind w:left="104"/>
              <w:rPr>
                <w:sz w:val="24"/>
              </w:rPr>
            </w:pPr>
            <w:r>
              <w:rPr>
                <w:spacing w:val="-2"/>
                <w:sz w:val="24"/>
              </w:rPr>
              <w:t>Remarks</w:t>
            </w:r>
          </w:p>
        </w:tc>
      </w:tr>
      <w:tr>
        <w:trPr>
          <w:trHeight w:val="551" w:hRule="atLeast"/>
        </w:trPr>
        <w:tc>
          <w:tcPr>
            <w:tcW w:w="720" w:type="dxa"/>
          </w:tcPr>
          <w:p>
            <w:pPr>
              <w:pStyle w:val="TableParagraph"/>
              <w:spacing w:line="268" w:lineRule="exact"/>
              <w:ind w:left="107"/>
              <w:rPr>
                <w:sz w:val="24"/>
              </w:rPr>
            </w:pPr>
            <w:r>
              <w:rPr>
                <w:spacing w:val="-5"/>
                <w:sz w:val="24"/>
              </w:rPr>
              <w:t>1.</w:t>
            </w:r>
          </w:p>
        </w:tc>
        <w:tc>
          <w:tcPr>
            <w:tcW w:w="2449" w:type="dxa"/>
          </w:tcPr>
          <w:p>
            <w:pPr>
              <w:pStyle w:val="TableParagraph"/>
              <w:spacing w:line="268" w:lineRule="exact"/>
              <w:ind w:left="107"/>
              <w:rPr>
                <w:sz w:val="24"/>
              </w:rPr>
            </w:pPr>
            <w:r>
              <w:rPr>
                <w:spacing w:val="-2"/>
                <w:sz w:val="24"/>
              </w:rPr>
              <w:t>Ajakurama</w:t>
            </w:r>
          </w:p>
        </w:tc>
        <w:tc>
          <w:tcPr>
            <w:tcW w:w="1801" w:type="dxa"/>
          </w:tcPr>
          <w:p>
            <w:pPr>
              <w:pStyle w:val="TableParagraph"/>
              <w:spacing w:line="268" w:lineRule="exact"/>
              <w:ind w:left="107"/>
              <w:rPr>
                <w:sz w:val="24"/>
              </w:rPr>
            </w:pPr>
            <w:r>
              <w:rPr>
                <w:spacing w:val="-2"/>
                <w:sz w:val="24"/>
              </w:rPr>
              <w:t>Henry</w:t>
            </w:r>
          </w:p>
          <w:p>
            <w:pPr>
              <w:pStyle w:val="TableParagraph"/>
              <w:spacing w:line="264" w:lineRule="exact"/>
              <w:ind w:left="107"/>
              <w:rPr>
                <w:sz w:val="24"/>
              </w:rPr>
            </w:pPr>
            <w:r>
              <w:rPr>
                <w:spacing w:val="-2"/>
                <w:sz w:val="24"/>
              </w:rPr>
              <w:t>Binidogogha</w:t>
            </w:r>
          </w:p>
        </w:tc>
        <w:tc>
          <w:tcPr>
            <w:tcW w:w="1441" w:type="dxa"/>
          </w:tcPr>
          <w:p>
            <w:pPr>
              <w:pStyle w:val="TableParagraph"/>
              <w:spacing w:line="268" w:lineRule="exact"/>
              <w:ind w:left="106"/>
              <w:rPr>
                <w:sz w:val="24"/>
              </w:rPr>
            </w:pPr>
            <w:r>
              <w:rPr>
                <w:sz w:val="24"/>
              </w:rPr>
              <w:t>Delta</w:t>
            </w:r>
            <w:r>
              <w:rPr>
                <w:spacing w:val="-5"/>
                <w:sz w:val="24"/>
              </w:rPr>
              <w:t> </w:t>
            </w:r>
            <w:r>
              <w:rPr>
                <w:spacing w:val="-2"/>
                <w:sz w:val="24"/>
              </w:rPr>
              <w:t>State</w:t>
            </w:r>
          </w:p>
        </w:tc>
        <w:tc>
          <w:tcPr>
            <w:tcW w:w="1442" w:type="dxa"/>
          </w:tcPr>
          <w:p>
            <w:pPr>
              <w:pStyle w:val="TableParagraph"/>
              <w:spacing w:line="268" w:lineRule="exact"/>
              <w:ind w:left="105"/>
              <w:rPr>
                <w:sz w:val="24"/>
              </w:rPr>
            </w:pPr>
            <w:r>
              <w:rPr>
                <w:sz w:val="24"/>
              </w:rPr>
              <w:t>Oil </w:t>
            </w:r>
            <w:r>
              <w:rPr>
                <w:spacing w:val="-2"/>
                <w:sz w:val="24"/>
              </w:rPr>
              <w:t>Field</w:t>
            </w:r>
          </w:p>
        </w:tc>
        <w:tc>
          <w:tcPr>
            <w:tcW w:w="1441" w:type="dxa"/>
          </w:tcPr>
          <w:p>
            <w:pPr>
              <w:pStyle w:val="TableParagraph"/>
              <w:rPr>
                <w:sz w:val="24"/>
              </w:rPr>
            </w:pPr>
          </w:p>
        </w:tc>
      </w:tr>
      <w:tr>
        <w:trPr>
          <w:trHeight w:val="1103" w:hRule="atLeast"/>
        </w:trPr>
        <w:tc>
          <w:tcPr>
            <w:tcW w:w="720" w:type="dxa"/>
          </w:tcPr>
          <w:p>
            <w:pPr>
              <w:pStyle w:val="TableParagraph"/>
              <w:spacing w:line="268" w:lineRule="exact"/>
              <w:ind w:left="107"/>
              <w:rPr>
                <w:sz w:val="24"/>
              </w:rPr>
            </w:pPr>
            <w:r>
              <w:rPr>
                <w:spacing w:val="-5"/>
                <w:sz w:val="24"/>
              </w:rPr>
              <w:t>2.</w:t>
            </w:r>
          </w:p>
        </w:tc>
        <w:tc>
          <w:tcPr>
            <w:tcW w:w="2449" w:type="dxa"/>
          </w:tcPr>
          <w:p>
            <w:pPr>
              <w:pStyle w:val="TableParagraph"/>
              <w:ind w:left="107" w:right="145"/>
              <w:rPr>
                <w:sz w:val="24"/>
              </w:rPr>
            </w:pPr>
            <w:r>
              <w:rPr>
                <w:sz w:val="24"/>
              </w:rPr>
              <w:t>Agge community along Ramos River general</w:t>
            </w:r>
            <w:r>
              <w:rPr>
                <w:spacing w:val="-15"/>
                <w:sz w:val="24"/>
              </w:rPr>
              <w:t> </w:t>
            </w:r>
            <w:r>
              <w:rPr>
                <w:sz w:val="24"/>
              </w:rPr>
              <w:t>area</w:t>
            </w:r>
            <w:r>
              <w:rPr>
                <w:spacing w:val="-15"/>
                <w:sz w:val="24"/>
              </w:rPr>
              <w:t> </w:t>
            </w:r>
            <w:r>
              <w:rPr>
                <w:sz w:val="24"/>
              </w:rPr>
              <w:t>Ekeremor</w:t>
            </w:r>
          </w:p>
          <w:p>
            <w:pPr>
              <w:pStyle w:val="TableParagraph"/>
              <w:spacing w:line="264" w:lineRule="exact"/>
              <w:ind w:left="107"/>
              <w:rPr>
                <w:sz w:val="24"/>
              </w:rPr>
            </w:pPr>
            <w:r>
              <w:rPr>
                <w:spacing w:val="-5"/>
                <w:sz w:val="24"/>
              </w:rPr>
              <w:t>LGA</w:t>
            </w:r>
          </w:p>
        </w:tc>
        <w:tc>
          <w:tcPr>
            <w:tcW w:w="1801" w:type="dxa"/>
          </w:tcPr>
          <w:p>
            <w:pPr>
              <w:pStyle w:val="TableParagraph"/>
              <w:spacing w:line="268" w:lineRule="exact"/>
              <w:ind w:left="107"/>
              <w:rPr>
                <w:sz w:val="24"/>
              </w:rPr>
            </w:pPr>
            <w:r>
              <w:rPr>
                <w:sz w:val="24"/>
              </w:rPr>
              <w:t>John</w:t>
            </w:r>
            <w:r>
              <w:rPr>
                <w:spacing w:val="2"/>
                <w:sz w:val="24"/>
              </w:rPr>
              <w:t> </w:t>
            </w:r>
            <w:r>
              <w:rPr>
                <w:spacing w:val="-2"/>
                <w:sz w:val="24"/>
              </w:rPr>
              <w:t>Asiyagh</w:t>
            </w:r>
          </w:p>
        </w:tc>
        <w:tc>
          <w:tcPr>
            <w:tcW w:w="1441" w:type="dxa"/>
          </w:tcPr>
          <w:p>
            <w:pPr>
              <w:pStyle w:val="TableParagraph"/>
              <w:spacing w:line="268" w:lineRule="exact"/>
              <w:ind w:left="106"/>
              <w:rPr>
                <w:sz w:val="24"/>
              </w:rPr>
            </w:pPr>
            <w:r>
              <w:rPr>
                <w:sz w:val="24"/>
              </w:rPr>
              <w:t>Delta</w:t>
            </w:r>
            <w:r>
              <w:rPr>
                <w:spacing w:val="-5"/>
                <w:sz w:val="24"/>
              </w:rPr>
              <w:t> </w:t>
            </w:r>
            <w:r>
              <w:rPr>
                <w:spacing w:val="-2"/>
                <w:sz w:val="24"/>
              </w:rPr>
              <w:t>State</w:t>
            </w:r>
          </w:p>
        </w:tc>
        <w:tc>
          <w:tcPr>
            <w:tcW w:w="1442" w:type="dxa"/>
          </w:tcPr>
          <w:p>
            <w:pPr>
              <w:pStyle w:val="TableParagraph"/>
              <w:rPr>
                <w:sz w:val="24"/>
              </w:rPr>
            </w:pPr>
          </w:p>
        </w:tc>
        <w:tc>
          <w:tcPr>
            <w:tcW w:w="1441" w:type="dxa"/>
          </w:tcPr>
          <w:p>
            <w:pPr>
              <w:pStyle w:val="TableParagraph"/>
              <w:rPr>
                <w:sz w:val="24"/>
              </w:rPr>
            </w:pPr>
          </w:p>
        </w:tc>
      </w:tr>
      <w:tr>
        <w:trPr>
          <w:trHeight w:val="553" w:hRule="atLeast"/>
        </w:trPr>
        <w:tc>
          <w:tcPr>
            <w:tcW w:w="720" w:type="dxa"/>
          </w:tcPr>
          <w:p>
            <w:pPr>
              <w:pStyle w:val="TableParagraph"/>
              <w:spacing w:line="270" w:lineRule="exact"/>
              <w:ind w:left="107"/>
              <w:rPr>
                <w:sz w:val="24"/>
              </w:rPr>
            </w:pPr>
            <w:r>
              <w:rPr>
                <w:spacing w:val="-5"/>
                <w:sz w:val="24"/>
              </w:rPr>
              <w:t>3.</w:t>
            </w:r>
          </w:p>
        </w:tc>
        <w:tc>
          <w:tcPr>
            <w:tcW w:w="2449" w:type="dxa"/>
          </w:tcPr>
          <w:p>
            <w:pPr>
              <w:pStyle w:val="TableParagraph"/>
              <w:spacing w:line="270" w:lineRule="exact"/>
              <w:ind w:left="107"/>
              <w:rPr>
                <w:sz w:val="24"/>
              </w:rPr>
            </w:pPr>
            <w:r>
              <w:rPr>
                <w:sz w:val="24"/>
              </w:rPr>
              <w:t>Bulobama</w:t>
            </w:r>
            <w:r>
              <w:rPr>
                <w:spacing w:val="-5"/>
                <w:sz w:val="24"/>
              </w:rPr>
              <w:t> </w:t>
            </w:r>
            <w:r>
              <w:rPr>
                <w:spacing w:val="-4"/>
                <w:sz w:val="24"/>
              </w:rPr>
              <w:t>Camp</w:t>
            </w:r>
          </w:p>
        </w:tc>
        <w:tc>
          <w:tcPr>
            <w:tcW w:w="1801" w:type="dxa"/>
          </w:tcPr>
          <w:p>
            <w:pPr>
              <w:pStyle w:val="TableParagraph"/>
              <w:spacing w:line="270" w:lineRule="exact"/>
              <w:ind w:left="107"/>
              <w:rPr>
                <w:sz w:val="24"/>
              </w:rPr>
            </w:pPr>
            <w:r>
              <w:rPr>
                <w:sz w:val="24"/>
              </w:rPr>
              <w:t>Near</w:t>
            </w:r>
            <w:r>
              <w:rPr>
                <w:spacing w:val="-2"/>
                <w:sz w:val="24"/>
              </w:rPr>
              <w:t> </w:t>
            </w:r>
            <w:r>
              <w:rPr>
                <w:spacing w:val="-4"/>
                <w:sz w:val="24"/>
              </w:rPr>
              <w:t>camp</w:t>
            </w:r>
          </w:p>
          <w:p>
            <w:pPr>
              <w:pStyle w:val="TableParagraph"/>
              <w:spacing w:line="264" w:lineRule="exact"/>
              <w:ind w:left="107"/>
              <w:rPr>
                <w:sz w:val="24"/>
              </w:rPr>
            </w:pPr>
            <w:r>
              <w:rPr>
                <w:spacing w:val="-4"/>
                <w:sz w:val="24"/>
              </w:rPr>
              <w:t>Iroko</w:t>
            </w:r>
          </w:p>
        </w:tc>
        <w:tc>
          <w:tcPr>
            <w:tcW w:w="1441" w:type="dxa"/>
          </w:tcPr>
          <w:p>
            <w:pPr>
              <w:pStyle w:val="TableParagraph"/>
              <w:spacing w:line="270" w:lineRule="exact"/>
              <w:ind w:left="106"/>
              <w:rPr>
                <w:sz w:val="24"/>
              </w:rPr>
            </w:pPr>
            <w:r>
              <w:rPr>
                <w:sz w:val="24"/>
              </w:rPr>
              <w:t>Delta</w:t>
            </w:r>
            <w:r>
              <w:rPr>
                <w:spacing w:val="-5"/>
                <w:sz w:val="24"/>
              </w:rPr>
              <w:t> </w:t>
            </w:r>
            <w:r>
              <w:rPr>
                <w:spacing w:val="-2"/>
                <w:sz w:val="24"/>
              </w:rPr>
              <w:t>State</w:t>
            </w:r>
          </w:p>
        </w:tc>
        <w:tc>
          <w:tcPr>
            <w:tcW w:w="1442" w:type="dxa"/>
          </w:tcPr>
          <w:p>
            <w:pPr>
              <w:pStyle w:val="TableParagraph"/>
              <w:rPr>
                <w:sz w:val="24"/>
              </w:rPr>
            </w:pPr>
          </w:p>
        </w:tc>
        <w:tc>
          <w:tcPr>
            <w:tcW w:w="1441" w:type="dxa"/>
          </w:tcPr>
          <w:p>
            <w:pPr>
              <w:pStyle w:val="TableParagraph"/>
              <w:rPr>
                <w:sz w:val="24"/>
              </w:rPr>
            </w:pPr>
          </w:p>
        </w:tc>
      </w:tr>
      <w:tr>
        <w:trPr>
          <w:trHeight w:val="551" w:hRule="atLeast"/>
        </w:trPr>
        <w:tc>
          <w:tcPr>
            <w:tcW w:w="720" w:type="dxa"/>
          </w:tcPr>
          <w:p>
            <w:pPr>
              <w:pStyle w:val="TableParagraph"/>
              <w:spacing w:line="268" w:lineRule="exact"/>
              <w:ind w:left="107"/>
              <w:rPr>
                <w:sz w:val="24"/>
              </w:rPr>
            </w:pPr>
            <w:r>
              <w:rPr>
                <w:spacing w:val="-5"/>
                <w:sz w:val="24"/>
              </w:rPr>
              <w:t>4.</w:t>
            </w:r>
          </w:p>
        </w:tc>
        <w:tc>
          <w:tcPr>
            <w:tcW w:w="2449" w:type="dxa"/>
          </w:tcPr>
          <w:p>
            <w:pPr>
              <w:pStyle w:val="TableParagraph"/>
              <w:spacing w:line="268" w:lineRule="exact"/>
              <w:ind w:left="107"/>
              <w:rPr>
                <w:sz w:val="24"/>
              </w:rPr>
            </w:pPr>
            <w:r>
              <w:rPr>
                <w:spacing w:val="-2"/>
                <w:sz w:val="24"/>
              </w:rPr>
              <w:t>Egbema</w:t>
            </w:r>
          </w:p>
        </w:tc>
        <w:tc>
          <w:tcPr>
            <w:tcW w:w="1801" w:type="dxa"/>
          </w:tcPr>
          <w:p>
            <w:pPr>
              <w:pStyle w:val="TableParagraph"/>
              <w:rPr>
                <w:sz w:val="24"/>
              </w:rPr>
            </w:pPr>
          </w:p>
        </w:tc>
        <w:tc>
          <w:tcPr>
            <w:tcW w:w="1441" w:type="dxa"/>
          </w:tcPr>
          <w:p>
            <w:pPr>
              <w:pStyle w:val="TableParagraph"/>
              <w:spacing w:line="268" w:lineRule="exact"/>
              <w:ind w:left="106"/>
              <w:rPr>
                <w:sz w:val="24"/>
              </w:rPr>
            </w:pPr>
            <w:r>
              <w:rPr>
                <w:sz w:val="24"/>
              </w:rPr>
              <w:t>Delta</w:t>
            </w:r>
            <w:r>
              <w:rPr>
                <w:spacing w:val="-5"/>
                <w:sz w:val="24"/>
              </w:rPr>
              <w:t> </w:t>
            </w:r>
            <w:r>
              <w:rPr>
                <w:spacing w:val="-2"/>
                <w:sz w:val="24"/>
              </w:rPr>
              <w:t>State</w:t>
            </w:r>
          </w:p>
        </w:tc>
        <w:tc>
          <w:tcPr>
            <w:tcW w:w="1442" w:type="dxa"/>
          </w:tcPr>
          <w:p>
            <w:pPr>
              <w:pStyle w:val="TableParagraph"/>
              <w:rPr>
                <w:sz w:val="24"/>
              </w:rPr>
            </w:pPr>
          </w:p>
        </w:tc>
        <w:tc>
          <w:tcPr>
            <w:tcW w:w="1441" w:type="dxa"/>
          </w:tcPr>
          <w:p>
            <w:pPr>
              <w:pStyle w:val="TableParagraph"/>
              <w:spacing w:line="268" w:lineRule="exact"/>
              <w:ind w:left="104"/>
              <w:rPr>
                <w:sz w:val="24"/>
              </w:rPr>
            </w:pPr>
            <w:r>
              <w:rPr>
                <w:sz w:val="24"/>
              </w:rPr>
              <w:t>2</w:t>
            </w:r>
            <w:r>
              <w:rPr>
                <w:spacing w:val="-3"/>
                <w:sz w:val="24"/>
              </w:rPr>
              <w:t> </w:t>
            </w:r>
            <w:r>
              <w:rPr>
                <w:sz w:val="24"/>
              </w:rPr>
              <w:t>camps</w:t>
            </w:r>
            <w:r>
              <w:rPr>
                <w:spacing w:val="-1"/>
                <w:sz w:val="24"/>
              </w:rPr>
              <w:t> </w:t>
            </w:r>
            <w:r>
              <w:rPr>
                <w:spacing w:val="-5"/>
                <w:sz w:val="24"/>
              </w:rPr>
              <w:t>co-</w:t>
            </w:r>
          </w:p>
          <w:p>
            <w:pPr>
              <w:pStyle w:val="TableParagraph"/>
              <w:spacing w:line="264" w:lineRule="exact"/>
              <w:ind w:left="104"/>
              <w:rPr>
                <w:sz w:val="24"/>
              </w:rPr>
            </w:pPr>
            <w:r>
              <w:rPr>
                <w:spacing w:val="-2"/>
                <w:sz w:val="24"/>
              </w:rPr>
              <w:t>located</w:t>
            </w:r>
          </w:p>
        </w:tc>
      </w:tr>
      <w:tr>
        <w:trPr>
          <w:trHeight w:val="1104" w:hRule="atLeast"/>
        </w:trPr>
        <w:tc>
          <w:tcPr>
            <w:tcW w:w="720" w:type="dxa"/>
          </w:tcPr>
          <w:p>
            <w:pPr>
              <w:pStyle w:val="TableParagraph"/>
              <w:spacing w:line="268" w:lineRule="exact"/>
              <w:ind w:left="107"/>
              <w:rPr>
                <w:sz w:val="24"/>
              </w:rPr>
            </w:pPr>
            <w:r>
              <w:rPr>
                <w:spacing w:val="-5"/>
                <w:sz w:val="24"/>
              </w:rPr>
              <w:t>5.</w:t>
            </w:r>
          </w:p>
        </w:tc>
        <w:tc>
          <w:tcPr>
            <w:tcW w:w="2449" w:type="dxa"/>
          </w:tcPr>
          <w:p>
            <w:pPr>
              <w:pStyle w:val="TableParagraph"/>
              <w:ind w:left="107" w:right="145"/>
              <w:rPr>
                <w:sz w:val="24"/>
              </w:rPr>
            </w:pPr>
            <w:r>
              <w:rPr>
                <w:sz w:val="24"/>
              </w:rPr>
              <w:t>Ezetu Camp North West</w:t>
            </w:r>
            <w:r>
              <w:rPr>
                <w:spacing w:val="-13"/>
                <w:sz w:val="24"/>
              </w:rPr>
              <w:t> </w:t>
            </w:r>
            <w:r>
              <w:rPr>
                <w:sz w:val="24"/>
              </w:rPr>
              <w:t>of</w:t>
            </w:r>
            <w:r>
              <w:rPr>
                <w:spacing w:val="-13"/>
                <w:sz w:val="24"/>
              </w:rPr>
              <w:t> </w:t>
            </w:r>
            <w:r>
              <w:rPr>
                <w:sz w:val="24"/>
              </w:rPr>
              <w:t>Dodo</w:t>
            </w:r>
            <w:r>
              <w:rPr>
                <w:spacing w:val="-13"/>
                <w:sz w:val="24"/>
              </w:rPr>
              <w:t> </w:t>
            </w:r>
            <w:r>
              <w:rPr>
                <w:sz w:val="24"/>
              </w:rPr>
              <w:t>River</w:t>
            </w:r>
          </w:p>
        </w:tc>
        <w:tc>
          <w:tcPr>
            <w:tcW w:w="1801" w:type="dxa"/>
          </w:tcPr>
          <w:p>
            <w:pPr>
              <w:pStyle w:val="TableParagraph"/>
              <w:ind w:left="107"/>
              <w:rPr>
                <w:sz w:val="24"/>
              </w:rPr>
            </w:pPr>
            <w:r>
              <w:rPr>
                <w:sz w:val="24"/>
              </w:rPr>
              <w:t>Victor Ben </w:t>
            </w:r>
            <w:r>
              <w:rPr>
                <w:spacing w:val="-2"/>
                <w:sz w:val="24"/>
              </w:rPr>
              <w:t>Ebikabowei</w:t>
            </w:r>
          </w:p>
          <w:p>
            <w:pPr>
              <w:pStyle w:val="TableParagraph"/>
              <w:spacing w:line="270" w:lineRule="atLeast"/>
              <w:ind w:left="107" w:right="272"/>
              <w:rPr>
                <w:sz w:val="24"/>
              </w:rPr>
            </w:pPr>
            <w:r>
              <w:rPr>
                <w:sz w:val="24"/>
              </w:rPr>
              <w:t>(Alias</w:t>
            </w:r>
            <w:r>
              <w:rPr>
                <w:spacing w:val="-15"/>
                <w:sz w:val="24"/>
              </w:rPr>
              <w:t> </w:t>
            </w:r>
            <w:r>
              <w:rPr>
                <w:sz w:val="24"/>
              </w:rPr>
              <w:t>General </w:t>
            </w:r>
            <w:r>
              <w:rPr>
                <w:spacing w:val="-2"/>
                <w:sz w:val="24"/>
              </w:rPr>
              <w:t>Boyloaf)</w:t>
            </w:r>
          </w:p>
        </w:tc>
        <w:tc>
          <w:tcPr>
            <w:tcW w:w="1441" w:type="dxa"/>
          </w:tcPr>
          <w:p>
            <w:pPr>
              <w:pStyle w:val="TableParagraph"/>
              <w:spacing w:line="268" w:lineRule="exact"/>
              <w:ind w:left="106"/>
              <w:rPr>
                <w:sz w:val="24"/>
              </w:rPr>
            </w:pPr>
            <w:r>
              <w:rPr>
                <w:sz w:val="24"/>
              </w:rPr>
              <w:t>Delta</w:t>
            </w:r>
            <w:r>
              <w:rPr>
                <w:spacing w:val="-5"/>
                <w:sz w:val="24"/>
              </w:rPr>
              <w:t> </w:t>
            </w:r>
            <w:r>
              <w:rPr>
                <w:spacing w:val="-2"/>
                <w:sz w:val="24"/>
              </w:rPr>
              <w:t>State</w:t>
            </w:r>
          </w:p>
        </w:tc>
        <w:tc>
          <w:tcPr>
            <w:tcW w:w="1442" w:type="dxa"/>
          </w:tcPr>
          <w:p>
            <w:pPr>
              <w:pStyle w:val="TableParagraph"/>
              <w:spacing w:line="268" w:lineRule="exact"/>
              <w:ind w:left="105"/>
              <w:rPr>
                <w:sz w:val="24"/>
              </w:rPr>
            </w:pPr>
            <w:r>
              <w:rPr>
                <w:sz w:val="24"/>
              </w:rPr>
              <w:t>Oil </w:t>
            </w:r>
            <w:r>
              <w:rPr>
                <w:spacing w:val="-2"/>
                <w:sz w:val="24"/>
              </w:rPr>
              <w:t>Field</w:t>
            </w:r>
          </w:p>
        </w:tc>
        <w:tc>
          <w:tcPr>
            <w:tcW w:w="1441" w:type="dxa"/>
          </w:tcPr>
          <w:p>
            <w:pPr>
              <w:pStyle w:val="TableParagraph"/>
              <w:rPr>
                <w:sz w:val="24"/>
              </w:rPr>
            </w:pPr>
          </w:p>
        </w:tc>
      </w:tr>
      <w:tr>
        <w:trPr>
          <w:trHeight w:val="827" w:hRule="atLeast"/>
        </w:trPr>
        <w:tc>
          <w:tcPr>
            <w:tcW w:w="720" w:type="dxa"/>
          </w:tcPr>
          <w:p>
            <w:pPr>
              <w:pStyle w:val="TableParagraph"/>
              <w:spacing w:line="268" w:lineRule="exact"/>
              <w:ind w:left="107"/>
              <w:rPr>
                <w:sz w:val="24"/>
              </w:rPr>
            </w:pPr>
            <w:r>
              <w:rPr>
                <w:spacing w:val="-5"/>
                <w:sz w:val="24"/>
              </w:rPr>
              <w:t>6.</w:t>
            </w:r>
          </w:p>
        </w:tc>
        <w:tc>
          <w:tcPr>
            <w:tcW w:w="2449" w:type="dxa"/>
          </w:tcPr>
          <w:p>
            <w:pPr>
              <w:pStyle w:val="TableParagraph"/>
              <w:ind w:left="107" w:right="360"/>
              <w:rPr>
                <w:sz w:val="24"/>
              </w:rPr>
            </w:pPr>
            <w:r>
              <w:rPr>
                <w:sz w:val="24"/>
              </w:rPr>
              <w:t>Ogbotobo in Ogunlagha</w:t>
            </w:r>
            <w:r>
              <w:rPr>
                <w:spacing w:val="-15"/>
                <w:sz w:val="24"/>
              </w:rPr>
              <w:t> </w:t>
            </w:r>
            <w:r>
              <w:rPr>
                <w:sz w:val="24"/>
              </w:rPr>
              <w:t>kingdom</w:t>
            </w:r>
          </w:p>
          <w:p>
            <w:pPr>
              <w:pStyle w:val="TableParagraph"/>
              <w:spacing w:line="264" w:lineRule="exact"/>
              <w:ind w:left="107"/>
              <w:rPr>
                <w:sz w:val="24"/>
              </w:rPr>
            </w:pPr>
            <w:r>
              <w:rPr>
                <w:sz w:val="24"/>
              </w:rPr>
              <w:t>Burutu</w:t>
            </w:r>
            <w:r>
              <w:rPr>
                <w:spacing w:val="-1"/>
                <w:sz w:val="24"/>
              </w:rPr>
              <w:t> </w:t>
            </w:r>
            <w:r>
              <w:rPr>
                <w:spacing w:val="-5"/>
                <w:sz w:val="24"/>
              </w:rPr>
              <w:t>LGA</w:t>
            </w:r>
          </w:p>
        </w:tc>
        <w:tc>
          <w:tcPr>
            <w:tcW w:w="1801" w:type="dxa"/>
          </w:tcPr>
          <w:p>
            <w:pPr>
              <w:pStyle w:val="TableParagraph"/>
              <w:spacing w:line="268" w:lineRule="exact"/>
              <w:ind w:left="107"/>
              <w:rPr>
                <w:sz w:val="24"/>
              </w:rPr>
            </w:pPr>
            <w:r>
              <w:rPr>
                <w:sz w:val="24"/>
              </w:rPr>
              <w:t>Bonny</w:t>
            </w:r>
            <w:r>
              <w:rPr>
                <w:spacing w:val="-3"/>
                <w:sz w:val="24"/>
              </w:rPr>
              <w:t> </w:t>
            </w:r>
            <w:r>
              <w:rPr>
                <w:spacing w:val="-2"/>
                <w:sz w:val="24"/>
              </w:rPr>
              <w:t>Gawei</w:t>
            </w:r>
          </w:p>
        </w:tc>
        <w:tc>
          <w:tcPr>
            <w:tcW w:w="1441" w:type="dxa"/>
          </w:tcPr>
          <w:p>
            <w:pPr>
              <w:pStyle w:val="TableParagraph"/>
              <w:spacing w:line="268" w:lineRule="exact"/>
              <w:ind w:left="106"/>
              <w:rPr>
                <w:sz w:val="24"/>
              </w:rPr>
            </w:pPr>
            <w:r>
              <w:rPr>
                <w:sz w:val="24"/>
              </w:rPr>
              <w:t>Delta</w:t>
            </w:r>
            <w:r>
              <w:rPr>
                <w:spacing w:val="-5"/>
                <w:sz w:val="24"/>
              </w:rPr>
              <w:t> </w:t>
            </w:r>
            <w:r>
              <w:rPr>
                <w:spacing w:val="-2"/>
                <w:sz w:val="24"/>
              </w:rPr>
              <w:t>State</w:t>
            </w:r>
          </w:p>
        </w:tc>
        <w:tc>
          <w:tcPr>
            <w:tcW w:w="1442" w:type="dxa"/>
          </w:tcPr>
          <w:p>
            <w:pPr>
              <w:pStyle w:val="TableParagraph"/>
              <w:spacing w:line="268" w:lineRule="exact"/>
              <w:ind w:left="105"/>
              <w:rPr>
                <w:sz w:val="24"/>
              </w:rPr>
            </w:pPr>
            <w:r>
              <w:rPr>
                <w:sz w:val="24"/>
              </w:rPr>
              <w:t>Yokri</w:t>
            </w:r>
            <w:r>
              <w:rPr>
                <w:spacing w:val="-2"/>
                <w:sz w:val="24"/>
              </w:rPr>
              <w:t> </w:t>
            </w:r>
            <w:r>
              <w:rPr>
                <w:spacing w:val="-4"/>
                <w:sz w:val="24"/>
              </w:rPr>
              <w:t>SPDC</w:t>
            </w:r>
          </w:p>
        </w:tc>
        <w:tc>
          <w:tcPr>
            <w:tcW w:w="1441" w:type="dxa"/>
          </w:tcPr>
          <w:p>
            <w:pPr>
              <w:pStyle w:val="TableParagraph"/>
              <w:rPr>
                <w:sz w:val="24"/>
              </w:rPr>
            </w:pPr>
          </w:p>
        </w:tc>
      </w:tr>
      <w:tr>
        <w:trPr>
          <w:trHeight w:val="1379" w:hRule="atLeast"/>
        </w:trPr>
        <w:tc>
          <w:tcPr>
            <w:tcW w:w="720" w:type="dxa"/>
          </w:tcPr>
          <w:p>
            <w:pPr>
              <w:pStyle w:val="TableParagraph"/>
              <w:spacing w:line="268" w:lineRule="exact"/>
              <w:ind w:left="107"/>
              <w:rPr>
                <w:sz w:val="24"/>
              </w:rPr>
            </w:pPr>
            <w:r>
              <w:rPr>
                <w:spacing w:val="-5"/>
                <w:sz w:val="24"/>
              </w:rPr>
              <w:t>7.</w:t>
            </w:r>
          </w:p>
        </w:tc>
        <w:tc>
          <w:tcPr>
            <w:tcW w:w="2449" w:type="dxa"/>
          </w:tcPr>
          <w:p>
            <w:pPr>
              <w:pStyle w:val="TableParagraph"/>
              <w:ind w:left="107" w:right="145"/>
              <w:rPr>
                <w:sz w:val="24"/>
              </w:rPr>
            </w:pPr>
            <w:r>
              <w:rPr>
                <w:sz w:val="24"/>
              </w:rPr>
              <w:t>Okerenkoko</w:t>
            </w:r>
            <w:r>
              <w:rPr>
                <w:spacing w:val="-15"/>
                <w:sz w:val="24"/>
              </w:rPr>
              <w:t> </w:t>
            </w:r>
            <w:r>
              <w:rPr>
                <w:sz w:val="24"/>
              </w:rPr>
              <w:t>(Camp</w:t>
            </w:r>
            <w:r>
              <w:rPr>
                <w:spacing w:val="-15"/>
                <w:sz w:val="24"/>
              </w:rPr>
              <w:t> </w:t>
            </w:r>
            <w:r>
              <w:rPr>
                <w:sz w:val="24"/>
              </w:rPr>
              <w:t>5) Warri South West </w:t>
            </w:r>
            <w:r>
              <w:rPr>
                <w:spacing w:val="-4"/>
                <w:sz w:val="24"/>
              </w:rPr>
              <w:t>LGA</w:t>
            </w:r>
          </w:p>
        </w:tc>
        <w:tc>
          <w:tcPr>
            <w:tcW w:w="1801" w:type="dxa"/>
          </w:tcPr>
          <w:p>
            <w:pPr>
              <w:pStyle w:val="TableParagraph"/>
              <w:ind w:left="107" w:right="272"/>
              <w:rPr>
                <w:sz w:val="24"/>
              </w:rPr>
            </w:pPr>
            <w:r>
              <w:rPr>
                <w:spacing w:val="-2"/>
                <w:sz w:val="24"/>
              </w:rPr>
              <w:t>Chief Government Ekpemukpolo (Alias</w:t>
            </w:r>
          </w:p>
          <w:p>
            <w:pPr>
              <w:pStyle w:val="TableParagraph"/>
              <w:spacing w:line="264" w:lineRule="exact"/>
              <w:ind w:left="107"/>
              <w:rPr>
                <w:sz w:val="24"/>
              </w:rPr>
            </w:pPr>
            <w:r>
              <w:rPr>
                <w:spacing w:val="-2"/>
                <w:sz w:val="24"/>
              </w:rPr>
              <w:t>Tompolo)</w:t>
            </w:r>
          </w:p>
        </w:tc>
        <w:tc>
          <w:tcPr>
            <w:tcW w:w="1441" w:type="dxa"/>
          </w:tcPr>
          <w:p>
            <w:pPr>
              <w:pStyle w:val="TableParagraph"/>
              <w:spacing w:line="268" w:lineRule="exact"/>
              <w:ind w:left="106"/>
              <w:rPr>
                <w:sz w:val="24"/>
              </w:rPr>
            </w:pPr>
            <w:r>
              <w:rPr>
                <w:sz w:val="24"/>
              </w:rPr>
              <w:t>Delta</w:t>
            </w:r>
            <w:r>
              <w:rPr>
                <w:spacing w:val="-5"/>
                <w:sz w:val="24"/>
              </w:rPr>
              <w:t> </w:t>
            </w:r>
            <w:r>
              <w:rPr>
                <w:spacing w:val="-2"/>
                <w:sz w:val="24"/>
              </w:rPr>
              <w:t>State</w:t>
            </w:r>
          </w:p>
        </w:tc>
        <w:tc>
          <w:tcPr>
            <w:tcW w:w="1442" w:type="dxa"/>
          </w:tcPr>
          <w:p>
            <w:pPr>
              <w:pStyle w:val="TableParagraph"/>
              <w:spacing w:line="268" w:lineRule="exact"/>
              <w:ind w:left="105"/>
              <w:rPr>
                <w:sz w:val="24"/>
              </w:rPr>
            </w:pPr>
            <w:r>
              <w:rPr>
                <w:spacing w:val="-4"/>
                <w:sz w:val="24"/>
              </w:rPr>
              <w:t>SPDC</w:t>
            </w:r>
          </w:p>
          <w:p>
            <w:pPr>
              <w:pStyle w:val="TableParagraph"/>
              <w:ind w:left="105" w:right="155"/>
              <w:rPr>
                <w:sz w:val="24"/>
              </w:rPr>
            </w:pPr>
            <w:r>
              <w:rPr>
                <w:spacing w:val="-2"/>
                <w:sz w:val="24"/>
              </w:rPr>
              <w:t>Otumara, </w:t>
            </w:r>
            <w:r>
              <w:rPr>
                <w:sz w:val="24"/>
              </w:rPr>
              <w:t>Odidi</w:t>
            </w:r>
            <w:r>
              <w:rPr>
                <w:spacing w:val="-15"/>
                <w:sz w:val="24"/>
              </w:rPr>
              <w:t> </w:t>
            </w:r>
            <w:r>
              <w:rPr>
                <w:sz w:val="24"/>
              </w:rPr>
              <w:t>Batan</w:t>
            </w:r>
          </w:p>
        </w:tc>
        <w:tc>
          <w:tcPr>
            <w:tcW w:w="1441" w:type="dxa"/>
          </w:tcPr>
          <w:p>
            <w:pPr>
              <w:pStyle w:val="TableParagraph"/>
              <w:rPr>
                <w:sz w:val="24"/>
              </w:rPr>
            </w:pPr>
          </w:p>
        </w:tc>
      </w:tr>
      <w:tr>
        <w:trPr>
          <w:trHeight w:val="275" w:hRule="atLeast"/>
        </w:trPr>
        <w:tc>
          <w:tcPr>
            <w:tcW w:w="720" w:type="dxa"/>
          </w:tcPr>
          <w:p>
            <w:pPr>
              <w:pStyle w:val="TableParagraph"/>
              <w:spacing w:line="256" w:lineRule="exact"/>
              <w:ind w:left="107"/>
              <w:rPr>
                <w:sz w:val="24"/>
              </w:rPr>
            </w:pPr>
            <w:r>
              <w:rPr>
                <w:spacing w:val="-5"/>
                <w:sz w:val="24"/>
              </w:rPr>
              <w:t>8.</w:t>
            </w:r>
          </w:p>
        </w:tc>
        <w:tc>
          <w:tcPr>
            <w:tcW w:w="2449" w:type="dxa"/>
          </w:tcPr>
          <w:p>
            <w:pPr>
              <w:pStyle w:val="TableParagraph"/>
              <w:spacing w:line="256" w:lineRule="exact"/>
              <w:ind w:left="107"/>
              <w:rPr>
                <w:sz w:val="24"/>
              </w:rPr>
            </w:pPr>
            <w:r>
              <w:rPr>
                <w:sz w:val="24"/>
              </w:rPr>
              <w:t>Bennett</w:t>
            </w:r>
            <w:r>
              <w:rPr>
                <w:spacing w:val="-2"/>
                <w:sz w:val="24"/>
              </w:rPr>
              <w:t> Island</w:t>
            </w:r>
          </w:p>
        </w:tc>
        <w:tc>
          <w:tcPr>
            <w:tcW w:w="1801" w:type="dxa"/>
          </w:tcPr>
          <w:p>
            <w:pPr>
              <w:pStyle w:val="TableParagraph"/>
              <w:spacing w:line="256" w:lineRule="exact"/>
              <w:ind w:left="107"/>
              <w:rPr>
                <w:sz w:val="24"/>
              </w:rPr>
            </w:pPr>
            <w:r>
              <w:rPr>
                <w:spacing w:val="-2"/>
                <w:sz w:val="24"/>
              </w:rPr>
              <w:t>Ebikoko</w:t>
            </w:r>
          </w:p>
        </w:tc>
        <w:tc>
          <w:tcPr>
            <w:tcW w:w="1441" w:type="dxa"/>
          </w:tcPr>
          <w:p>
            <w:pPr>
              <w:pStyle w:val="TableParagraph"/>
              <w:spacing w:line="256" w:lineRule="exact"/>
              <w:ind w:left="106"/>
              <w:rPr>
                <w:sz w:val="24"/>
              </w:rPr>
            </w:pPr>
            <w:r>
              <w:rPr>
                <w:sz w:val="24"/>
              </w:rPr>
              <w:t>Delta</w:t>
            </w:r>
            <w:r>
              <w:rPr>
                <w:spacing w:val="-5"/>
                <w:sz w:val="24"/>
              </w:rPr>
              <w:t> </w:t>
            </w:r>
            <w:r>
              <w:rPr>
                <w:spacing w:val="-2"/>
                <w:sz w:val="24"/>
              </w:rPr>
              <w:t>State</w:t>
            </w:r>
          </w:p>
        </w:tc>
        <w:tc>
          <w:tcPr>
            <w:tcW w:w="1442" w:type="dxa"/>
          </w:tcPr>
          <w:p>
            <w:pPr>
              <w:pStyle w:val="TableParagraph"/>
              <w:rPr>
                <w:sz w:val="20"/>
              </w:rPr>
            </w:pPr>
          </w:p>
        </w:tc>
        <w:tc>
          <w:tcPr>
            <w:tcW w:w="1441" w:type="dxa"/>
          </w:tcPr>
          <w:p>
            <w:pPr>
              <w:pStyle w:val="TableParagraph"/>
              <w:rPr>
                <w:sz w:val="20"/>
              </w:rPr>
            </w:pPr>
          </w:p>
        </w:tc>
      </w:tr>
      <w:tr>
        <w:trPr>
          <w:trHeight w:val="552" w:hRule="atLeast"/>
        </w:trPr>
        <w:tc>
          <w:tcPr>
            <w:tcW w:w="720" w:type="dxa"/>
          </w:tcPr>
          <w:p>
            <w:pPr>
              <w:pStyle w:val="TableParagraph"/>
              <w:spacing w:line="268" w:lineRule="exact"/>
              <w:ind w:left="107"/>
              <w:rPr>
                <w:sz w:val="24"/>
              </w:rPr>
            </w:pPr>
            <w:r>
              <w:rPr>
                <w:spacing w:val="-5"/>
                <w:sz w:val="24"/>
              </w:rPr>
              <w:t>9.</w:t>
            </w:r>
          </w:p>
        </w:tc>
        <w:tc>
          <w:tcPr>
            <w:tcW w:w="2449" w:type="dxa"/>
          </w:tcPr>
          <w:p>
            <w:pPr>
              <w:pStyle w:val="TableParagraph"/>
              <w:spacing w:line="268" w:lineRule="exact"/>
              <w:ind w:left="107"/>
              <w:rPr>
                <w:sz w:val="24"/>
              </w:rPr>
            </w:pPr>
            <w:r>
              <w:rPr>
                <w:sz w:val="24"/>
              </w:rPr>
              <w:t>Opuye</w:t>
            </w:r>
            <w:r>
              <w:rPr>
                <w:spacing w:val="-2"/>
                <w:sz w:val="24"/>
              </w:rPr>
              <w:t> </w:t>
            </w:r>
            <w:r>
              <w:rPr>
                <w:sz w:val="24"/>
              </w:rPr>
              <w:t>Camp</w:t>
            </w:r>
            <w:r>
              <w:rPr>
                <w:spacing w:val="-2"/>
                <w:sz w:val="24"/>
              </w:rPr>
              <w:t> </w:t>
            </w:r>
            <w:r>
              <w:rPr>
                <w:spacing w:val="-4"/>
                <w:sz w:val="24"/>
              </w:rPr>
              <w:t>near</w:t>
            </w:r>
          </w:p>
          <w:p>
            <w:pPr>
              <w:pStyle w:val="TableParagraph"/>
              <w:spacing w:line="264" w:lineRule="exact"/>
              <w:ind w:left="107"/>
              <w:rPr>
                <w:sz w:val="24"/>
              </w:rPr>
            </w:pPr>
            <w:r>
              <w:rPr>
                <w:sz w:val="24"/>
              </w:rPr>
              <w:t>Koko</w:t>
            </w:r>
            <w:r>
              <w:rPr>
                <w:spacing w:val="-4"/>
                <w:sz w:val="24"/>
              </w:rPr>
              <w:t> </w:t>
            </w:r>
            <w:r>
              <w:rPr>
                <w:sz w:val="24"/>
              </w:rPr>
              <w:t>general</w:t>
            </w:r>
            <w:r>
              <w:rPr>
                <w:spacing w:val="-1"/>
                <w:sz w:val="24"/>
              </w:rPr>
              <w:t> </w:t>
            </w:r>
            <w:r>
              <w:rPr>
                <w:spacing w:val="-4"/>
                <w:sz w:val="24"/>
              </w:rPr>
              <w:t>area</w:t>
            </w:r>
          </w:p>
        </w:tc>
        <w:tc>
          <w:tcPr>
            <w:tcW w:w="1801" w:type="dxa"/>
          </w:tcPr>
          <w:p>
            <w:pPr>
              <w:pStyle w:val="TableParagraph"/>
              <w:spacing w:line="268" w:lineRule="exact"/>
              <w:ind w:left="107"/>
              <w:rPr>
                <w:sz w:val="24"/>
              </w:rPr>
            </w:pPr>
            <w:r>
              <w:rPr>
                <w:sz w:val="24"/>
              </w:rPr>
              <w:t>Kingsley</w:t>
            </w:r>
            <w:r>
              <w:rPr>
                <w:spacing w:val="-4"/>
                <w:sz w:val="24"/>
              </w:rPr>
              <w:t> </w:t>
            </w:r>
            <w:r>
              <w:rPr>
                <w:spacing w:val="-2"/>
                <w:sz w:val="24"/>
              </w:rPr>
              <w:t>Opuye</w:t>
            </w:r>
          </w:p>
        </w:tc>
        <w:tc>
          <w:tcPr>
            <w:tcW w:w="1441" w:type="dxa"/>
          </w:tcPr>
          <w:p>
            <w:pPr>
              <w:pStyle w:val="TableParagraph"/>
              <w:spacing w:line="268" w:lineRule="exact"/>
              <w:ind w:left="106"/>
              <w:rPr>
                <w:sz w:val="24"/>
              </w:rPr>
            </w:pPr>
            <w:r>
              <w:rPr>
                <w:sz w:val="24"/>
              </w:rPr>
              <w:t>Delta</w:t>
            </w:r>
            <w:r>
              <w:rPr>
                <w:spacing w:val="-5"/>
                <w:sz w:val="24"/>
              </w:rPr>
              <w:t> </w:t>
            </w:r>
            <w:r>
              <w:rPr>
                <w:spacing w:val="-2"/>
                <w:sz w:val="24"/>
              </w:rPr>
              <w:t>State</w:t>
            </w:r>
          </w:p>
        </w:tc>
        <w:tc>
          <w:tcPr>
            <w:tcW w:w="1442" w:type="dxa"/>
          </w:tcPr>
          <w:p>
            <w:pPr>
              <w:pStyle w:val="TableParagraph"/>
              <w:rPr>
                <w:sz w:val="24"/>
              </w:rPr>
            </w:pPr>
          </w:p>
        </w:tc>
        <w:tc>
          <w:tcPr>
            <w:tcW w:w="1441" w:type="dxa"/>
          </w:tcPr>
          <w:p>
            <w:pPr>
              <w:pStyle w:val="TableParagraph"/>
              <w:rPr>
                <w:sz w:val="24"/>
              </w:rPr>
            </w:pPr>
          </w:p>
        </w:tc>
      </w:tr>
      <w:tr>
        <w:trPr>
          <w:trHeight w:val="277" w:hRule="atLeast"/>
        </w:trPr>
        <w:tc>
          <w:tcPr>
            <w:tcW w:w="720" w:type="dxa"/>
          </w:tcPr>
          <w:p>
            <w:pPr>
              <w:pStyle w:val="TableParagraph"/>
              <w:spacing w:line="258" w:lineRule="exact"/>
              <w:ind w:left="107"/>
              <w:rPr>
                <w:sz w:val="24"/>
              </w:rPr>
            </w:pPr>
            <w:r>
              <w:rPr>
                <w:spacing w:val="-5"/>
                <w:sz w:val="24"/>
              </w:rPr>
              <w:t>10.</w:t>
            </w:r>
          </w:p>
        </w:tc>
        <w:tc>
          <w:tcPr>
            <w:tcW w:w="2449" w:type="dxa"/>
          </w:tcPr>
          <w:p>
            <w:pPr>
              <w:pStyle w:val="TableParagraph"/>
              <w:spacing w:line="258" w:lineRule="exact"/>
              <w:ind w:left="107"/>
              <w:rPr>
                <w:sz w:val="24"/>
              </w:rPr>
            </w:pPr>
            <w:r>
              <w:rPr>
                <w:sz w:val="24"/>
              </w:rPr>
              <w:t>Okpagbe</w:t>
            </w:r>
            <w:r>
              <w:rPr>
                <w:spacing w:val="-3"/>
                <w:sz w:val="24"/>
              </w:rPr>
              <w:t> </w:t>
            </w:r>
            <w:r>
              <w:rPr>
                <w:sz w:val="24"/>
              </w:rPr>
              <w:t>camp</w:t>
            </w:r>
            <w:r>
              <w:rPr>
                <w:spacing w:val="-1"/>
                <w:sz w:val="24"/>
              </w:rPr>
              <w:t> </w:t>
            </w:r>
            <w:r>
              <w:rPr>
                <w:spacing w:val="-4"/>
                <w:sz w:val="24"/>
              </w:rPr>
              <w:t>area</w:t>
            </w:r>
          </w:p>
        </w:tc>
        <w:tc>
          <w:tcPr>
            <w:tcW w:w="1801" w:type="dxa"/>
          </w:tcPr>
          <w:p>
            <w:pPr>
              <w:pStyle w:val="TableParagraph"/>
              <w:spacing w:line="258" w:lineRule="exact"/>
              <w:ind w:left="107"/>
              <w:rPr>
                <w:sz w:val="24"/>
              </w:rPr>
            </w:pPr>
            <w:r>
              <w:rPr>
                <w:spacing w:val="-2"/>
                <w:sz w:val="24"/>
              </w:rPr>
              <w:t>Ogodobiri</w:t>
            </w:r>
          </w:p>
        </w:tc>
        <w:tc>
          <w:tcPr>
            <w:tcW w:w="1441" w:type="dxa"/>
          </w:tcPr>
          <w:p>
            <w:pPr>
              <w:pStyle w:val="TableParagraph"/>
              <w:spacing w:line="258" w:lineRule="exact"/>
              <w:ind w:left="106"/>
              <w:rPr>
                <w:sz w:val="24"/>
              </w:rPr>
            </w:pPr>
            <w:r>
              <w:rPr>
                <w:sz w:val="24"/>
              </w:rPr>
              <w:t>Delta</w:t>
            </w:r>
            <w:r>
              <w:rPr>
                <w:spacing w:val="-5"/>
                <w:sz w:val="24"/>
              </w:rPr>
              <w:t> </w:t>
            </w:r>
            <w:r>
              <w:rPr>
                <w:spacing w:val="-2"/>
                <w:sz w:val="24"/>
              </w:rPr>
              <w:t>State</w:t>
            </w:r>
          </w:p>
        </w:tc>
        <w:tc>
          <w:tcPr>
            <w:tcW w:w="1442" w:type="dxa"/>
          </w:tcPr>
          <w:p>
            <w:pPr>
              <w:pStyle w:val="TableParagraph"/>
              <w:rPr>
                <w:sz w:val="20"/>
              </w:rPr>
            </w:pPr>
          </w:p>
        </w:tc>
        <w:tc>
          <w:tcPr>
            <w:tcW w:w="1441" w:type="dxa"/>
          </w:tcPr>
          <w:p>
            <w:pPr>
              <w:pStyle w:val="TableParagraph"/>
              <w:rPr>
                <w:sz w:val="20"/>
              </w:rPr>
            </w:pPr>
          </w:p>
        </w:tc>
      </w:tr>
      <w:tr>
        <w:trPr>
          <w:trHeight w:val="551" w:hRule="atLeast"/>
        </w:trPr>
        <w:tc>
          <w:tcPr>
            <w:tcW w:w="720" w:type="dxa"/>
          </w:tcPr>
          <w:p>
            <w:pPr>
              <w:pStyle w:val="TableParagraph"/>
              <w:spacing w:line="268" w:lineRule="exact"/>
              <w:ind w:left="107"/>
              <w:rPr>
                <w:sz w:val="24"/>
              </w:rPr>
            </w:pPr>
            <w:r>
              <w:rPr>
                <w:spacing w:val="-5"/>
                <w:sz w:val="24"/>
              </w:rPr>
              <w:t>11.</w:t>
            </w:r>
          </w:p>
        </w:tc>
        <w:tc>
          <w:tcPr>
            <w:tcW w:w="2449" w:type="dxa"/>
          </w:tcPr>
          <w:p>
            <w:pPr>
              <w:pStyle w:val="TableParagraph"/>
              <w:spacing w:line="268" w:lineRule="exact"/>
              <w:ind w:left="107"/>
              <w:rPr>
                <w:sz w:val="24"/>
              </w:rPr>
            </w:pPr>
            <w:r>
              <w:rPr>
                <w:sz w:val="24"/>
              </w:rPr>
              <w:t>Isreal</w:t>
            </w:r>
            <w:r>
              <w:rPr>
                <w:spacing w:val="-5"/>
                <w:sz w:val="24"/>
              </w:rPr>
              <w:t> </w:t>
            </w:r>
            <w:r>
              <w:rPr>
                <w:sz w:val="24"/>
              </w:rPr>
              <w:t>Camp</w:t>
            </w:r>
            <w:r>
              <w:rPr>
                <w:spacing w:val="-3"/>
                <w:sz w:val="24"/>
              </w:rPr>
              <w:t> </w:t>
            </w:r>
            <w:r>
              <w:rPr>
                <w:spacing w:val="-4"/>
                <w:sz w:val="24"/>
              </w:rPr>
              <w:t>Near</w:t>
            </w:r>
          </w:p>
          <w:p>
            <w:pPr>
              <w:pStyle w:val="TableParagraph"/>
              <w:spacing w:line="264" w:lineRule="exact"/>
              <w:ind w:left="107"/>
              <w:rPr>
                <w:sz w:val="24"/>
              </w:rPr>
            </w:pPr>
            <w:r>
              <w:rPr>
                <w:spacing w:val="-2"/>
                <w:sz w:val="24"/>
              </w:rPr>
              <w:t>Ayakoroma</w:t>
            </w:r>
          </w:p>
        </w:tc>
        <w:tc>
          <w:tcPr>
            <w:tcW w:w="1801" w:type="dxa"/>
          </w:tcPr>
          <w:p>
            <w:pPr>
              <w:pStyle w:val="TableParagraph"/>
              <w:spacing w:line="268" w:lineRule="exact"/>
              <w:ind w:left="107"/>
              <w:rPr>
                <w:sz w:val="24"/>
              </w:rPr>
            </w:pPr>
            <w:r>
              <w:rPr>
                <w:sz w:val="24"/>
              </w:rPr>
              <w:t>John</w:t>
            </w:r>
            <w:r>
              <w:rPr>
                <w:spacing w:val="2"/>
                <w:sz w:val="24"/>
              </w:rPr>
              <w:t> </w:t>
            </w:r>
            <w:r>
              <w:rPr>
                <w:spacing w:val="-4"/>
                <w:sz w:val="24"/>
              </w:rPr>
              <w:t>Togo</w:t>
            </w:r>
          </w:p>
        </w:tc>
        <w:tc>
          <w:tcPr>
            <w:tcW w:w="1441" w:type="dxa"/>
          </w:tcPr>
          <w:p>
            <w:pPr>
              <w:pStyle w:val="TableParagraph"/>
              <w:spacing w:line="268" w:lineRule="exact"/>
              <w:ind w:left="106"/>
              <w:rPr>
                <w:sz w:val="24"/>
              </w:rPr>
            </w:pPr>
            <w:r>
              <w:rPr>
                <w:sz w:val="24"/>
              </w:rPr>
              <w:t>Delta</w:t>
            </w:r>
            <w:r>
              <w:rPr>
                <w:spacing w:val="-5"/>
                <w:sz w:val="24"/>
              </w:rPr>
              <w:t> </w:t>
            </w:r>
            <w:r>
              <w:rPr>
                <w:spacing w:val="-2"/>
                <w:sz w:val="24"/>
              </w:rPr>
              <w:t>State</w:t>
            </w:r>
          </w:p>
        </w:tc>
        <w:tc>
          <w:tcPr>
            <w:tcW w:w="1442" w:type="dxa"/>
          </w:tcPr>
          <w:p>
            <w:pPr>
              <w:pStyle w:val="TableParagraph"/>
              <w:rPr>
                <w:sz w:val="24"/>
              </w:rPr>
            </w:pPr>
          </w:p>
        </w:tc>
        <w:tc>
          <w:tcPr>
            <w:tcW w:w="1441" w:type="dxa"/>
          </w:tcPr>
          <w:p>
            <w:pPr>
              <w:pStyle w:val="TableParagraph"/>
              <w:rPr>
                <w:sz w:val="24"/>
              </w:rPr>
            </w:pPr>
          </w:p>
        </w:tc>
      </w:tr>
      <w:tr>
        <w:trPr>
          <w:trHeight w:val="551" w:hRule="atLeast"/>
        </w:trPr>
        <w:tc>
          <w:tcPr>
            <w:tcW w:w="720" w:type="dxa"/>
          </w:tcPr>
          <w:p>
            <w:pPr>
              <w:pStyle w:val="TableParagraph"/>
              <w:spacing w:line="268" w:lineRule="exact"/>
              <w:ind w:left="107"/>
              <w:rPr>
                <w:sz w:val="24"/>
              </w:rPr>
            </w:pPr>
            <w:r>
              <w:rPr>
                <w:spacing w:val="-5"/>
                <w:sz w:val="24"/>
              </w:rPr>
              <w:t>12.</w:t>
            </w:r>
          </w:p>
        </w:tc>
        <w:tc>
          <w:tcPr>
            <w:tcW w:w="2449" w:type="dxa"/>
          </w:tcPr>
          <w:p>
            <w:pPr>
              <w:pStyle w:val="TableParagraph"/>
              <w:spacing w:line="268" w:lineRule="exact"/>
              <w:ind w:left="107"/>
              <w:rPr>
                <w:sz w:val="24"/>
              </w:rPr>
            </w:pPr>
            <w:r>
              <w:rPr>
                <w:sz w:val="24"/>
              </w:rPr>
              <w:t>Amatu</w:t>
            </w:r>
            <w:r>
              <w:rPr>
                <w:spacing w:val="-1"/>
                <w:sz w:val="24"/>
              </w:rPr>
              <w:t> </w:t>
            </w:r>
            <w:r>
              <w:rPr>
                <w:sz w:val="24"/>
              </w:rPr>
              <w:t>and </w:t>
            </w:r>
            <w:r>
              <w:rPr>
                <w:spacing w:val="-2"/>
                <w:sz w:val="24"/>
              </w:rPr>
              <w:t>Bilabiri</w:t>
            </w:r>
          </w:p>
        </w:tc>
        <w:tc>
          <w:tcPr>
            <w:tcW w:w="1801" w:type="dxa"/>
          </w:tcPr>
          <w:p>
            <w:pPr>
              <w:pStyle w:val="TableParagraph"/>
              <w:spacing w:line="268" w:lineRule="exact"/>
              <w:ind w:left="107"/>
              <w:rPr>
                <w:sz w:val="24"/>
              </w:rPr>
            </w:pPr>
            <w:r>
              <w:rPr>
                <w:sz w:val="24"/>
              </w:rPr>
              <w:t>Comd Edi</w:t>
            </w:r>
            <w:r>
              <w:rPr>
                <w:spacing w:val="2"/>
                <w:sz w:val="24"/>
              </w:rPr>
              <w:t> </w:t>
            </w:r>
            <w:r>
              <w:rPr>
                <w:spacing w:val="-2"/>
                <w:sz w:val="24"/>
              </w:rPr>
              <w:t>Iguni</w:t>
            </w:r>
          </w:p>
        </w:tc>
        <w:tc>
          <w:tcPr>
            <w:tcW w:w="1441" w:type="dxa"/>
          </w:tcPr>
          <w:p>
            <w:pPr>
              <w:pStyle w:val="TableParagraph"/>
              <w:spacing w:line="268" w:lineRule="exact"/>
              <w:ind w:left="106"/>
              <w:rPr>
                <w:sz w:val="24"/>
              </w:rPr>
            </w:pPr>
            <w:r>
              <w:rPr>
                <w:spacing w:val="-2"/>
                <w:sz w:val="24"/>
              </w:rPr>
              <w:t>Bayelsa</w:t>
            </w:r>
          </w:p>
          <w:p>
            <w:pPr>
              <w:pStyle w:val="TableParagraph"/>
              <w:spacing w:line="264" w:lineRule="exact"/>
              <w:ind w:left="106"/>
              <w:rPr>
                <w:sz w:val="24"/>
              </w:rPr>
            </w:pPr>
            <w:r>
              <w:rPr>
                <w:spacing w:val="-2"/>
                <w:sz w:val="24"/>
              </w:rPr>
              <w:t>State</w:t>
            </w:r>
          </w:p>
        </w:tc>
        <w:tc>
          <w:tcPr>
            <w:tcW w:w="1442" w:type="dxa"/>
          </w:tcPr>
          <w:p>
            <w:pPr>
              <w:pStyle w:val="TableParagraph"/>
              <w:rPr>
                <w:sz w:val="24"/>
              </w:rPr>
            </w:pPr>
          </w:p>
        </w:tc>
        <w:tc>
          <w:tcPr>
            <w:tcW w:w="1441" w:type="dxa"/>
          </w:tcPr>
          <w:p>
            <w:pPr>
              <w:pStyle w:val="TableParagraph"/>
              <w:rPr>
                <w:sz w:val="24"/>
              </w:rPr>
            </w:pPr>
          </w:p>
        </w:tc>
      </w:tr>
      <w:tr>
        <w:trPr>
          <w:trHeight w:val="551" w:hRule="atLeast"/>
        </w:trPr>
        <w:tc>
          <w:tcPr>
            <w:tcW w:w="720" w:type="dxa"/>
          </w:tcPr>
          <w:p>
            <w:pPr>
              <w:pStyle w:val="TableParagraph"/>
              <w:spacing w:line="268" w:lineRule="exact"/>
              <w:ind w:left="107"/>
              <w:rPr>
                <w:sz w:val="24"/>
              </w:rPr>
            </w:pPr>
            <w:r>
              <w:rPr>
                <w:spacing w:val="-5"/>
                <w:sz w:val="24"/>
              </w:rPr>
              <w:t>13.</w:t>
            </w:r>
          </w:p>
        </w:tc>
        <w:tc>
          <w:tcPr>
            <w:tcW w:w="2449" w:type="dxa"/>
          </w:tcPr>
          <w:p>
            <w:pPr>
              <w:pStyle w:val="TableParagraph"/>
              <w:spacing w:line="268" w:lineRule="exact"/>
              <w:ind w:left="107"/>
              <w:rPr>
                <w:sz w:val="24"/>
              </w:rPr>
            </w:pPr>
            <w:r>
              <w:rPr>
                <w:sz w:val="24"/>
              </w:rPr>
              <w:t>Egbelege</w:t>
            </w:r>
            <w:r>
              <w:rPr>
                <w:spacing w:val="-4"/>
                <w:sz w:val="24"/>
              </w:rPr>
              <w:t> </w:t>
            </w:r>
            <w:r>
              <w:rPr>
                <w:sz w:val="24"/>
              </w:rPr>
              <w:t>(in</w:t>
            </w:r>
            <w:r>
              <w:rPr>
                <w:spacing w:val="-2"/>
                <w:sz w:val="24"/>
              </w:rPr>
              <w:t> Odioma</w:t>
            </w:r>
          </w:p>
          <w:p>
            <w:pPr>
              <w:pStyle w:val="TableParagraph"/>
              <w:spacing w:line="264" w:lineRule="exact"/>
              <w:ind w:left="107"/>
              <w:rPr>
                <w:sz w:val="24"/>
              </w:rPr>
            </w:pPr>
            <w:r>
              <w:rPr>
                <w:spacing w:val="-2"/>
                <w:sz w:val="24"/>
              </w:rPr>
              <w:t>Creek)</w:t>
            </w:r>
          </w:p>
        </w:tc>
        <w:tc>
          <w:tcPr>
            <w:tcW w:w="1801" w:type="dxa"/>
          </w:tcPr>
          <w:p>
            <w:pPr>
              <w:pStyle w:val="TableParagraph"/>
              <w:spacing w:line="268" w:lineRule="exact"/>
              <w:ind w:left="107"/>
              <w:rPr>
                <w:sz w:val="24"/>
              </w:rPr>
            </w:pPr>
            <w:r>
              <w:rPr>
                <w:sz w:val="24"/>
              </w:rPr>
              <w:t>Woki</w:t>
            </w:r>
            <w:r>
              <w:rPr>
                <w:spacing w:val="-1"/>
                <w:sz w:val="24"/>
              </w:rPr>
              <w:t> </w:t>
            </w:r>
            <w:r>
              <w:rPr>
                <w:spacing w:val="-2"/>
                <w:sz w:val="24"/>
              </w:rPr>
              <w:t>Ibralaye</w:t>
            </w:r>
          </w:p>
          <w:p>
            <w:pPr>
              <w:pStyle w:val="TableParagraph"/>
              <w:spacing w:line="264" w:lineRule="exact"/>
              <w:ind w:left="107"/>
              <w:rPr>
                <w:sz w:val="24"/>
              </w:rPr>
            </w:pPr>
            <w:r>
              <w:rPr>
                <w:sz w:val="24"/>
              </w:rPr>
              <w:t>(aka</w:t>
            </w:r>
            <w:r>
              <w:rPr>
                <w:spacing w:val="-3"/>
                <w:sz w:val="24"/>
              </w:rPr>
              <w:t> </w:t>
            </w:r>
            <w:r>
              <w:rPr>
                <w:spacing w:val="-2"/>
                <w:sz w:val="24"/>
              </w:rPr>
              <w:t>Kitikata)</w:t>
            </w:r>
          </w:p>
        </w:tc>
        <w:tc>
          <w:tcPr>
            <w:tcW w:w="1441" w:type="dxa"/>
          </w:tcPr>
          <w:p>
            <w:pPr>
              <w:pStyle w:val="TableParagraph"/>
              <w:spacing w:line="268" w:lineRule="exact"/>
              <w:ind w:left="106"/>
              <w:rPr>
                <w:sz w:val="24"/>
              </w:rPr>
            </w:pPr>
            <w:r>
              <w:rPr>
                <w:spacing w:val="-2"/>
                <w:sz w:val="24"/>
              </w:rPr>
              <w:t>Bayelsa</w:t>
            </w:r>
          </w:p>
          <w:p>
            <w:pPr>
              <w:pStyle w:val="TableParagraph"/>
              <w:spacing w:line="264" w:lineRule="exact"/>
              <w:ind w:left="106"/>
              <w:rPr>
                <w:sz w:val="24"/>
              </w:rPr>
            </w:pPr>
            <w:r>
              <w:rPr>
                <w:spacing w:val="-2"/>
                <w:sz w:val="24"/>
              </w:rPr>
              <w:t>State</w:t>
            </w:r>
          </w:p>
        </w:tc>
        <w:tc>
          <w:tcPr>
            <w:tcW w:w="1442" w:type="dxa"/>
          </w:tcPr>
          <w:p>
            <w:pPr>
              <w:pStyle w:val="TableParagraph"/>
              <w:spacing w:line="268" w:lineRule="exact"/>
              <w:ind w:left="105"/>
              <w:rPr>
                <w:sz w:val="24"/>
              </w:rPr>
            </w:pPr>
            <w:r>
              <w:rPr>
                <w:sz w:val="24"/>
              </w:rPr>
              <w:t>Oil </w:t>
            </w:r>
            <w:r>
              <w:rPr>
                <w:spacing w:val="-2"/>
                <w:sz w:val="24"/>
              </w:rPr>
              <w:t>field</w:t>
            </w:r>
          </w:p>
        </w:tc>
        <w:tc>
          <w:tcPr>
            <w:tcW w:w="1441" w:type="dxa"/>
          </w:tcPr>
          <w:p>
            <w:pPr>
              <w:pStyle w:val="TableParagraph"/>
              <w:rPr>
                <w:sz w:val="24"/>
              </w:rPr>
            </w:pPr>
          </w:p>
        </w:tc>
      </w:tr>
      <w:tr>
        <w:trPr>
          <w:trHeight w:val="827" w:hRule="atLeast"/>
        </w:trPr>
        <w:tc>
          <w:tcPr>
            <w:tcW w:w="720" w:type="dxa"/>
          </w:tcPr>
          <w:p>
            <w:pPr>
              <w:pStyle w:val="TableParagraph"/>
              <w:spacing w:line="268" w:lineRule="exact"/>
              <w:ind w:left="107"/>
              <w:rPr>
                <w:sz w:val="24"/>
              </w:rPr>
            </w:pPr>
            <w:r>
              <w:rPr>
                <w:spacing w:val="-5"/>
                <w:sz w:val="24"/>
              </w:rPr>
              <w:t>14.</w:t>
            </w:r>
          </w:p>
        </w:tc>
        <w:tc>
          <w:tcPr>
            <w:tcW w:w="2449" w:type="dxa"/>
          </w:tcPr>
          <w:p>
            <w:pPr>
              <w:pStyle w:val="TableParagraph"/>
              <w:ind w:left="107"/>
              <w:rPr>
                <w:sz w:val="24"/>
              </w:rPr>
            </w:pPr>
            <w:r>
              <w:rPr>
                <w:sz w:val="24"/>
              </w:rPr>
              <w:t>Peremabiri around Diebu</w:t>
            </w:r>
            <w:r>
              <w:rPr>
                <w:spacing w:val="-13"/>
                <w:sz w:val="24"/>
              </w:rPr>
              <w:t> </w:t>
            </w:r>
            <w:r>
              <w:rPr>
                <w:sz w:val="24"/>
              </w:rPr>
              <w:t>flow</w:t>
            </w:r>
            <w:r>
              <w:rPr>
                <w:spacing w:val="-14"/>
                <w:sz w:val="24"/>
              </w:rPr>
              <w:t> </w:t>
            </w:r>
            <w:r>
              <w:rPr>
                <w:sz w:val="24"/>
              </w:rPr>
              <w:t>station</w:t>
            </w:r>
            <w:r>
              <w:rPr>
                <w:spacing w:val="-13"/>
                <w:sz w:val="24"/>
              </w:rPr>
              <w:t> </w:t>
            </w:r>
            <w:r>
              <w:rPr>
                <w:sz w:val="24"/>
              </w:rPr>
              <w:t>in</w:t>
            </w:r>
          </w:p>
          <w:p>
            <w:pPr>
              <w:pStyle w:val="TableParagraph"/>
              <w:spacing w:line="264" w:lineRule="exact"/>
              <w:ind w:left="107"/>
              <w:rPr>
                <w:sz w:val="24"/>
              </w:rPr>
            </w:pPr>
            <w:r>
              <w:rPr>
                <w:sz w:val="24"/>
              </w:rPr>
              <w:t>Southern</w:t>
            </w:r>
            <w:r>
              <w:rPr>
                <w:spacing w:val="-2"/>
                <w:sz w:val="24"/>
              </w:rPr>
              <w:t> </w:t>
            </w:r>
            <w:r>
              <w:rPr>
                <w:spacing w:val="-4"/>
                <w:sz w:val="24"/>
              </w:rPr>
              <w:t>Ijaw</w:t>
            </w:r>
          </w:p>
        </w:tc>
        <w:tc>
          <w:tcPr>
            <w:tcW w:w="1801" w:type="dxa"/>
          </w:tcPr>
          <w:p>
            <w:pPr>
              <w:pStyle w:val="TableParagraph"/>
              <w:spacing w:line="268" w:lineRule="exact"/>
              <w:ind w:left="107"/>
              <w:rPr>
                <w:sz w:val="24"/>
              </w:rPr>
            </w:pPr>
            <w:r>
              <w:rPr>
                <w:sz w:val="24"/>
              </w:rPr>
              <w:t>Ateke</w:t>
            </w:r>
            <w:r>
              <w:rPr>
                <w:spacing w:val="-2"/>
                <w:sz w:val="24"/>
              </w:rPr>
              <w:t> </w:t>
            </w:r>
            <w:r>
              <w:rPr>
                <w:spacing w:val="-5"/>
                <w:sz w:val="24"/>
              </w:rPr>
              <w:t>Tom</w:t>
            </w:r>
          </w:p>
        </w:tc>
        <w:tc>
          <w:tcPr>
            <w:tcW w:w="1441" w:type="dxa"/>
          </w:tcPr>
          <w:p>
            <w:pPr>
              <w:pStyle w:val="TableParagraph"/>
              <w:ind w:left="106" w:right="559"/>
              <w:rPr>
                <w:sz w:val="24"/>
              </w:rPr>
            </w:pPr>
            <w:r>
              <w:rPr>
                <w:spacing w:val="-2"/>
                <w:sz w:val="24"/>
              </w:rPr>
              <w:t>Bayelsa State</w:t>
            </w:r>
          </w:p>
        </w:tc>
        <w:tc>
          <w:tcPr>
            <w:tcW w:w="1442" w:type="dxa"/>
          </w:tcPr>
          <w:p>
            <w:pPr>
              <w:pStyle w:val="TableParagraph"/>
              <w:rPr>
                <w:sz w:val="24"/>
              </w:rPr>
            </w:pPr>
          </w:p>
        </w:tc>
        <w:tc>
          <w:tcPr>
            <w:tcW w:w="1441" w:type="dxa"/>
          </w:tcPr>
          <w:p>
            <w:pPr>
              <w:pStyle w:val="TableParagraph"/>
              <w:spacing w:line="268" w:lineRule="exact"/>
              <w:ind w:left="104"/>
              <w:rPr>
                <w:sz w:val="24"/>
              </w:rPr>
            </w:pPr>
            <w:r>
              <w:rPr>
                <w:sz w:val="24"/>
              </w:rPr>
              <w:t>New</w:t>
            </w:r>
            <w:r>
              <w:rPr>
                <w:spacing w:val="-4"/>
                <w:sz w:val="24"/>
              </w:rPr>
              <w:t> Camp</w:t>
            </w:r>
          </w:p>
        </w:tc>
      </w:tr>
      <w:tr>
        <w:trPr>
          <w:trHeight w:val="551" w:hRule="atLeast"/>
        </w:trPr>
        <w:tc>
          <w:tcPr>
            <w:tcW w:w="720" w:type="dxa"/>
          </w:tcPr>
          <w:p>
            <w:pPr>
              <w:pStyle w:val="TableParagraph"/>
              <w:spacing w:line="268" w:lineRule="exact"/>
              <w:ind w:left="107"/>
              <w:rPr>
                <w:sz w:val="24"/>
              </w:rPr>
            </w:pPr>
            <w:r>
              <w:rPr>
                <w:spacing w:val="-5"/>
                <w:sz w:val="24"/>
              </w:rPr>
              <w:t>15.</w:t>
            </w:r>
          </w:p>
        </w:tc>
        <w:tc>
          <w:tcPr>
            <w:tcW w:w="2449" w:type="dxa"/>
          </w:tcPr>
          <w:p>
            <w:pPr>
              <w:pStyle w:val="TableParagraph"/>
              <w:spacing w:line="268" w:lineRule="exact"/>
              <w:ind w:left="107"/>
              <w:rPr>
                <w:sz w:val="24"/>
              </w:rPr>
            </w:pPr>
            <w:r>
              <w:rPr>
                <w:sz w:val="24"/>
              </w:rPr>
              <w:t>Opuama</w:t>
            </w:r>
            <w:r>
              <w:rPr>
                <w:spacing w:val="-1"/>
                <w:sz w:val="24"/>
              </w:rPr>
              <w:t> </w:t>
            </w:r>
            <w:r>
              <w:rPr>
                <w:sz w:val="24"/>
              </w:rPr>
              <w:t>community</w:t>
            </w:r>
            <w:r>
              <w:rPr>
                <w:spacing w:val="-5"/>
                <w:sz w:val="24"/>
              </w:rPr>
              <w:t> in</w:t>
            </w:r>
          </w:p>
          <w:p>
            <w:pPr>
              <w:pStyle w:val="TableParagraph"/>
              <w:spacing w:line="264" w:lineRule="exact"/>
              <w:ind w:left="107"/>
              <w:rPr>
                <w:sz w:val="24"/>
              </w:rPr>
            </w:pPr>
            <w:r>
              <w:rPr>
                <w:sz w:val="24"/>
              </w:rPr>
              <w:t>Southern</w:t>
            </w:r>
            <w:r>
              <w:rPr>
                <w:spacing w:val="-2"/>
                <w:sz w:val="24"/>
              </w:rPr>
              <w:t> </w:t>
            </w:r>
            <w:r>
              <w:rPr>
                <w:spacing w:val="-4"/>
                <w:sz w:val="24"/>
              </w:rPr>
              <w:t>Ijaw</w:t>
            </w:r>
          </w:p>
        </w:tc>
        <w:tc>
          <w:tcPr>
            <w:tcW w:w="1801" w:type="dxa"/>
          </w:tcPr>
          <w:p>
            <w:pPr>
              <w:pStyle w:val="TableParagraph"/>
              <w:rPr>
                <w:sz w:val="24"/>
              </w:rPr>
            </w:pPr>
          </w:p>
        </w:tc>
        <w:tc>
          <w:tcPr>
            <w:tcW w:w="1441" w:type="dxa"/>
          </w:tcPr>
          <w:p>
            <w:pPr>
              <w:pStyle w:val="TableParagraph"/>
              <w:spacing w:line="268" w:lineRule="exact"/>
              <w:ind w:left="106"/>
              <w:rPr>
                <w:sz w:val="24"/>
              </w:rPr>
            </w:pPr>
            <w:r>
              <w:rPr>
                <w:spacing w:val="-2"/>
                <w:sz w:val="24"/>
              </w:rPr>
              <w:t>Bayelsa</w:t>
            </w:r>
          </w:p>
          <w:p>
            <w:pPr>
              <w:pStyle w:val="TableParagraph"/>
              <w:spacing w:line="264" w:lineRule="exact"/>
              <w:ind w:left="106"/>
              <w:rPr>
                <w:sz w:val="24"/>
              </w:rPr>
            </w:pPr>
            <w:r>
              <w:rPr>
                <w:spacing w:val="-2"/>
                <w:sz w:val="24"/>
              </w:rPr>
              <w:t>State</w:t>
            </w:r>
          </w:p>
        </w:tc>
        <w:tc>
          <w:tcPr>
            <w:tcW w:w="1442" w:type="dxa"/>
          </w:tcPr>
          <w:p>
            <w:pPr>
              <w:pStyle w:val="TableParagraph"/>
              <w:spacing w:line="268" w:lineRule="exact"/>
              <w:ind w:left="105"/>
              <w:rPr>
                <w:sz w:val="24"/>
              </w:rPr>
            </w:pPr>
            <w:r>
              <w:rPr>
                <w:sz w:val="24"/>
              </w:rPr>
              <w:t>Oil</w:t>
            </w:r>
            <w:r>
              <w:rPr>
                <w:spacing w:val="60"/>
                <w:sz w:val="24"/>
              </w:rPr>
              <w:t> </w:t>
            </w:r>
            <w:r>
              <w:rPr>
                <w:spacing w:val="-4"/>
                <w:sz w:val="24"/>
              </w:rPr>
              <w:t>field</w:t>
            </w:r>
          </w:p>
        </w:tc>
        <w:tc>
          <w:tcPr>
            <w:tcW w:w="1441" w:type="dxa"/>
          </w:tcPr>
          <w:p>
            <w:pPr>
              <w:pStyle w:val="TableParagraph"/>
              <w:spacing w:line="268" w:lineRule="exact"/>
              <w:ind w:left="104"/>
              <w:rPr>
                <w:sz w:val="24"/>
              </w:rPr>
            </w:pPr>
            <w:r>
              <w:rPr>
                <w:sz w:val="24"/>
              </w:rPr>
              <w:t>Camp</w:t>
            </w:r>
            <w:r>
              <w:rPr>
                <w:spacing w:val="-1"/>
                <w:sz w:val="24"/>
              </w:rPr>
              <w:t> </w:t>
            </w:r>
            <w:r>
              <w:rPr>
                <w:spacing w:val="-2"/>
                <w:sz w:val="24"/>
              </w:rPr>
              <w:t>leader</w:t>
            </w:r>
          </w:p>
          <w:p>
            <w:pPr>
              <w:pStyle w:val="TableParagraph"/>
              <w:spacing w:line="264" w:lineRule="exact"/>
              <w:ind w:left="104"/>
              <w:rPr>
                <w:sz w:val="24"/>
              </w:rPr>
            </w:pPr>
            <w:r>
              <w:rPr>
                <w:spacing w:val="-2"/>
                <w:sz w:val="24"/>
              </w:rPr>
              <w:t>killed</w:t>
            </w:r>
          </w:p>
        </w:tc>
      </w:tr>
      <w:tr>
        <w:trPr>
          <w:trHeight w:val="1104" w:hRule="atLeast"/>
        </w:trPr>
        <w:tc>
          <w:tcPr>
            <w:tcW w:w="720" w:type="dxa"/>
          </w:tcPr>
          <w:p>
            <w:pPr>
              <w:pStyle w:val="TableParagraph"/>
              <w:spacing w:line="268" w:lineRule="exact"/>
              <w:ind w:left="107"/>
              <w:rPr>
                <w:sz w:val="24"/>
              </w:rPr>
            </w:pPr>
            <w:r>
              <w:rPr>
                <w:spacing w:val="-5"/>
                <w:sz w:val="24"/>
              </w:rPr>
              <w:t>16.</w:t>
            </w:r>
          </w:p>
        </w:tc>
        <w:tc>
          <w:tcPr>
            <w:tcW w:w="2449" w:type="dxa"/>
          </w:tcPr>
          <w:p>
            <w:pPr>
              <w:pStyle w:val="TableParagraph"/>
              <w:spacing w:line="268" w:lineRule="exact"/>
              <w:ind w:left="107"/>
              <w:rPr>
                <w:sz w:val="24"/>
              </w:rPr>
            </w:pPr>
            <w:r>
              <w:rPr>
                <w:sz w:val="24"/>
              </w:rPr>
              <w:t>Sangana,</w:t>
            </w:r>
            <w:r>
              <w:rPr>
                <w:spacing w:val="-4"/>
                <w:sz w:val="24"/>
              </w:rPr>
              <w:t> </w:t>
            </w:r>
            <w:r>
              <w:rPr>
                <w:sz w:val="24"/>
              </w:rPr>
              <w:t>Brass</w:t>
            </w:r>
            <w:r>
              <w:rPr>
                <w:spacing w:val="-1"/>
                <w:sz w:val="24"/>
              </w:rPr>
              <w:t> </w:t>
            </w:r>
            <w:r>
              <w:rPr>
                <w:spacing w:val="-5"/>
                <w:sz w:val="24"/>
              </w:rPr>
              <w:t>LGA</w:t>
            </w:r>
          </w:p>
        </w:tc>
        <w:tc>
          <w:tcPr>
            <w:tcW w:w="1801" w:type="dxa"/>
          </w:tcPr>
          <w:p>
            <w:pPr>
              <w:pStyle w:val="TableParagraph"/>
              <w:ind w:left="107" w:right="785"/>
              <w:rPr>
                <w:sz w:val="24"/>
              </w:rPr>
            </w:pPr>
            <w:r>
              <w:rPr>
                <w:spacing w:val="-2"/>
                <w:sz w:val="24"/>
              </w:rPr>
              <w:t>Abraham Ngobere</w:t>
            </w:r>
          </w:p>
        </w:tc>
        <w:tc>
          <w:tcPr>
            <w:tcW w:w="1441" w:type="dxa"/>
          </w:tcPr>
          <w:p>
            <w:pPr>
              <w:pStyle w:val="TableParagraph"/>
              <w:ind w:left="106" w:right="559"/>
              <w:rPr>
                <w:sz w:val="24"/>
              </w:rPr>
            </w:pPr>
            <w:r>
              <w:rPr>
                <w:spacing w:val="-2"/>
                <w:sz w:val="24"/>
              </w:rPr>
              <w:t>Bayelsa State</w:t>
            </w:r>
          </w:p>
        </w:tc>
        <w:tc>
          <w:tcPr>
            <w:tcW w:w="1442" w:type="dxa"/>
          </w:tcPr>
          <w:p>
            <w:pPr>
              <w:pStyle w:val="TableParagraph"/>
              <w:ind w:left="105" w:right="436"/>
              <w:rPr>
                <w:sz w:val="24"/>
              </w:rPr>
            </w:pPr>
            <w:r>
              <w:rPr>
                <w:spacing w:val="-2"/>
                <w:sz w:val="24"/>
              </w:rPr>
              <w:t>Conoil, Chevron, Texaco,</w:t>
            </w:r>
          </w:p>
          <w:p>
            <w:pPr>
              <w:pStyle w:val="TableParagraph"/>
              <w:spacing w:line="264" w:lineRule="exact"/>
              <w:ind w:left="105"/>
              <w:rPr>
                <w:sz w:val="24"/>
              </w:rPr>
            </w:pPr>
            <w:r>
              <w:rPr>
                <w:sz w:val="24"/>
              </w:rPr>
              <w:t>Funiwa</w:t>
            </w:r>
            <w:r>
              <w:rPr>
                <w:spacing w:val="-3"/>
                <w:sz w:val="24"/>
              </w:rPr>
              <w:t> </w:t>
            </w:r>
            <w:r>
              <w:rPr>
                <w:spacing w:val="-2"/>
                <w:sz w:val="24"/>
              </w:rPr>
              <w:t>field</w:t>
            </w:r>
          </w:p>
        </w:tc>
        <w:tc>
          <w:tcPr>
            <w:tcW w:w="1441" w:type="dxa"/>
          </w:tcPr>
          <w:p>
            <w:pPr>
              <w:pStyle w:val="TableParagraph"/>
              <w:rPr>
                <w:sz w:val="24"/>
              </w:rPr>
            </w:pPr>
          </w:p>
        </w:tc>
      </w:tr>
      <w:tr>
        <w:trPr>
          <w:trHeight w:val="1105" w:hRule="atLeast"/>
        </w:trPr>
        <w:tc>
          <w:tcPr>
            <w:tcW w:w="720" w:type="dxa"/>
          </w:tcPr>
          <w:p>
            <w:pPr>
              <w:pStyle w:val="TableParagraph"/>
              <w:spacing w:line="270" w:lineRule="exact"/>
              <w:ind w:left="107"/>
              <w:rPr>
                <w:sz w:val="24"/>
              </w:rPr>
            </w:pPr>
            <w:r>
              <w:rPr>
                <w:spacing w:val="-5"/>
                <w:sz w:val="24"/>
              </w:rPr>
              <w:t>17.</w:t>
            </w:r>
          </w:p>
        </w:tc>
        <w:tc>
          <w:tcPr>
            <w:tcW w:w="2449" w:type="dxa"/>
          </w:tcPr>
          <w:p>
            <w:pPr>
              <w:pStyle w:val="TableParagraph"/>
              <w:ind w:left="107"/>
              <w:rPr>
                <w:sz w:val="24"/>
              </w:rPr>
            </w:pPr>
            <w:r>
              <w:rPr>
                <w:sz w:val="24"/>
              </w:rPr>
              <w:t>Egbemoa Ngalaberi (Near</w:t>
            </w:r>
            <w:r>
              <w:rPr>
                <w:spacing w:val="-15"/>
                <w:sz w:val="24"/>
              </w:rPr>
              <w:t> </w:t>
            </w:r>
            <w:r>
              <w:rPr>
                <w:sz w:val="24"/>
              </w:rPr>
              <w:t>Opukushi</w:t>
            </w:r>
            <w:r>
              <w:rPr>
                <w:spacing w:val="-15"/>
                <w:sz w:val="24"/>
              </w:rPr>
              <w:t> </w:t>
            </w:r>
            <w:r>
              <w:rPr>
                <w:sz w:val="24"/>
              </w:rPr>
              <w:t>flow station Yenagoa)</w:t>
            </w:r>
          </w:p>
        </w:tc>
        <w:tc>
          <w:tcPr>
            <w:tcW w:w="1801" w:type="dxa"/>
          </w:tcPr>
          <w:p>
            <w:pPr>
              <w:pStyle w:val="TableParagraph"/>
              <w:ind w:left="107" w:right="232"/>
              <w:rPr>
                <w:sz w:val="24"/>
              </w:rPr>
            </w:pPr>
            <w:r>
              <w:rPr>
                <w:spacing w:val="-2"/>
                <w:sz w:val="24"/>
              </w:rPr>
              <w:t>Commander: </w:t>
            </w:r>
            <w:r>
              <w:rPr>
                <w:sz w:val="24"/>
              </w:rPr>
              <w:t>Livinus</w:t>
            </w:r>
            <w:r>
              <w:rPr>
                <w:spacing w:val="-15"/>
                <w:sz w:val="24"/>
              </w:rPr>
              <w:t> </w:t>
            </w:r>
            <w:r>
              <w:rPr>
                <w:sz w:val="24"/>
              </w:rPr>
              <w:t>Odudu (Alias Lokiri)</w:t>
            </w:r>
          </w:p>
          <w:p>
            <w:pPr>
              <w:pStyle w:val="TableParagraph"/>
              <w:spacing w:line="264" w:lineRule="exact"/>
              <w:ind w:left="107"/>
              <w:rPr>
                <w:sz w:val="24"/>
              </w:rPr>
            </w:pPr>
            <w:r>
              <w:rPr>
                <w:sz w:val="24"/>
              </w:rPr>
              <w:t>Nathaniel</w:t>
            </w:r>
            <w:r>
              <w:rPr>
                <w:spacing w:val="-3"/>
                <w:sz w:val="24"/>
              </w:rPr>
              <w:t> </w:t>
            </w:r>
            <w:r>
              <w:rPr>
                <w:spacing w:val="-4"/>
                <w:sz w:val="24"/>
              </w:rPr>
              <w:t>Bidel</w:t>
            </w:r>
          </w:p>
        </w:tc>
        <w:tc>
          <w:tcPr>
            <w:tcW w:w="1441" w:type="dxa"/>
          </w:tcPr>
          <w:p>
            <w:pPr>
              <w:pStyle w:val="TableParagraph"/>
              <w:ind w:left="106" w:right="559"/>
              <w:rPr>
                <w:sz w:val="24"/>
              </w:rPr>
            </w:pPr>
            <w:r>
              <w:rPr>
                <w:spacing w:val="-2"/>
                <w:sz w:val="24"/>
              </w:rPr>
              <w:t>Bayelsa State</w:t>
            </w:r>
          </w:p>
        </w:tc>
        <w:tc>
          <w:tcPr>
            <w:tcW w:w="1442" w:type="dxa"/>
          </w:tcPr>
          <w:p>
            <w:pPr>
              <w:pStyle w:val="TableParagraph"/>
              <w:rPr>
                <w:sz w:val="24"/>
              </w:rPr>
            </w:pPr>
          </w:p>
        </w:tc>
        <w:tc>
          <w:tcPr>
            <w:tcW w:w="1441" w:type="dxa"/>
          </w:tcPr>
          <w:p>
            <w:pPr>
              <w:pStyle w:val="TableParagraph"/>
              <w:rPr>
                <w:sz w:val="24"/>
              </w:rPr>
            </w:pPr>
          </w:p>
        </w:tc>
      </w:tr>
    </w:tbl>
    <w:p>
      <w:pPr>
        <w:spacing w:after="0"/>
        <w:rPr>
          <w:sz w:val="24"/>
        </w:rPr>
        <w:sectPr>
          <w:pgSz w:w="11910" w:h="16840"/>
          <w:pgMar w:header="0" w:footer="1561" w:top="1360" w:bottom="1760" w:left="720" w:right="180"/>
        </w:sectPr>
      </w:pPr>
    </w:p>
    <w:p>
      <w:pPr>
        <w:pStyle w:val="BodyText"/>
        <w:spacing w:before="3"/>
        <w:ind w:left="0"/>
        <w:rPr>
          <w:b/>
          <w:sz w:val="2"/>
        </w:rPr>
      </w:pPr>
      <w:r>
        <w:rPr/>
        <mc:AlternateContent>
          <mc:Choice Requires="wps">
            <w:drawing>
              <wp:anchor distT="0" distB="0" distL="0" distR="0" allowOverlap="1" layoutInCell="1" locked="0" behindDoc="1" simplePos="0" relativeHeight="480710144">
                <wp:simplePos x="0" y="0"/>
                <wp:positionH relativeFrom="page">
                  <wp:posOffset>-1537026</wp:posOffset>
                </wp:positionH>
                <wp:positionV relativeFrom="page">
                  <wp:posOffset>4900424</wp:posOffset>
                </wp:positionV>
                <wp:extent cx="10669905" cy="914400"/>
                <wp:effectExtent l="0" t="0" r="0" b="0"/>
                <wp:wrapNone/>
                <wp:docPr id="403" name="Textbox 403"/>
                <wp:cNvGraphicFramePr>
                  <a:graphicFrameLocks/>
                </wp:cNvGraphicFramePr>
                <a:graphic>
                  <a:graphicData uri="http://schemas.microsoft.com/office/word/2010/wordprocessingShape">
                    <wps:wsp>
                      <wps:cNvPr id="403" name="Textbox 403"/>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06336;rotation:306" type="#_x0000_t136" fillcolor="#ff5400" stroked="f">
                <o:extrusion v:ext="view" autorotationcenter="t"/>
                <v:textpath style="font-family:&quot;Arial MT&quot;;font-size:72pt;v-text-kern:t;mso-text-shadow:auto" string="UNIVERSITY OF IBADAN"/>
                <w10:wrap type="none"/>
              </v:shape>
            </w:pict>
          </mc:Fallback>
        </mc:AlternateContent>
      </w: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0"/>
        <w:gridCol w:w="2449"/>
        <w:gridCol w:w="1801"/>
        <w:gridCol w:w="1441"/>
        <w:gridCol w:w="1442"/>
        <w:gridCol w:w="1441"/>
      </w:tblGrid>
      <w:tr>
        <w:trPr>
          <w:trHeight w:val="1380" w:hRule="atLeast"/>
        </w:trPr>
        <w:tc>
          <w:tcPr>
            <w:tcW w:w="720" w:type="dxa"/>
          </w:tcPr>
          <w:p>
            <w:pPr>
              <w:pStyle w:val="TableParagraph"/>
              <w:rPr>
                <w:sz w:val="24"/>
              </w:rPr>
            </w:pPr>
          </w:p>
        </w:tc>
        <w:tc>
          <w:tcPr>
            <w:tcW w:w="2449" w:type="dxa"/>
          </w:tcPr>
          <w:p>
            <w:pPr>
              <w:pStyle w:val="TableParagraph"/>
              <w:rPr>
                <w:sz w:val="24"/>
              </w:rPr>
            </w:pPr>
          </w:p>
        </w:tc>
        <w:tc>
          <w:tcPr>
            <w:tcW w:w="1801" w:type="dxa"/>
          </w:tcPr>
          <w:p>
            <w:pPr>
              <w:pStyle w:val="TableParagraph"/>
              <w:ind w:left="107" w:right="445"/>
              <w:rPr>
                <w:sz w:val="24"/>
              </w:rPr>
            </w:pPr>
            <w:r>
              <w:rPr>
                <w:spacing w:val="-2"/>
                <w:sz w:val="24"/>
              </w:rPr>
              <w:t>ThankGod </w:t>
            </w:r>
            <w:r>
              <w:rPr>
                <w:sz w:val="24"/>
              </w:rPr>
              <w:t>Mussi</w:t>
            </w:r>
            <w:r>
              <w:rPr>
                <w:spacing w:val="-15"/>
                <w:sz w:val="24"/>
              </w:rPr>
              <w:t> </w:t>
            </w:r>
            <w:r>
              <w:rPr>
                <w:sz w:val="24"/>
              </w:rPr>
              <w:t>(Alias </w:t>
            </w:r>
            <w:r>
              <w:rPr>
                <w:spacing w:val="-2"/>
                <w:sz w:val="24"/>
              </w:rPr>
              <w:t>MOPOL)</w:t>
            </w:r>
          </w:p>
          <w:p>
            <w:pPr>
              <w:pStyle w:val="TableParagraph"/>
              <w:spacing w:line="270" w:lineRule="atLeast"/>
              <w:ind w:left="107" w:right="642"/>
              <w:rPr>
                <w:sz w:val="24"/>
              </w:rPr>
            </w:pPr>
            <w:r>
              <w:rPr>
                <w:spacing w:val="-2"/>
                <w:sz w:val="24"/>
              </w:rPr>
              <w:t>Kemelayel Ideinotu</w:t>
            </w:r>
          </w:p>
        </w:tc>
        <w:tc>
          <w:tcPr>
            <w:tcW w:w="1441" w:type="dxa"/>
          </w:tcPr>
          <w:p>
            <w:pPr>
              <w:pStyle w:val="TableParagraph"/>
              <w:rPr>
                <w:sz w:val="24"/>
              </w:rPr>
            </w:pPr>
          </w:p>
        </w:tc>
        <w:tc>
          <w:tcPr>
            <w:tcW w:w="1442" w:type="dxa"/>
          </w:tcPr>
          <w:p>
            <w:pPr>
              <w:pStyle w:val="TableParagraph"/>
              <w:rPr>
                <w:sz w:val="24"/>
              </w:rPr>
            </w:pPr>
          </w:p>
        </w:tc>
        <w:tc>
          <w:tcPr>
            <w:tcW w:w="1441" w:type="dxa"/>
          </w:tcPr>
          <w:p>
            <w:pPr>
              <w:pStyle w:val="TableParagraph"/>
              <w:rPr>
                <w:sz w:val="24"/>
              </w:rPr>
            </w:pPr>
          </w:p>
        </w:tc>
      </w:tr>
      <w:tr>
        <w:trPr>
          <w:trHeight w:val="827" w:hRule="atLeast"/>
        </w:trPr>
        <w:tc>
          <w:tcPr>
            <w:tcW w:w="720" w:type="dxa"/>
          </w:tcPr>
          <w:p>
            <w:pPr>
              <w:pStyle w:val="TableParagraph"/>
              <w:spacing w:line="268" w:lineRule="exact"/>
              <w:ind w:left="107"/>
              <w:rPr>
                <w:sz w:val="24"/>
              </w:rPr>
            </w:pPr>
            <w:r>
              <w:rPr>
                <w:spacing w:val="-5"/>
                <w:sz w:val="24"/>
              </w:rPr>
              <w:t>18.</w:t>
            </w:r>
          </w:p>
        </w:tc>
        <w:tc>
          <w:tcPr>
            <w:tcW w:w="2449" w:type="dxa"/>
          </w:tcPr>
          <w:p>
            <w:pPr>
              <w:pStyle w:val="TableParagraph"/>
              <w:ind w:left="107" w:right="145"/>
              <w:rPr>
                <w:sz w:val="24"/>
              </w:rPr>
            </w:pPr>
            <w:r>
              <w:rPr>
                <w:spacing w:val="-2"/>
                <w:sz w:val="24"/>
              </w:rPr>
              <w:t>Azazwuama Community</w:t>
            </w:r>
          </w:p>
        </w:tc>
        <w:tc>
          <w:tcPr>
            <w:tcW w:w="1801" w:type="dxa"/>
          </w:tcPr>
          <w:p>
            <w:pPr>
              <w:pStyle w:val="TableParagraph"/>
              <w:ind w:left="107" w:right="126"/>
              <w:rPr>
                <w:sz w:val="24"/>
              </w:rPr>
            </w:pPr>
            <w:r>
              <w:rPr>
                <w:spacing w:val="-2"/>
                <w:sz w:val="24"/>
              </w:rPr>
              <w:t>Commander </w:t>
            </w:r>
            <w:r>
              <w:rPr>
                <w:sz w:val="24"/>
              </w:rPr>
              <w:t>Darukoro</w:t>
            </w:r>
            <w:r>
              <w:rPr>
                <w:spacing w:val="-15"/>
                <w:sz w:val="24"/>
              </w:rPr>
              <w:t> </w:t>
            </w:r>
            <w:r>
              <w:rPr>
                <w:sz w:val="24"/>
              </w:rPr>
              <w:t>Camp</w:t>
            </w:r>
          </w:p>
        </w:tc>
        <w:tc>
          <w:tcPr>
            <w:tcW w:w="1441" w:type="dxa"/>
          </w:tcPr>
          <w:p>
            <w:pPr>
              <w:pStyle w:val="TableParagraph"/>
              <w:ind w:left="106" w:right="559"/>
              <w:rPr>
                <w:sz w:val="24"/>
              </w:rPr>
            </w:pPr>
            <w:r>
              <w:rPr>
                <w:spacing w:val="-2"/>
                <w:sz w:val="24"/>
              </w:rPr>
              <w:t>Bayelsa State</w:t>
            </w:r>
          </w:p>
        </w:tc>
        <w:tc>
          <w:tcPr>
            <w:tcW w:w="1442" w:type="dxa"/>
          </w:tcPr>
          <w:p>
            <w:pPr>
              <w:pStyle w:val="TableParagraph"/>
              <w:rPr>
                <w:sz w:val="24"/>
              </w:rPr>
            </w:pPr>
          </w:p>
        </w:tc>
        <w:tc>
          <w:tcPr>
            <w:tcW w:w="1441" w:type="dxa"/>
          </w:tcPr>
          <w:p>
            <w:pPr>
              <w:pStyle w:val="TableParagraph"/>
              <w:rPr>
                <w:sz w:val="24"/>
              </w:rPr>
            </w:pPr>
          </w:p>
        </w:tc>
      </w:tr>
      <w:tr>
        <w:trPr>
          <w:trHeight w:val="551" w:hRule="atLeast"/>
        </w:trPr>
        <w:tc>
          <w:tcPr>
            <w:tcW w:w="720" w:type="dxa"/>
          </w:tcPr>
          <w:p>
            <w:pPr>
              <w:pStyle w:val="TableParagraph"/>
              <w:spacing w:line="268" w:lineRule="exact"/>
              <w:ind w:left="107"/>
              <w:rPr>
                <w:sz w:val="24"/>
              </w:rPr>
            </w:pPr>
            <w:r>
              <w:rPr>
                <w:spacing w:val="-5"/>
                <w:sz w:val="24"/>
              </w:rPr>
              <w:t>19.</w:t>
            </w:r>
          </w:p>
        </w:tc>
        <w:tc>
          <w:tcPr>
            <w:tcW w:w="2449" w:type="dxa"/>
          </w:tcPr>
          <w:p>
            <w:pPr>
              <w:pStyle w:val="TableParagraph"/>
              <w:rPr>
                <w:sz w:val="24"/>
              </w:rPr>
            </w:pPr>
          </w:p>
        </w:tc>
        <w:tc>
          <w:tcPr>
            <w:tcW w:w="1801" w:type="dxa"/>
          </w:tcPr>
          <w:p>
            <w:pPr>
              <w:pStyle w:val="TableParagraph"/>
              <w:spacing w:line="268" w:lineRule="exact"/>
              <w:ind w:left="229"/>
              <w:rPr>
                <w:sz w:val="24"/>
              </w:rPr>
            </w:pPr>
            <w:r>
              <w:rPr>
                <w:spacing w:val="-2"/>
                <w:sz w:val="24"/>
              </w:rPr>
              <w:t>Ideinotu</w:t>
            </w:r>
          </w:p>
        </w:tc>
        <w:tc>
          <w:tcPr>
            <w:tcW w:w="1441" w:type="dxa"/>
          </w:tcPr>
          <w:p>
            <w:pPr>
              <w:pStyle w:val="TableParagraph"/>
              <w:spacing w:line="268" w:lineRule="exact"/>
              <w:ind w:left="106"/>
              <w:rPr>
                <w:sz w:val="24"/>
              </w:rPr>
            </w:pPr>
            <w:r>
              <w:rPr>
                <w:spacing w:val="-2"/>
                <w:sz w:val="24"/>
              </w:rPr>
              <w:t>Bayelsa</w:t>
            </w:r>
          </w:p>
          <w:p>
            <w:pPr>
              <w:pStyle w:val="TableParagraph"/>
              <w:spacing w:line="264" w:lineRule="exact"/>
              <w:ind w:left="106"/>
              <w:rPr>
                <w:sz w:val="24"/>
              </w:rPr>
            </w:pPr>
            <w:r>
              <w:rPr>
                <w:spacing w:val="-2"/>
                <w:sz w:val="24"/>
              </w:rPr>
              <w:t>State</w:t>
            </w:r>
          </w:p>
        </w:tc>
        <w:tc>
          <w:tcPr>
            <w:tcW w:w="1442" w:type="dxa"/>
          </w:tcPr>
          <w:p>
            <w:pPr>
              <w:pStyle w:val="TableParagraph"/>
              <w:spacing w:line="268" w:lineRule="exact"/>
              <w:ind w:left="105"/>
              <w:rPr>
                <w:sz w:val="24"/>
              </w:rPr>
            </w:pPr>
            <w:r>
              <w:rPr>
                <w:sz w:val="24"/>
              </w:rPr>
              <w:t>Oil </w:t>
            </w:r>
            <w:r>
              <w:rPr>
                <w:spacing w:val="-2"/>
                <w:sz w:val="24"/>
              </w:rPr>
              <w:t>field</w:t>
            </w:r>
          </w:p>
        </w:tc>
        <w:tc>
          <w:tcPr>
            <w:tcW w:w="1441" w:type="dxa"/>
          </w:tcPr>
          <w:p>
            <w:pPr>
              <w:pStyle w:val="TableParagraph"/>
              <w:rPr>
                <w:sz w:val="24"/>
              </w:rPr>
            </w:pPr>
          </w:p>
        </w:tc>
      </w:tr>
      <w:tr>
        <w:trPr>
          <w:trHeight w:val="830" w:hRule="atLeast"/>
        </w:trPr>
        <w:tc>
          <w:tcPr>
            <w:tcW w:w="720" w:type="dxa"/>
          </w:tcPr>
          <w:p>
            <w:pPr>
              <w:pStyle w:val="TableParagraph"/>
              <w:spacing w:line="270" w:lineRule="exact"/>
              <w:ind w:left="107"/>
              <w:rPr>
                <w:sz w:val="24"/>
              </w:rPr>
            </w:pPr>
            <w:r>
              <w:rPr>
                <w:spacing w:val="-5"/>
                <w:sz w:val="24"/>
              </w:rPr>
              <w:t>20.</w:t>
            </w:r>
          </w:p>
        </w:tc>
        <w:tc>
          <w:tcPr>
            <w:tcW w:w="2449" w:type="dxa"/>
          </w:tcPr>
          <w:p>
            <w:pPr>
              <w:pStyle w:val="TableParagraph"/>
              <w:spacing w:line="270" w:lineRule="exact"/>
              <w:ind w:left="107"/>
              <w:rPr>
                <w:sz w:val="24"/>
              </w:rPr>
            </w:pPr>
            <w:r>
              <w:rPr>
                <w:spacing w:val="-2"/>
                <w:sz w:val="24"/>
              </w:rPr>
              <w:t>Dasaba</w:t>
            </w:r>
          </w:p>
        </w:tc>
        <w:tc>
          <w:tcPr>
            <w:tcW w:w="1801" w:type="dxa"/>
          </w:tcPr>
          <w:p>
            <w:pPr>
              <w:pStyle w:val="TableParagraph"/>
              <w:ind w:left="107" w:right="205"/>
              <w:rPr>
                <w:sz w:val="24"/>
              </w:rPr>
            </w:pPr>
            <w:r>
              <w:rPr>
                <w:sz w:val="24"/>
              </w:rPr>
              <w:t>Woki</w:t>
            </w:r>
            <w:r>
              <w:rPr>
                <w:spacing w:val="-15"/>
                <w:sz w:val="24"/>
              </w:rPr>
              <w:t> </w:t>
            </w:r>
            <w:r>
              <w:rPr>
                <w:sz w:val="24"/>
              </w:rPr>
              <w:t>Godswill Ibralagu</w:t>
            </w:r>
            <w:r>
              <w:rPr>
                <w:spacing w:val="-6"/>
                <w:sz w:val="24"/>
              </w:rPr>
              <w:t> </w:t>
            </w:r>
            <w:r>
              <w:rPr>
                <w:spacing w:val="-2"/>
                <w:sz w:val="24"/>
              </w:rPr>
              <w:t>(Alias</w:t>
            </w:r>
          </w:p>
          <w:p>
            <w:pPr>
              <w:pStyle w:val="TableParagraph"/>
              <w:spacing w:line="264" w:lineRule="exact"/>
              <w:ind w:left="107"/>
              <w:rPr>
                <w:sz w:val="24"/>
              </w:rPr>
            </w:pPr>
            <w:r>
              <w:rPr>
                <w:spacing w:val="-2"/>
                <w:sz w:val="24"/>
              </w:rPr>
              <w:t>Kitikata)</w:t>
            </w:r>
          </w:p>
        </w:tc>
        <w:tc>
          <w:tcPr>
            <w:tcW w:w="1441" w:type="dxa"/>
          </w:tcPr>
          <w:p>
            <w:pPr>
              <w:pStyle w:val="TableParagraph"/>
              <w:ind w:left="106" w:right="559"/>
              <w:rPr>
                <w:sz w:val="24"/>
              </w:rPr>
            </w:pPr>
            <w:r>
              <w:rPr>
                <w:spacing w:val="-2"/>
                <w:sz w:val="24"/>
              </w:rPr>
              <w:t>Bayelsa State</w:t>
            </w:r>
          </w:p>
        </w:tc>
        <w:tc>
          <w:tcPr>
            <w:tcW w:w="1442" w:type="dxa"/>
          </w:tcPr>
          <w:p>
            <w:pPr>
              <w:pStyle w:val="TableParagraph"/>
              <w:rPr>
                <w:sz w:val="24"/>
              </w:rPr>
            </w:pPr>
          </w:p>
        </w:tc>
        <w:tc>
          <w:tcPr>
            <w:tcW w:w="1441" w:type="dxa"/>
          </w:tcPr>
          <w:p>
            <w:pPr>
              <w:pStyle w:val="TableParagraph"/>
              <w:rPr>
                <w:sz w:val="24"/>
              </w:rPr>
            </w:pPr>
          </w:p>
        </w:tc>
      </w:tr>
      <w:tr>
        <w:trPr>
          <w:trHeight w:val="828" w:hRule="atLeast"/>
        </w:trPr>
        <w:tc>
          <w:tcPr>
            <w:tcW w:w="720" w:type="dxa"/>
          </w:tcPr>
          <w:p>
            <w:pPr>
              <w:pStyle w:val="TableParagraph"/>
              <w:spacing w:line="268" w:lineRule="exact"/>
              <w:ind w:left="107"/>
              <w:rPr>
                <w:sz w:val="24"/>
              </w:rPr>
            </w:pPr>
            <w:r>
              <w:rPr>
                <w:spacing w:val="-5"/>
                <w:sz w:val="24"/>
              </w:rPr>
              <w:t>21.</w:t>
            </w:r>
          </w:p>
        </w:tc>
        <w:tc>
          <w:tcPr>
            <w:tcW w:w="2449" w:type="dxa"/>
          </w:tcPr>
          <w:p>
            <w:pPr>
              <w:pStyle w:val="TableParagraph"/>
              <w:ind w:left="107" w:right="654"/>
              <w:rPr>
                <w:sz w:val="24"/>
              </w:rPr>
            </w:pPr>
            <w:r>
              <w:rPr>
                <w:sz w:val="24"/>
              </w:rPr>
              <w:t>Azuguama</w:t>
            </w:r>
            <w:r>
              <w:rPr>
                <w:spacing w:val="-15"/>
                <w:sz w:val="24"/>
              </w:rPr>
              <w:t> </w:t>
            </w:r>
            <w:r>
              <w:rPr>
                <w:sz w:val="24"/>
              </w:rPr>
              <w:t>Creek </w:t>
            </w:r>
            <w:r>
              <w:rPr>
                <w:spacing w:val="-2"/>
                <w:sz w:val="24"/>
              </w:rPr>
              <w:t>Azazwuama</w:t>
            </w:r>
          </w:p>
        </w:tc>
        <w:tc>
          <w:tcPr>
            <w:tcW w:w="1801" w:type="dxa"/>
          </w:tcPr>
          <w:p>
            <w:pPr>
              <w:pStyle w:val="TableParagraph"/>
              <w:spacing w:line="268" w:lineRule="exact"/>
              <w:ind w:left="107"/>
              <w:rPr>
                <w:sz w:val="24"/>
              </w:rPr>
            </w:pPr>
            <w:r>
              <w:rPr>
                <w:spacing w:val="-2"/>
                <w:sz w:val="24"/>
              </w:rPr>
              <w:t>Commander</w:t>
            </w:r>
          </w:p>
          <w:p>
            <w:pPr>
              <w:pStyle w:val="TableParagraph"/>
              <w:spacing w:line="270" w:lineRule="atLeast"/>
              <w:ind w:left="107" w:right="179"/>
              <w:rPr>
                <w:sz w:val="24"/>
              </w:rPr>
            </w:pPr>
            <w:r>
              <w:rPr>
                <w:sz w:val="24"/>
              </w:rPr>
              <w:t>Jackson</w:t>
            </w:r>
            <w:r>
              <w:rPr>
                <w:spacing w:val="-15"/>
                <w:sz w:val="24"/>
              </w:rPr>
              <w:t> </w:t>
            </w:r>
            <w:r>
              <w:rPr>
                <w:sz w:val="24"/>
              </w:rPr>
              <w:t>(young shall Grow)</w:t>
            </w:r>
          </w:p>
        </w:tc>
        <w:tc>
          <w:tcPr>
            <w:tcW w:w="1441" w:type="dxa"/>
          </w:tcPr>
          <w:p>
            <w:pPr>
              <w:pStyle w:val="TableParagraph"/>
              <w:ind w:left="106" w:right="559"/>
              <w:rPr>
                <w:sz w:val="24"/>
              </w:rPr>
            </w:pPr>
            <w:r>
              <w:rPr>
                <w:spacing w:val="-2"/>
                <w:sz w:val="24"/>
              </w:rPr>
              <w:t>Bayelsa State</w:t>
            </w:r>
          </w:p>
        </w:tc>
        <w:tc>
          <w:tcPr>
            <w:tcW w:w="1442" w:type="dxa"/>
          </w:tcPr>
          <w:p>
            <w:pPr>
              <w:pStyle w:val="TableParagraph"/>
              <w:rPr>
                <w:sz w:val="24"/>
              </w:rPr>
            </w:pPr>
          </w:p>
        </w:tc>
        <w:tc>
          <w:tcPr>
            <w:tcW w:w="1441" w:type="dxa"/>
          </w:tcPr>
          <w:p>
            <w:pPr>
              <w:pStyle w:val="TableParagraph"/>
              <w:spacing w:line="268" w:lineRule="exact"/>
              <w:ind w:left="104"/>
              <w:rPr>
                <w:sz w:val="24"/>
              </w:rPr>
            </w:pPr>
            <w:r>
              <w:rPr>
                <w:sz w:val="24"/>
              </w:rPr>
              <w:t>Camp</w:t>
            </w:r>
            <w:r>
              <w:rPr>
                <w:spacing w:val="-1"/>
                <w:sz w:val="24"/>
              </w:rPr>
              <w:t> </w:t>
            </w:r>
            <w:r>
              <w:rPr>
                <w:spacing w:val="-10"/>
                <w:sz w:val="24"/>
              </w:rPr>
              <w:t>5</w:t>
            </w:r>
          </w:p>
        </w:tc>
      </w:tr>
      <w:tr>
        <w:trPr>
          <w:trHeight w:val="551" w:hRule="atLeast"/>
        </w:trPr>
        <w:tc>
          <w:tcPr>
            <w:tcW w:w="720" w:type="dxa"/>
          </w:tcPr>
          <w:p>
            <w:pPr>
              <w:pStyle w:val="TableParagraph"/>
              <w:spacing w:line="268" w:lineRule="exact"/>
              <w:ind w:left="107"/>
              <w:rPr>
                <w:sz w:val="24"/>
              </w:rPr>
            </w:pPr>
            <w:r>
              <w:rPr>
                <w:spacing w:val="-5"/>
                <w:sz w:val="24"/>
              </w:rPr>
              <w:t>22.</w:t>
            </w:r>
          </w:p>
        </w:tc>
        <w:tc>
          <w:tcPr>
            <w:tcW w:w="2449" w:type="dxa"/>
          </w:tcPr>
          <w:p>
            <w:pPr>
              <w:pStyle w:val="TableParagraph"/>
              <w:spacing w:line="268" w:lineRule="exact"/>
              <w:ind w:left="107"/>
              <w:rPr>
                <w:sz w:val="24"/>
              </w:rPr>
            </w:pPr>
            <w:r>
              <w:rPr>
                <w:sz w:val="24"/>
              </w:rPr>
              <w:t>Ekula</w:t>
            </w:r>
            <w:r>
              <w:rPr>
                <w:spacing w:val="1"/>
                <w:sz w:val="24"/>
              </w:rPr>
              <w:t> </w:t>
            </w:r>
            <w:r>
              <w:rPr>
                <w:spacing w:val="-5"/>
                <w:sz w:val="24"/>
              </w:rPr>
              <w:t>II</w:t>
            </w:r>
          </w:p>
        </w:tc>
        <w:tc>
          <w:tcPr>
            <w:tcW w:w="1801" w:type="dxa"/>
          </w:tcPr>
          <w:p>
            <w:pPr>
              <w:pStyle w:val="TableParagraph"/>
              <w:spacing w:line="268" w:lineRule="exact"/>
              <w:ind w:left="107"/>
              <w:rPr>
                <w:sz w:val="24"/>
              </w:rPr>
            </w:pPr>
            <w:r>
              <w:rPr>
                <w:spacing w:val="-4"/>
                <w:sz w:val="24"/>
              </w:rPr>
              <w:t>Afro</w:t>
            </w:r>
          </w:p>
        </w:tc>
        <w:tc>
          <w:tcPr>
            <w:tcW w:w="1441" w:type="dxa"/>
          </w:tcPr>
          <w:p>
            <w:pPr>
              <w:pStyle w:val="TableParagraph"/>
              <w:spacing w:line="268" w:lineRule="exact"/>
              <w:ind w:left="106"/>
              <w:rPr>
                <w:sz w:val="24"/>
              </w:rPr>
            </w:pPr>
            <w:r>
              <w:rPr>
                <w:spacing w:val="-2"/>
                <w:sz w:val="24"/>
              </w:rPr>
              <w:t>Bayelsa</w:t>
            </w:r>
          </w:p>
          <w:p>
            <w:pPr>
              <w:pStyle w:val="TableParagraph"/>
              <w:spacing w:line="264" w:lineRule="exact"/>
              <w:ind w:left="106"/>
              <w:rPr>
                <w:sz w:val="24"/>
              </w:rPr>
            </w:pPr>
            <w:r>
              <w:rPr>
                <w:spacing w:val="-2"/>
                <w:sz w:val="24"/>
              </w:rPr>
              <w:t>State</w:t>
            </w:r>
          </w:p>
        </w:tc>
        <w:tc>
          <w:tcPr>
            <w:tcW w:w="1442" w:type="dxa"/>
          </w:tcPr>
          <w:p>
            <w:pPr>
              <w:pStyle w:val="TableParagraph"/>
              <w:rPr>
                <w:sz w:val="24"/>
              </w:rPr>
            </w:pPr>
          </w:p>
        </w:tc>
        <w:tc>
          <w:tcPr>
            <w:tcW w:w="1441" w:type="dxa"/>
          </w:tcPr>
          <w:p>
            <w:pPr>
              <w:pStyle w:val="TableParagraph"/>
              <w:rPr>
                <w:sz w:val="24"/>
              </w:rPr>
            </w:pPr>
          </w:p>
        </w:tc>
      </w:tr>
      <w:tr>
        <w:trPr>
          <w:trHeight w:val="551" w:hRule="atLeast"/>
        </w:trPr>
        <w:tc>
          <w:tcPr>
            <w:tcW w:w="720" w:type="dxa"/>
          </w:tcPr>
          <w:p>
            <w:pPr>
              <w:pStyle w:val="TableParagraph"/>
              <w:spacing w:line="268" w:lineRule="exact"/>
              <w:ind w:left="107"/>
              <w:rPr>
                <w:sz w:val="24"/>
              </w:rPr>
            </w:pPr>
            <w:r>
              <w:rPr>
                <w:spacing w:val="-5"/>
                <w:sz w:val="24"/>
              </w:rPr>
              <w:t>23.</w:t>
            </w:r>
          </w:p>
        </w:tc>
        <w:tc>
          <w:tcPr>
            <w:tcW w:w="2449" w:type="dxa"/>
          </w:tcPr>
          <w:p>
            <w:pPr>
              <w:pStyle w:val="TableParagraph"/>
              <w:spacing w:line="268" w:lineRule="exact"/>
              <w:ind w:left="107"/>
              <w:rPr>
                <w:sz w:val="24"/>
              </w:rPr>
            </w:pPr>
            <w:r>
              <w:rPr>
                <w:sz w:val="24"/>
              </w:rPr>
              <w:t>Ezetu</w:t>
            </w:r>
            <w:r>
              <w:rPr>
                <w:spacing w:val="-1"/>
                <w:sz w:val="24"/>
              </w:rPr>
              <w:t> </w:t>
            </w:r>
            <w:r>
              <w:rPr>
                <w:sz w:val="24"/>
              </w:rPr>
              <w:t>Camp </w:t>
            </w:r>
            <w:r>
              <w:rPr>
                <w:spacing w:val="-10"/>
                <w:sz w:val="24"/>
              </w:rPr>
              <w:t>2</w:t>
            </w:r>
          </w:p>
        </w:tc>
        <w:tc>
          <w:tcPr>
            <w:tcW w:w="1801" w:type="dxa"/>
          </w:tcPr>
          <w:p>
            <w:pPr>
              <w:pStyle w:val="TableParagraph"/>
              <w:spacing w:line="268" w:lineRule="exact"/>
              <w:ind w:left="107"/>
              <w:rPr>
                <w:sz w:val="24"/>
              </w:rPr>
            </w:pPr>
            <w:r>
              <w:rPr>
                <w:sz w:val="24"/>
              </w:rPr>
              <w:t>Boyloaf</w:t>
            </w:r>
            <w:r>
              <w:rPr>
                <w:spacing w:val="-5"/>
                <w:sz w:val="24"/>
              </w:rPr>
              <w:t> </w:t>
            </w:r>
            <w:r>
              <w:rPr>
                <w:spacing w:val="-2"/>
                <w:sz w:val="24"/>
              </w:rPr>
              <w:t>(Ezetu)</w:t>
            </w:r>
          </w:p>
        </w:tc>
        <w:tc>
          <w:tcPr>
            <w:tcW w:w="1441" w:type="dxa"/>
          </w:tcPr>
          <w:p>
            <w:pPr>
              <w:pStyle w:val="TableParagraph"/>
              <w:spacing w:line="268" w:lineRule="exact"/>
              <w:ind w:left="106"/>
              <w:rPr>
                <w:sz w:val="24"/>
              </w:rPr>
            </w:pPr>
            <w:r>
              <w:rPr>
                <w:spacing w:val="-2"/>
                <w:sz w:val="24"/>
              </w:rPr>
              <w:t>Bayelsa</w:t>
            </w:r>
          </w:p>
          <w:p>
            <w:pPr>
              <w:pStyle w:val="TableParagraph"/>
              <w:spacing w:line="264" w:lineRule="exact"/>
              <w:ind w:left="106"/>
              <w:rPr>
                <w:sz w:val="24"/>
              </w:rPr>
            </w:pPr>
            <w:r>
              <w:rPr>
                <w:spacing w:val="-2"/>
                <w:sz w:val="24"/>
              </w:rPr>
              <w:t>State</w:t>
            </w:r>
          </w:p>
        </w:tc>
        <w:tc>
          <w:tcPr>
            <w:tcW w:w="1442" w:type="dxa"/>
          </w:tcPr>
          <w:p>
            <w:pPr>
              <w:pStyle w:val="TableParagraph"/>
              <w:rPr>
                <w:sz w:val="24"/>
              </w:rPr>
            </w:pPr>
          </w:p>
        </w:tc>
        <w:tc>
          <w:tcPr>
            <w:tcW w:w="1441" w:type="dxa"/>
          </w:tcPr>
          <w:p>
            <w:pPr>
              <w:pStyle w:val="TableParagraph"/>
              <w:rPr>
                <w:sz w:val="24"/>
              </w:rPr>
            </w:pPr>
          </w:p>
        </w:tc>
      </w:tr>
      <w:tr>
        <w:trPr>
          <w:trHeight w:val="551" w:hRule="atLeast"/>
        </w:trPr>
        <w:tc>
          <w:tcPr>
            <w:tcW w:w="720" w:type="dxa"/>
          </w:tcPr>
          <w:p>
            <w:pPr>
              <w:pStyle w:val="TableParagraph"/>
              <w:spacing w:line="268" w:lineRule="exact"/>
              <w:ind w:left="107"/>
              <w:rPr>
                <w:sz w:val="24"/>
              </w:rPr>
            </w:pPr>
            <w:r>
              <w:rPr>
                <w:spacing w:val="-5"/>
                <w:sz w:val="24"/>
              </w:rPr>
              <w:t>24.</w:t>
            </w:r>
          </w:p>
        </w:tc>
        <w:tc>
          <w:tcPr>
            <w:tcW w:w="2449" w:type="dxa"/>
          </w:tcPr>
          <w:p>
            <w:pPr>
              <w:pStyle w:val="TableParagraph"/>
              <w:spacing w:line="268" w:lineRule="exact"/>
              <w:ind w:left="107"/>
              <w:rPr>
                <w:sz w:val="24"/>
              </w:rPr>
            </w:pPr>
            <w:r>
              <w:rPr>
                <w:sz w:val="24"/>
              </w:rPr>
              <w:t>Ezetu</w:t>
            </w:r>
            <w:r>
              <w:rPr>
                <w:spacing w:val="-1"/>
                <w:sz w:val="24"/>
              </w:rPr>
              <w:t> </w:t>
            </w:r>
            <w:r>
              <w:rPr>
                <w:sz w:val="24"/>
              </w:rPr>
              <w:t>Camp</w:t>
            </w:r>
            <w:r>
              <w:rPr>
                <w:spacing w:val="-1"/>
                <w:sz w:val="24"/>
              </w:rPr>
              <w:t> </w:t>
            </w:r>
            <w:r>
              <w:rPr>
                <w:spacing w:val="-10"/>
                <w:sz w:val="24"/>
              </w:rPr>
              <w:t>3</w:t>
            </w:r>
          </w:p>
        </w:tc>
        <w:tc>
          <w:tcPr>
            <w:tcW w:w="1801" w:type="dxa"/>
          </w:tcPr>
          <w:p>
            <w:pPr>
              <w:pStyle w:val="TableParagraph"/>
              <w:spacing w:line="268" w:lineRule="exact"/>
              <w:ind w:left="107"/>
              <w:rPr>
                <w:sz w:val="24"/>
              </w:rPr>
            </w:pPr>
            <w:r>
              <w:rPr>
                <w:sz w:val="24"/>
              </w:rPr>
              <w:t>Boyloaf</w:t>
            </w:r>
            <w:r>
              <w:rPr>
                <w:spacing w:val="-5"/>
                <w:sz w:val="24"/>
              </w:rPr>
              <w:t> </w:t>
            </w:r>
            <w:r>
              <w:rPr>
                <w:spacing w:val="-2"/>
                <w:sz w:val="24"/>
              </w:rPr>
              <w:t>(Ezetu)</w:t>
            </w:r>
          </w:p>
        </w:tc>
        <w:tc>
          <w:tcPr>
            <w:tcW w:w="1441" w:type="dxa"/>
          </w:tcPr>
          <w:p>
            <w:pPr>
              <w:pStyle w:val="TableParagraph"/>
              <w:spacing w:line="268" w:lineRule="exact"/>
              <w:ind w:left="106"/>
              <w:rPr>
                <w:sz w:val="24"/>
              </w:rPr>
            </w:pPr>
            <w:r>
              <w:rPr>
                <w:spacing w:val="-2"/>
                <w:sz w:val="24"/>
              </w:rPr>
              <w:t>Bayelsa</w:t>
            </w:r>
          </w:p>
          <w:p>
            <w:pPr>
              <w:pStyle w:val="TableParagraph"/>
              <w:spacing w:line="264" w:lineRule="exact"/>
              <w:ind w:left="106"/>
              <w:rPr>
                <w:sz w:val="24"/>
              </w:rPr>
            </w:pPr>
            <w:r>
              <w:rPr>
                <w:spacing w:val="-2"/>
                <w:sz w:val="24"/>
              </w:rPr>
              <w:t>State</w:t>
            </w:r>
          </w:p>
        </w:tc>
        <w:tc>
          <w:tcPr>
            <w:tcW w:w="1442" w:type="dxa"/>
          </w:tcPr>
          <w:p>
            <w:pPr>
              <w:pStyle w:val="TableParagraph"/>
              <w:rPr>
                <w:sz w:val="24"/>
              </w:rPr>
            </w:pPr>
          </w:p>
        </w:tc>
        <w:tc>
          <w:tcPr>
            <w:tcW w:w="1441" w:type="dxa"/>
          </w:tcPr>
          <w:p>
            <w:pPr>
              <w:pStyle w:val="TableParagraph"/>
              <w:rPr>
                <w:sz w:val="24"/>
              </w:rPr>
            </w:pPr>
          </w:p>
        </w:tc>
      </w:tr>
      <w:tr>
        <w:trPr>
          <w:trHeight w:val="551" w:hRule="atLeast"/>
        </w:trPr>
        <w:tc>
          <w:tcPr>
            <w:tcW w:w="720" w:type="dxa"/>
          </w:tcPr>
          <w:p>
            <w:pPr>
              <w:pStyle w:val="TableParagraph"/>
              <w:spacing w:line="268" w:lineRule="exact"/>
              <w:ind w:left="107"/>
              <w:rPr>
                <w:sz w:val="24"/>
              </w:rPr>
            </w:pPr>
            <w:r>
              <w:rPr>
                <w:spacing w:val="-5"/>
                <w:sz w:val="24"/>
              </w:rPr>
              <w:t>25.</w:t>
            </w:r>
          </w:p>
        </w:tc>
        <w:tc>
          <w:tcPr>
            <w:tcW w:w="2449" w:type="dxa"/>
          </w:tcPr>
          <w:p>
            <w:pPr>
              <w:pStyle w:val="TableParagraph"/>
              <w:spacing w:line="268" w:lineRule="exact"/>
              <w:ind w:left="107"/>
              <w:rPr>
                <w:sz w:val="24"/>
              </w:rPr>
            </w:pPr>
            <w:r>
              <w:rPr>
                <w:sz w:val="24"/>
              </w:rPr>
              <w:t>Eririmobou</w:t>
            </w:r>
            <w:r>
              <w:rPr>
                <w:spacing w:val="-3"/>
                <w:sz w:val="24"/>
              </w:rPr>
              <w:t> </w:t>
            </w:r>
            <w:r>
              <w:rPr>
                <w:spacing w:val="-4"/>
                <w:sz w:val="24"/>
              </w:rPr>
              <w:t>Camp-</w:t>
            </w:r>
          </w:p>
          <w:p>
            <w:pPr>
              <w:pStyle w:val="TableParagraph"/>
              <w:spacing w:line="264" w:lineRule="exact"/>
              <w:ind w:left="107"/>
              <w:rPr>
                <w:sz w:val="24"/>
              </w:rPr>
            </w:pPr>
            <w:r>
              <w:rPr>
                <w:spacing w:val="-2"/>
                <w:sz w:val="24"/>
              </w:rPr>
              <w:t>Ekebiri</w:t>
            </w:r>
          </w:p>
        </w:tc>
        <w:tc>
          <w:tcPr>
            <w:tcW w:w="1801" w:type="dxa"/>
          </w:tcPr>
          <w:p>
            <w:pPr>
              <w:pStyle w:val="TableParagraph"/>
              <w:spacing w:line="268" w:lineRule="exact"/>
              <w:ind w:left="107"/>
              <w:rPr>
                <w:sz w:val="24"/>
              </w:rPr>
            </w:pPr>
            <w:r>
              <w:rPr>
                <w:spacing w:val="-2"/>
                <w:sz w:val="24"/>
              </w:rPr>
              <w:t>Joshua</w:t>
            </w:r>
          </w:p>
          <w:p>
            <w:pPr>
              <w:pStyle w:val="TableParagraph"/>
              <w:spacing w:line="264" w:lineRule="exact"/>
              <w:ind w:left="107"/>
              <w:rPr>
                <w:sz w:val="24"/>
              </w:rPr>
            </w:pPr>
            <w:r>
              <w:rPr>
                <w:spacing w:val="-2"/>
                <w:sz w:val="24"/>
              </w:rPr>
              <w:t>Machaiva</w:t>
            </w:r>
          </w:p>
        </w:tc>
        <w:tc>
          <w:tcPr>
            <w:tcW w:w="1441" w:type="dxa"/>
          </w:tcPr>
          <w:p>
            <w:pPr>
              <w:pStyle w:val="TableParagraph"/>
              <w:spacing w:line="268" w:lineRule="exact"/>
              <w:ind w:left="106"/>
              <w:rPr>
                <w:sz w:val="24"/>
              </w:rPr>
            </w:pPr>
            <w:r>
              <w:rPr>
                <w:spacing w:val="-2"/>
                <w:sz w:val="24"/>
              </w:rPr>
              <w:t>Bayelsa</w:t>
            </w:r>
          </w:p>
          <w:p>
            <w:pPr>
              <w:pStyle w:val="TableParagraph"/>
              <w:spacing w:line="264" w:lineRule="exact"/>
              <w:ind w:left="106"/>
              <w:rPr>
                <w:sz w:val="24"/>
              </w:rPr>
            </w:pPr>
            <w:r>
              <w:rPr>
                <w:spacing w:val="-2"/>
                <w:sz w:val="24"/>
              </w:rPr>
              <w:t>State</w:t>
            </w:r>
          </w:p>
        </w:tc>
        <w:tc>
          <w:tcPr>
            <w:tcW w:w="1442" w:type="dxa"/>
          </w:tcPr>
          <w:p>
            <w:pPr>
              <w:pStyle w:val="TableParagraph"/>
              <w:rPr>
                <w:sz w:val="24"/>
              </w:rPr>
            </w:pPr>
          </w:p>
        </w:tc>
        <w:tc>
          <w:tcPr>
            <w:tcW w:w="1441" w:type="dxa"/>
          </w:tcPr>
          <w:p>
            <w:pPr>
              <w:pStyle w:val="TableParagraph"/>
              <w:rPr>
                <w:sz w:val="24"/>
              </w:rPr>
            </w:pPr>
          </w:p>
        </w:tc>
      </w:tr>
      <w:tr>
        <w:trPr>
          <w:trHeight w:val="551" w:hRule="atLeast"/>
        </w:trPr>
        <w:tc>
          <w:tcPr>
            <w:tcW w:w="720" w:type="dxa"/>
          </w:tcPr>
          <w:p>
            <w:pPr>
              <w:pStyle w:val="TableParagraph"/>
              <w:spacing w:line="268" w:lineRule="exact"/>
              <w:ind w:left="107"/>
              <w:rPr>
                <w:sz w:val="24"/>
              </w:rPr>
            </w:pPr>
            <w:r>
              <w:rPr>
                <w:spacing w:val="-5"/>
                <w:sz w:val="24"/>
              </w:rPr>
              <w:t>26.</w:t>
            </w:r>
          </w:p>
        </w:tc>
        <w:tc>
          <w:tcPr>
            <w:tcW w:w="2449" w:type="dxa"/>
          </w:tcPr>
          <w:p>
            <w:pPr>
              <w:pStyle w:val="TableParagraph"/>
              <w:spacing w:line="268" w:lineRule="exact"/>
              <w:ind w:left="107"/>
              <w:rPr>
                <w:sz w:val="24"/>
              </w:rPr>
            </w:pPr>
            <w:r>
              <w:rPr>
                <w:sz w:val="24"/>
              </w:rPr>
              <w:t>Pastor</w:t>
            </w:r>
            <w:r>
              <w:rPr>
                <w:spacing w:val="-2"/>
                <w:sz w:val="24"/>
              </w:rPr>
              <w:t> </w:t>
            </w:r>
            <w:r>
              <w:rPr>
                <w:sz w:val="24"/>
              </w:rPr>
              <w:t>Reuben</w:t>
            </w:r>
            <w:r>
              <w:rPr>
                <w:spacing w:val="-1"/>
                <w:sz w:val="24"/>
              </w:rPr>
              <w:t> </w:t>
            </w:r>
            <w:r>
              <w:rPr>
                <w:spacing w:val="-4"/>
                <w:sz w:val="24"/>
              </w:rPr>
              <w:t>Camp</w:t>
            </w:r>
          </w:p>
          <w:p>
            <w:pPr>
              <w:pStyle w:val="TableParagraph"/>
              <w:spacing w:line="264" w:lineRule="exact"/>
              <w:ind w:left="107"/>
              <w:rPr>
                <w:sz w:val="24"/>
              </w:rPr>
            </w:pPr>
            <w:r>
              <w:rPr>
                <w:sz w:val="24"/>
              </w:rPr>
              <w:t>at</w:t>
            </w:r>
            <w:r>
              <w:rPr>
                <w:spacing w:val="-1"/>
                <w:sz w:val="24"/>
              </w:rPr>
              <w:t> </w:t>
            </w:r>
            <w:r>
              <w:rPr>
                <w:sz w:val="24"/>
              </w:rPr>
              <w:t>Koluama</w:t>
            </w:r>
            <w:r>
              <w:rPr>
                <w:spacing w:val="-1"/>
                <w:sz w:val="24"/>
              </w:rPr>
              <w:t> </w:t>
            </w:r>
            <w:r>
              <w:rPr>
                <w:spacing w:val="-5"/>
                <w:sz w:val="24"/>
              </w:rPr>
              <w:t>1.</w:t>
            </w:r>
          </w:p>
        </w:tc>
        <w:tc>
          <w:tcPr>
            <w:tcW w:w="1801" w:type="dxa"/>
          </w:tcPr>
          <w:p>
            <w:pPr>
              <w:pStyle w:val="TableParagraph"/>
              <w:spacing w:line="268" w:lineRule="exact"/>
              <w:ind w:left="107"/>
              <w:rPr>
                <w:sz w:val="24"/>
              </w:rPr>
            </w:pPr>
            <w:r>
              <w:rPr>
                <w:sz w:val="24"/>
              </w:rPr>
              <w:t>Pastor</w:t>
            </w:r>
            <w:r>
              <w:rPr>
                <w:spacing w:val="-1"/>
                <w:sz w:val="24"/>
              </w:rPr>
              <w:t> </w:t>
            </w:r>
            <w:r>
              <w:rPr>
                <w:spacing w:val="-2"/>
                <w:sz w:val="24"/>
              </w:rPr>
              <w:t>Reuben</w:t>
            </w:r>
          </w:p>
        </w:tc>
        <w:tc>
          <w:tcPr>
            <w:tcW w:w="1441" w:type="dxa"/>
          </w:tcPr>
          <w:p>
            <w:pPr>
              <w:pStyle w:val="TableParagraph"/>
              <w:spacing w:line="268" w:lineRule="exact"/>
              <w:ind w:left="106"/>
              <w:rPr>
                <w:sz w:val="24"/>
              </w:rPr>
            </w:pPr>
            <w:r>
              <w:rPr>
                <w:spacing w:val="-2"/>
                <w:sz w:val="24"/>
              </w:rPr>
              <w:t>Bayelsa</w:t>
            </w:r>
          </w:p>
          <w:p>
            <w:pPr>
              <w:pStyle w:val="TableParagraph"/>
              <w:spacing w:line="264" w:lineRule="exact"/>
              <w:ind w:left="106"/>
              <w:rPr>
                <w:sz w:val="24"/>
              </w:rPr>
            </w:pPr>
            <w:r>
              <w:rPr>
                <w:spacing w:val="-2"/>
                <w:sz w:val="24"/>
              </w:rPr>
              <w:t>State</w:t>
            </w:r>
          </w:p>
        </w:tc>
        <w:tc>
          <w:tcPr>
            <w:tcW w:w="1442" w:type="dxa"/>
          </w:tcPr>
          <w:p>
            <w:pPr>
              <w:pStyle w:val="TableParagraph"/>
              <w:rPr>
                <w:sz w:val="24"/>
              </w:rPr>
            </w:pPr>
          </w:p>
        </w:tc>
        <w:tc>
          <w:tcPr>
            <w:tcW w:w="1441" w:type="dxa"/>
          </w:tcPr>
          <w:p>
            <w:pPr>
              <w:pStyle w:val="TableParagraph"/>
              <w:rPr>
                <w:sz w:val="24"/>
              </w:rPr>
            </w:pPr>
          </w:p>
        </w:tc>
      </w:tr>
      <w:tr>
        <w:trPr>
          <w:trHeight w:val="554" w:hRule="atLeast"/>
        </w:trPr>
        <w:tc>
          <w:tcPr>
            <w:tcW w:w="720" w:type="dxa"/>
          </w:tcPr>
          <w:p>
            <w:pPr>
              <w:pStyle w:val="TableParagraph"/>
              <w:spacing w:line="270" w:lineRule="exact"/>
              <w:ind w:left="107"/>
              <w:rPr>
                <w:sz w:val="24"/>
              </w:rPr>
            </w:pPr>
            <w:r>
              <w:rPr>
                <w:spacing w:val="-5"/>
                <w:sz w:val="24"/>
              </w:rPr>
              <w:t>27.</w:t>
            </w:r>
          </w:p>
        </w:tc>
        <w:tc>
          <w:tcPr>
            <w:tcW w:w="2449" w:type="dxa"/>
          </w:tcPr>
          <w:p>
            <w:pPr>
              <w:pStyle w:val="TableParagraph"/>
              <w:spacing w:line="270" w:lineRule="exact"/>
              <w:ind w:left="107"/>
              <w:rPr>
                <w:sz w:val="24"/>
              </w:rPr>
            </w:pPr>
            <w:r>
              <w:rPr>
                <w:sz w:val="24"/>
              </w:rPr>
              <w:t>Marine</w:t>
            </w:r>
            <w:r>
              <w:rPr>
                <w:spacing w:val="-2"/>
                <w:sz w:val="24"/>
              </w:rPr>
              <w:t> </w:t>
            </w:r>
            <w:r>
              <w:rPr>
                <w:spacing w:val="-4"/>
                <w:sz w:val="24"/>
              </w:rPr>
              <w:t>Base</w:t>
            </w:r>
          </w:p>
          <w:p>
            <w:pPr>
              <w:pStyle w:val="TableParagraph"/>
              <w:spacing w:line="264" w:lineRule="exact"/>
              <w:ind w:left="107"/>
              <w:rPr>
                <w:sz w:val="24"/>
              </w:rPr>
            </w:pPr>
            <w:r>
              <w:rPr>
                <w:sz w:val="24"/>
              </w:rPr>
              <w:t>Diobu/Borokiri</w:t>
            </w:r>
            <w:r>
              <w:rPr>
                <w:spacing w:val="-5"/>
                <w:sz w:val="24"/>
              </w:rPr>
              <w:t> </w:t>
            </w:r>
            <w:r>
              <w:rPr>
                <w:spacing w:val="-4"/>
                <w:sz w:val="24"/>
              </w:rPr>
              <w:t>Camp</w:t>
            </w:r>
          </w:p>
        </w:tc>
        <w:tc>
          <w:tcPr>
            <w:tcW w:w="1801" w:type="dxa"/>
          </w:tcPr>
          <w:p>
            <w:pPr>
              <w:pStyle w:val="TableParagraph"/>
              <w:spacing w:line="270" w:lineRule="exact"/>
              <w:ind w:left="107"/>
              <w:rPr>
                <w:sz w:val="24"/>
              </w:rPr>
            </w:pPr>
            <w:r>
              <w:rPr>
                <w:spacing w:val="-2"/>
                <w:sz w:val="24"/>
              </w:rPr>
              <w:t>Sogboma/Farah</w:t>
            </w:r>
          </w:p>
          <w:p>
            <w:pPr>
              <w:pStyle w:val="TableParagraph"/>
              <w:spacing w:line="264" w:lineRule="exact"/>
              <w:ind w:left="107"/>
              <w:rPr>
                <w:sz w:val="24"/>
              </w:rPr>
            </w:pPr>
            <w:r>
              <w:rPr>
                <w:spacing w:val="-2"/>
                <w:sz w:val="24"/>
              </w:rPr>
              <w:t>Dagogo</w:t>
            </w:r>
          </w:p>
        </w:tc>
        <w:tc>
          <w:tcPr>
            <w:tcW w:w="1441" w:type="dxa"/>
          </w:tcPr>
          <w:p>
            <w:pPr>
              <w:pStyle w:val="TableParagraph"/>
              <w:spacing w:line="270" w:lineRule="exact"/>
              <w:ind w:left="106"/>
              <w:rPr>
                <w:sz w:val="24"/>
              </w:rPr>
            </w:pPr>
            <w:r>
              <w:rPr>
                <w:spacing w:val="-2"/>
                <w:sz w:val="24"/>
              </w:rPr>
              <w:t>Bayelsa</w:t>
            </w:r>
          </w:p>
          <w:p>
            <w:pPr>
              <w:pStyle w:val="TableParagraph"/>
              <w:spacing w:line="264" w:lineRule="exact"/>
              <w:ind w:left="106"/>
              <w:rPr>
                <w:sz w:val="24"/>
              </w:rPr>
            </w:pPr>
            <w:r>
              <w:rPr>
                <w:spacing w:val="-2"/>
                <w:sz w:val="24"/>
              </w:rPr>
              <w:t>State</w:t>
            </w:r>
          </w:p>
        </w:tc>
        <w:tc>
          <w:tcPr>
            <w:tcW w:w="1442" w:type="dxa"/>
          </w:tcPr>
          <w:p>
            <w:pPr>
              <w:pStyle w:val="TableParagraph"/>
              <w:rPr>
                <w:sz w:val="24"/>
              </w:rPr>
            </w:pPr>
          </w:p>
        </w:tc>
        <w:tc>
          <w:tcPr>
            <w:tcW w:w="1441" w:type="dxa"/>
          </w:tcPr>
          <w:p>
            <w:pPr>
              <w:pStyle w:val="TableParagraph"/>
              <w:rPr>
                <w:sz w:val="24"/>
              </w:rPr>
            </w:pPr>
          </w:p>
        </w:tc>
      </w:tr>
      <w:tr>
        <w:trPr>
          <w:trHeight w:val="551" w:hRule="atLeast"/>
        </w:trPr>
        <w:tc>
          <w:tcPr>
            <w:tcW w:w="720" w:type="dxa"/>
          </w:tcPr>
          <w:p>
            <w:pPr>
              <w:pStyle w:val="TableParagraph"/>
              <w:spacing w:line="268" w:lineRule="exact"/>
              <w:ind w:left="107"/>
              <w:rPr>
                <w:sz w:val="24"/>
              </w:rPr>
            </w:pPr>
            <w:r>
              <w:rPr>
                <w:spacing w:val="-5"/>
                <w:sz w:val="24"/>
              </w:rPr>
              <w:t>28.</w:t>
            </w:r>
          </w:p>
        </w:tc>
        <w:tc>
          <w:tcPr>
            <w:tcW w:w="2449" w:type="dxa"/>
          </w:tcPr>
          <w:p>
            <w:pPr>
              <w:pStyle w:val="TableParagraph"/>
              <w:spacing w:line="268" w:lineRule="exact"/>
              <w:ind w:left="107"/>
              <w:rPr>
                <w:sz w:val="24"/>
              </w:rPr>
            </w:pPr>
            <w:r>
              <w:rPr>
                <w:spacing w:val="-2"/>
                <w:sz w:val="24"/>
              </w:rPr>
              <w:t>Korokorosei</w:t>
            </w:r>
          </w:p>
        </w:tc>
        <w:tc>
          <w:tcPr>
            <w:tcW w:w="1801" w:type="dxa"/>
          </w:tcPr>
          <w:p>
            <w:pPr>
              <w:pStyle w:val="TableParagraph"/>
              <w:spacing w:line="268" w:lineRule="exact"/>
              <w:ind w:left="107"/>
              <w:rPr>
                <w:sz w:val="24"/>
              </w:rPr>
            </w:pPr>
            <w:r>
              <w:rPr>
                <w:sz w:val="24"/>
              </w:rPr>
              <w:t>Africa</w:t>
            </w:r>
            <w:r>
              <w:rPr>
                <w:spacing w:val="-7"/>
                <w:sz w:val="24"/>
              </w:rPr>
              <w:t> </w:t>
            </w:r>
            <w:r>
              <w:rPr>
                <w:spacing w:val="-4"/>
                <w:sz w:val="24"/>
              </w:rPr>
              <w:t>owei</w:t>
            </w:r>
          </w:p>
        </w:tc>
        <w:tc>
          <w:tcPr>
            <w:tcW w:w="1441" w:type="dxa"/>
          </w:tcPr>
          <w:p>
            <w:pPr>
              <w:pStyle w:val="TableParagraph"/>
              <w:spacing w:line="268" w:lineRule="exact"/>
              <w:ind w:left="106"/>
              <w:rPr>
                <w:sz w:val="24"/>
              </w:rPr>
            </w:pPr>
            <w:r>
              <w:rPr>
                <w:spacing w:val="-2"/>
                <w:sz w:val="24"/>
              </w:rPr>
              <w:t>Bayelsa</w:t>
            </w:r>
          </w:p>
          <w:p>
            <w:pPr>
              <w:pStyle w:val="TableParagraph"/>
              <w:spacing w:line="264" w:lineRule="exact"/>
              <w:ind w:left="106"/>
              <w:rPr>
                <w:sz w:val="24"/>
              </w:rPr>
            </w:pPr>
            <w:r>
              <w:rPr>
                <w:spacing w:val="-2"/>
                <w:sz w:val="24"/>
              </w:rPr>
              <w:t>State</w:t>
            </w:r>
          </w:p>
        </w:tc>
        <w:tc>
          <w:tcPr>
            <w:tcW w:w="1442" w:type="dxa"/>
          </w:tcPr>
          <w:p>
            <w:pPr>
              <w:pStyle w:val="TableParagraph"/>
              <w:rPr>
                <w:sz w:val="24"/>
              </w:rPr>
            </w:pPr>
          </w:p>
        </w:tc>
        <w:tc>
          <w:tcPr>
            <w:tcW w:w="1441" w:type="dxa"/>
          </w:tcPr>
          <w:p>
            <w:pPr>
              <w:pStyle w:val="TableParagraph"/>
              <w:rPr>
                <w:sz w:val="24"/>
              </w:rPr>
            </w:pPr>
          </w:p>
        </w:tc>
      </w:tr>
      <w:tr>
        <w:trPr>
          <w:trHeight w:val="551" w:hRule="atLeast"/>
        </w:trPr>
        <w:tc>
          <w:tcPr>
            <w:tcW w:w="720" w:type="dxa"/>
          </w:tcPr>
          <w:p>
            <w:pPr>
              <w:pStyle w:val="TableParagraph"/>
              <w:spacing w:line="268" w:lineRule="exact"/>
              <w:ind w:left="107"/>
              <w:rPr>
                <w:sz w:val="24"/>
              </w:rPr>
            </w:pPr>
            <w:r>
              <w:rPr>
                <w:spacing w:val="-5"/>
                <w:sz w:val="24"/>
              </w:rPr>
              <w:t>29.</w:t>
            </w:r>
          </w:p>
        </w:tc>
        <w:tc>
          <w:tcPr>
            <w:tcW w:w="2449" w:type="dxa"/>
          </w:tcPr>
          <w:p>
            <w:pPr>
              <w:pStyle w:val="TableParagraph"/>
              <w:spacing w:line="268" w:lineRule="exact"/>
              <w:ind w:left="107"/>
              <w:rPr>
                <w:sz w:val="24"/>
              </w:rPr>
            </w:pPr>
            <w:r>
              <w:rPr>
                <w:sz w:val="24"/>
              </w:rPr>
              <w:t>Olugbobiri,</w:t>
            </w:r>
            <w:r>
              <w:rPr>
                <w:spacing w:val="-3"/>
                <w:sz w:val="24"/>
              </w:rPr>
              <w:t> </w:t>
            </w:r>
            <w:r>
              <w:rPr>
                <w:spacing w:val="-2"/>
                <w:sz w:val="24"/>
              </w:rPr>
              <w:t>Southern</w:t>
            </w:r>
          </w:p>
          <w:p>
            <w:pPr>
              <w:pStyle w:val="TableParagraph"/>
              <w:spacing w:line="264" w:lineRule="exact"/>
              <w:ind w:left="107"/>
              <w:rPr>
                <w:sz w:val="24"/>
              </w:rPr>
            </w:pPr>
            <w:r>
              <w:rPr>
                <w:sz w:val="24"/>
              </w:rPr>
              <w:t>Ijaw</w:t>
            </w:r>
            <w:r>
              <w:rPr>
                <w:spacing w:val="-2"/>
                <w:sz w:val="24"/>
              </w:rPr>
              <w:t> </w:t>
            </w:r>
            <w:r>
              <w:rPr>
                <w:spacing w:val="-5"/>
                <w:sz w:val="24"/>
              </w:rPr>
              <w:t>LGA</w:t>
            </w:r>
          </w:p>
        </w:tc>
        <w:tc>
          <w:tcPr>
            <w:tcW w:w="1801" w:type="dxa"/>
          </w:tcPr>
          <w:p>
            <w:pPr>
              <w:pStyle w:val="TableParagraph"/>
              <w:spacing w:line="268" w:lineRule="exact"/>
              <w:ind w:left="107"/>
              <w:rPr>
                <w:sz w:val="24"/>
              </w:rPr>
            </w:pPr>
            <w:r>
              <w:rPr>
                <w:spacing w:val="-2"/>
                <w:sz w:val="24"/>
              </w:rPr>
              <w:t>Commander</w:t>
            </w:r>
          </w:p>
          <w:p>
            <w:pPr>
              <w:pStyle w:val="TableParagraph"/>
              <w:spacing w:line="264" w:lineRule="exact"/>
              <w:ind w:left="107"/>
              <w:rPr>
                <w:sz w:val="24"/>
              </w:rPr>
            </w:pPr>
            <w:r>
              <w:rPr>
                <w:spacing w:val="-2"/>
                <w:sz w:val="24"/>
              </w:rPr>
              <w:t>Africa</w:t>
            </w:r>
          </w:p>
        </w:tc>
        <w:tc>
          <w:tcPr>
            <w:tcW w:w="1441" w:type="dxa"/>
          </w:tcPr>
          <w:p>
            <w:pPr>
              <w:pStyle w:val="TableParagraph"/>
              <w:spacing w:line="268" w:lineRule="exact"/>
              <w:ind w:left="106"/>
              <w:rPr>
                <w:sz w:val="24"/>
              </w:rPr>
            </w:pPr>
            <w:r>
              <w:rPr>
                <w:spacing w:val="-2"/>
                <w:sz w:val="24"/>
              </w:rPr>
              <w:t>Bayelsa</w:t>
            </w:r>
          </w:p>
          <w:p>
            <w:pPr>
              <w:pStyle w:val="TableParagraph"/>
              <w:spacing w:line="264" w:lineRule="exact"/>
              <w:ind w:left="106"/>
              <w:rPr>
                <w:sz w:val="24"/>
              </w:rPr>
            </w:pPr>
            <w:r>
              <w:rPr>
                <w:spacing w:val="-2"/>
                <w:sz w:val="24"/>
              </w:rPr>
              <w:t>State</w:t>
            </w:r>
          </w:p>
        </w:tc>
        <w:tc>
          <w:tcPr>
            <w:tcW w:w="1442" w:type="dxa"/>
          </w:tcPr>
          <w:p>
            <w:pPr>
              <w:pStyle w:val="TableParagraph"/>
              <w:rPr>
                <w:sz w:val="24"/>
              </w:rPr>
            </w:pPr>
          </w:p>
        </w:tc>
        <w:tc>
          <w:tcPr>
            <w:tcW w:w="1441" w:type="dxa"/>
          </w:tcPr>
          <w:p>
            <w:pPr>
              <w:pStyle w:val="TableParagraph"/>
              <w:spacing w:line="268" w:lineRule="exact"/>
              <w:ind w:left="104"/>
              <w:rPr>
                <w:sz w:val="24"/>
              </w:rPr>
            </w:pPr>
            <w:r>
              <w:rPr>
                <w:spacing w:val="-2"/>
                <w:sz w:val="24"/>
              </w:rPr>
              <w:t>Africa</w:t>
            </w:r>
          </w:p>
          <w:p>
            <w:pPr>
              <w:pStyle w:val="TableParagraph"/>
              <w:spacing w:line="264" w:lineRule="exact"/>
              <w:ind w:left="104"/>
              <w:rPr>
                <w:sz w:val="24"/>
              </w:rPr>
            </w:pPr>
            <w:r>
              <w:rPr>
                <w:sz w:val="24"/>
              </w:rPr>
              <w:t>Camp</w:t>
            </w:r>
            <w:r>
              <w:rPr>
                <w:spacing w:val="-1"/>
                <w:sz w:val="24"/>
              </w:rPr>
              <w:t> </w:t>
            </w:r>
            <w:r>
              <w:rPr>
                <w:spacing w:val="-10"/>
                <w:sz w:val="24"/>
              </w:rPr>
              <w:t>2</w:t>
            </w:r>
          </w:p>
        </w:tc>
      </w:tr>
      <w:tr>
        <w:trPr>
          <w:trHeight w:val="551" w:hRule="atLeast"/>
        </w:trPr>
        <w:tc>
          <w:tcPr>
            <w:tcW w:w="720" w:type="dxa"/>
          </w:tcPr>
          <w:p>
            <w:pPr>
              <w:pStyle w:val="TableParagraph"/>
              <w:spacing w:line="268" w:lineRule="exact"/>
              <w:ind w:left="107"/>
              <w:rPr>
                <w:sz w:val="24"/>
              </w:rPr>
            </w:pPr>
            <w:r>
              <w:rPr>
                <w:spacing w:val="-5"/>
                <w:sz w:val="24"/>
              </w:rPr>
              <w:t>30.</w:t>
            </w:r>
          </w:p>
        </w:tc>
        <w:tc>
          <w:tcPr>
            <w:tcW w:w="2449" w:type="dxa"/>
          </w:tcPr>
          <w:p>
            <w:pPr>
              <w:pStyle w:val="TableParagraph"/>
              <w:rPr>
                <w:sz w:val="24"/>
              </w:rPr>
            </w:pPr>
          </w:p>
        </w:tc>
        <w:tc>
          <w:tcPr>
            <w:tcW w:w="1801" w:type="dxa"/>
          </w:tcPr>
          <w:p>
            <w:pPr>
              <w:pStyle w:val="TableParagraph"/>
              <w:spacing w:line="268" w:lineRule="exact"/>
              <w:ind w:left="107"/>
              <w:rPr>
                <w:sz w:val="24"/>
              </w:rPr>
            </w:pPr>
            <w:r>
              <w:rPr>
                <w:sz w:val="24"/>
              </w:rPr>
              <w:t>Albert</w:t>
            </w:r>
            <w:r>
              <w:rPr>
                <w:spacing w:val="-1"/>
                <w:sz w:val="24"/>
              </w:rPr>
              <w:t> </w:t>
            </w:r>
            <w:r>
              <w:rPr>
                <w:spacing w:val="-5"/>
                <w:sz w:val="24"/>
              </w:rPr>
              <w:t>Ebi</w:t>
            </w:r>
          </w:p>
        </w:tc>
        <w:tc>
          <w:tcPr>
            <w:tcW w:w="1441" w:type="dxa"/>
          </w:tcPr>
          <w:p>
            <w:pPr>
              <w:pStyle w:val="TableParagraph"/>
              <w:spacing w:line="268" w:lineRule="exact"/>
              <w:ind w:left="27" w:right="75"/>
              <w:jc w:val="center"/>
              <w:rPr>
                <w:sz w:val="24"/>
              </w:rPr>
            </w:pPr>
            <w:r>
              <w:rPr>
                <w:sz w:val="24"/>
              </w:rPr>
              <w:t>Rivers</w:t>
            </w:r>
            <w:r>
              <w:rPr>
                <w:spacing w:val="-2"/>
                <w:sz w:val="24"/>
              </w:rPr>
              <w:t> State</w:t>
            </w:r>
          </w:p>
        </w:tc>
        <w:tc>
          <w:tcPr>
            <w:tcW w:w="1442" w:type="dxa"/>
          </w:tcPr>
          <w:p>
            <w:pPr>
              <w:pStyle w:val="TableParagraph"/>
              <w:rPr>
                <w:sz w:val="24"/>
              </w:rPr>
            </w:pPr>
          </w:p>
        </w:tc>
        <w:tc>
          <w:tcPr>
            <w:tcW w:w="1441" w:type="dxa"/>
          </w:tcPr>
          <w:p>
            <w:pPr>
              <w:pStyle w:val="TableParagraph"/>
              <w:spacing w:line="268" w:lineRule="exact"/>
              <w:ind w:left="104"/>
              <w:rPr>
                <w:sz w:val="24"/>
              </w:rPr>
            </w:pPr>
            <w:r>
              <w:rPr>
                <w:sz w:val="24"/>
              </w:rPr>
              <w:t>Camp</w:t>
            </w:r>
            <w:r>
              <w:rPr>
                <w:spacing w:val="-1"/>
                <w:sz w:val="24"/>
              </w:rPr>
              <w:t> </w:t>
            </w:r>
            <w:r>
              <w:rPr>
                <w:spacing w:val="-5"/>
                <w:sz w:val="24"/>
              </w:rPr>
              <w:t>loc</w:t>
            </w:r>
          </w:p>
          <w:p>
            <w:pPr>
              <w:pStyle w:val="TableParagraph"/>
              <w:spacing w:line="264" w:lineRule="exact"/>
              <w:ind w:left="104"/>
              <w:rPr>
                <w:sz w:val="24"/>
              </w:rPr>
            </w:pPr>
            <w:r>
              <w:rPr>
                <w:spacing w:val="-2"/>
                <w:sz w:val="24"/>
              </w:rPr>
              <w:t>unknown</w:t>
            </w:r>
          </w:p>
        </w:tc>
      </w:tr>
      <w:tr>
        <w:trPr>
          <w:trHeight w:val="551" w:hRule="atLeast"/>
        </w:trPr>
        <w:tc>
          <w:tcPr>
            <w:tcW w:w="720" w:type="dxa"/>
          </w:tcPr>
          <w:p>
            <w:pPr>
              <w:pStyle w:val="TableParagraph"/>
              <w:spacing w:line="268" w:lineRule="exact"/>
              <w:ind w:left="107"/>
              <w:rPr>
                <w:sz w:val="24"/>
              </w:rPr>
            </w:pPr>
            <w:r>
              <w:rPr>
                <w:spacing w:val="-5"/>
                <w:sz w:val="24"/>
              </w:rPr>
              <w:t>31.</w:t>
            </w:r>
          </w:p>
        </w:tc>
        <w:tc>
          <w:tcPr>
            <w:tcW w:w="2449" w:type="dxa"/>
          </w:tcPr>
          <w:p>
            <w:pPr>
              <w:pStyle w:val="TableParagraph"/>
              <w:spacing w:line="268" w:lineRule="exact"/>
              <w:ind w:left="107"/>
              <w:rPr>
                <w:sz w:val="24"/>
              </w:rPr>
            </w:pPr>
            <w:r>
              <w:rPr>
                <w:spacing w:val="-2"/>
                <w:sz w:val="24"/>
              </w:rPr>
              <w:t>Kregani/Ogba/Egbema</w:t>
            </w:r>
          </w:p>
          <w:p>
            <w:pPr>
              <w:pStyle w:val="TableParagraph"/>
              <w:spacing w:line="264" w:lineRule="exact"/>
              <w:ind w:left="107"/>
              <w:rPr>
                <w:sz w:val="24"/>
              </w:rPr>
            </w:pPr>
            <w:r>
              <w:rPr>
                <w:sz w:val="24"/>
              </w:rPr>
              <w:t>Ndoni</w:t>
            </w:r>
            <w:r>
              <w:rPr>
                <w:spacing w:val="2"/>
                <w:sz w:val="24"/>
              </w:rPr>
              <w:t> </w:t>
            </w:r>
            <w:r>
              <w:rPr>
                <w:spacing w:val="-5"/>
                <w:sz w:val="24"/>
              </w:rPr>
              <w:t>LGA</w:t>
            </w:r>
          </w:p>
        </w:tc>
        <w:tc>
          <w:tcPr>
            <w:tcW w:w="1801" w:type="dxa"/>
          </w:tcPr>
          <w:p>
            <w:pPr>
              <w:pStyle w:val="TableParagraph"/>
              <w:spacing w:line="268" w:lineRule="exact"/>
              <w:ind w:left="107"/>
              <w:rPr>
                <w:sz w:val="24"/>
              </w:rPr>
            </w:pPr>
            <w:r>
              <w:rPr>
                <w:sz w:val="24"/>
              </w:rPr>
              <w:t>Mr </w:t>
            </w:r>
            <w:r>
              <w:rPr>
                <w:spacing w:val="-4"/>
                <w:sz w:val="24"/>
              </w:rPr>
              <w:t>Dike</w:t>
            </w:r>
          </w:p>
          <w:p>
            <w:pPr>
              <w:pStyle w:val="TableParagraph"/>
              <w:spacing w:line="264" w:lineRule="exact"/>
              <w:ind w:left="107"/>
              <w:rPr>
                <w:sz w:val="24"/>
              </w:rPr>
            </w:pPr>
            <w:r>
              <w:rPr>
                <w:spacing w:val="-2"/>
                <w:sz w:val="24"/>
              </w:rPr>
              <w:t>Elemenaya</w:t>
            </w:r>
          </w:p>
        </w:tc>
        <w:tc>
          <w:tcPr>
            <w:tcW w:w="1441" w:type="dxa"/>
          </w:tcPr>
          <w:p>
            <w:pPr>
              <w:pStyle w:val="TableParagraph"/>
              <w:spacing w:line="268" w:lineRule="exact"/>
              <w:ind w:left="27" w:right="75"/>
              <w:jc w:val="center"/>
              <w:rPr>
                <w:sz w:val="24"/>
              </w:rPr>
            </w:pPr>
            <w:r>
              <w:rPr>
                <w:sz w:val="24"/>
              </w:rPr>
              <w:t>Rivers</w:t>
            </w:r>
            <w:r>
              <w:rPr>
                <w:spacing w:val="-2"/>
                <w:sz w:val="24"/>
              </w:rPr>
              <w:t> State</w:t>
            </w:r>
          </w:p>
        </w:tc>
        <w:tc>
          <w:tcPr>
            <w:tcW w:w="1442" w:type="dxa"/>
          </w:tcPr>
          <w:p>
            <w:pPr>
              <w:pStyle w:val="TableParagraph"/>
              <w:rPr>
                <w:sz w:val="24"/>
              </w:rPr>
            </w:pPr>
          </w:p>
        </w:tc>
        <w:tc>
          <w:tcPr>
            <w:tcW w:w="1441" w:type="dxa"/>
          </w:tcPr>
          <w:p>
            <w:pPr>
              <w:pStyle w:val="TableParagraph"/>
              <w:rPr>
                <w:sz w:val="24"/>
              </w:rPr>
            </w:pPr>
          </w:p>
        </w:tc>
      </w:tr>
      <w:tr>
        <w:trPr>
          <w:trHeight w:val="1103" w:hRule="atLeast"/>
        </w:trPr>
        <w:tc>
          <w:tcPr>
            <w:tcW w:w="720" w:type="dxa"/>
          </w:tcPr>
          <w:p>
            <w:pPr>
              <w:pStyle w:val="TableParagraph"/>
              <w:spacing w:line="268" w:lineRule="exact"/>
              <w:ind w:left="107"/>
              <w:rPr>
                <w:sz w:val="24"/>
              </w:rPr>
            </w:pPr>
            <w:r>
              <w:rPr>
                <w:spacing w:val="-5"/>
                <w:sz w:val="24"/>
              </w:rPr>
              <w:t>32.</w:t>
            </w:r>
          </w:p>
        </w:tc>
        <w:tc>
          <w:tcPr>
            <w:tcW w:w="2449" w:type="dxa"/>
          </w:tcPr>
          <w:p>
            <w:pPr>
              <w:pStyle w:val="TableParagraph"/>
              <w:ind w:left="107"/>
              <w:rPr>
                <w:sz w:val="24"/>
              </w:rPr>
            </w:pPr>
            <w:r>
              <w:rPr>
                <w:sz w:val="24"/>
              </w:rPr>
              <w:t>Okochiri,</w:t>
            </w:r>
            <w:r>
              <w:rPr>
                <w:spacing w:val="-15"/>
                <w:sz w:val="24"/>
              </w:rPr>
              <w:t> </w:t>
            </w:r>
            <w:r>
              <w:rPr>
                <w:sz w:val="24"/>
              </w:rPr>
              <w:t>Okrika</w:t>
            </w:r>
            <w:r>
              <w:rPr>
                <w:spacing w:val="-15"/>
                <w:sz w:val="24"/>
              </w:rPr>
              <w:t> </w:t>
            </w:r>
            <w:r>
              <w:rPr>
                <w:sz w:val="24"/>
              </w:rPr>
              <w:t>LGA Ateke Tom‟s “Evil forest camp”</w:t>
            </w:r>
          </w:p>
        </w:tc>
        <w:tc>
          <w:tcPr>
            <w:tcW w:w="1801" w:type="dxa"/>
          </w:tcPr>
          <w:p>
            <w:pPr>
              <w:pStyle w:val="TableParagraph"/>
              <w:spacing w:line="268" w:lineRule="exact"/>
              <w:ind w:left="107"/>
              <w:rPr>
                <w:sz w:val="24"/>
              </w:rPr>
            </w:pPr>
            <w:r>
              <w:rPr>
                <w:sz w:val="24"/>
              </w:rPr>
              <w:t>Ateke</w:t>
            </w:r>
            <w:r>
              <w:rPr>
                <w:spacing w:val="-2"/>
                <w:sz w:val="24"/>
              </w:rPr>
              <w:t> </w:t>
            </w:r>
            <w:r>
              <w:rPr>
                <w:spacing w:val="-5"/>
                <w:sz w:val="24"/>
              </w:rPr>
              <w:t>Tom</w:t>
            </w:r>
          </w:p>
        </w:tc>
        <w:tc>
          <w:tcPr>
            <w:tcW w:w="1441" w:type="dxa"/>
          </w:tcPr>
          <w:p>
            <w:pPr>
              <w:pStyle w:val="TableParagraph"/>
              <w:spacing w:line="268" w:lineRule="exact"/>
              <w:ind w:left="27" w:right="75"/>
              <w:jc w:val="center"/>
              <w:rPr>
                <w:sz w:val="24"/>
              </w:rPr>
            </w:pPr>
            <w:r>
              <w:rPr>
                <w:sz w:val="24"/>
              </w:rPr>
              <w:t>Rivers</w:t>
            </w:r>
            <w:r>
              <w:rPr>
                <w:spacing w:val="-2"/>
                <w:sz w:val="24"/>
              </w:rPr>
              <w:t> State</w:t>
            </w:r>
          </w:p>
        </w:tc>
        <w:tc>
          <w:tcPr>
            <w:tcW w:w="1442" w:type="dxa"/>
          </w:tcPr>
          <w:p>
            <w:pPr>
              <w:pStyle w:val="TableParagraph"/>
              <w:rPr>
                <w:sz w:val="24"/>
              </w:rPr>
            </w:pPr>
          </w:p>
        </w:tc>
        <w:tc>
          <w:tcPr>
            <w:tcW w:w="1441" w:type="dxa"/>
          </w:tcPr>
          <w:p>
            <w:pPr>
              <w:pStyle w:val="TableParagraph"/>
              <w:ind w:left="104" w:right="142" w:firstLine="60"/>
              <w:rPr>
                <w:sz w:val="24"/>
              </w:rPr>
            </w:pPr>
            <w:r>
              <w:rPr>
                <w:spacing w:val="-4"/>
                <w:sz w:val="24"/>
              </w:rPr>
              <w:t>Camp </w:t>
            </w:r>
            <w:r>
              <w:rPr>
                <w:sz w:val="24"/>
              </w:rPr>
              <w:t>destroyed</w:t>
            </w:r>
            <w:r>
              <w:rPr>
                <w:spacing w:val="-15"/>
                <w:sz w:val="24"/>
              </w:rPr>
              <w:t> </w:t>
            </w:r>
            <w:r>
              <w:rPr>
                <w:sz w:val="24"/>
              </w:rPr>
              <w:t>in </w:t>
            </w:r>
            <w:r>
              <w:rPr>
                <w:spacing w:val="-2"/>
                <w:sz w:val="24"/>
              </w:rPr>
              <w:t>December</w:t>
            </w:r>
          </w:p>
          <w:p>
            <w:pPr>
              <w:pStyle w:val="TableParagraph"/>
              <w:spacing w:line="264" w:lineRule="exact"/>
              <w:ind w:left="104"/>
              <w:rPr>
                <w:sz w:val="24"/>
              </w:rPr>
            </w:pPr>
            <w:r>
              <w:rPr>
                <w:spacing w:val="-4"/>
                <w:sz w:val="24"/>
              </w:rPr>
              <w:t>2007</w:t>
            </w:r>
          </w:p>
        </w:tc>
      </w:tr>
      <w:tr>
        <w:trPr>
          <w:trHeight w:val="1104" w:hRule="atLeast"/>
        </w:trPr>
        <w:tc>
          <w:tcPr>
            <w:tcW w:w="720" w:type="dxa"/>
          </w:tcPr>
          <w:p>
            <w:pPr>
              <w:pStyle w:val="TableParagraph"/>
              <w:spacing w:line="268" w:lineRule="exact"/>
              <w:ind w:left="107"/>
              <w:rPr>
                <w:sz w:val="24"/>
              </w:rPr>
            </w:pPr>
            <w:r>
              <w:rPr>
                <w:spacing w:val="-5"/>
                <w:sz w:val="24"/>
              </w:rPr>
              <w:t>33.</w:t>
            </w:r>
          </w:p>
        </w:tc>
        <w:tc>
          <w:tcPr>
            <w:tcW w:w="2449" w:type="dxa"/>
          </w:tcPr>
          <w:p>
            <w:pPr>
              <w:pStyle w:val="TableParagraph"/>
              <w:ind w:left="107"/>
              <w:rPr>
                <w:sz w:val="24"/>
              </w:rPr>
            </w:pPr>
            <w:r>
              <w:rPr>
                <w:sz w:val="24"/>
              </w:rPr>
              <w:t>Abonema,</w:t>
            </w:r>
            <w:r>
              <w:rPr>
                <w:spacing w:val="20"/>
                <w:sz w:val="24"/>
              </w:rPr>
              <w:t> </w:t>
            </w:r>
            <w:r>
              <w:rPr>
                <w:sz w:val="24"/>
              </w:rPr>
              <w:t>Akukutoru LGA (Egberinpapa militant group)</w:t>
            </w:r>
          </w:p>
        </w:tc>
        <w:tc>
          <w:tcPr>
            <w:tcW w:w="1801" w:type="dxa"/>
          </w:tcPr>
          <w:p>
            <w:pPr>
              <w:pStyle w:val="TableParagraph"/>
              <w:ind w:left="107" w:right="771"/>
              <w:rPr>
                <w:sz w:val="24"/>
              </w:rPr>
            </w:pPr>
            <w:r>
              <w:rPr>
                <w:spacing w:val="-2"/>
                <w:sz w:val="24"/>
              </w:rPr>
              <w:t>Sogboma George</w:t>
            </w:r>
          </w:p>
        </w:tc>
        <w:tc>
          <w:tcPr>
            <w:tcW w:w="1441" w:type="dxa"/>
          </w:tcPr>
          <w:p>
            <w:pPr>
              <w:pStyle w:val="TableParagraph"/>
              <w:spacing w:line="268" w:lineRule="exact"/>
              <w:ind w:left="27" w:right="75"/>
              <w:jc w:val="center"/>
              <w:rPr>
                <w:sz w:val="24"/>
              </w:rPr>
            </w:pPr>
            <w:r>
              <w:rPr>
                <w:sz w:val="24"/>
              </w:rPr>
              <w:t>Rivers</w:t>
            </w:r>
            <w:r>
              <w:rPr>
                <w:spacing w:val="-2"/>
                <w:sz w:val="24"/>
              </w:rPr>
              <w:t> State</w:t>
            </w:r>
          </w:p>
        </w:tc>
        <w:tc>
          <w:tcPr>
            <w:tcW w:w="1442" w:type="dxa"/>
          </w:tcPr>
          <w:p>
            <w:pPr>
              <w:pStyle w:val="TableParagraph"/>
              <w:rPr>
                <w:sz w:val="24"/>
              </w:rPr>
            </w:pPr>
          </w:p>
        </w:tc>
        <w:tc>
          <w:tcPr>
            <w:tcW w:w="1441" w:type="dxa"/>
          </w:tcPr>
          <w:p>
            <w:pPr>
              <w:pStyle w:val="TableParagraph"/>
              <w:ind w:left="104" w:right="160"/>
              <w:jc w:val="both"/>
              <w:rPr>
                <w:sz w:val="24"/>
              </w:rPr>
            </w:pPr>
            <w:r>
              <w:rPr>
                <w:sz w:val="24"/>
              </w:rPr>
              <w:t>Operates in both Rivers and</w:t>
            </w:r>
            <w:r>
              <w:rPr>
                <w:spacing w:val="-3"/>
                <w:sz w:val="24"/>
              </w:rPr>
              <w:t> </w:t>
            </w:r>
            <w:r>
              <w:rPr>
                <w:spacing w:val="-2"/>
                <w:sz w:val="24"/>
              </w:rPr>
              <w:t>Bayelsa</w:t>
            </w:r>
          </w:p>
          <w:p>
            <w:pPr>
              <w:pStyle w:val="TableParagraph"/>
              <w:spacing w:line="264" w:lineRule="exact"/>
              <w:ind w:left="104"/>
              <w:rPr>
                <w:sz w:val="24"/>
              </w:rPr>
            </w:pPr>
            <w:r>
              <w:rPr>
                <w:spacing w:val="-2"/>
                <w:sz w:val="24"/>
              </w:rPr>
              <w:t>States</w:t>
            </w:r>
          </w:p>
        </w:tc>
      </w:tr>
      <w:tr>
        <w:trPr>
          <w:trHeight w:val="554" w:hRule="atLeast"/>
        </w:trPr>
        <w:tc>
          <w:tcPr>
            <w:tcW w:w="720" w:type="dxa"/>
          </w:tcPr>
          <w:p>
            <w:pPr>
              <w:pStyle w:val="TableParagraph"/>
              <w:spacing w:line="270" w:lineRule="exact"/>
              <w:ind w:left="107"/>
              <w:rPr>
                <w:sz w:val="24"/>
              </w:rPr>
            </w:pPr>
            <w:r>
              <w:rPr>
                <w:spacing w:val="-5"/>
                <w:sz w:val="24"/>
              </w:rPr>
              <w:t>34.</w:t>
            </w:r>
          </w:p>
        </w:tc>
        <w:tc>
          <w:tcPr>
            <w:tcW w:w="2449" w:type="dxa"/>
          </w:tcPr>
          <w:p>
            <w:pPr>
              <w:pStyle w:val="TableParagraph"/>
              <w:spacing w:line="270" w:lineRule="exact"/>
              <w:ind w:left="107"/>
              <w:rPr>
                <w:sz w:val="24"/>
              </w:rPr>
            </w:pPr>
            <w:r>
              <w:rPr>
                <w:sz w:val="24"/>
              </w:rPr>
              <w:t>Marine</w:t>
            </w:r>
            <w:r>
              <w:rPr>
                <w:spacing w:val="-2"/>
                <w:sz w:val="24"/>
              </w:rPr>
              <w:t> </w:t>
            </w:r>
            <w:r>
              <w:rPr>
                <w:spacing w:val="-4"/>
                <w:sz w:val="24"/>
              </w:rPr>
              <w:t>Base</w:t>
            </w:r>
          </w:p>
          <w:p>
            <w:pPr>
              <w:pStyle w:val="TableParagraph"/>
              <w:spacing w:line="264" w:lineRule="exact"/>
              <w:ind w:left="107"/>
              <w:rPr>
                <w:sz w:val="24"/>
              </w:rPr>
            </w:pPr>
            <w:r>
              <w:rPr>
                <w:sz w:val="24"/>
              </w:rPr>
              <w:t>Diobu/Borokiri</w:t>
            </w:r>
            <w:r>
              <w:rPr>
                <w:spacing w:val="-5"/>
                <w:sz w:val="24"/>
              </w:rPr>
              <w:t> </w:t>
            </w:r>
            <w:r>
              <w:rPr>
                <w:spacing w:val="-4"/>
                <w:sz w:val="24"/>
              </w:rPr>
              <w:t>Camp</w:t>
            </w:r>
          </w:p>
        </w:tc>
        <w:tc>
          <w:tcPr>
            <w:tcW w:w="1801" w:type="dxa"/>
          </w:tcPr>
          <w:p>
            <w:pPr>
              <w:pStyle w:val="TableParagraph"/>
              <w:spacing w:line="270" w:lineRule="exact"/>
              <w:ind w:left="107"/>
              <w:rPr>
                <w:sz w:val="24"/>
              </w:rPr>
            </w:pPr>
            <w:r>
              <w:rPr>
                <w:spacing w:val="-2"/>
                <w:sz w:val="24"/>
              </w:rPr>
              <w:t>Sogboma/Farah</w:t>
            </w:r>
          </w:p>
          <w:p>
            <w:pPr>
              <w:pStyle w:val="TableParagraph"/>
              <w:spacing w:line="264" w:lineRule="exact"/>
              <w:ind w:left="107"/>
              <w:rPr>
                <w:sz w:val="24"/>
              </w:rPr>
            </w:pPr>
            <w:r>
              <w:rPr>
                <w:spacing w:val="-2"/>
                <w:sz w:val="24"/>
              </w:rPr>
              <w:t>Dagogo</w:t>
            </w:r>
          </w:p>
        </w:tc>
        <w:tc>
          <w:tcPr>
            <w:tcW w:w="1441" w:type="dxa"/>
          </w:tcPr>
          <w:p>
            <w:pPr>
              <w:pStyle w:val="TableParagraph"/>
              <w:spacing w:line="270" w:lineRule="exact"/>
              <w:ind w:left="106"/>
              <w:rPr>
                <w:sz w:val="24"/>
              </w:rPr>
            </w:pPr>
            <w:r>
              <w:rPr>
                <w:spacing w:val="-2"/>
                <w:sz w:val="24"/>
              </w:rPr>
              <w:t>Bayelsa</w:t>
            </w:r>
          </w:p>
          <w:p>
            <w:pPr>
              <w:pStyle w:val="TableParagraph"/>
              <w:spacing w:line="264" w:lineRule="exact"/>
              <w:ind w:left="106"/>
              <w:rPr>
                <w:sz w:val="24"/>
              </w:rPr>
            </w:pPr>
            <w:r>
              <w:rPr>
                <w:spacing w:val="-2"/>
                <w:sz w:val="24"/>
              </w:rPr>
              <w:t>State</w:t>
            </w:r>
          </w:p>
        </w:tc>
        <w:tc>
          <w:tcPr>
            <w:tcW w:w="1442" w:type="dxa"/>
          </w:tcPr>
          <w:p>
            <w:pPr>
              <w:pStyle w:val="TableParagraph"/>
              <w:rPr>
                <w:sz w:val="24"/>
              </w:rPr>
            </w:pPr>
          </w:p>
        </w:tc>
        <w:tc>
          <w:tcPr>
            <w:tcW w:w="1441" w:type="dxa"/>
          </w:tcPr>
          <w:p>
            <w:pPr>
              <w:pStyle w:val="TableParagraph"/>
              <w:spacing w:line="270" w:lineRule="exact"/>
              <w:ind w:left="104"/>
              <w:rPr>
                <w:sz w:val="24"/>
              </w:rPr>
            </w:pPr>
            <w:r>
              <w:rPr>
                <w:spacing w:val="-4"/>
                <w:sz w:val="24"/>
              </w:rPr>
              <w:t>Camp</w:t>
            </w:r>
          </w:p>
          <w:p>
            <w:pPr>
              <w:pStyle w:val="TableParagraph"/>
              <w:spacing w:line="264" w:lineRule="exact"/>
              <w:ind w:left="104"/>
              <w:rPr>
                <w:sz w:val="24"/>
              </w:rPr>
            </w:pPr>
            <w:r>
              <w:rPr>
                <w:spacing w:val="-2"/>
                <w:sz w:val="24"/>
              </w:rPr>
              <w:t>destroyed</w:t>
            </w:r>
          </w:p>
        </w:tc>
      </w:tr>
      <w:tr>
        <w:trPr>
          <w:trHeight w:val="275" w:hRule="atLeast"/>
        </w:trPr>
        <w:tc>
          <w:tcPr>
            <w:tcW w:w="720" w:type="dxa"/>
          </w:tcPr>
          <w:p>
            <w:pPr>
              <w:pStyle w:val="TableParagraph"/>
              <w:spacing w:line="256" w:lineRule="exact"/>
              <w:ind w:left="107"/>
              <w:rPr>
                <w:sz w:val="24"/>
              </w:rPr>
            </w:pPr>
            <w:r>
              <w:rPr>
                <w:spacing w:val="-5"/>
                <w:sz w:val="24"/>
              </w:rPr>
              <w:t>35.</w:t>
            </w:r>
          </w:p>
        </w:tc>
        <w:tc>
          <w:tcPr>
            <w:tcW w:w="2449" w:type="dxa"/>
          </w:tcPr>
          <w:p>
            <w:pPr>
              <w:pStyle w:val="TableParagraph"/>
              <w:spacing w:line="256" w:lineRule="exact"/>
              <w:ind w:left="107"/>
              <w:rPr>
                <w:sz w:val="24"/>
              </w:rPr>
            </w:pPr>
            <w:r>
              <w:rPr>
                <w:sz w:val="24"/>
              </w:rPr>
              <w:t>Rumuekpe</w:t>
            </w:r>
            <w:r>
              <w:rPr>
                <w:spacing w:val="-2"/>
                <w:sz w:val="24"/>
              </w:rPr>
              <w:t> </w:t>
            </w:r>
            <w:r>
              <w:rPr>
                <w:sz w:val="24"/>
              </w:rPr>
              <w:t>Water</w:t>
            </w:r>
            <w:r>
              <w:rPr>
                <w:spacing w:val="-2"/>
                <w:sz w:val="24"/>
              </w:rPr>
              <w:t> front</w:t>
            </w:r>
          </w:p>
        </w:tc>
        <w:tc>
          <w:tcPr>
            <w:tcW w:w="1801" w:type="dxa"/>
          </w:tcPr>
          <w:p>
            <w:pPr>
              <w:pStyle w:val="TableParagraph"/>
              <w:spacing w:line="256" w:lineRule="exact"/>
              <w:ind w:left="107"/>
              <w:rPr>
                <w:sz w:val="24"/>
              </w:rPr>
            </w:pPr>
            <w:r>
              <w:rPr>
                <w:sz w:val="24"/>
              </w:rPr>
              <w:t>Sk </w:t>
            </w:r>
            <w:r>
              <w:rPr>
                <w:spacing w:val="-2"/>
                <w:sz w:val="24"/>
              </w:rPr>
              <w:t>Agala</w:t>
            </w:r>
          </w:p>
        </w:tc>
        <w:tc>
          <w:tcPr>
            <w:tcW w:w="1441" w:type="dxa"/>
          </w:tcPr>
          <w:p>
            <w:pPr>
              <w:pStyle w:val="TableParagraph"/>
              <w:spacing w:line="256" w:lineRule="exact"/>
              <w:ind w:left="27" w:right="75"/>
              <w:jc w:val="center"/>
              <w:rPr>
                <w:sz w:val="24"/>
              </w:rPr>
            </w:pPr>
            <w:r>
              <w:rPr>
                <w:sz w:val="24"/>
              </w:rPr>
              <w:t>Rivers</w:t>
            </w:r>
            <w:r>
              <w:rPr>
                <w:spacing w:val="-1"/>
                <w:sz w:val="24"/>
              </w:rPr>
              <w:t> </w:t>
            </w:r>
            <w:r>
              <w:rPr>
                <w:spacing w:val="-2"/>
                <w:sz w:val="24"/>
              </w:rPr>
              <w:t>State</w:t>
            </w:r>
          </w:p>
        </w:tc>
        <w:tc>
          <w:tcPr>
            <w:tcW w:w="1442" w:type="dxa"/>
          </w:tcPr>
          <w:p>
            <w:pPr>
              <w:pStyle w:val="TableParagraph"/>
              <w:rPr>
                <w:sz w:val="20"/>
              </w:rPr>
            </w:pPr>
          </w:p>
        </w:tc>
        <w:tc>
          <w:tcPr>
            <w:tcW w:w="1441" w:type="dxa"/>
          </w:tcPr>
          <w:p>
            <w:pPr>
              <w:pStyle w:val="TableParagraph"/>
              <w:rPr>
                <w:sz w:val="20"/>
              </w:rPr>
            </w:pPr>
          </w:p>
        </w:tc>
      </w:tr>
      <w:tr>
        <w:trPr>
          <w:trHeight w:val="275" w:hRule="atLeast"/>
        </w:trPr>
        <w:tc>
          <w:tcPr>
            <w:tcW w:w="720" w:type="dxa"/>
          </w:tcPr>
          <w:p>
            <w:pPr>
              <w:pStyle w:val="TableParagraph"/>
              <w:spacing w:line="256" w:lineRule="exact"/>
              <w:ind w:left="107"/>
              <w:rPr>
                <w:sz w:val="24"/>
              </w:rPr>
            </w:pPr>
            <w:r>
              <w:rPr>
                <w:spacing w:val="-5"/>
                <w:sz w:val="24"/>
              </w:rPr>
              <w:t>36.</w:t>
            </w:r>
          </w:p>
        </w:tc>
        <w:tc>
          <w:tcPr>
            <w:tcW w:w="2449" w:type="dxa"/>
          </w:tcPr>
          <w:p>
            <w:pPr>
              <w:pStyle w:val="TableParagraph"/>
              <w:spacing w:line="256" w:lineRule="exact"/>
              <w:ind w:left="107"/>
              <w:rPr>
                <w:sz w:val="24"/>
              </w:rPr>
            </w:pPr>
            <w:r>
              <w:rPr>
                <w:sz w:val="24"/>
              </w:rPr>
              <w:t>Fara</w:t>
            </w:r>
            <w:r>
              <w:rPr>
                <w:spacing w:val="-5"/>
                <w:sz w:val="24"/>
              </w:rPr>
              <w:t> </w:t>
            </w:r>
            <w:r>
              <w:rPr>
                <w:spacing w:val="-2"/>
                <w:sz w:val="24"/>
              </w:rPr>
              <w:t>(Kula)</w:t>
            </w:r>
          </w:p>
        </w:tc>
        <w:tc>
          <w:tcPr>
            <w:tcW w:w="1801" w:type="dxa"/>
          </w:tcPr>
          <w:p>
            <w:pPr>
              <w:pStyle w:val="TableParagraph"/>
              <w:spacing w:line="256" w:lineRule="exact"/>
              <w:ind w:left="107"/>
              <w:rPr>
                <w:sz w:val="24"/>
              </w:rPr>
            </w:pPr>
            <w:r>
              <w:rPr>
                <w:sz w:val="24"/>
              </w:rPr>
              <w:t>Farah</w:t>
            </w:r>
            <w:r>
              <w:rPr>
                <w:spacing w:val="57"/>
                <w:sz w:val="24"/>
              </w:rPr>
              <w:t> </w:t>
            </w:r>
            <w:r>
              <w:rPr>
                <w:spacing w:val="-2"/>
                <w:sz w:val="24"/>
              </w:rPr>
              <w:t>Dagogo</w:t>
            </w:r>
          </w:p>
        </w:tc>
        <w:tc>
          <w:tcPr>
            <w:tcW w:w="1441" w:type="dxa"/>
          </w:tcPr>
          <w:p>
            <w:pPr>
              <w:pStyle w:val="TableParagraph"/>
              <w:spacing w:line="256" w:lineRule="exact"/>
              <w:ind w:left="27" w:right="75"/>
              <w:jc w:val="center"/>
              <w:rPr>
                <w:sz w:val="24"/>
              </w:rPr>
            </w:pPr>
            <w:r>
              <w:rPr>
                <w:sz w:val="24"/>
              </w:rPr>
              <w:t>Rivers</w:t>
            </w:r>
            <w:r>
              <w:rPr>
                <w:spacing w:val="-2"/>
                <w:sz w:val="24"/>
              </w:rPr>
              <w:t> State</w:t>
            </w:r>
          </w:p>
        </w:tc>
        <w:tc>
          <w:tcPr>
            <w:tcW w:w="1442" w:type="dxa"/>
          </w:tcPr>
          <w:p>
            <w:pPr>
              <w:pStyle w:val="TableParagraph"/>
              <w:rPr>
                <w:sz w:val="20"/>
              </w:rPr>
            </w:pPr>
          </w:p>
        </w:tc>
        <w:tc>
          <w:tcPr>
            <w:tcW w:w="1441" w:type="dxa"/>
          </w:tcPr>
          <w:p>
            <w:pPr>
              <w:pStyle w:val="TableParagraph"/>
              <w:rPr>
                <w:sz w:val="20"/>
              </w:rPr>
            </w:pPr>
          </w:p>
        </w:tc>
      </w:tr>
    </w:tbl>
    <w:p>
      <w:pPr>
        <w:spacing w:after="0"/>
        <w:rPr>
          <w:sz w:val="20"/>
        </w:rPr>
        <w:sectPr>
          <w:pgSz w:w="11910" w:h="16840"/>
          <w:pgMar w:header="0" w:footer="1561" w:top="1400" w:bottom="1760" w:left="720" w:right="180"/>
        </w:sectPr>
      </w:pPr>
    </w:p>
    <w:p>
      <w:pPr>
        <w:pStyle w:val="BodyText"/>
        <w:spacing w:before="3"/>
        <w:ind w:left="0"/>
        <w:rPr>
          <w:b/>
          <w:sz w:val="2"/>
        </w:rPr>
      </w:pPr>
      <w:r>
        <w:rPr/>
        <mc:AlternateContent>
          <mc:Choice Requires="wps">
            <w:drawing>
              <wp:anchor distT="0" distB="0" distL="0" distR="0" allowOverlap="1" layoutInCell="1" locked="0" behindDoc="1" simplePos="0" relativeHeight="480710656">
                <wp:simplePos x="0" y="0"/>
                <wp:positionH relativeFrom="page">
                  <wp:posOffset>-1537026</wp:posOffset>
                </wp:positionH>
                <wp:positionV relativeFrom="page">
                  <wp:posOffset>4900424</wp:posOffset>
                </wp:positionV>
                <wp:extent cx="10669905" cy="914400"/>
                <wp:effectExtent l="0" t="0" r="0" b="0"/>
                <wp:wrapNone/>
                <wp:docPr id="404" name="Textbox 404"/>
                <wp:cNvGraphicFramePr>
                  <a:graphicFrameLocks/>
                </wp:cNvGraphicFramePr>
                <a:graphic>
                  <a:graphicData uri="http://schemas.microsoft.com/office/word/2010/wordprocessingShape">
                    <wps:wsp>
                      <wps:cNvPr id="404" name="Textbox 404"/>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05824;rotation:306" type="#_x0000_t136" fillcolor="#ff5400" stroked="f">
                <o:extrusion v:ext="view" autorotationcenter="t"/>
                <v:textpath style="font-family:&quot;Arial MT&quot;;font-size:72pt;v-text-kern:t;mso-text-shadow:auto" string="UNIVERSITY OF IBADAN"/>
                <w10:wrap type="none"/>
              </v:shape>
            </w:pict>
          </mc:Fallback>
        </mc:AlternateContent>
      </w: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0"/>
        <w:gridCol w:w="2449"/>
        <w:gridCol w:w="1801"/>
        <w:gridCol w:w="1441"/>
        <w:gridCol w:w="1442"/>
        <w:gridCol w:w="1441"/>
      </w:tblGrid>
      <w:tr>
        <w:trPr>
          <w:trHeight w:val="275" w:hRule="atLeast"/>
        </w:trPr>
        <w:tc>
          <w:tcPr>
            <w:tcW w:w="720" w:type="dxa"/>
          </w:tcPr>
          <w:p>
            <w:pPr>
              <w:pStyle w:val="TableParagraph"/>
              <w:spacing w:line="256" w:lineRule="exact"/>
              <w:ind w:left="107"/>
              <w:rPr>
                <w:sz w:val="24"/>
              </w:rPr>
            </w:pPr>
            <w:r>
              <w:rPr>
                <w:spacing w:val="-5"/>
                <w:sz w:val="24"/>
              </w:rPr>
              <w:t>37.</w:t>
            </w:r>
          </w:p>
        </w:tc>
        <w:tc>
          <w:tcPr>
            <w:tcW w:w="2449" w:type="dxa"/>
          </w:tcPr>
          <w:p>
            <w:pPr>
              <w:pStyle w:val="TableParagraph"/>
              <w:spacing w:line="256" w:lineRule="exact"/>
              <w:ind w:left="107"/>
              <w:rPr>
                <w:sz w:val="24"/>
              </w:rPr>
            </w:pPr>
            <w:r>
              <w:rPr>
                <w:spacing w:val="-2"/>
                <w:sz w:val="24"/>
              </w:rPr>
              <w:t>Ikang</w:t>
            </w:r>
          </w:p>
        </w:tc>
        <w:tc>
          <w:tcPr>
            <w:tcW w:w="1801" w:type="dxa"/>
          </w:tcPr>
          <w:p>
            <w:pPr>
              <w:pStyle w:val="TableParagraph"/>
              <w:spacing w:line="256" w:lineRule="exact"/>
              <w:ind w:left="107"/>
              <w:rPr>
                <w:sz w:val="24"/>
              </w:rPr>
            </w:pPr>
            <w:r>
              <w:rPr>
                <w:spacing w:val="-2"/>
                <w:sz w:val="24"/>
              </w:rPr>
              <w:t>Unknown</w:t>
            </w:r>
          </w:p>
        </w:tc>
        <w:tc>
          <w:tcPr>
            <w:tcW w:w="1441" w:type="dxa"/>
          </w:tcPr>
          <w:p>
            <w:pPr>
              <w:pStyle w:val="TableParagraph"/>
              <w:spacing w:line="256" w:lineRule="exact"/>
              <w:ind w:left="1" w:right="76"/>
              <w:jc w:val="center"/>
              <w:rPr>
                <w:sz w:val="24"/>
              </w:rPr>
            </w:pPr>
            <w:r>
              <w:rPr>
                <w:sz w:val="24"/>
              </w:rPr>
              <w:t>Cross </w:t>
            </w:r>
            <w:r>
              <w:rPr>
                <w:spacing w:val="-2"/>
                <w:sz w:val="24"/>
              </w:rPr>
              <w:t>River</w:t>
            </w:r>
          </w:p>
        </w:tc>
        <w:tc>
          <w:tcPr>
            <w:tcW w:w="1442" w:type="dxa"/>
          </w:tcPr>
          <w:p>
            <w:pPr>
              <w:pStyle w:val="TableParagraph"/>
              <w:rPr>
                <w:sz w:val="20"/>
              </w:rPr>
            </w:pPr>
          </w:p>
        </w:tc>
        <w:tc>
          <w:tcPr>
            <w:tcW w:w="1441" w:type="dxa"/>
          </w:tcPr>
          <w:p>
            <w:pPr>
              <w:pStyle w:val="TableParagraph"/>
              <w:rPr>
                <w:sz w:val="20"/>
              </w:rPr>
            </w:pPr>
          </w:p>
        </w:tc>
      </w:tr>
      <w:tr>
        <w:trPr>
          <w:trHeight w:val="275" w:hRule="atLeast"/>
        </w:trPr>
        <w:tc>
          <w:tcPr>
            <w:tcW w:w="720" w:type="dxa"/>
          </w:tcPr>
          <w:p>
            <w:pPr>
              <w:pStyle w:val="TableParagraph"/>
              <w:spacing w:line="256" w:lineRule="exact"/>
              <w:ind w:left="107"/>
              <w:rPr>
                <w:sz w:val="24"/>
              </w:rPr>
            </w:pPr>
            <w:r>
              <w:rPr>
                <w:spacing w:val="-5"/>
                <w:sz w:val="24"/>
              </w:rPr>
              <w:t>38.</w:t>
            </w:r>
          </w:p>
        </w:tc>
        <w:tc>
          <w:tcPr>
            <w:tcW w:w="2449" w:type="dxa"/>
          </w:tcPr>
          <w:p>
            <w:pPr>
              <w:pStyle w:val="TableParagraph"/>
              <w:spacing w:line="256" w:lineRule="exact"/>
              <w:ind w:left="107"/>
              <w:rPr>
                <w:sz w:val="24"/>
              </w:rPr>
            </w:pPr>
            <w:r>
              <w:rPr>
                <w:sz w:val="24"/>
              </w:rPr>
              <w:t>Tom Short in </w:t>
            </w:r>
            <w:r>
              <w:rPr>
                <w:spacing w:val="-2"/>
                <w:sz w:val="24"/>
              </w:rPr>
              <w:t>Atabong</w:t>
            </w:r>
          </w:p>
        </w:tc>
        <w:tc>
          <w:tcPr>
            <w:tcW w:w="1801" w:type="dxa"/>
          </w:tcPr>
          <w:p>
            <w:pPr>
              <w:pStyle w:val="TableParagraph"/>
              <w:spacing w:line="256" w:lineRule="exact"/>
              <w:ind w:left="107"/>
              <w:rPr>
                <w:sz w:val="24"/>
              </w:rPr>
            </w:pPr>
            <w:r>
              <w:rPr>
                <w:spacing w:val="-2"/>
                <w:sz w:val="24"/>
              </w:rPr>
              <w:t>Unknown</w:t>
            </w:r>
          </w:p>
        </w:tc>
        <w:tc>
          <w:tcPr>
            <w:tcW w:w="1441" w:type="dxa"/>
          </w:tcPr>
          <w:p>
            <w:pPr>
              <w:pStyle w:val="TableParagraph"/>
              <w:spacing w:line="256" w:lineRule="exact"/>
              <w:ind w:left="1" w:right="76"/>
              <w:jc w:val="center"/>
              <w:rPr>
                <w:sz w:val="24"/>
              </w:rPr>
            </w:pPr>
            <w:r>
              <w:rPr>
                <w:sz w:val="24"/>
              </w:rPr>
              <w:t>Cross </w:t>
            </w:r>
            <w:r>
              <w:rPr>
                <w:spacing w:val="-2"/>
                <w:sz w:val="24"/>
              </w:rPr>
              <w:t>River</w:t>
            </w:r>
          </w:p>
        </w:tc>
        <w:tc>
          <w:tcPr>
            <w:tcW w:w="1442" w:type="dxa"/>
          </w:tcPr>
          <w:p>
            <w:pPr>
              <w:pStyle w:val="TableParagraph"/>
              <w:rPr>
                <w:sz w:val="20"/>
              </w:rPr>
            </w:pPr>
          </w:p>
        </w:tc>
        <w:tc>
          <w:tcPr>
            <w:tcW w:w="1441" w:type="dxa"/>
          </w:tcPr>
          <w:p>
            <w:pPr>
              <w:pStyle w:val="TableParagraph"/>
              <w:rPr>
                <w:sz w:val="20"/>
              </w:rPr>
            </w:pPr>
          </w:p>
        </w:tc>
      </w:tr>
      <w:tr>
        <w:trPr>
          <w:trHeight w:val="551" w:hRule="atLeast"/>
        </w:trPr>
        <w:tc>
          <w:tcPr>
            <w:tcW w:w="720" w:type="dxa"/>
          </w:tcPr>
          <w:p>
            <w:pPr>
              <w:pStyle w:val="TableParagraph"/>
              <w:spacing w:line="268" w:lineRule="exact"/>
              <w:ind w:left="107"/>
              <w:rPr>
                <w:sz w:val="24"/>
              </w:rPr>
            </w:pPr>
            <w:r>
              <w:rPr>
                <w:spacing w:val="-5"/>
                <w:sz w:val="24"/>
              </w:rPr>
              <w:t>39.</w:t>
            </w:r>
          </w:p>
        </w:tc>
        <w:tc>
          <w:tcPr>
            <w:tcW w:w="2449" w:type="dxa"/>
          </w:tcPr>
          <w:p>
            <w:pPr>
              <w:pStyle w:val="TableParagraph"/>
              <w:spacing w:line="268" w:lineRule="exact"/>
              <w:ind w:left="107"/>
              <w:rPr>
                <w:sz w:val="24"/>
              </w:rPr>
            </w:pPr>
            <w:r>
              <w:rPr>
                <w:sz w:val="24"/>
              </w:rPr>
              <w:t>Abise</w:t>
            </w:r>
            <w:r>
              <w:rPr>
                <w:spacing w:val="-3"/>
                <w:sz w:val="24"/>
              </w:rPr>
              <w:t> </w:t>
            </w:r>
            <w:r>
              <w:rPr>
                <w:spacing w:val="-4"/>
                <w:sz w:val="24"/>
              </w:rPr>
              <w:t>Camp</w:t>
            </w:r>
          </w:p>
        </w:tc>
        <w:tc>
          <w:tcPr>
            <w:tcW w:w="1801" w:type="dxa"/>
          </w:tcPr>
          <w:p>
            <w:pPr>
              <w:pStyle w:val="TableParagraph"/>
              <w:spacing w:line="268" w:lineRule="exact"/>
              <w:ind w:left="107"/>
              <w:rPr>
                <w:sz w:val="24"/>
              </w:rPr>
            </w:pPr>
            <w:r>
              <w:rPr>
                <w:spacing w:val="-4"/>
                <w:sz w:val="24"/>
              </w:rPr>
              <w:t>Boma</w:t>
            </w:r>
          </w:p>
          <w:p>
            <w:pPr>
              <w:pStyle w:val="TableParagraph"/>
              <w:spacing w:line="264" w:lineRule="exact"/>
              <w:ind w:left="107"/>
              <w:rPr>
                <w:sz w:val="24"/>
              </w:rPr>
            </w:pPr>
            <w:r>
              <w:rPr>
                <w:spacing w:val="-2"/>
                <w:sz w:val="24"/>
              </w:rPr>
              <w:t>Abiyesiku</w:t>
            </w:r>
          </w:p>
        </w:tc>
        <w:tc>
          <w:tcPr>
            <w:tcW w:w="1441" w:type="dxa"/>
          </w:tcPr>
          <w:p>
            <w:pPr>
              <w:pStyle w:val="TableParagraph"/>
              <w:spacing w:line="268" w:lineRule="exact"/>
              <w:ind w:left="27" w:right="75"/>
              <w:jc w:val="center"/>
              <w:rPr>
                <w:sz w:val="24"/>
              </w:rPr>
            </w:pPr>
            <w:r>
              <w:rPr>
                <w:sz w:val="24"/>
              </w:rPr>
              <w:t>Rivers</w:t>
            </w:r>
            <w:r>
              <w:rPr>
                <w:spacing w:val="-2"/>
                <w:sz w:val="24"/>
              </w:rPr>
              <w:t> State</w:t>
            </w:r>
          </w:p>
        </w:tc>
        <w:tc>
          <w:tcPr>
            <w:tcW w:w="1442" w:type="dxa"/>
          </w:tcPr>
          <w:p>
            <w:pPr>
              <w:pStyle w:val="TableParagraph"/>
              <w:rPr>
                <w:sz w:val="24"/>
              </w:rPr>
            </w:pPr>
          </w:p>
        </w:tc>
        <w:tc>
          <w:tcPr>
            <w:tcW w:w="1441" w:type="dxa"/>
          </w:tcPr>
          <w:p>
            <w:pPr>
              <w:pStyle w:val="TableParagraph"/>
              <w:rPr>
                <w:sz w:val="24"/>
              </w:rPr>
            </w:pPr>
          </w:p>
        </w:tc>
      </w:tr>
      <w:tr>
        <w:trPr>
          <w:trHeight w:val="277" w:hRule="atLeast"/>
        </w:trPr>
        <w:tc>
          <w:tcPr>
            <w:tcW w:w="720" w:type="dxa"/>
          </w:tcPr>
          <w:p>
            <w:pPr>
              <w:pStyle w:val="TableParagraph"/>
              <w:spacing w:line="258" w:lineRule="exact"/>
              <w:ind w:left="107"/>
              <w:rPr>
                <w:sz w:val="24"/>
              </w:rPr>
            </w:pPr>
            <w:r>
              <w:rPr>
                <w:spacing w:val="-5"/>
                <w:sz w:val="24"/>
              </w:rPr>
              <w:t>40.</w:t>
            </w:r>
          </w:p>
        </w:tc>
        <w:tc>
          <w:tcPr>
            <w:tcW w:w="2449" w:type="dxa"/>
          </w:tcPr>
          <w:p>
            <w:pPr>
              <w:pStyle w:val="TableParagraph"/>
              <w:spacing w:line="258" w:lineRule="exact"/>
              <w:ind w:left="107"/>
              <w:rPr>
                <w:sz w:val="24"/>
              </w:rPr>
            </w:pPr>
            <w:r>
              <w:rPr>
                <w:sz w:val="24"/>
              </w:rPr>
              <w:t>Buguma</w:t>
            </w:r>
            <w:r>
              <w:rPr>
                <w:spacing w:val="-3"/>
                <w:sz w:val="24"/>
              </w:rPr>
              <w:t> </w:t>
            </w:r>
            <w:r>
              <w:rPr>
                <w:spacing w:val="-4"/>
                <w:sz w:val="24"/>
              </w:rPr>
              <w:t>Camp</w:t>
            </w:r>
          </w:p>
        </w:tc>
        <w:tc>
          <w:tcPr>
            <w:tcW w:w="1801" w:type="dxa"/>
          </w:tcPr>
          <w:p>
            <w:pPr>
              <w:pStyle w:val="TableParagraph"/>
              <w:spacing w:line="258" w:lineRule="exact"/>
              <w:ind w:left="107"/>
              <w:rPr>
                <w:sz w:val="24"/>
              </w:rPr>
            </w:pPr>
            <w:r>
              <w:rPr>
                <w:sz w:val="24"/>
              </w:rPr>
              <w:t>Awalla</w:t>
            </w:r>
            <w:r>
              <w:rPr>
                <w:spacing w:val="-3"/>
                <w:sz w:val="24"/>
              </w:rPr>
              <w:t> </w:t>
            </w:r>
            <w:r>
              <w:rPr>
                <w:spacing w:val="-2"/>
                <w:sz w:val="24"/>
              </w:rPr>
              <w:t>George</w:t>
            </w:r>
          </w:p>
        </w:tc>
        <w:tc>
          <w:tcPr>
            <w:tcW w:w="1441" w:type="dxa"/>
          </w:tcPr>
          <w:p>
            <w:pPr>
              <w:pStyle w:val="TableParagraph"/>
              <w:spacing w:line="258" w:lineRule="exact"/>
              <w:ind w:left="27" w:right="75"/>
              <w:jc w:val="center"/>
              <w:rPr>
                <w:sz w:val="24"/>
              </w:rPr>
            </w:pPr>
            <w:r>
              <w:rPr>
                <w:sz w:val="24"/>
              </w:rPr>
              <w:t>Rivers</w:t>
            </w:r>
            <w:r>
              <w:rPr>
                <w:spacing w:val="-2"/>
                <w:sz w:val="24"/>
              </w:rPr>
              <w:t> State</w:t>
            </w:r>
          </w:p>
        </w:tc>
        <w:tc>
          <w:tcPr>
            <w:tcW w:w="1442" w:type="dxa"/>
          </w:tcPr>
          <w:p>
            <w:pPr>
              <w:pStyle w:val="TableParagraph"/>
              <w:rPr>
                <w:sz w:val="20"/>
              </w:rPr>
            </w:pPr>
          </w:p>
        </w:tc>
        <w:tc>
          <w:tcPr>
            <w:tcW w:w="1441" w:type="dxa"/>
          </w:tcPr>
          <w:p>
            <w:pPr>
              <w:pStyle w:val="TableParagraph"/>
              <w:rPr>
                <w:sz w:val="20"/>
              </w:rPr>
            </w:pPr>
          </w:p>
        </w:tc>
      </w:tr>
      <w:tr>
        <w:trPr>
          <w:trHeight w:val="275" w:hRule="atLeast"/>
        </w:trPr>
        <w:tc>
          <w:tcPr>
            <w:tcW w:w="720" w:type="dxa"/>
          </w:tcPr>
          <w:p>
            <w:pPr>
              <w:pStyle w:val="TableParagraph"/>
              <w:spacing w:line="256" w:lineRule="exact"/>
              <w:ind w:left="107"/>
              <w:rPr>
                <w:sz w:val="24"/>
              </w:rPr>
            </w:pPr>
            <w:r>
              <w:rPr>
                <w:spacing w:val="-5"/>
                <w:sz w:val="24"/>
              </w:rPr>
              <w:t>41.</w:t>
            </w:r>
          </w:p>
        </w:tc>
        <w:tc>
          <w:tcPr>
            <w:tcW w:w="2449" w:type="dxa"/>
          </w:tcPr>
          <w:p>
            <w:pPr>
              <w:pStyle w:val="TableParagraph"/>
              <w:spacing w:line="256" w:lineRule="exact"/>
              <w:ind w:left="107"/>
              <w:rPr>
                <w:sz w:val="24"/>
              </w:rPr>
            </w:pPr>
            <w:r>
              <w:rPr>
                <w:sz w:val="24"/>
              </w:rPr>
              <w:t>Bile</w:t>
            </w:r>
            <w:r>
              <w:rPr>
                <w:spacing w:val="-5"/>
                <w:sz w:val="24"/>
              </w:rPr>
              <w:t> </w:t>
            </w:r>
            <w:r>
              <w:rPr>
                <w:spacing w:val="-4"/>
                <w:sz w:val="24"/>
              </w:rPr>
              <w:t>Camp</w:t>
            </w:r>
          </w:p>
        </w:tc>
        <w:tc>
          <w:tcPr>
            <w:tcW w:w="1801" w:type="dxa"/>
          </w:tcPr>
          <w:p>
            <w:pPr>
              <w:pStyle w:val="TableParagraph"/>
              <w:spacing w:line="256" w:lineRule="exact"/>
              <w:ind w:left="107"/>
              <w:rPr>
                <w:sz w:val="24"/>
              </w:rPr>
            </w:pPr>
            <w:r>
              <w:rPr>
                <w:sz w:val="24"/>
              </w:rPr>
              <w:t>Alili </w:t>
            </w:r>
            <w:r>
              <w:rPr>
                <w:spacing w:val="-2"/>
                <w:sz w:val="24"/>
              </w:rPr>
              <w:t>Horse</w:t>
            </w:r>
          </w:p>
        </w:tc>
        <w:tc>
          <w:tcPr>
            <w:tcW w:w="1441" w:type="dxa"/>
          </w:tcPr>
          <w:p>
            <w:pPr>
              <w:pStyle w:val="TableParagraph"/>
              <w:spacing w:line="256" w:lineRule="exact"/>
              <w:ind w:left="27" w:right="75"/>
              <w:jc w:val="center"/>
              <w:rPr>
                <w:sz w:val="24"/>
              </w:rPr>
            </w:pPr>
            <w:r>
              <w:rPr>
                <w:sz w:val="24"/>
              </w:rPr>
              <w:t>Rivers</w:t>
            </w:r>
            <w:r>
              <w:rPr>
                <w:spacing w:val="-2"/>
                <w:sz w:val="24"/>
              </w:rPr>
              <w:t> State</w:t>
            </w:r>
          </w:p>
        </w:tc>
        <w:tc>
          <w:tcPr>
            <w:tcW w:w="1442" w:type="dxa"/>
          </w:tcPr>
          <w:p>
            <w:pPr>
              <w:pStyle w:val="TableParagraph"/>
              <w:rPr>
                <w:sz w:val="20"/>
              </w:rPr>
            </w:pPr>
          </w:p>
        </w:tc>
        <w:tc>
          <w:tcPr>
            <w:tcW w:w="1441" w:type="dxa"/>
          </w:tcPr>
          <w:p>
            <w:pPr>
              <w:pStyle w:val="TableParagraph"/>
              <w:rPr>
                <w:sz w:val="20"/>
              </w:rPr>
            </w:pPr>
          </w:p>
        </w:tc>
      </w:tr>
      <w:tr>
        <w:trPr>
          <w:trHeight w:val="551" w:hRule="atLeast"/>
        </w:trPr>
        <w:tc>
          <w:tcPr>
            <w:tcW w:w="720" w:type="dxa"/>
          </w:tcPr>
          <w:p>
            <w:pPr>
              <w:pStyle w:val="TableParagraph"/>
              <w:spacing w:line="268" w:lineRule="exact"/>
              <w:ind w:left="107"/>
              <w:rPr>
                <w:sz w:val="24"/>
              </w:rPr>
            </w:pPr>
            <w:r>
              <w:rPr>
                <w:spacing w:val="-5"/>
                <w:sz w:val="24"/>
              </w:rPr>
              <w:t>42.</w:t>
            </w:r>
          </w:p>
        </w:tc>
        <w:tc>
          <w:tcPr>
            <w:tcW w:w="2449" w:type="dxa"/>
          </w:tcPr>
          <w:p>
            <w:pPr>
              <w:pStyle w:val="TableParagraph"/>
              <w:spacing w:line="268" w:lineRule="exact"/>
              <w:ind w:left="107"/>
              <w:rPr>
                <w:sz w:val="24"/>
              </w:rPr>
            </w:pPr>
            <w:r>
              <w:rPr>
                <w:sz w:val="24"/>
              </w:rPr>
              <w:t>Cawthorne</w:t>
            </w:r>
            <w:r>
              <w:rPr>
                <w:spacing w:val="-3"/>
                <w:sz w:val="24"/>
              </w:rPr>
              <w:t> </w:t>
            </w:r>
            <w:r>
              <w:rPr>
                <w:spacing w:val="-2"/>
                <w:sz w:val="24"/>
              </w:rPr>
              <w:t>Channel</w:t>
            </w:r>
          </w:p>
          <w:p>
            <w:pPr>
              <w:pStyle w:val="TableParagraph"/>
              <w:spacing w:line="264" w:lineRule="exact"/>
              <w:ind w:left="107"/>
              <w:rPr>
                <w:sz w:val="24"/>
              </w:rPr>
            </w:pPr>
            <w:r>
              <w:rPr>
                <w:sz w:val="24"/>
              </w:rPr>
              <w:t>Camp</w:t>
            </w:r>
            <w:r>
              <w:rPr>
                <w:spacing w:val="-1"/>
                <w:sz w:val="24"/>
              </w:rPr>
              <w:t> </w:t>
            </w:r>
            <w:r>
              <w:rPr>
                <w:sz w:val="24"/>
              </w:rPr>
              <w:t>1 and </w:t>
            </w:r>
            <w:r>
              <w:rPr>
                <w:spacing w:val="-10"/>
                <w:sz w:val="24"/>
              </w:rPr>
              <w:t>2</w:t>
            </w:r>
          </w:p>
        </w:tc>
        <w:tc>
          <w:tcPr>
            <w:tcW w:w="1801" w:type="dxa"/>
          </w:tcPr>
          <w:p>
            <w:pPr>
              <w:pStyle w:val="TableParagraph"/>
              <w:spacing w:line="268" w:lineRule="exact"/>
              <w:ind w:left="107"/>
              <w:rPr>
                <w:sz w:val="24"/>
              </w:rPr>
            </w:pPr>
            <w:r>
              <w:rPr>
                <w:sz w:val="24"/>
              </w:rPr>
              <w:t>Ateke</w:t>
            </w:r>
            <w:r>
              <w:rPr>
                <w:spacing w:val="-2"/>
                <w:sz w:val="24"/>
              </w:rPr>
              <w:t> </w:t>
            </w:r>
            <w:r>
              <w:rPr>
                <w:spacing w:val="-5"/>
                <w:sz w:val="24"/>
              </w:rPr>
              <w:t>Tom</w:t>
            </w:r>
          </w:p>
        </w:tc>
        <w:tc>
          <w:tcPr>
            <w:tcW w:w="1441" w:type="dxa"/>
          </w:tcPr>
          <w:p>
            <w:pPr>
              <w:pStyle w:val="TableParagraph"/>
              <w:spacing w:line="268" w:lineRule="exact"/>
              <w:ind w:left="27" w:right="75"/>
              <w:jc w:val="center"/>
              <w:rPr>
                <w:sz w:val="24"/>
              </w:rPr>
            </w:pPr>
            <w:r>
              <w:rPr>
                <w:sz w:val="24"/>
              </w:rPr>
              <w:t>Rivers</w:t>
            </w:r>
            <w:r>
              <w:rPr>
                <w:spacing w:val="-2"/>
                <w:sz w:val="24"/>
              </w:rPr>
              <w:t> State</w:t>
            </w:r>
          </w:p>
        </w:tc>
        <w:tc>
          <w:tcPr>
            <w:tcW w:w="1442" w:type="dxa"/>
          </w:tcPr>
          <w:p>
            <w:pPr>
              <w:pStyle w:val="TableParagraph"/>
              <w:rPr>
                <w:sz w:val="24"/>
              </w:rPr>
            </w:pPr>
          </w:p>
        </w:tc>
        <w:tc>
          <w:tcPr>
            <w:tcW w:w="1441" w:type="dxa"/>
          </w:tcPr>
          <w:p>
            <w:pPr>
              <w:pStyle w:val="TableParagraph"/>
              <w:rPr>
                <w:sz w:val="24"/>
              </w:rPr>
            </w:pPr>
          </w:p>
        </w:tc>
      </w:tr>
      <w:tr>
        <w:trPr>
          <w:trHeight w:val="551" w:hRule="atLeast"/>
        </w:trPr>
        <w:tc>
          <w:tcPr>
            <w:tcW w:w="720" w:type="dxa"/>
          </w:tcPr>
          <w:p>
            <w:pPr>
              <w:pStyle w:val="TableParagraph"/>
              <w:spacing w:line="268" w:lineRule="exact"/>
              <w:ind w:left="107"/>
              <w:rPr>
                <w:sz w:val="24"/>
              </w:rPr>
            </w:pPr>
            <w:r>
              <w:rPr>
                <w:spacing w:val="-5"/>
                <w:sz w:val="24"/>
              </w:rPr>
              <w:t>43.</w:t>
            </w:r>
          </w:p>
        </w:tc>
        <w:tc>
          <w:tcPr>
            <w:tcW w:w="2449" w:type="dxa"/>
          </w:tcPr>
          <w:p>
            <w:pPr>
              <w:pStyle w:val="TableParagraph"/>
              <w:spacing w:line="268" w:lineRule="exact"/>
              <w:ind w:left="107"/>
              <w:rPr>
                <w:sz w:val="24"/>
              </w:rPr>
            </w:pPr>
            <w:r>
              <w:rPr>
                <w:sz w:val="24"/>
              </w:rPr>
              <w:t>Cawthorne</w:t>
            </w:r>
            <w:r>
              <w:rPr>
                <w:spacing w:val="-3"/>
                <w:sz w:val="24"/>
              </w:rPr>
              <w:t> </w:t>
            </w:r>
            <w:r>
              <w:rPr>
                <w:spacing w:val="-2"/>
                <w:sz w:val="24"/>
              </w:rPr>
              <w:t>Channel</w:t>
            </w:r>
          </w:p>
          <w:p>
            <w:pPr>
              <w:pStyle w:val="TableParagraph"/>
              <w:spacing w:line="264" w:lineRule="exact"/>
              <w:ind w:left="107"/>
              <w:rPr>
                <w:sz w:val="24"/>
              </w:rPr>
            </w:pPr>
            <w:r>
              <w:rPr>
                <w:sz w:val="24"/>
              </w:rPr>
              <w:t>Camp</w:t>
            </w:r>
            <w:r>
              <w:rPr>
                <w:spacing w:val="-1"/>
                <w:sz w:val="24"/>
              </w:rPr>
              <w:t> </w:t>
            </w:r>
            <w:r>
              <w:rPr>
                <w:spacing w:val="-10"/>
                <w:sz w:val="24"/>
              </w:rPr>
              <w:t>3</w:t>
            </w:r>
          </w:p>
        </w:tc>
        <w:tc>
          <w:tcPr>
            <w:tcW w:w="1801" w:type="dxa"/>
          </w:tcPr>
          <w:p>
            <w:pPr>
              <w:pStyle w:val="TableParagraph"/>
              <w:spacing w:line="268" w:lineRule="exact"/>
              <w:ind w:left="107"/>
              <w:rPr>
                <w:sz w:val="24"/>
              </w:rPr>
            </w:pPr>
            <w:r>
              <w:rPr>
                <w:sz w:val="24"/>
              </w:rPr>
              <w:t>Onegi</w:t>
            </w:r>
            <w:r>
              <w:rPr>
                <w:spacing w:val="-5"/>
                <w:sz w:val="24"/>
              </w:rPr>
              <w:t> </w:t>
            </w:r>
            <w:r>
              <w:rPr>
                <w:spacing w:val="-2"/>
                <w:sz w:val="24"/>
              </w:rPr>
              <w:t>Ofori</w:t>
            </w:r>
          </w:p>
          <w:p>
            <w:pPr>
              <w:pStyle w:val="TableParagraph"/>
              <w:spacing w:line="264" w:lineRule="exact"/>
              <w:ind w:left="107"/>
              <w:rPr>
                <w:sz w:val="24"/>
              </w:rPr>
            </w:pPr>
            <w:r>
              <w:rPr>
                <w:sz w:val="24"/>
              </w:rPr>
              <w:t>alias</w:t>
            </w:r>
            <w:r>
              <w:rPr>
                <w:spacing w:val="-4"/>
                <w:sz w:val="24"/>
              </w:rPr>
              <w:t> </w:t>
            </w:r>
            <w:r>
              <w:rPr>
                <w:spacing w:val="-2"/>
                <w:sz w:val="24"/>
              </w:rPr>
              <w:t>Egbele</w:t>
            </w:r>
          </w:p>
        </w:tc>
        <w:tc>
          <w:tcPr>
            <w:tcW w:w="1441" w:type="dxa"/>
          </w:tcPr>
          <w:p>
            <w:pPr>
              <w:pStyle w:val="TableParagraph"/>
              <w:spacing w:line="268" w:lineRule="exact"/>
              <w:ind w:left="27" w:right="75"/>
              <w:jc w:val="center"/>
              <w:rPr>
                <w:sz w:val="24"/>
              </w:rPr>
            </w:pPr>
            <w:r>
              <w:rPr>
                <w:sz w:val="24"/>
              </w:rPr>
              <w:t>Rivers</w:t>
            </w:r>
            <w:r>
              <w:rPr>
                <w:spacing w:val="-2"/>
                <w:sz w:val="24"/>
              </w:rPr>
              <w:t> State</w:t>
            </w:r>
          </w:p>
        </w:tc>
        <w:tc>
          <w:tcPr>
            <w:tcW w:w="1442" w:type="dxa"/>
          </w:tcPr>
          <w:p>
            <w:pPr>
              <w:pStyle w:val="TableParagraph"/>
              <w:rPr>
                <w:sz w:val="24"/>
              </w:rPr>
            </w:pPr>
          </w:p>
        </w:tc>
        <w:tc>
          <w:tcPr>
            <w:tcW w:w="1441" w:type="dxa"/>
          </w:tcPr>
          <w:p>
            <w:pPr>
              <w:pStyle w:val="TableParagraph"/>
              <w:rPr>
                <w:sz w:val="24"/>
              </w:rPr>
            </w:pPr>
          </w:p>
        </w:tc>
      </w:tr>
      <w:tr>
        <w:trPr>
          <w:trHeight w:val="275" w:hRule="atLeast"/>
        </w:trPr>
        <w:tc>
          <w:tcPr>
            <w:tcW w:w="720" w:type="dxa"/>
          </w:tcPr>
          <w:p>
            <w:pPr>
              <w:pStyle w:val="TableParagraph"/>
              <w:spacing w:line="256" w:lineRule="exact"/>
              <w:ind w:left="107"/>
              <w:rPr>
                <w:sz w:val="24"/>
              </w:rPr>
            </w:pPr>
            <w:r>
              <w:rPr>
                <w:spacing w:val="-5"/>
                <w:sz w:val="24"/>
              </w:rPr>
              <w:t>44.</w:t>
            </w:r>
          </w:p>
        </w:tc>
        <w:tc>
          <w:tcPr>
            <w:tcW w:w="2449" w:type="dxa"/>
          </w:tcPr>
          <w:p>
            <w:pPr>
              <w:pStyle w:val="TableParagraph"/>
              <w:spacing w:line="256" w:lineRule="exact"/>
              <w:ind w:left="107"/>
              <w:rPr>
                <w:sz w:val="24"/>
              </w:rPr>
            </w:pPr>
            <w:r>
              <w:rPr>
                <w:sz w:val="24"/>
              </w:rPr>
              <w:t>Idama</w:t>
            </w:r>
            <w:r>
              <w:rPr>
                <w:spacing w:val="-3"/>
                <w:sz w:val="24"/>
              </w:rPr>
              <w:t> </w:t>
            </w:r>
            <w:r>
              <w:rPr>
                <w:spacing w:val="-4"/>
                <w:sz w:val="24"/>
              </w:rPr>
              <w:t>Camp</w:t>
            </w:r>
          </w:p>
        </w:tc>
        <w:tc>
          <w:tcPr>
            <w:tcW w:w="1801" w:type="dxa"/>
          </w:tcPr>
          <w:p>
            <w:pPr>
              <w:pStyle w:val="TableParagraph"/>
              <w:spacing w:line="256" w:lineRule="exact"/>
              <w:ind w:left="107"/>
              <w:rPr>
                <w:sz w:val="24"/>
              </w:rPr>
            </w:pPr>
            <w:r>
              <w:rPr>
                <w:sz w:val="24"/>
              </w:rPr>
              <w:t>Abiye</w:t>
            </w:r>
            <w:r>
              <w:rPr>
                <w:spacing w:val="-2"/>
                <w:sz w:val="24"/>
              </w:rPr>
              <w:t> Dokubo</w:t>
            </w:r>
          </w:p>
        </w:tc>
        <w:tc>
          <w:tcPr>
            <w:tcW w:w="1441" w:type="dxa"/>
          </w:tcPr>
          <w:p>
            <w:pPr>
              <w:pStyle w:val="TableParagraph"/>
              <w:spacing w:line="256" w:lineRule="exact"/>
              <w:ind w:left="27" w:right="75"/>
              <w:jc w:val="center"/>
              <w:rPr>
                <w:sz w:val="24"/>
              </w:rPr>
            </w:pPr>
            <w:r>
              <w:rPr>
                <w:sz w:val="24"/>
              </w:rPr>
              <w:t>Rivers</w:t>
            </w:r>
            <w:r>
              <w:rPr>
                <w:spacing w:val="-2"/>
                <w:sz w:val="24"/>
              </w:rPr>
              <w:t> State</w:t>
            </w:r>
          </w:p>
        </w:tc>
        <w:tc>
          <w:tcPr>
            <w:tcW w:w="1442" w:type="dxa"/>
          </w:tcPr>
          <w:p>
            <w:pPr>
              <w:pStyle w:val="TableParagraph"/>
              <w:rPr>
                <w:sz w:val="20"/>
              </w:rPr>
            </w:pPr>
          </w:p>
        </w:tc>
        <w:tc>
          <w:tcPr>
            <w:tcW w:w="1441" w:type="dxa"/>
          </w:tcPr>
          <w:p>
            <w:pPr>
              <w:pStyle w:val="TableParagraph"/>
              <w:rPr>
                <w:sz w:val="20"/>
              </w:rPr>
            </w:pPr>
          </w:p>
        </w:tc>
      </w:tr>
      <w:tr>
        <w:trPr>
          <w:trHeight w:val="551" w:hRule="atLeast"/>
        </w:trPr>
        <w:tc>
          <w:tcPr>
            <w:tcW w:w="720" w:type="dxa"/>
          </w:tcPr>
          <w:p>
            <w:pPr>
              <w:pStyle w:val="TableParagraph"/>
              <w:spacing w:line="268" w:lineRule="exact"/>
              <w:ind w:left="107"/>
              <w:rPr>
                <w:sz w:val="24"/>
              </w:rPr>
            </w:pPr>
            <w:r>
              <w:rPr>
                <w:spacing w:val="-5"/>
                <w:sz w:val="24"/>
              </w:rPr>
              <w:t>45.</w:t>
            </w:r>
          </w:p>
        </w:tc>
        <w:tc>
          <w:tcPr>
            <w:tcW w:w="2449" w:type="dxa"/>
          </w:tcPr>
          <w:p>
            <w:pPr>
              <w:pStyle w:val="TableParagraph"/>
              <w:spacing w:line="268" w:lineRule="exact"/>
              <w:ind w:left="107"/>
              <w:rPr>
                <w:sz w:val="24"/>
              </w:rPr>
            </w:pPr>
            <w:r>
              <w:rPr>
                <w:sz w:val="24"/>
              </w:rPr>
              <w:t>Tombia</w:t>
            </w:r>
            <w:r>
              <w:rPr>
                <w:spacing w:val="-3"/>
                <w:sz w:val="24"/>
              </w:rPr>
              <w:t> </w:t>
            </w:r>
            <w:r>
              <w:rPr>
                <w:spacing w:val="-4"/>
                <w:sz w:val="24"/>
              </w:rPr>
              <w:t>Camp</w:t>
            </w:r>
          </w:p>
        </w:tc>
        <w:tc>
          <w:tcPr>
            <w:tcW w:w="1801" w:type="dxa"/>
          </w:tcPr>
          <w:p>
            <w:pPr>
              <w:pStyle w:val="TableParagraph"/>
              <w:spacing w:line="268" w:lineRule="exact"/>
              <w:ind w:left="107"/>
              <w:rPr>
                <w:sz w:val="24"/>
              </w:rPr>
            </w:pPr>
            <w:r>
              <w:rPr>
                <w:spacing w:val="-2"/>
                <w:sz w:val="24"/>
              </w:rPr>
              <w:t>Opulapuye</w:t>
            </w:r>
          </w:p>
          <w:p>
            <w:pPr>
              <w:pStyle w:val="TableParagraph"/>
              <w:spacing w:line="264" w:lineRule="exact"/>
              <w:ind w:left="107"/>
              <w:rPr>
                <w:sz w:val="24"/>
              </w:rPr>
            </w:pPr>
            <w:r>
              <w:rPr>
                <w:spacing w:val="-4"/>
                <w:sz w:val="24"/>
              </w:rPr>
              <w:t>Abey</w:t>
            </w:r>
          </w:p>
        </w:tc>
        <w:tc>
          <w:tcPr>
            <w:tcW w:w="1441" w:type="dxa"/>
          </w:tcPr>
          <w:p>
            <w:pPr>
              <w:pStyle w:val="TableParagraph"/>
              <w:spacing w:line="268" w:lineRule="exact"/>
              <w:ind w:left="27" w:right="75"/>
              <w:jc w:val="center"/>
              <w:rPr>
                <w:sz w:val="24"/>
              </w:rPr>
            </w:pPr>
            <w:r>
              <w:rPr>
                <w:sz w:val="24"/>
              </w:rPr>
              <w:t>Rivers</w:t>
            </w:r>
            <w:r>
              <w:rPr>
                <w:spacing w:val="-2"/>
                <w:sz w:val="24"/>
              </w:rPr>
              <w:t> State</w:t>
            </w:r>
          </w:p>
        </w:tc>
        <w:tc>
          <w:tcPr>
            <w:tcW w:w="1442" w:type="dxa"/>
          </w:tcPr>
          <w:p>
            <w:pPr>
              <w:pStyle w:val="TableParagraph"/>
              <w:rPr>
                <w:sz w:val="24"/>
              </w:rPr>
            </w:pPr>
          </w:p>
        </w:tc>
        <w:tc>
          <w:tcPr>
            <w:tcW w:w="1441" w:type="dxa"/>
          </w:tcPr>
          <w:p>
            <w:pPr>
              <w:pStyle w:val="TableParagraph"/>
              <w:rPr>
                <w:sz w:val="24"/>
              </w:rPr>
            </w:pPr>
          </w:p>
        </w:tc>
      </w:tr>
      <w:tr>
        <w:trPr>
          <w:trHeight w:val="277" w:hRule="atLeast"/>
        </w:trPr>
        <w:tc>
          <w:tcPr>
            <w:tcW w:w="720" w:type="dxa"/>
          </w:tcPr>
          <w:p>
            <w:pPr>
              <w:pStyle w:val="TableParagraph"/>
              <w:spacing w:line="258" w:lineRule="exact"/>
              <w:ind w:left="107"/>
              <w:rPr>
                <w:sz w:val="24"/>
              </w:rPr>
            </w:pPr>
            <w:r>
              <w:rPr>
                <w:spacing w:val="-5"/>
                <w:sz w:val="24"/>
              </w:rPr>
              <w:t>46.</w:t>
            </w:r>
          </w:p>
        </w:tc>
        <w:tc>
          <w:tcPr>
            <w:tcW w:w="2449" w:type="dxa"/>
          </w:tcPr>
          <w:p>
            <w:pPr>
              <w:pStyle w:val="TableParagraph"/>
              <w:spacing w:line="258" w:lineRule="exact"/>
              <w:ind w:left="107"/>
              <w:rPr>
                <w:sz w:val="24"/>
              </w:rPr>
            </w:pPr>
            <w:r>
              <w:rPr>
                <w:sz w:val="24"/>
              </w:rPr>
              <w:t>Khana,</w:t>
            </w:r>
            <w:r>
              <w:rPr>
                <w:spacing w:val="-4"/>
                <w:sz w:val="24"/>
              </w:rPr>
              <w:t> </w:t>
            </w:r>
            <w:r>
              <w:rPr>
                <w:sz w:val="24"/>
              </w:rPr>
              <w:t>Hskhana </w:t>
            </w:r>
            <w:r>
              <w:rPr>
                <w:spacing w:val="-5"/>
                <w:sz w:val="24"/>
              </w:rPr>
              <w:t>LGA</w:t>
            </w:r>
          </w:p>
        </w:tc>
        <w:tc>
          <w:tcPr>
            <w:tcW w:w="1801" w:type="dxa"/>
          </w:tcPr>
          <w:p>
            <w:pPr>
              <w:pStyle w:val="TableParagraph"/>
              <w:spacing w:line="258" w:lineRule="exact"/>
              <w:ind w:left="107"/>
              <w:rPr>
                <w:sz w:val="24"/>
              </w:rPr>
            </w:pPr>
            <w:r>
              <w:rPr>
                <w:sz w:val="24"/>
              </w:rPr>
              <w:t>Ateke</w:t>
            </w:r>
            <w:r>
              <w:rPr>
                <w:spacing w:val="-2"/>
                <w:sz w:val="24"/>
              </w:rPr>
              <w:t> </w:t>
            </w:r>
            <w:r>
              <w:rPr>
                <w:spacing w:val="-5"/>
                <w:sz w:val="24"/>
              </w:rPr>
              <w:t>Tom</w:t>
            </w:r>
          </w:p>
        </w:tc>
        <w:tc>
          <w:tcPr>
            <w:tcW w:w="1441" w:type="dxa"/>
          </w:tcPr>
          <w:p>
            <w:pPr>
              <w:pStyle w:val="TableParagraph"/>
              <w:spacing w:line="258" w:lineRule="exact"/>
              <w:ind w:left="27" w:right="75"/>
              <w:jc w:val="center"/>
              <w:rPr>
                <w:sz w:val="24"/>
              </w:rPr>
            </w:pPr>
            <w:r>
              <w:rPr>
                <w:sz w:val="24"/>
              </w:rPr>
              <w:t>Rivers</w:t>
            </w:r>
            <w:r>
              <w:rPr>
                <w:spacing w:val="-2"/>
                <w:sz w:val="24"/>
              </w:rPr>
              <w:t> State</w:t>
            </w:r>
          </w:p>
        </w:tc>
        <w:tc>
          <w:tcPr>
            <w:tcW w:w="1442" w:type="dxa"/>
          </w:tcPr>
          <w:p>
            <w:pPr>
              <w:pStyle w:val="TableParagraph"/>
              <w:rPr>
                <w:sz w:val="20"/>
              </w:rPr>
            </w:pPr>
          </w:p>
        </w:tc>
        <w:tc>
          <w:tcPr>
            <w:tcW w:w="1441" w:type="dxa"/>
          </w:tcPr>
          <w:p>
            <w:pPr>
              <w:pStyle w:val="TableParagraph"/>
              <w:spacing w:line="258" w:lineRule="exact"/>
              <w:ind w:left="104"/>
              <w:rPr>
                <w:sz w:val="24"/>
              </w:rPr>
            </w:pPr>
            <w:r>
              <w:rPr>
                <w:sz w:val="24"/>
              </w:rPr>
              <w:t>New</w:t>
            </w:r>
            <w:r>
              <w:rPr>
                <w:spacing w:val="-4"/>
                <w:sz w:val="24"/>
              </w:rPr>
              <w:t> Camp</w:t>
            </w:r>
          </w:p>
        </w:tc>
      </w:tr>
      <w:tr>
        <w:trPr>
          <w:trHeight w:val="276" w:hRule="atLeast"/>
        </w:trPr>
        <w:tc>
          <w:tcPr>
            <w:tcW w:w="720" w:type="dxa"/>
          </w:tcPr>
          <w:p>
            <w:pPr>
              <w:pStyle w:val="TableParagraph"/>
              <w:spacing w:line="256" w:lineRule="exact"/>
              <w:ind w:left="107"/>
              <w:rPr>
                <w:sz w:val="24"/>
              </w:rPr>
            </w:pPr>
            <w:r>
              <w:rPr>
                <w:spacing w:val="-5"/>
                <w:sz w:val="24"/>
              </w:rPr>
              <w:t>47.</w:t>
            </w:r>
          </w:p>
        </w:tc>
        <w:tc>
          <w:tcPr>
            <w:tcW w:w="2449" w:type="dxa"/>
          </w:tcPr>
          <w:p>
            <w:pPr>
              <w:pStyle w:val="TableParagraph"/>
              <w:spacing w:line="256" w:lineRule="exact"/>
              <w:ind w:left="107"/>
              <w:rPr>
                <w:sz w:val="24"/>
              </w:rPr>
            </w:pPr>
            <w:r>
              <w:rPr>
                <w:sz w:val="24"/>
              </w:rPr>
              <w:t>Angola</w:t>
            </w:r>
            <w:r>
              <w:rPr>
                <w:spacing w:val="-3"/>
                <w:sz w:val="24"/>
              </w:rPr>
              <w:t> </w:t>
            </w:r>
            <w:r>
              <w:rPr>
                <w:spacing w:val="-10"/>
                <w:sz w:val="24"/>
              </w:rPr>
              <w:t>1</w:t>
            </w:r>
          </w:p>
        </w:tc>
        <w:tc>
          <w:tcPr>
            <w:tcW w:w="1801" w:type="dxa"/>
          </w:tcPr>
          <w:p>
            <w:pPr>
              <w:pStyle w:val="TableParagraph"/>
              <w:spacing w:line="256" w:lineRule="exact"/>
              <w:ind w:left="107"/>
              <w:rPr>
                <w:sz w:val="24"/>
              </w:rPr>
            </w:pPr>
            <w:r>
              <w:rPr>
                <w:sz w:val="24"/>
              </w:rPr>
              <w:t>Ateke</w:t>
            </w:r>
            <w:r>
              <w:rPr>
                <w:spacing w:val="-2"/>
                <w:sz w:val="24"/>
              </w:rPr>
              <w:t> </w:t>
            </w:r>
            <w:r>
              <w:rPr>
                <w:spacing w:val="-5"/>
                <w:sz w:val="24"/>
              </w:rPr>
              <w:t>Tom</w:t>
            </w:r>
          </w:p>
        </w:tc>
        <w:tc>
          <w:tcPr>
            <w:tcW w:w="1441" w:type="dxa"/>
          </w:tcPr>
          <w:p>
            <w:pPr>
              <w:pStyle w:val="TableParagraph"/>
              <w:spacing w:line="256" w:lineRule="exact"/>
              <w:ind w:left="27" w:right="75"/>
              <w:jc w:val="center"/>
              <w:rPr>
                <w:sz w:val="24"/>
              </w:rPr>
            </w:pPr>
            <w:r>
              <w:rPr>
                <w:sz w:val="24"/>
              </w:rPr>
              <w:t>Rivers</w:t>
            </w:r>
            <w:r>
              <w:rPr>
                <w:spacing w:val="-2"/>
                <w:sz w:val="24"/>
              </w:rPr>
              <w:t> State</w:t>
            </w:r>
          </w:p>
        </w:tc>
        <w:tc>
          <w:tcPr>
            <w:tcW w:w="1442" w:type="dxa"/>
          </w:tcPr>
          <w:p>
            <w:pPr>
              <w:pStyle w:val="TableParagraph"/>
              <w:rPr>
                <w:sz w:val="20"/>
              </w:rPr>
            </w:pPr>
          </w:p>
        </w:tc>
        <w:tc>
          <w:tcPr>
            <w:tcW w:w="1441" w:type="dxa"/>
          </w:tcPr>
          <w:p>
            <w:pPr>
              <w:pStyle w:val="TableParagraph"/>
              <w:rPr>
                <w:sz w:val="20"/>
              </w:rPr>
            </w:pPr>
          </w:p>
        </w:tc>
      </w:tr>
      <w:tr>
        <w:trPr>
          <w:trHeight w:val="275" w:hRule="atLeast"/>
        </w:trPr>
        <w:tc>
          <w:tcPr>
            <w:tcW w:w="720" w:type="dxa"/>
          </w:tcPr>
          <w:p>
            <w:pPr>
              <w:pStyle w:val="TableParagraph"/>
              <w:spacing w:line="256" w:lineRule="exact"/>
              <w:ind w:left="107"/>
              <w:rPr>
                <w:sz w:val="24"/>
              </w:rPr>
            </w:pPr>
            <w:r>
              <w:rPr>
                <w:spacing w:val="-5"/>
                <w:sz w:val="24"/>
              </w:rPr>
              <w:t>48.</w:t>
            </w:r>
          </w:p>
        </w:tc>
        <w:tc>
          <w:tcPr>
            <w:tcW w:w="2449" w:type="dxa"/>
          </w:tcPr>
          <w:p>
            <w:pPr>
              <w:pStyle w:val="TableParagraph"/>
              <w:spacing w:line="256" w:lineRule="exact"/>
              <w:ind w:left="107"/>
              <w:rPr>
                <w:sz w:val="24"/>
              </w:rPr>
            </w:pPr>
            <w:r>
              <w:rPr>
                <w:sz w:val="24"/>
              </w:rPr>
              <w:t>Angola</w:t>
            </w:r>
            <w:r>
              <w:rPr>
                <w:spacing w:val="57"/>
                <w:sz w:val="24"/>
              </w:rPr>
              <w:t> </w:t>
            </w:r>
            <w:r>
              <w:rPr>
                <w:spacing w:val="-10"/>
                <w:sz w:val="24"/>
              </w:rPr>
              <w:t>2</w:t>
            </w:r>
          </w:p>
        </w:tc>
        <w:tc>
          <w:tcPr>
            <w:tcW w:w="1801" w:type="dxa"/>
          </w:tcPr>
          <w:p>
            <w:pPr>
              <w:pStyle w:val="TableParagraph"/>
              <w:spacing w:line="256" w:lineRule="exact"/>
              <w:ind w:left="107"/>
              <w:rPr>
                <w:sz w:val="24"/>
              </w:rPr>
            </w:pPr>
            <w:r>
              <w:rPr>
                <w:sz w:val="24"/>
              </w:rPr>
              <w:t>Ateke</w:t>
            </w:r>
            <w:r>
              <w:rPr>
                <w:spacing w:val="58"/>
                <w:sz w:val="24"/>
              </w:rPr>
              <w:t> </w:t>
            </w:r>
            <w:r>
              <w:rPr>
                <w:spacing w:val="-5"/>
                <w:sz w:val="24"/>
              </w:rPr>
              <w:t>Tom</w:t>
            </w:r>
          </w:p>
        </w:tc>
        <w:tc>
          <w:tcPr>
            <w:tcW w:w="1441" w:type="dxa"/>
          </w:tcPr>
          <w:p>
            <w:pPr>
              <w:pStyle w:val="TableParagraph"/>
              <w:spacing w:line="256" w:lineRule="exact"/>
              <w:ind w:left="27" w:right="75"/>
              <w:jc w:val="center"/>
              <w:rPr>
                <w:sz w:val="24"/>
              </w:rPr>
            </w:pPr>
            <w:r>
              <w:rPr>
                <w:sz w:val="24"/>
              </w:rPr>
              <w:t>Rivers</w:t>
            </w:r>
            <w:r>
              <w:rPr>
                <w:spacing w:val="-2"/>
                <w:sz w:val="24"/>
              </w:rPr>
              <w:t> State</w:t>
            </w:r>
          </w:p>
        </w:tc>
        <w:tc>
          <w:tcPr>
            <w:tcW w:w="1442" w:type="dxa"/>
          </w:tcPr>
          <w:p>
            <w:pPr>
              <w:pStyle w:val="TableParagraph"/>
              <w:rPr>
                <w:sz w:val="20"/>
              </w:rPr>
            </w:pPr>
          </w:p>
        </w:tc>
        <w:tc>
          <w:tcPr>
            <w:tcW w:w="1441" w:type="dxa"/>
          </w:tcPr>
          <w:p>
            <w:pPr>
              <w:pStyle w:val="TableParagraph"/>
              <w:rPr>
                <w:sz w:val="20"/>
              </w:rPr>
            </w:pPr>
          </w:p>
        </w:tc>
      </w:tr>
      <w:tr>
        <w:trPr>
          <w:trHeight w:val="275" w:hRule="atLeast"/>
        </w:trPr>
        <w:tc>
          <w:tcPr>
            <w:tcW w:w="720" w:type="dxa"/>
          </w:tcPr>
          <w:p>
            <w:pPr>
              <w:pStyle w:val="TableParagraph"/>
              <w:spacing w:line="256" w:lineRule="exact"/>
              <w:ind w:left="107"/>
              <w:rPr>
                <w:sz w:val="24"/>
              </w:rPr>
            </w:pPr>
            <w:r>
              <w:rPr>
                <w:spacing w:val="-5"/>
                <w:sz w:val="24"/>
              </w:rPr>
              <w:t>49.</w:t>
            </w:r>
          </w:p>
        </w:tc>
        <w:tc>
          <w:tcPr>
            <w:tcW w:w="2449" w:type="dxa"/>
          </w:tcPr>
          <w:p>
            <w:pPr>
              <w:pStyle w:val="TableParagraph"/>
              <w:spacing w:line="256" w:lineRule="exact"/>
              <w:ind w:left="107"/>
              <w:rPr>
                <w:sz w:val="24"/>
              </w:rPr>
            </w:pPr>
            <w:r>
              <w:rPr>
                <w:sz w:val="24"/>
              </w:rPr>
              <w:t>Shinning</w:t>
            </w:r>
            <w:r>
              <w:rPr>
                <w:spacing w:val="-3"/>
                <w:sz w:val="24"/>
              </w:rPr>
              <w:t> </w:t>
            </w:r>
            <w:r>
              <w:rPr>
                <w:spacing w:val="-4"/>
                <w:sz w:val="24"/>
              </w:rPr>
              <w:t>Roof</w:t>
            </w:r>
          </w:p>
        </w:tc>
        <w:tc>
          <w:tcPr>
            <w:tcW w:w="1801" w:type="dxa"/>
          </w:tcPr>
          <w:p>
            <w:pPr>
              <w:pStyle w:val="TableParagraph"/>
              <w:spacing w:line="256" w:lineRule="exact"/>
              <w:ind w:left="107"/>
              <w:rPr>
                <w:sz w:val="24"/>
              </w:rPr>
            </w:pPr>
            <w:r>
              <w:rPr>
                <w:sz w:val="24"/>
              </w:rPr>
              <w:t>Ateke</w:t>
            </w:r>
            <w:r>
              <w:rPr>
                <w:spacing w:val="-2"/>
                <w:sz w:val="24"/>
              </w:rPr>
              <w:t> </w:t>
            </w:r>
            <w:r>
              <w:rPr>
                <w:spacing w:val="-5"/>
                <w:sz w:val="24"/>
              </w:rPr>
              <w:t>Tom</w:t>
            </w:r>
          </w:p>
        </w:tc>
        <w:tc>
          <w:tcPr>
            <w:tcW w:w="1441" w:type="dxa"/>
          </w:tcPr>
          <w:p>
            <w:pPr>
              <w:pStyle w:val="TableParagraph"/>
              <w:spacing w:line="256" w:lineRule="exact"/>
              <w:ind w:left="27" w:right="75"/>
              <w:jc w:val="center"/>
              <w:rPr>
                <w:sz w:val="24"/>
              </w:rPr>
            </w:pPr>
            <w:r>
              <w:rPr>
                <w:sz w:val="24"/>
              </w:rPr>
              <w:t>Rivers</w:t>
            </w:r>
            <w:r>
              <w:rPr>
                <w:spacing w:val="-2"/>
                <w:sz w:val="24"/>
              </w:rPr>
              <w:t> State</w:t>
            </w:r>
          </w:p>
        </w:tc>
        <w:tc>
          <w:tcPr>
            <w:tcW w:w="1442" w:type="dxa"/>
          </w:tcPr>
          <w:p>
            <w:pPr>
              <w:pStyle w:val="TableParagraph"/>
              <w:rPr>
                <w:sz w:val="20"/>
              </w:rPr>
            </w:pPr>
          </w:p>
        </w:tc>
        <w:tc>
          <w:tcPr>
            <w:tcW w:w="1441" w:type="dxa"/>
          </w:tcPr>
          <w:p>
            <w:pPr>
              <w:pStyle w:val="TableParagraph"/>
              <w:rPr>
                <w:sz w:val="20"/>
              </w:rPr>
            </w:pPr>
          </w:p>
        </w:tc>
      </w:tr>
      <w:tr>
        <w:trPr>
          <w:trHeight w:val="275" w:hRule="atLeast"/>
        </w:trPr>
        <w:tc>
          <w:tcPr>
            <w:tcW w:w="720" w:type="dxa"/>
          </w:tcPr>
          <w:p>
            <w:pPr>
              <w:pStyle w:val="TableParagraph"/>
              <w:spacing w:line="256" w:lineRule="exact"/>
              <w:ind w:left="107"/>
              <w:rPr>
                <w:sz w:val="24"/>
              </w:rPr>
            </w:pPr>
            <w:r>
              <w:rPr>
                <w:spacing w:val="-5"/>
                <w:sz w:val="24"/>
              </w:rPr>
              <w:t>50.</w:t>
            </w:r>
          </w:p>
        </w:tc>
        <w:tc>
          <w:tcPr>
            <w:tcW w:w="2449" w:type="dxa"/>
          </w:tcPr>
          <w:p>
            <w:pPr>
              <w:pStyle w:val="TableParagraph"/>
              <w:spacing w:line="256" w:lineRule="exact"/>
              <w:ind w:left="107"/>
              <w:rPr>
                <w:sz w:val="24"/>
              </w:rPr>
            </w:pPr>
            <w:r>
              <w:rPr>
                <w:sz w:val="24"/>
              </w:rPr>
              <w:t>New</w:t>
            </w:r>
            <w:r>
              <w:rPr>
                <w:spacing w:val="-2"/>
                <w:sz w:val="24"/>
              </w:rPr>
              <w:t> </w:t>
            </w:r>
            <w:r>
              <w:rPr>
                <w:sz w:val="24"/>
              </w:rPr>
              <w:t>Shinning</w:t>
            </w:r>
            <w:r>
              <w:rPr>
                <w:spacing w:val="-2"/>
                <w:sz w:val="24"/>
              </w:rPr>
              <w:t> </w:t>
            </w:r>
            <w:r>
              <w:rPr>
                <w:spacing w:val="-4"/>
                <w:sz w:val="24"/>
              </w:rPr>
              <w:t>Roof</w:t>
            </w:r>
          </w:p>
        </w:tc>
        <w:tc>
          <w:tcPr>
            <w:tcW w:w="1801" w:type="dxa"/>
          </w:tcPr>
          <w:p>
            <w:pPr>
              <w:pStyle w:val="TableParagraph"/>
              <w:spacing w:line="256" w:lineRule="exact"/>
              <w:ind w:left="107"/>
              <w:rPr>
                <w:sz w:val="24"/>
              </w:rPr>
            </w:pPr>
            <w:r>
              <w:rPr>
                <w:sz w:val="24"/>
              </w:rPr>
              <w:t>Ateke</w:t>
            </w:r>
            <w:r>
              <w:rPr>
                <w:spacing w:val="-2"/>
                <w:sz w:val="24"/>
              </w:rPr>
              <w:t> </w:t>
            </w:r>
            <w:r>
              <w:rPr>
                <w:spacing w:val="-5"/>
                <w:sz w:val="24"/>
              </w:rPr>
              <w:t>Tom</w:t>
            </w:r>
          </w:p>
        </w:tc>
        <w:tc>
          <w:tcPr>
            <w:tcW w:w="1441" w:type="dxa"/>
          </w:tcPr>
          <w:p>
            <w:pPr>
              <w:pStyle w:val="TableParagraph"/>
              <w:spacing w:line="256" w:lineRule="exact"/>
              <w:ind w:left="27" w:right="75"/>
              <w:jc w:val="center"/>
              <w:rPr>
                <w:sz w:val="24"/>
              </w:rPr>
            </w:pPr>
            <w:r>
              <w:rPr>
                <w:sz w:val="24"/>
              </w:rPr>
              <w:t>Rivers</w:t>
            </w:r>
            <w:r>
              <w:rPr>
                <w:spacing w:val="-2"/>
                <w:sz w:val="24"/>
              </w:rPr>
              <w:t> State</w:t>
            </w:r>
          </w:p>
        </w:tc>
        <w:tc>
          <w:tcPr>
            <w:tcW w:w="1442" w:type="dxa"/>
          </w:tcPr>
          <w:p>
            <w:pPr>
              <w:pStyle w:val="TableParagraph"/>
              <w:rPr>
                <w:sz w:val="20"/>
              </w:rPr>
            </w:pPr>
          </w:p>
        </w:tc>
        <w:tc>
          <w:tcPr>
            <w:tcW w:w="1441" w:type="dxa"/>
          </w:tcPr>
          <w:p>
            <w:pPr>
              <w:pStyle w:val="TableParagraph"/>
              <w:rPr>
                <w:sz w:val="20"/>
              </w:rPr>
            </w:pPr>
          </w:p>
        </w:tc>
      </w:tr>
      <w:tr>
        <w:trPr>
          <w:trHeight w:val="275" w:hRule="atLeast"/>
        </w:trPr>
        <w:tc>
          <w:tcPr>
            <w:tcW w:w="720" w:type="dxa"/>
          </w:tcPr>
          <w:p>
            <w:pPr>
              <w:pStyle w:val="TableParagraph"/>
              <w:spacing w:line="256" w:lineRule="exact"/>
              <w:ind w:left="107"/>
              <w:rPr>
                <w:sz w:val="24"/>
              </w:rPr>
            </w:pPr>
            <w:r>
              <w:rPr>
                <w:spacing w:val="-5"/>
                <w:sz w:val="24"/>
              </w:rPr>
              <w:t>51.</w:t>
            </w:r>
          </w:p>
        </w:tc>
        <w:tc>
          <w:tcPr>
            <w:tcW w:w="2449" w:type="dxa"/>
          </w:tcPr>
          <w:p>
            <w:pPr>
              <w:pStyle w:val="TableParagraph"/>
              <w:spacing w:line="256" w:lineRule="exact"/>
              <w:ind w:left="107"/>
              <w:rPr>
                <w:sz w:val="24"/>
              </w:rPr>
            </w:pPr>
            <w:r>
              <w:rPr>
                <w:sz w:val="24"/>
              </w:rPr>
              <w:t>Elem </w:t>
            </w:r>
            <w:r>
              <w:rPr>
                <w:spacing w:val="-2"/>
                <w:sz w:val="24"/>
              </w:rPr>
              <w:t>Tombia</w:t>
            </w:r>
          </w:p>
        </w:tc>
        <w:tc>
          <w:tcPr>
            <w:tcW w:w="1801" w:type="dxa"/>
          </w:tcPr>
          <w:p>
            <w:pPr>
              <w:pStyle w:val="TableParagraph"/>
              <w:spacing w:line="256" w:lineRule="exact"/>
              <w:ind w:left="107"/>
              <w:rPr>
                <w:sz w:val="24"/>
              </w:rPr>
            </w:pPr>
            <w:r>
              <w:rPr>
                <w:sz w:val="24"/>
              </w:rPr>
              <w:t>Farah</w:t>
            </w:r>
            <w:r>
              <w:rPr>
                <w:spacing w:val="-3"/>
                <w:sz w:val="24"/>
              </w:rPr>
              <w:t> </w:t>
            </w:r>
            <w:r>
              <w:rPr>
                <w:spacing w:val="-2"/>
                <w:sz w:val="24"/>
              </w:rPr>
              <w:t>Dagogo</w:t>
            </w:r>
          </w:p>
        </w:tc>
        <w:tc>
          <w:tcPr>
            <w:tcW w:w="1441" w:type="dxa"/>
          </w:tcPr>
          <w:p>
            <w:pPr>
              <w:pStyle w:val="TableParagraph"/>
              <w:spacing w:line="256" w:lineRule="exact"/>
              <w:ind w:left="27" w:right="75"/>
              <w:jc w:val="center"/>
              <w:rPr>
                <w:sz w:val="24"/>
              </w:rPr>
            </w:pPr>
            <w:r>
              <w:rPr>
                <w:sz w:val="24"/>
              </w:rPr>
              <w:t>Rivers</w:t>
            </w:r>
            <w:r>
              <w:rPr>
                <w:spacing w:val="-2"/>
                <w:sz w:val="24"/>
              </w:rPr>
              <w:t> State</w:t>
            </w:r>
          </w:p>
        </w:tc>
        <w:tc>
          <w:tcPr>
            <w:tcW w:w="1442" w:type="dxa"/>
          </w:tcPr>
          <w:p>
            <w:pPr>
              <w:pStyle w:val="TableParagraph"/>
              <w:rPr>
                <w:sz w:val="20"/>
              </w:rPr>
            </w:pPr>
          </w:p>
        </w:tc>
        <w:tc>
          <w:tcPr>
            <w:tcW w:w="1441" w:type="dxa"/>
          </w:tcPr>
          <w:p>
            <w:pPr>
              <w:pStyle w:val="TableParagraph"/>
              <w:rPr>
                <w:sz w:val="20"/>
              </w:rPr>
            </w:pPr>
          </w:p>
        </w:tc>
      </w:tr>
      <w:tr>
        <w:trPr>
          <w:trHeight w:val="277" w:hRule="atLeast"/>
        </w:trPr>
        <w:tc>
          <w:tcPr>
            <w:tcW w:w="720" w:type="dxa"/>
          </w:tcPr>
          <w:p>
            <w:pPr>
              <w:pStyle w:val="TableParagraph"/>
              <w:spacing w:line="258" w:lineRule="exact"/>
              <w:ind w:left="107"/>
              <w:rPr>
                <w:sz w:val="24"/>
              </w:rPr>
            </w:pPr>
            <w:r>
              <w:rPr>
                <w:spacing w:val="-5"/>
                <w:sz w:val="24"/>
              </w:rPr>
              <w:t>52.</w:t>
            </w:r>
          </w:p>
        </w:tc>
        <w:tc>
          <w:tcPr>
            <w:tcW w:w="2449" w:type="dxa"/>
          </w:tcPr>
          <w:p>
            <w:pPr>
              <w:pStyle w:val="TableParagraph"/>
              <w:spacing w:line="258" w:lineRule="exact"/>
              <w:ind w:left="107"/>
              <w:rPr>
                <w:sz w:val="24"/>
              </w:rPr>
            </w:pPr>
            <w:r>
              <w:rPr>
                <w:spacing w:val="-2"/>
                <w:sz w:val="24"/>
              </w:rPr>
              <w:t>Bokokiri</w:t>
            </w:r>
          </w:p>
        </w:tc>
        <w:tc>
          <w:tcPr>
            <w:tcW w:w="1801" w:type="dxa"/>
          </w:tcPr>
          <w:p>
            <w:pPr>
              <w:pStyle w:val="TableParagraph"/>
              <w:spacing w:line="258" w:lineRule="exact"/>
              <w:ind w:left="107"/>
              <w:rPr>
                <w:sz w:val="24"/>
              </w:rPr>
            </w:pPr>
            <w:r>
              <w:rPr>
                <w:spacing w:val="-4"/>
                <w:sz w:val="24"/>
              </w:rPr>
              <w:t>Obese</w:t>
            </w:r>
          </w:p>
        </w:tc>
        <w:tc>
          <w:tcPr>
            <w:tcW w:w="1441" w:type="dxa"/>
          </w:tcPr>
          <w:p>
            <w:pPr>
              <w:pStyle w:val="TableParagraph"/>
              <w:spacing w:line="258" w:lineRule="exact"/>
              <w:ind w:left="27" w:right="75"/>
              <w:jc w:val="center"/>
              <w:rPr>
                <w:sz w:val="24"/>
              </w:rPr>
            </w:pPr>
            <w:r>
              <w:rPr>
                <w:sz w:val="24"/>
              </w:rPr>
              <w:t>Rivers</w:t>
            </w:r>
            <w:r>
              <w:rPr>
                <w:spacing w:val="-2"/>
                <w:sz w:val="24"/>
              </w:rPr>
              <w:t> State</w:t>
            </w:r>
          </w:p>
        </w:tc>
        <w:tc>
          <w:tcPr>
            <w:tcW w:w="1442" w:type="dxa"/>
          </w:tcPr>
          <w:p>
            <w:pPr>
              <w:pStyle w:val="TableParagraph"/>
              <w:rPr>
                <w:sz w:val="20"/>
              </w:rPr>
            </w:pPr>
          </w:p>
        </w:tc>
        <w:tc>
          <w:tcPr>
            <w:tcW w:w="1441" w:type="dxa"/>
          </w:tcPr>
          <w:p>
            <w:pPr>
              <w:pStyle w:val="TableParagraph"/>
              <w:rPr>
                <w:sz w:val="20"/>
              </w:rPr>
            </w:pPr>
          </w:p>
        </w:tc>
      </w:tr>
    </w:tbl>
    <w:p>
      <w:pPr>
        <w:spacing w:after="0"/>
        <w:rPr>
          <w:sz w:val="20"/>
        </w:rPr>
        <w:sectPr>
          <w:pgSz w:w="11910" w:h="16840"/>
          <w:pgMar w:header="0" w:footer="1561" w:top="1400" w:bottom="1760" w:left="720" w:right="180"/>
        </w:sectPr>
      </w:pPr>
    </w:p>
    <w:p>
      <w:pPr>
        <w:spacing w:before="63"/>
        <w:ind w:left="1440" w:right="1260" w:firstLine="0"/>
        <w:jc w:val="left"/>
        <w:rPr>
          <w:b/>
          <w:sz w:val="24"/>
        </w:rPr>
      </w:pPr>
      <w:r>
        <w:rPr/>
        <mc:AlternateContent>
          <mc:Choice Requires="wps">
            <w:drawing>
              <wp:anchor distT="0" distB="0" distL="0" distR="0" allowOverlap="1" layoutInCell="1" locked="0" behindDoc="1" simplePos="0" relativeHeight="480711168">
                <wp:simplePos x="0" y="0"/>
                <wp:positionH relativeFrom="page">
                  <wp:posOffset>-1537026</wp:posOffset>
                </wp:positionH>
                <wp:positionV relativeFrom="page">
                  <wp:posOffset>4900424</wp:posOffset>
                </wp:positionV>
                <wp:extent cx="10669905" cy="914400"/>
                <wp:effectExtent l="0" t="0" r="0" b="0"/>
                <wp:wrapNone/>
                <wp:docPr id="405" name="Textbox 405"/>
                <wp:cNvGraphicFramePr>
                  <a:graphicFrameLocks/>
                </wp:cNvGraphicFramePr>
                <a:graphic>
                  <a:graphicData uri="http://schemas.microsoft.com/office/word/2010/wordprocessingShape">
                    <wps:wsp>
                      <wps:cNvPr id="405" name="Textbox 405"/>
                      <wps:cNvSpPr txBox="1"/>
                      <wps:spPr>
                        <a:xfrm rot="18360000">
                          <a:off x="0" y="0"/>
                          <a:ext cx="10669905"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 OF </w:t>
                            </w: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121.025745pt;margin-top:385.860172pt;width:840.15pt;height:72pt;mso-position-horizontal-relative:page;mso-position-vertical-relative:page;z-index:-22605312;rotation:306" type="#_x0000_t136" fillcolor="#ff5400" stroked="f">
                <o:extrusion v:ext="view" autorotationcenter="t"/>
                <v:textpath style="font-family:&quot;Arial MT&quot;;font-size:72pt;v-text-kern:t;mso-text-shadow:auto" string="UNIVERSITY OF IBADAN"/>
                <w10:wrap type="none"/>
              </v:shape>
            </w:pict>
          </mc:Fallback>
        </mc:AlternateContent>
      </w:r>
      <w:r>
        <w:rPr>
          <w:b/>
          <w:sz w:val="24"/>
        </w:rPr>
        <w:t>APPENDIX</w:t>
      </w:r>
      <w:r>
        <w:rPr>
          <w:b/>
          <w:spacing w:val="-7"/>
          <w:sz w:val="24"/>
        </w:rPr>
        <w:t> </w:t>
      </w:r>
      <w:r>
        <w:rPr>
          <w:b/>
          <w:sz w:val="24"/>
        </w:rPr>
        <w:t>5</w:t>
      </w:r>
      <w:r>
        <w:rPr>
          <w:b/>
          <w:spacing w:val="-6"/>
          <w:sz w:val="24"/>
        </w:rPr>
        <w:t> </w:t>
      </w:r>
      <w:r>
        <w:rPr>
          <w:b/>
          <w:sz w:val="24"/>
        </w:rPr>
        <w:t>STATISTICS</w:t>
      </w:r>
      <w:r>
        <w:rPr>
          <w:b/>
          <w:spacing w:val="-6"/>
          <w:sz w:val="24"/>
        </w:rPr>
        <w:t> </w:t>
      </w:r>
      <w:r>
        <w:rPr>
          <w:b/>
          <w:sz w:val="24"/>
        </w:rPr>
        <w:t>OF</w:t>
      </w:r>
      <w:r>
        <w:rPr>
          <w:b/>
          <w:spacing w:val="-9"/>
          <w:sz w:val="24"/>
        </w:rPr>
        <w:t> </w:t>
      </w:r>
      <w:r>
        <w:rPr>
          <w:b/>
          <w:sz w:val="24"/>
        </w:rPr>
        <w:t>PETROLEUM</w:t>
      </w:r>
      <w:r>
        <w:rPr>
          <w:b/>
          <w:spacing w:val="-8"/>
          <w:sz w:val="24"/>
        </w:rPr>
        <w:t> </w:t>
      </w:r>
      <w:r>
        <w:rPr>
          <w:b/>
          <w:sz w:val="24"/>
        </w:rPr>
        <w:t>PRODUCTS</w:t>
      </w:r>
      <w:r>
        <w:rPr>
          <w:b/>
          <w:spacing w:val="-6"/>
          <w:sz w:val="24"/>
        </w:rPr>
        <w:t> </w:t>
      </w:r>
      <w:r>
        <w:rPr>
          <w:b/>
          <w:sz w:val="24"/>
        </w:rPr>
        <w:t>RECOVERED FROM ILLEGAL BUNKERING FOR YEARS 2001 – 2008</w:t>
      </w:r>
    </w:p>
    <w:p>
      <w:pPr>
        <w:pStyle w:val="BodyText"/>
        <w:spacing w:before="49" w:after="1"/>
        <w:ind w:left="0"/>
        <w:rPr>
          <w:b/>
          <w:sz w:val="20"/>
        </w:rPr>
      </w:pPr>
    </w:p>
    <w:tbl>
      <w:tblPr>
        <w:tblW w:w="0" w:type="auto"/>
        <w:jc w:val="left"/>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8"/>
        <w:gridCol w:w="1291"/>
        <w:gridCol w:w="840"/>
        <w:gridCol w:w="842"/>
        <w:gridCol w:w="885"/>
        <w:gridCol w:w="885"/>
        <w:gridCol w:w="844"/>
        <w:gridCol w:w="837"/>
        <w:gridCol w:w="840"/>
        <w:gridCol w:w="1204"/>
      </w:tblGrid>
      <w:tr>
        <w:trPr>
          <w:trHeight w:val="275" w:hRule="atLeast"/>
        </w:trPr>
        <w:tc>
          <w:tcPr>
            <w:tcW w:w="888" w:type="dxa"/>
          </w:tcPr>
          <w:p>
            <w:pPr>
              <w:pStyle w:val="TableParagraph"/>
              <w:spacing w:line="256" w:lineRule="exact"/>
              <w:ind w:left="107"/>
              <w:rPr>
                <w:sz w:val="24"/>
              </w:rPr>
            </w:pPr>
            <w:r>
              <w:rPr>
                <w:spacing w:val="-2"/>
                <w:sz w:val="24"/>
              </w:rPr>
              <w:t>Serial</w:t>
            </w:r>
          </w:p>
        </w:tc>
        <w:tc>
          <w:tcPr>
            <w:tcW w:w="1291" w:type="dxa"/>
          </w:tcPr>
          <w:p>
            <w:pPr>
              <w:pStyle w:val="TableParagraph"/>
              <w:spacing w:line="256" w:lineRule="exact"/>
              <w:ind w:left="107"/>
              <w:rPr>
                <w:sz w:val="24"/>
              </w:rPr>
            </w:pPr>
            <w:r>
              <w:rPr>
                <w:spacing w:val="-2"/>
                <w:sz w:val="24"/>
              </w:rPr>
              <w:t>Month</w:t>
            </w:r>
          </w:p>
        </w:tc>
        <w:tc>
          <w:tcPr>
            <w:tcW w:w="840" w:type="dxa"/>
          </w:tcPr>
          <w:p>
            <w:pPr>
              <w:pStyle w:val="TableParagraph"/>
              <w:spacing w:line="256" w:lineRule="exact"/>
              <w:ind w:right="130"/>
              <w:jc w:val="center"/>
              <w:rPr>
                <w:sz w:val="24"/>
              </w:rPr>
            </w:pPr>
            <w:r>
              <w:rPr>
                <w:spacing w:val="-4"/>
                <w:sz w:val="24"/>
              </w:rPr>
              <w:t>2001</w:t>
            </w:r>
          </w:p>
        </w:tc>
        <w:tc>
          <w:tcPr>
            <w:tcW w:w="842" w:type="dxa"/>
          </w:tcPr>
          <w:p>
            <w:pPr>
              <w:pStyle w:val="TableParagraph"/>
              <w:spacing w:line="256" w:lineRule="exact"/>
              <w:ind w:left="106"/>
              <w:rPr>
                <w:sz w:val="24"/>
              </w:rPr>
            </w:pPr>
            <w:r>
              <w:rPr>
                <w:spacing w:val="-4"/>
                <w:sz w:val="24"/>
              </w:rPr>
              <w:t>2002</w:t>
            </w:r>
          </w:p>
        </w:tc>
        <w:tc>
          <w:tcPr>
            <w:tcW w:w="885" w:type="dxa"/>
          </w:tcPr>
          <w:p>
            <w:pPr>
              <w:pStyle w:val="TableParagraph"/>
              <w:spacing w:line="256" w:lineRule="exact"/>
              <w:ind w:left="108"/>
              <w:rPr>
                <w:sz w:val="24"/>
              </w:rPr>
            </w:pPr>
            <w:r>
              <w:rPr>
                <w:spacing w:val="-4"/>
                <w:sz w:val="24"/>
              </w:rPr>
              <w:t>2003</w:t>
            </w:r>
          </w:p>
        </w:tc>
        <w:tc>
          <w:tcPr>
            <w:tcW w:w="885" w:type="dxa"/>
          </w:tcPr>
          <w:p>
            <w:pPr>
              <w:pStyle w:val="TableParagraph"/>
              <w:spacing w:line="256" w:lineRule="exact"/>
              <w:ind w:left="109"/>
              <w:rPr>
                <w:sz w:val="24"/>
              </w:rPr>
            </w:pPr>
            <w:r>
              <w:rPr>
                <w:spacing w:val="-4"/>
                <w:sz w:val="24"/>
              </w:rPr>
              <w:t>2004</w:t>
            </w:r>
          </w:p>
        </w:tc>
        <w:tc>
          <w:tcPr>
            <w:tcW w:w="844" w:type="dxa"/>
          </w:tcPr>
          <w:p>
            <w:pPr>
              <w:pStyle w:val="TableParagraph"/>
              <w:spacing w:line="256" w:lineRule="exact"/>
              <w:ind w:left="110"/>
              <w:rPr>
                <w:sz w:val="24"/>
              </w:rPr>
            </w:pPr>
            <w:r>
              <w:rPr>
                <w:spacing w:val="-4"/>
                <w:sz w:val="24"/>
              </w:rPr>
              <w:t>2005</w:t>
            </w:r>
          </w:p>
        </w:tc>
        <w:tc>
          <w:tcPr>
            <w:tcW w:w="837" w:type="dxa"/>
          </w:tcPr>
          <w:p>
            <w:pPr>
              <w:pStyle w:val="TableParagraph"/>
              <w:spacing w:line="256" w:lineRule="exact"/>
              <w:ind w:right="233"/>
              <w:jc w:val="right"/>
              <w:rPr>
                <w:sz w:val="24"/>
              </w:rPr>
            </w:pPr>
            <w:r>
              <w:rPr>
                <w:spacing w:val="-4"/>
                <w:sz w:val="24"/>
              </w:rPr>
              <w:t>2006</w:t>
            </w:r>
          </w:p>
        </w:tc>
        <w:tc>
          <w:tcPr>
            <w:tcW w:w="840" w:type="dxa"/>
          </w:tcPr>
          <w:p>
            <w:pPr>
              <w:pStyle w:val="TableParagraph"/>
              <w:spacing w:line="256" w:lineRule="exact"/>
              <w:ind w:left="8" w:right="130"/>
              <w:jc w:val="center"/>
              <w:rPr>
                <w:sz w:val="24"/>
              </w:rPr>
            </w:pPr>
            <w:r>
              <w:rPr>
                <w:spacing w:val="-4"/>
                <w:sz w:val="24"/>
              </w:rPr>
              <w:t>2007</w:t>
            </w:r>
          </w:p>
        </w:tc>
        <w:tc>
          <w:tcPr>
            <w:tcW w:w="1204" w:type="dxa"/>
          </w:tcPr>
          <w:p>
            <w:pPr>
              <w:pStyle w:val="TableParagraph"/>
              <w:spacing w:line="256" w:lineRule="exact"/>
              <w:ind w:left="112"/>
              <w:rPr>
                <w:sz w:val="24"/>
              </w:rPr>
            </w:pPr>
            <w:r>
              <w:rPr>
                <w:spacing w:val="-4"/>
                <w:sz w:val="24"/>
              </w:rPr>
              <w:t>2008</w:t>
            </w:r>
          </w:p>
        </w:tc>
      </w:tr>
      <w:tr>
        <w:trPr>
          <w:trHeight w:val="275" w:hRule="atLeast"/>
        </w:trPr>
        <w:tc>
          <w:tcPr>
            <w:tcW w:w="888" w:type="dxa"/>
          </w:tcPr>
          <w:p>
            <w:pPr>
              <w:pStyle w:val="TableParagraph"/>
              <w:spacing w:line="256" w:lineRule="exact"/>
              <w:ind w:left="83" w:right="76"/>
              <w:jc w:val="center"/>
              <w:rPr>
                <w:sz w:val="24"/>
              </w:rPr>
            </w:pPr>
            <w:r>
              <w:rPr>
                <w:spacing w:val="-5"/>
                <w:sz w:val="24"/>
              </w:rPr>
              <w:t>1.</w:t>
            </w:r>
          </w:p>
        </w:tc>
        <w:tc>
          <w:tcPr>
            <w:tcW w:w="1291" w:type="dxa"/>
          </w:tcPr>
          <w:p>
            <w:pPr>
              <w:pStyle w:val="TableParagraph"/>
              <w:spacing w:line="256" w:lineRule="exact"/>
              <w:ind w:left="107"/>
              <w:rPr>
                <w:sz w:val="24"/>
              </w:rPr>
            </w:pPr>
            <w:r>
              <w:rPr>
                <w:spacing w:val="-2"/>
                <w:sz w:val="24"/>
              </w:rPr>
              <w:t>January</w:t>
            </w:r>
          </w:p>
        </w:tc>
        <w:tc>
          <w:tcPr>
            <w:tcW w:w="840" w:type="dxa"/>
          </w:tcPr>
          <w:p>
            <w:pPr>
              <w:pStyle w:val="TableParagraph"/>
              <w:rPr>
                <w:sz w:val="20"/>
              </w:rPr>
            </w:pPr>
          </w:p>
        </w:tc>
        <w:tc>
          <w:tcPr>
            <w:tcW w:w="842" w:type="dxa"/>
          </w:tcPr>
          <w:p>
            <w:pPr>
              <w:pStyle w:val="TableParagraph"/>
              <w:rPr>
                <w:sz w:val="20"/>
              </w:rPr>
            </w:pPr>
          </w:p>
        </w:tc>
        <w:tc>
          <w:tcPr>
            <w:tcW w:w="885" w:type="dxa"/>
          </w:tcPr>
          <w:p>
            <w:pPr>
              <w:pStyle w:val="TableParagraph"/>
              <w:spacing w:line="256" w:lineRule="exact"/>
              <w:ind w:left="108"/>
              <w:rPr>
                <w:sz w:val="24"/>
              </w:rPr>
            </w:pPr>
            <w:r>
              <w:rPr>
                <w:spacing w:val="-5"/>
                <w:sz w:val="24"/>
              </w:rPr>
              <w:t>600</w:t>
            </w:r>
          </w:p>
        </w:tc>
        <w:tc>
          <w:tcPr>
            <w:tcW w:w="885" w:type="dxa"/>
          </w:tcPr>
          <w:p>
            <w:pPr>
              <w:pStyle w:val="TableParagraph"/>
              <w:spacing w:line="256" w:lineRule="exact"/>
              <w:ind w:left="109"/>
              <w:rPr>
                <w:sz w:val="24"/>
              </w:rPr>
            </w:pPr>
            <w:r>
              <w:rPr>
                <w:spacing w:val="-2"/>
                <w:sz w:val="24"/>
              </w:rPr>
              <w:t>4,248</w:t>
            </w:r>
          </w:p>
        </w:tc>
        <w:tc>
          <w:tcPr>
            <w:tcW w:w="844" w:type="dxa"/>
          </w:tcPr>
          <w:p>
            <w:pPr>
              <w:pStyle w:val="TableParagraph"/>
              <w:spacing w:line="256" w:lineRule="exact"/>
              <w:ind w:left="110"/>
              <w:rPr>
                <w:sz w:val="24"/>
              </w:rPr>
            </w:pPr>
            <w:r>
              <w:rPr>
                <w:spacing w:val="-2"/>
                <w:sz w:val="24"/>
              </w:rPr>
              <w:t>2,600</w:t>
            </w:r>
          </w:p>
        </w:tc>
        <w:tc>
          <w:tcPr>
            <w:tcW w:w="837" w:type="dxa"/>
          </w:tcPr>
          <w:p>
            <w:pPr>
              <w:pStyle w:val="TableParagraph"/>
              <w:rPr>
                <w:sz w:val="20"/>
              </w:rPr>
            </w:pPr>
          </w:p>
        </w:tc>
        <w:tc>
          <w:tcPr>
            <w:tcW w:w="840" w:type="dxa"/>
          </w:tcPr>
          <w:p>
            <w:pPr>
              <w:pStyle w:val="TableParagraph"/>
              <w:rPr>
                <w:sz w:val="20"/>
              </w:rPr>
            </w:pPr>
          </w:p>
        </w:tc>
        <w:tc>
          <w:tcPr>
            <w:tcW w:w="1204" w:type="dxa"/>
          </w:tcPr>
          <w:p>
            <w:pPr>
              <w:pStyle w:val="TableParagraph"/>
              <w:rPr>
                <w:sz w:val="20"/>
              </w:rPr>
            </w:pPr>
          </w:p>
        </w:tc>
      </w:tr>
      <w:tr>
        <w:trPr>
          <w:trHeight w:val="275" w:hRule="atLeast"/>
        </w:trPr>
        <w:tc>
          <w:tcPr>
            <w:tcW w:w="888" w:type="dxa"/>
          </w:tcPr>
          <w:p>
            <w:pPr>
              <w:pStyle w:val="TableParagraph"/>
              <w:spacing w:line="256" w:lineRule="exact"/>
              <w:ind w:left="83" w:right="76"/>
              <w:jc w:val="center"/>
              <w:rPr>
                <w:sz w:val="24"/>
              </w:rPr>
            </w:pPr>
            <w:r>
              <w:rPr>
                <w:spacing w:val="-5"/>
                <w:sz w:val="24"/>
              </w:rPr>
              <w:t>2.</w:t>
            </w:r>
          </w:p>
        </w:tc>
        <w:tc>
          <w:tcPr>
            <w:tcW w:w="1291" w:type="dxa"/>
          </w:tcPr>
          <w:p>
            <w:pPr>
              <w:pStyle w:val="TableParagraph"/>
              <w:spacing w:line="256" w:lineRule="exact"/>
              <w:ind w:left="107"/>
              <w:rPr>
                <w:sz w:val="24"/>
              </w:rPr>
            </w:pPr>
            <w:r>
              <w:rPr>
                <w:spacing w:val="-2"/>
                <w:sz w:val="24"/>
              </w:rPr>
              <w:t>February</w:t>
            </w:r>
          </w:p>
        </w:tc>
        <w:tc>
          <w:tcPr>
            <w:tcW w:w="840" w:type="dxa"/>
          </w:tcPr>
          <w:p>
            <w:pPr>
              <w:pStyle w:val="TableParagraph"/>
              <w:rPr>
                <w:sz w:val="20"/>
              </w:rPr>
            </w:pPr>
          </w:p>
        </w:tc>
        <w:tc>
          <w:tcPr>
            <w:tcW w:w="842" w:type="dxa"/>
          </w:tcPr>
          <w:p>
            <w:pPr>
              <w:pStyle w:val="TableParagraph"/>
              <w:rPr>
                <w:sz w:val="20"/>
              </w:rPr>
            </w:pPr>
          </w:p>
        </w:tc>
        <w:tc>
          <w:tcPr>
            <w:tcW w:w="885" w:type="dxa"/>
          </w:tcPr>
          <w:p>
            <w:pPr>
              <w:pStyle w:val="TableParagraph"/>
              <w:spacing w:line="256" w:lineRule="exact"/>
              <w:ind w:left="108"/>
              <w:rPr>
                <w:sz w:val="24"/>
              </w:rPr>
            </w:pPr>
            <w:r>
              <w:rPr>
                <w:spacing w:val="-4"/>
                <w:sz w:val="24"/>
              </w:rPr>
              <w:t>1000</w:t>
            </w:r>
          </w:p>
        </w:tc>
        <w:tc>
          <w:tcPr>
            <w:tcW w:w="885" w:type="dxa"/>
          </w:tcPr>
          <w:p>
            <w:pPr>
              <w:pStyle w:val="TableParagraph"/>
              <w:spacing w:line="256" w:lineRule="exact"/>
              <w:ind w:left="409"/>
              <w:rPr>
                <w:sz w:val="24"/>
              </w:rPr>
            </w:pPr>
            <w:r>
              <w:rPr>
                <w:spacing w:val="-5"/>
                <w:sz w:val="24"/>
              </w:rPr>
              <w:t>60</w:t>
            </w:r>
          </w:p>
        </w:tc>
        <w:tc>
          <w:tcPr>
            <w:tcW w:w="844" w:type="dxa"/>
          </w:tcPr>
          <w:p>
            <w:pPr>
              <w:pStyle w:val="TableParagraph"/>
              <w:rPr>
                <w:sz w:val="20"/>
              </w:rPr>
            </w:pPr>
          </w:p>
        </w:tc>
        <w:tc>
          <w:tcPr>
            <w:tcW w:w="837" w:type="dxa"/>
          </w:tcPr>
          <w:p>
            <w:pPr>
              <w:pStyle w:val="TableParagraph"/>
              <w:rPr>
                <w:sz w:val="20"/>
              </w:rPr>
            </w:pPr>
          </w:p>
        </w:tc>
        <w:tc>
          <w:tcPr>
            <w:tcW w:w="840" w:type="dxa"/>
          </w:tcPr>
          <w:p>
            <w:pPr>
              <w:pStyle w:val="TableParagraph"/>
              <w:rPr>
                <w:sz w:val="20"/>
              </w:rPr>
            </w:pPr>
          </w:p>
        </w:tc>
        <w:tc>
          <w:tcPr>
            <w:tcW w:w="1204" w:type="dxa"/>
          </w:tcPr>
          <w:p>
            <w:pPr>
              <w:pStyle w:val="TableParagraph"/>
              <w:rPr>
                <w:sz w:val="20"/>
              </w:rPr>
            </w:pPr>
          </w:p>
        </w:tc>
      </w:tr>
      <w:tr>
        <w:trPr>
          <w:trHeight w:val="278" w:hRule="atLeast"/>
        </w:trPr>
        <w:tc>
          <w:tcPr>
            <w:tcW w:w="888" w:type="dxa"/>
          </w:tcPr>
          <w:p>
            <w:pPr>
              <w:pStyle w:val="TableParagraph"/>
              <w:spacing w:line="258" w:lineRule="exact"/>
              <w:ind w:left="83" w:right="76"/>
              <w:jc w:val="center"/>
              <w:rPr>
                <w:sz w:val="24"/>
              </w:rPr>
            </w:pPr>
            <w:r>
              <w:rPr>
                <w:spacing w:val="-5"/>
                <w:sz w:val="24"/>
              </w:rPr>
              <w:t>3.</w:t>
            </w:r>
          </w:p>
        </w:tc>
        <w:tc>
          <w:tcPr>
            <w:tcW w:w="1291" w:type="dxa"/>
          </w:tcPr>
          <w:p>
            <w:pPr>
              <w:pStyle w:val="TableParagraph"/>
              <w:spacing w:line="258" w:lineRule="exact"/>
              <w:ind w:left="107"/>
              <w:rPr>
                <w:sz w:val="24"/>
              </w:rPr>
            </w:pPr>
            <w:r>
              <w:rPr>
                <w:spacing w:val="-2"/>
                <w:sz w:val="24"/>
              </w:rPr>
              <w:t>March</w:t>
            </w:r>
          </w:p>
        </w:tc>
        <w:tc>
          <w:tcPr>
            <w:tcW w:w="840" w:type="dxa"/>
          </w:tcPr>
          <w:p>
            <w:pPr>
              <w:pStyle w:val="TableParagraph"/>
              <w:rPr>
                <w:sz w:val="20"/>
              </w:rPr>
            </w:pPr>
          </w:p>
        </w:tc>
        <w:tc>
          <w:tcPr>
            <w:tcW w:w="842" w:type="dxa"/>
          </w:tcPr>
          <w:p>
            <w:pPr>
              <w:pStyle w:val="TableParagraph"/>
              <w:spacing w:line="258" w:lineRule="exact"/>
              <w:ind w:left="226"/>
              <w:rPr>
                <w:sz w:val="24"/>
              </w:rPr>
            </w:pPr>
            <w:r>
              <w:rPr>
                <w:spacing w:val="-5"/>
                <w:sz w:val="24"/>
              </w:rPr>
              <w:t>250</w:t>
            </w:r>
          </w:p>
        </w:tc>
        <w:tc>
          <w:tcPr>
            <w:tcW w:w="885" w:type="dxa"/>
          </w:tcPr>
          <w:p>
            <w:pPr>
              <w:pStyle w:val="TableParagraph"/>
              <w:spacing w:line="258" w:lineRule="exact"/>
              <w:ind w:left="108"/>
              <w:rPr>
                <w:sz w:val="24"/>
              </w:rPr>
            </w:pPr>
            <w:r>
              <w:rPr>
                <w:spacing w:val="-4"/>
                <w:sz w:val="24"/>
              </w:rPr>
              <w:t>1300</w:t>
            </w:r>
          </w:p>
        </w:tc>
        <w:tc>
          <w:tcPr>
            <w:tcW w:w="885" w:type="dxa"/>
          </w:tcPr>
          <w:p>
            <w:pPr>
              <w:pStyle w:val="TableParagraph"/>
              <w:spacing w:line="258" w:lineRule="exact"/>
              <w:ind w:left="109"/>
              <w:rPr>
                <w:sz w:val="24"/>
              </w:rPr>
            </w:pPr>
            <w:r>
              <w:rPr>
                <w:spacing w:val="-4"/>
                <w:sz w:val="24"/>
              </w:rPr>
              <w:t>1980</w:t>
            </w:r>
          </w:p>
        </w:tc>
        <w:tc>
          <w:tcPr>
            <w:tcW w:w="844" w:type="dxa"/>
          </w:tcPr>
          <w:p>
            <w:pPr>
              <w:pStyle w:val="TableParagraph"/>
              <w:rPr>
                <w:sz w:val="20"/>
              </w:rPr>
            </w:pPr>
          </w:p>
        </w:tc>
        <w:tc>
          <w:tcPr>
            <w:tcW w:w="837" w:type="dxa"/>
          </w:tcPr>
          <w:p>
            <w:pPr>
              <w:pStyle w:val="TableParagraph"/>
              <w:rPr>
                <w:sz w:val="20"/>
              </w:rPr>
            </w:pPr>
          </w:p>
        </w:tc>
        <w:tc>
          <w:tcPr>
            <w:tcW w:w="840" w:type="dxa"/>
          </w:tcPr>
          <w:p>
            <w:pPr>
              <w:pStyle w:val="TableParagraph"/>
              <w:rPr>
                <w:sz w:val="20"/>
              </w:rPr>
            </w:pPr>
          </w:p>
        </w:tc>
        <w:tc>
          <w:tcPr>
            <w:tcW w:w="1204" w:type="dxa"/>
          </w:tcPr>
          <w:p>
            <w:pPr>
              <w:pStyle w:val="TableParagraph"/>
              <w:rPr>
                <w:sz w:val="20"/>
              </w:rPr>
            </w:pPr>
          </w:p>
        </w:tc>
      </w:tr>
      <w:tr>
        <w:trPr>
          <w:trHeight w:val="275" w:hRule="atLeast"/>
        </w:trPr>
        <w:tc>
          <w:tcPr>
            <w:tcW w:w="888" w:type="dxa"/>
          </w:tcPr>
          <w:p>
            <w:pPr>
              <w:pStyle w:val="TableParagraph"/>
              <w:spacing w:line="256" w:lineRule="exact"/>
              <w:ind w:left="83" w:right="76"/>
              <w:jc w:val="center"/>
              <w:rPr>
                <w:sz w:val="24"/>
              </w:rPr>
            </w:pPr>
            <w:r>
              <w:rPr>
                <w:spacing w:val="-5"/>
                <w:sz w:val="24"/>
              </w:rPr>
              <w:t>4.</w:t>
            </w:r>
          </w:p>
        </w:tc>
        <w:tc>
          <w:tcPr>
            <w:tcW w:w="1291" w:type="dxa"/>
          </w:tcPr>
          <w:p>
            <w:pPr>
              <w:pStyle w:val="TableParagraph"/>
              <w:spacing w:line="256" w:lineRule="exact"/>
              <w:ind w:left="107"/>
              <w:rPr>
                <w:sz w:val="24"/>
              </w:rPr>
            </w:pPr>
            <w:r>
              <w:rPr>
                <w:spacing w:val="-2"/>
                <w:sz w:val="24"/>
              </w:rPr>
              <w:t>April</w:t>
            </w:r>
          </w:p>
        </w:tc>
        <w:tc>
          <w:tcPr>
            <w:tcW w:w="840" w:type="dxa"/>
          </w:tcPr>
          <w:p>
            <w:pPr>
              <w:pStyle w:val="TableParagraph"/>
              <w:rPr>
                <w:sz w:val="20"/>
              </w:rPr>
            </w:pPr>
          </w:p>
        </w:tc>
        <w:tc>
          <w:tcPr>
            <w:tcW w:w="842" w:type="dxa"/>
          </w:tcPr>
          <w:p>
            <w:pPr>
              <w:pStyle w:val="TableParagraph"/>
              <w:rPr>
                <w:sz w:val="20"/>
              </w:rPr>
            </w:pPr>
          </w:p>
        </w:tc>
        <w:tc>
          <w:tcPr>
            <w:tcW w:w="885" w:type="dxa"/>
          </w:tcPr>
          <w:p>
            <w:pPr>
              <w:pStyle w:val="TableParagraph"/>
              <w:spacing w:line="256" w:lineRule="exact"/>
              <w:ind w:left="228"/>
              <w:rPr>
                <w:sz w:val="24"/>
              </w:rPr>
            </w:pPr>
            <w:r>
              <w:rPr>
                <w:spacing w:val="-5"/>
                <w:sz w:val="24"/>
              </w:rPr>
              <w:t>902</w:t>
            </w:r>
          </w:p>
        </w:tc>
        <w:tc>
          <w:tcPr>
            <w:tcW w:w="885" w:type="dxa"/>
          </w:tcPr>
          <w:p>
            <w:pPr>
              <w:pStyle w:val="TableParagraph"/>
              <w:spacing w:line="256" w:lineRule="exact"/>
              <w:ind w:left="109"/>
              <w:rPr>
                <w:sz w:val="24"/>
              </w:rPr>
            </w:pPr>
            <w:r>
              <w:rPr>
                <w:spacing w:val="-2"/>
                <w:sz w:val="24"/>
              </w:rPr>
              <w:t>12,663</w:t>
            </w:r>
          </w:p>
        </w:tc>
        <w:tc>
          <w:tcPr>
            <w:tcW w:w="844" w:type="dxa"/>
          </w:tcPr>
          <w:p>
            <w:pPr>
              <w:pStyle w:val="TableParagraph"/>
              <w:rPr>
                <w:sz w:val="20"/>
              </w:rPr>
            </w:pPr>
          </w:p>
        </w:tc>
        <w:tc>
          <w:tcPr>
            <w:tcW w:w="837" w:type="dxa"/>
          </w:tcPr>
          <w:p>
            <w:pPr>
              <w:pStyle w:val="TableParagraph"/>
              <w:rPr>
                <w:sz w:val="20"/>
              </w:rPr>
            </w:pPr>
          </w:p>
        </w:tc>
        <w:tc>
          <w:tcPr>
            <w:tcW w:w="840" w:type="dxa"/>
          </w:tcPr>
          <w:p>
            <w:pPr>
              <w:pStyle w:val="TableParagraph"/>
              <w:rPr>
                <w:sz w:val="20"/>
              </w:rPr>
            </w:pPr>
          </w:p>
        </w:tc>
        <w:tc>
          <w:tcPr>
            <w:tcW w:w="1204" w:type="dxa"/>
          </w:tcPr>
          <w:p>
            <w:pPr>
              <w:pStyle w:val="TableParagraph"/>
              <w:rPr>
                <w:sz w:val="20"/>
              </w:rPr>
            </w:pPr>
          </w:p>
        </w:tc>
      </w:tr>
      <w:tr>
        <w:trPr>
          <w:trHeight w:val="275" w:hRule="atLeast"/>
        </w:trPr>
        <w:tc>
          <w:tcPr>
            <w:tcW w:w="888" w:type="dxa"/>
          </w:tcPr>
          <w:p>
            <w:pPr>
              <w:pStyle w:val="TableParagraph"/>
              <w:spacing w:line="256" w:lineRule="exact"/>
              <w:ind w:left="83" w:right="76"/>
              <w:jc w:val="center"/>
              <w:rPr>
                <w:sz w:val="24"/>
              </w:rPr>
            </w:pPr>
            <w:r>
              <w:rPr>
                <w:spacing w:val="-5"/>
                <w:sz w:val="24"/>
              </w:rPr>
              <w:t>5.</w:t>
            </w:r>
          </w:p>
        </w:tc>
        <w:tc>
          <w:tcPr>
            <w:tcW w:w="1291" w:type="dxa"/>
          </w:tcPr>
          <w:p>
            <w:pPr>
              <w:pStyle w:val="TableParagraph"/>
              <w:spacing w:line="256" w:lineRule="exact"/>
              <w:ind w:left="107"/>
              <w:rPr>
                <w:sz w:val="24"/>
              </w:rPr>
            </w:pPr>
            <w:r>
              <w:rPr>
                <w:spacing w:val="-5"/>
                <w:sz w:val="24"/>
              </w:rPr>
              <w:t>May</w:t>
            </w:r>
          </w:p>
        </w:tc>
        <w:tc>
          <w:tcPr>
            <w:tcW w:w="840" w:type="dxa"/>
          </w:tcPr>
          <w:p>
            <w:pPr>
              <w:pStyle w:val="TableParagraph"/>
              <w:rPr>
                <w:sz w:val="20"/>
              </w:rPr>
            </w:pPr>
          </w:p>
        </w:tc>
        <w:tc>
          <w:tcPr>
            <w:tcW w:w="842" w:type="dxa"/>
          </w:tcPr>
          <w:p>
            <w:pPr>
              <w:pStyle w:val="TableParagraph"/>
              <w:rPr>
                <w:sz w:val="20"/>
              </w:rPr>
            </w:pPr>
          </w:p>
        </w:tc>
        <w:tc>
          <w:tcPr>
            <w:tcW w:w="885" w:type="dxa"/>
          </w:tcPr>
          <w:p>
            <w:pPr>
              <w:pStyle w:val="TableParagraph"/>
              <w:spacing w:line="256" w:lineRule="exact"/>
              <w:ind w:left="108"/>
              <w:rPr>
                <w:sz w:val="24"/>
              </w:rPr>
            </w:pPr>
            <w:r>
              <w:rPr>
                <w:spacing w:val="-4"/>
                <w:sz w:val="24"/>
              </w:rPr>
              <w:t>1837</w:t>
            </w:r>
          </w:p>
        </w:tc>
        <w:tc>
          <w:tcPr>
            <w:tcW w:w="885" w:type="dxa"/>
          </w:tcPr>
          <w:p>
            <w:pPr>
              <w:pStyle w:val="TableParagraph"/>
              <w:spacing w:line="256" w:lineRule="exact"/>
              <w:ind w:left="109"/>
              <w:rPr>
                <w:sz w:val="24"/>
              </w:rPr>
            </w:pPr>
            <w:r>
              <w:rPr>
                <w:spacing w:val="-2"/>
                <w:sz w:val="24"/>
              </w:rPr>
              <w:t>1,110</w:t>
            </w:r>
          </w:p>
        </w:tc>
        <w:tc>
          <w:tcPr>
            <w:tcW w:w="844" w:type="dxa"/>
          </w:tcPr>
          <w:p>
            <w:pPr>
              <w:pStyle w:val="TableParagraph"/>
              <w:spacing w:line="256" w:lineRule="exact"/>
              <w:ind w:right="241"/>
              <w:jc w:val="right"/>
              <w:rPr>
                <w:sz w:val="24"/>
              </w:rPr>
            </w:pPr>
            <w:r>
              <w:rPr>
                <w:spacing w:val="-5"/>
                <w:sz w:val="24"/>
              </w:rPr>
              <w:t>803</w:t>
            </w:r>
          </w:p>
        </w:tc>
        <w:tc>
          <w:tcPr>
            <w:tcW w:w="837" w:type="dxa"/>
          </w:tcPr>
          <w:p>
            <w:pPr>
              <w:pStyle w:val="TableParagraph"/>
              <w:rPr>
                <w:sz w:val="20"/>
              </w:rPr>
            </w:pPr>
          </w:p>
        </w:tc>
        <w:tc>
          <w:tcPr>
            <w:tcW w:w="840" w:type="dxa"/>
          </w:tcPr>
          <w:p>
            <w:pPr>
              <w:pStyle w:val="TableParagraph"/>
              <w:rPr>
                <w:sz w:val="20"/>
              </w:rPr>
            </w:pPr>
          </w:p>
        </w:tc>
        <w:tc>
          <w:tcPr>
            <w:tcW w:w="1204" w:type="dxa"/>
          </w:tcPr>
          <w:p>
            <w:pPr>
              <w:pStyle w:val="TableParagraph"/>
              <w:rPr>
                <w:sz w:val="20"/>
              </w:rPr>
            </w:pPr>
          </w:p>
        </w:tc>
      </w:tr>
      <w:tr>
        <w:trPr>
          <w:trHeight w:val="275" w:hRule="atLeast"/>
        </w:trPr>
        <w:tc>
          <w:tcPr>
            <w:tcW w:w="888" w:type="dxa"/>
          </w:tcPr>
          <w:p>
            <w:pPr>
              <w:pStyle w:val="TableParagraph"/>
              <w:spacing w:line="256" w:lineRule="exact"/>
              <w:ind w:left="83" w:right="76"/>
              <w:jc w:val="center"/>
              <w:rPr>
                <w:sz w:val="24"/>
              </w:rPr>
            </w:pPr>
            <w:r>
              <w:rPr>
                <w:spacing w:val="-5"/>
                <w:sz w:val="24"/>
              </w:rPr>
              <w:t>6.</w:t>
            </w:r>
          </w:p>
        </w:tc>
        <w:tc>
          <w:tcPr>
            <w:tcW w:w="1291" w:type="dxa"/>
          </w:tcPr>
          <w:p>
            <w:pPr>
              <w:pStyle w:val="TableParagraph"/>
              <w:spacing w:line="256" w:lineRule="exact"/>
              <w:ind w:left="107"/>
              <w:rPr>
                <w:sz w:val="24"/>
              </w:rPr>
            </w:pPr>
            <w:r>
              <w:rPr>
                <w:spacing w:val="-4"/>
                <w:sz w:val="24"/>
              </w:rPr>
              <w:t>June</w:t>
            </w:r>
          </w:p>
        </w:tc>
        <w:tc>
          <w:tcPr>
            <w:tcW w:w="840" w:type="dxa"/>
          </w:tcPr>
          <w:p>
            <w:pPr>
              <w:pStyle w:val="TableParagraph"/>
              <w:rPr>
                <w:sz w:val="20"/>
              </w:rPr>
            </w:pPr>
          </w:p>
        </w:tc>
        <w:tc>
          <w:tcPr>
            <w:tcW w:w="842" w:type="dxa"/>
          </w:tcPr>
          <w:p>
            <w:pPr>
              <w:pStyle w:val="TableParagraph"/>
              <w:spacing w:line="256" w:lineRule="exact"/>
              <w:ind w:left="106"/>
              <w:rPr>
                <w:sz w:val="24"/>
              </w:rPr>
            </w:pPr>
            <w:r>
              <w:rPr>
                <w:spacing w:val="-2"/>
                <w:sz w:val="24"/>
              </w:rPr>
              <w:t>3,500</w:t>
            </w:r>
          </w:p>
        </w:tc>
        <w:tc>
          <w:tcPr>
            <w:tcW w:w="885" w:type="dxa"/>
          </w:tcPr>
          <w:p>
            <w:pPr>
              <w:pStyle w:val="TableParagraph"/>
              <w:rPr>
                <w:sz w:val="20"/>
              </w:rPr>
            </w:pPr>
          </w:p>
        </w:tc>
        <w:tc>
          <w:tcPr>
            <w:tcW w:w="885" w:type="dxa"/>
          </w:tcPr>
          <w:p>
            <w:pPr>
              <w:pStyle w:val="TableParagraph"/>
              <w:spacing w:line="256" w:lineRule="exact"/>
              <w:ind w:left="109"/>
              <w:rPr>
                <w:sz w:val="24"/>
              </w:rPr>
            </w:pPr>
            <w:r>
              <w:rPr>
                <w:spacing w:val="-4"/>
                <w:sz w:val="24"/>
              </w:rPr>
              <w:t>1000</w:t>
            </w:r>
          </w:p>
        </w:tc>
        <w:tc>
          <w:tcPr>
            <w:tcW w:w="844" w:type="dxa"/>
          </w:tcPr>
          <w:p>
            <w:pPr>
              <w:pStyle w:val="TableParagraph"/>
              <w:spacing w:line="256" w:lineRule="exact"/>
              <w:ind w:right="241"/>
              <w:jc w:val="right"/>
              <w:rPr>
                <w:sz w:val="24"/>
              </w:rPr>
            </w:pPr>
            <w:r>
              <w:rPr>
                <w:spacing w:val="-5"/>
                <w:sz w:val="24"/>
              </w:rPr>
              <w:t>150</w:t>
            </w:r>
          </w:p>
        </w:tc>
        <w:tc>
          <w:tcPr>
            <w:tcW w:w="837" w:type="dxa"/>
          </w:tcPr>
          <w:p>
            <w:pPr>
              <w:pStyle w:val="TableParagraph"/>
              <w:rPr>
                <w:sz w:val="20"/>
              </w:rPr>
            </w:pPr>
          </w:p>
        </w:tc>
        <w:tc>
          <w:tcPr>
            <w:tcW w:w="840" w:type="dxa"/>
          </w:tcPr>
          <w:p>
            <w:pPr>
              <w:pStyle w:val="TableParagraph"/>
              <w:rPr>
                <w:sz w:val="20"/>
              </w:rPr>
            </w:pPr>
          </w:p>
        </w:tc>
        <w:tc>
          <w:tcPr>
            <w:tcW w:w="1204" w:type="dxa"/>
          </w:tcPr>
          <w:p>
            <w:pPr>
              <w:pStyle w:val="TableParagraph"/>
              <w:spacing w:line="256" w:lineRule="exact"/>
              <w:ind w:right="479"/>
              <w:jc w:val="right"/>
              <w:rPr>
                <w:sz w:val="24"/>
              </w:rPr>
            </w:pPr>
            <w:r>
              <w:rPr>
                <w:spacing w:val="-5"/>
                <w:sz w:val="24"/>
              </w:rPr>
              <w:t>12</w:t>
            </w:r>
          </w:p>
        </w:tc>
      </w:tr>
      <w:tr>
        <w:trPr>
          <w:trHeight w:val="275" w:hRule="atLeast"/>
        </w:trPr>
        <w:tc>
          <w:tcPr>
            <w:tcW w:w="888" w:type="dxa"/>
          </w:tcPr>
          <w:p>
            <w:pPr>
              <w:pStyle w:val="TableParagraph"/>
              <w:spacing w:line="256" w:lineRule="exact"/>
              <w:ind w:left="83" w:right="76"/>
              <w:jc w:val="center"/>
              <w:rPr>
                <w:sz w:val="24"/>
              </w:rPr>
            </w:pPr>
            <w:r>
              <w:rPr>
                <w:spacing w:val="-5"/>
                <w:sz w:val="24"/>
              </w:rPr>
              <w:t>7.</w:t>
            </w:r>
          </w:p>
        </w:tc>
        <w:tc>
          <w:tcPr>
            <w:tcW w:w="1291" w:type="dxa"/>
          </w:tcPr>
          <w:p>
            <w:pPr>
              <w:pStyle w:val="TableParagraph"/>
              <w:spacing w:line="256" w:lineRule="exact"/>
              <w:ind w:left="107"/>
              <w:rPr>
                <w:sz w:val="24"/>
              </w:rPr>
            </w:pPr>
            <w:r>
              <w:rPr>
                <w:spacing w:val="-4"/>
                <w:sz w:val="24"/>
              </w:rPr>
              <w:t>July</w:t>
            </w:r>
          </w:p>
        </w:tc>
        <w:tc>
          <w:tcPr>
            <w:tcW w:w="840" w:type="dxa"/>
          </w:tcPr>
          <w:p>
            <w:pPr>
              <w:pStyle w:val="TableParagraph"/>
              <w:spacing w:line="256" w:lineRule="exact"/>
              <w:ind w:right="130"/>
              <w:jc w:val="center"/>
              <w:rPr>
                <w:sz w:val="24"/>
              </w:rPr>
            </w:pPr>
            <w:r>
              <w:rPr>
                <w:spacing w:val="-4"/>
                <w:sz w:val="24"/>
              </w:rPr>
              <w:t>2000</w:t>
            </w:r>
          </w:p>
        </w:tc>
        <w:tc>
          <w:tcPr>
            <w:tcW w:w="842" w:type="dxa"/>
          </w:tcPr>
          <w:p>
            <w:pPr>
              <w:pStyle w:val="TableParagraph"/>
              <w:rPr>
                <w:sz w:val="20"/>
              </w:rPr>
            </w:pPr>
          </w:p>
        </w:tc>
        <w:tc>
          <w:tcPr>
            <w:tcW w:w="885" w:type="dxa"/>
          </w:tcPr>
          <w:p>
            <w:pPr>
              <w:pStyle w:val="TableParagraph"/>
              <w:spacing w:line="256" w:lineRule="exact"/>
              <w:ind w:left="108"/>
              <w:rPr>
                <w:sz w:val="24"/>
              </w:rPr>
            </w:pPr>
            <w:r>
              <w:rPr>
                <w:spacing w:val="-2"/>
                <w:sz w:val="24"/>
              </w:rPr>
              <w:t>18,946</w:t>
            </w:r>
          </w:p>
        </w:tc>
        <w:tc>
          <w:tcPr>
            <w:tcW w:w="885" w:type="dxa"/>
          </w:tcPr>
          <w:p>
            <w:pPr>
              <w:pStyle w:val="TableParagraph"/>
              <w:spacing w:line="256" w:lineRule="exact"/>
              <w:ind w:left="229"/>
              <w:rPr>
                <w:sz w:val="24"/>
              </w:rPr>
            </w:pPr>
            <w:r>
              <w:rPr>
                <w:spacing w:val="-5"/>
                <w:sz w:val="24"/>
              </w:rPr>
              <w:t>159</w:t>
            </w:r>
          </w:p>
        </w:tc>
        <w:tc>
          <w:tcPr>
            <w:tcW w:w="844" w:type="dxa"/>
          </w:tcPr>
          <w:p>
            <w:pPr>
              <w:pStyle w:val="TableParagraph"/>
              <w:spacing w:line="256" w:lineRule="exact"/>
              <w:ind w:right="181"/>
              <w:jc w:val="right"/>
              <w:rPr>
                <w:sz w:val="24"/>
              </w:rPr>
            </w:pPr>
            <w:r>
              <w:rPr>
                <w:spacing w:val="-5"/>
                <w:sz w:val="24"/>
              </w:rPr>
              <w:t>12</w:t>
            </w:r>
          </w:p>
        </w:tc>
        <w:tc>
          <w:tcPr>
            <w:tcW w:w="837" w:type="dxa"/>
          </w:tcPr>
          <w:p>
            <w:pPr>
              <w:pStyle w:val="TableParagraph"/>
              <w:rPr>
                <w:sz w:val="20"/>
              </w:rPr>
            </w:pPr>
          </w:p>
        </w:tc>
        <w:tc>
          <w:tcPr>
            <w:tcW w:w="840" w:type="dxa"/>
          </w:tcPr>
          <w:p>
            <w:pPr>
              <w:pStyle w:val="TableParagraph"/>
              <w:rPr>
                <w:sz w:val="20"/>
              </w:rPr>
            </w:pPr>
          </w:p>
        </w:tc>
        <w:tc>
          <w:tcPr>
            <w:tcW w:w="1204" w:type="dxa"/>
          </w:tcPr>
          <w:p>
            <w:pPr>
              <w:pStyle w:val="TableParagraph"/>
              <w:rPr>
                <w:sz w:val="20"/>
              </w:rPr>
            </w:pPr>
          </w:p>
        </w:tc>
      </w:tr>
      <w:tr>
        <w:trPr>
          <w:trHeight w:val="275" w:hRule="atLeast"/>
        </w:trPr>
        <w:tc>
          <w:tcPr>
            <w:tcW w:w="888" w:type="dxa"/>
          </w:tcPr>
          <w:p>
            <w:pPr>
              <w:pStyle w:val="TableParagraph"/>
              <w:spacing w:line="256" w:lineRule="exact"/>
              <w:ind w:left="83"/>
              <w:jc w:val="center"/>
              <w:rPr>
                <w:sz w:val="24"/>
              </w:rPr>
            </w:pPr>
            <w:r>
              <w:rPr>
                <w:spacing w:val="-5"/>
                <w:sz w:val="24"/>
              </w:rPr>
              <w:t>8.</w:t>
            </w:r>
          </w:p>
        </w:tc>
        <w:tc>
          <w:tcPr>
            <w:tcW w:w="1291" w:type="dxa"/>
          </w:tcPr>
          <w:p>
            <w:pPr>
              <w:pStyle w:val="TableParagraph"/>
              <w:spacing w:line="256" w:lineRule="exact"/>
              <w:ind w:left="107"/>
              <w:rPr>
                <w:sz w:val="24"/>
              </w:rPr>
            </w:pPr>
            <w:r>
              <w:rPr>
                <w:spacing w:val="-2"/>
                <w:sz w:val="24"/>
              </w:rPr>
              <w:t>August</w:t>
            </w:r>
          </w:p>
        </w:tc>
        <w:tc>
          <w:tcPr>
            <w:tcW w:w="840" w:type="dxa"/>
          </w:tcPr>
          <w:p>
            <w:pPr>
              <w:pStyle w:val="TableParagraph"/>
              <w:rPr>
                <w:sz w:val="20"/>
              </w:rPr>
            </w:pPr>
          </w:p>
        </w:tc>
        <w:tc>
          <w:tcPr>
            <w:tcW w:w="842" w:type="dxa"/>
          </w:tcPr>
          <w:p>
            <w:pPr>
              <w:pStyle w:val="TableParagraph"/>
              <w:spacing w:line="256" w:lineRule="exact"/>
              <w:ind w:left="226"/>
              <w:rPr>
                <w:sz w:val="24"/>
              </w:rPr>
            </w:pPr>
            <w:r>
              <w:rPr>
                <w:spacing w:val="-5"/>
                <w:sz w:val="24"/>
              </w:rPr>
              <w:t>500</w:t>
            </w:r>
          </w:p>
        </w:tc>
        <w:tc>
          <w:tcPr>
            <w:tcW w:w="885" w:type="dxa"/>
          </w:tcPr>
          <w:p>
            <w:pPr>
              <w:pStyle w:val="TableParagraph"/>
              <w:rPr>
                <w:sz w:val="20"/>
              </w:rPr>
            </w:pPr>
          </w:p>
        </w:tc>
        <w:tc>
          <w:tcPr>
            <w:tcW w:w="885" w:type="dxa"/>
          </w:tcPr>
          <w:p>
            <w:pPr>
              <w:pStyle w:val="TableParagraph"/>
              <w:spacing w:line="256" w:lineRule="exact"/>
              <w:ind w:left="289"/>
              <w:rPr>
                <w:sz w:val="24"/>
              </w:rPr>
            </w:pPr>
            <w:r>
              <w:rPr>
                <w:spacing w:val="-5"/>
                <w:sz w:val="24"/>
              </w:rPr>
              <w:t>72</w:t>
            </w:r>
          </w:p>
        </w:tc>
        <w:tc>
          <w:tcPr>
            <w:tcW w:w="844" w:type="dxa"/>
          </w:tcPr>
          <w:p>
            <w:pPr>
              <w:pStyle w:val="TableParagraph"/>
              <w:spacing w:line="256" w:lineRule="exact"/>
              <w:ind w:right="241"/>
              <w:jc w:val="right"/>
              <w:rPr>
                <w:sz w:val="24"/>
              </w:rPr>
            </w:pPr>
            <w:r>
              <w:rPr>
                <w:spacing w:val="-10"/>
                <w:sz w:val="24"/>
              </w:rPr>
              <w:t>6</w:t>
            </w:r>
          </w:p>
        </w:tc>
        <w:tc>
          <w:tcPr>
            <w:tcW w:w="837" w:type="dxa"/>
          </w:tcPr>
          <w:p>
            <w:pPr>
              <w:pStyle w:val="TableParagraph"/>
              <w:rPr>
                <w:sz w:val="20"/>
              </w:rPr>
            </w:pPr>
          </w:p>
        </w:tc>
        <w:tc>
          <w:tcPr>
            <w:tcW w:w="840" w:type="dxa"/>
          </w:tcPr>
          <w:p>
            <w:pPr>
              <w:pStyle w:val="TableParagraph"/>
              <w:spacing w:line="256" w:lineRule="exact"/>
              <w:ind w:right="2"/>
              <w:jc w:val="center"/>
              <w:rPr>
                <w:sz w:val="24"/>
              </w:rPr>
            </w:pPr>
            <w:r>
              <w:rPr>
                <w:spacing w:val="-5"/>
                <w:sz w:val="24"/>
              </w:rPr>
              <w:t>18</w:t>
            </w:r>
          </w:p>
        </w:tc>
        <w:tc>
          <w:tcPr>
            <w:tcW w:w="1204" w:type="dxa"/>
          </w:tcPr>
          <w:p>
            <w:pPr>
              <w:pStyle w:val="TableParagraph"/>
              <w:rPr>
                <w:sz w:val="20"/>
              </w:rPr>
            </w:pPr>
          </w:p>
        </w:tc>
      </w:tr>
      <w:tr>
        <w:trPr>
          <w:trHeight w:val="277" w:hRule="atLeast"/>
        </w:trPr>
        <w:tc>
          <w:tcPr>
            <w:tcW w:w="888" w:type="dxa"/>
          </w:tcPr>
          <w:p>
            <w:pPr>
              <w:pStyle w:val="TableParagraph"/>
              <w:spacing w:line="258" w:lineRule="exact"/>
              <w:ind w:left="83" w:right="76"/>
              <w:jc w:val="center"/>
              <w:rPr>
                <w:sz w:val="24"/>
              </w:rPr>
            </w:pPr>
            <w:r>
              <w:rPr>
                <w:spacing w:val="-5"/>
                <w:sz w:val="24"/>
              </w:rPr>
              <w:t>9.</w:t>
            </w:r>
          </w:p>
        </w:tc>
        <w:tc>
          <w:tcPr>
            <w:tcW w:w="1291" w:type="dxa"/>
          </w:tcPr>
          <w:p>
            <w:pPr>
              <w:pStyle w:val="TableParagraph"/>
              <w:spacing w:line="258" w:lineRule="exact"/>
              <w:ind w:left="107"/>
              <w:rPr>
                <w:sz w:val="24"/>
              </w:rPr>
            </w:pPr>
            <w:r>
              <w:rPr>
                <w:spacing w:val="-2"/>
                <w:sz w:val="24"/>
              </w:rPr>
              <w:t>September</w:t>
            </w:r>
          </w:p>
        </w:tc>
        <w:tc>
          <w:tcPr>
            <w:tcW w:w="840" w:type="dxa"/>
          </w:tcPr>
          <w:p>
            <w:pPr>
              <w:pStyle w:val="TableParagraph"/>
              <w:rPr>
                <w:sz w:val="20"/>
              </w:rPr>
            </w:pPr>
          </w:p>
        </w:tc>
        <w:tc>
          <w:tcPr>
            <w:tcW w:w="842" w:type="dxa"/>
          </w:tcPr>
          <w:p>
            <w:pPr>
              <w:pStyle w:val="TableParagraph"/>
              <w:rPr>
                <w:sz w:val="20"/>
              </w:rPr>
            </w:pPr>
          </w:p>
        </w:tc>
        <w:tc>
          <w:tcPr>
            <w:tcW w:w="885" w:type="dxa"/>
          </w:tcPr>
          <w:p>
            <w:pPr>
              <w:pStyle w:val="TableParagraph"/>
              <w:spacing w:line="258" w:lineRule="exact"/>
              <w:ind w:left="108"/>
              <w:rPr>
                <w:sz w:val="24"/>
              </w:rPr>
            </w:pPr>
            <w:r>
              <w:rPr>
                <w:spacing w:val="-2"/>
                <w:sz w:val="24"/>
              </w:rPr>
              <w:t>1,012</w:t>
            </w:r>
          </w:p>
        </w:tc>
        <w:tc>
          <w:tcPr>
            <w:tcW w:w="885" w:type="dxa"/>
          </w:tcPr>
          <w:p>
            <w:pPr>
              <w:pStyle w:val="TableParagraph"/>
              <w:rPr>
                <w:sz w:val="20"/>
              </w:rPr>
            </w:pPr>
          </w:p>
        </w:tc>
        <w:tc>
          <w:tcPr>
            <w:tcW w:w="844" w:type="dxa"/>
          </w:tcPr>
          <w:p>
            <w:pPr>
              <w:pStyle w:val="TableParagraph"/>
              <w:rPr>
                <w:sz w:val="20"/>
              </w:rPr>
            </w:pPr>
          </w:p>
        </w:tc>
        <w:tc>
          <w:tcPr>
            <w:tcW w:w="837" w:type="dxa"/>
          </w:tcPr>
          <w:p>
            <w:pPr>
              <w:pStyle w:val="TableParagraph"/>
              <w:rPr>
                <w:sz w:val="20"/>
              </w:rPr>
            </w:pPr>
          </w:p>
        </w:tc>
        <w:tc>
          <w:tcPr>
            <w:tcW w:w="840" w:type="dxa"/>
          </w:tcPr>
          <w:p>
            <w:pPr>
              <w:pStyle w:val="TableParagraph"/>
              <w:rPr>
                <w:sz w:val="20"/>
              </w:rPr>
            </w:pPr>
          </w:p>
        </w:tc>
        <w:tc>
          <w:tcPr>
            <w:tcW w:w="1204" w:type="dxa"/>
          </w:tcPr>
          <w:p>
            <w:pPr>
              <w:pStyle w:val="TableParagraph"/>
              <w:rPr>
                <w:sz w:val="20"/>
              </w:rPr>
            </w:pPr>
          </w:p>
        </w:tc>
      </w:tr>
      <w:tr>
        <w:trPr>
          <w:trHeight w:val="275" w:hRule="atLeast"/>
        </w:trPr>
        <w:tc>
          <w:tcPr>
            <w:tcW w:w="888" w:type="dxa"/>
          </w:tcPr>
          <w:p>
            <w:pPr>
              <w:pStyle w:val="TableParagraph"/>
              <w:spacing w:line="256" w:lineRule="exact"/>
              <w:ind w:left="292"/>
              <w:rPr>
                <w:sz w:val="24"/>
              </w:rPr>
            </w:pPr>
            <w:r>
              <w:rPr>
                <w:spacing w:val="-5"/>
                <w:sz w:val="24"/>
              </w:rPr>
              <w:t>10.</w:t>
            </w:r>
          </w:p>
        </w:tc>
        <w:tc>
          <w:tcPr>
            <w:tcW w:w="1291" w:type="dxa"/>
          </w:tcPr>
          <w:p>
            <w:pPr>
              <w:pStyle w:val="TableParagraph"/>
              <w:spacing w:line="256" w:lineRule="exact"/>
              <w:ind w:left="107"/>
              <w:rPr>
                <w:sz w:val="24"/>
              </w:rPr>
            </w:pPr>
            <w:r>
              <w:rPr>
                <w:spacing w:val="-2"/>
                <w:sz w:val="24"/>
              </w:rPr>
              <w:t>October</w:t>
            </w:r>
          </w:p>
        </w:tc>
        <w:tc>
          <w:tcPr>
            <w:tcW w:w="840" w:type="dxa"/>
          </w:tcPr>
          <w:p>
            <w:pPr>
              <w:pStyle w:val="TableParagraph"/>
              <w:rPr>
                <w:sz w:val="20"/>
              </w:rPr>
            </w:pPr>
          </w:p>
        </w:tc>
        <w:tc>
          <w:tcPr>
            <w:tcW w:w="842" w:type="dxa"/>
          </w:tcPr>
          <w:p>
            <w:pPr>
              <w:pStyle w:val="TableParagraph"/>
              <w:rPr>
                <w:sz w:val="20"/>
              </w:rPr>
            </w:pPr>
          </w:p>
        </w:tc>
        <w:tc>
          <w:tcPr>
            <w:tcW w:w="885" w:type="dxa"/>
          </w:tcPr>
          <w:p>
            <w:pPr>
              <w:pStyle w:val="TableParagraph"/>
              <w:spacing w:line="256" w:lineRule="exact"/>
              <w:ind w:left="108"/>
              <w:rPr>
                <w:sz w:val="24"/>
              </w:rPr>
            </w:pPr>
            <w:r>
              <w:rPr>
                <w:spacing w:val="-2"/>
                <w:sz w:val="24"/>
              </w:rPr>
              <w:t>1,012</w:t>
            </w:r>
          </w:p>
        </w:tc>
        <w:tc>
          <w:tcPr>
            <w:tcW w:w="885" w:type="dxa"/>
          </w:tcPr>
          <w:p>
            <w:pPr>
              <w:pStyle w:val="TableParagraph"/>
              <w:spacing w:line="256" w:lineRule="exact"/>
              <w:ind w:left="229"/>
              <w:rPr>
                <w:sz w:val="24"/>
              </w:rPr>
            </w:pPr>
            <w:r>
              <w:rPr>
                <w:spacing w:val="-5"/>
                <w:sz w:val="24"/>
              </w:rPr>
              <w:t>32</w:t>
            </w:r>
          </w:p>
        </w:tc>
        <w:tc>
          <w:tcPr>
            <w:tcW w:w="844" w:type="dxa"/>
          </w:tcPr>
          <w:p>
            <w:pPr>
              <w:pStyle w:val="TableParagraph"/>
              <w:rPr>
                <w:sz w:val="20"/>
              </w:rPr>
            </w:pPr>
          </w:p>
        </w:tc>
        <w:tc>
          <w:tcPr>
            <w:tcW w:w="837" w:type="dxa"/>
          </w:tcPr>
          <w:p>
            <w:pPr>
              <w:pStyle w:val="TableParagraph"/>
              <w:rPr>
                <w:sz w:val="20"/>
              </w:rPr>
            </w:pPr>
          </w:p>
        </w:tc>
        <w:tc>
          <w:tcPr>
            <w:tcW w:w="840" w:type="dxa"/>
          </w:tcPr>
          <w:p>
            <w:pPr>
              <w:pStyle w:val="TableParagraph"/>
              <w:rPr>
                <w:sz w:val="20"/>
              </w:rPr>
            </w:pPr>
          </w:p>
        </w:tc>
        <w:tc>
          <w:tcPr>
            <w:tcW w:w="1204" w:type="dxa"/>
          </w:tcPr>
          <w:p>
            <w:pPr>
              <w:pStyle w:val="TableParagraph"/>
              <w:spacing w:line="256" w:lineRule="exact"/>
              <w:ind w:left="352"/>
              <w:rPr>
                <w:sz w:val="24"/>
              </w:rPr>
            </w:pPr>
            <w:r>
              <w:rPr>
                <w:spacing w:val="-5"/>
                <w:sz w:val="24"/>
              </w:rPr>
              <w:t>22</w:t>
            </w:r>
          </w:p>
        </w:tc>
      </w:tr>
      <w:tr>
        <w:trPr>
          <w:trHeight w:val="276" w:hRule="atLeast"/>
        </w:trPr>
        <w:tc>
          <w:tcPr>
            <w:tcW w:w="888" w:type="dxa"/>
          </w:tcPr>
          <w:p>
            <w:pPr>
              <w:pStyle w:val="TableParagraph"/>
              <w:spacing w:line="256" w:lineRule="exact"/>
              <w:ind w:left="292"/>
              <w:rPr>
                <w:sz w:val="24"/>
              </w:rPr>
            </w:pPr>
            <w:r>
              <w:rPr>
                <w:spacing w:val="-5"/>
                <w:sz w:val="24"/>
              </w:rPr>
              <w:t>11.</w:t>
            </w:r>
          </w:p>
        </w:tc>
        <w:tc>
          <w:tcPr>
            <w:tcW w:w="1291" w:type="dxa"/>
          </w:tcPr>
          <w:p>
            <w:pPr>
              <w:pStyle w:val="TableParagraph"/>
              <w:spacing w:line="256" w:lineRule="exact"/>
              <w:ind w:left="107"/>
              <w:rPr>
                <w:sz w:val="24"/>
              </w:rPr>
            </w:pPr>
            <w:r>
              <w:rPr>
                <w:spacing w:val="-2"/>
                <w:sz w:val="24"/>
              </w:rPr>
              <w:t>November</w:t>
            </w:r>
          </w:p>
        </w:tc>
        <w:tc>
          <w:tcPr>
            <w:tcW w:w="840" w:type="dxa"/>
          </w:tcPr>
          <w:p>
            <w:pPr>
              <w:pStyle w:val="TableParagraph"/>
              <w:rPr>
                <w:sz w:val="20"/>
              </w:rPr>
            </w:pPr>
          </w:p>
        </w:tc>
        <w:tc>
          <w:tcPr>
            <w:tcW w:w="842" w:type="dxa"/>
          </w:tcPr>
          <w:p>
            <w:pPr>
              <w:pStyle w:val="TableParagraph"/>
              <w:rPr>
                <w:sz w:val="20"/>
              </w:rPr>
            </w:pPr>
          </w:p>
        </w:tc>
        <w:tc>
          <w:tcPr>
            <w:tcW w:w="885" w:type="dxa"/>
          </w:tcPr>
          <w:p>
            <w:pPr>
              <w:pStyle w:val="TableParagraph"/>
              <w:spacing w:line="256" w:lineRule="exact"/>
              <w:ind w:left="468"/>
              <w:rPr>
                <w:sz w:val="24"/>
              </w:rPr>
            </w:pPr>
            <w:r>
              <w:rPr>
                <w:spacing w:val="-5"/>
                <w:sz w:val="24"/>
              </w:rPr>
              <w:t>32</w:t>
            </w:r>
          </w:p>
        </w:tc>
        <w:tc>
          <w:tcPr>
            <w:tcW w:w="885" w:type="dxa"/>
          </w:tcPr>
          <w:p>
            <w:pPr>
              <w:pStyle w:val="TableParagraph"/>
              <w:rPr>
                <w:sz w:val="20"/>
              </w:rPr>
            </w:pPr>
          </w:p>
        </w:tc>
        <w:tc>
          <w:tcPr>
            <w:tcW w:w="844" w:type="dxa"/>
          </w:tcPr>
          <w:p>
            <w:pPr>
              <w:pStyle w:val="TableParagraph"/>
              <w:spacing w:line="256" w:lineRule="exact"/>
              <w:ind w:left="110"/>
              <w:rPr>
                <w:sz w:val="24"/>
              </w:rPr>
            </w:pPr>
            <w:r>
              <w:rPr>
                <w:spacing w:val="-5"/>
                <w:sz w:val="24"/>
              </w:rPr>
              <w:t>11</w:t>
            </w:r>
          </w:p>
        </w:tc>
        <w:tc>
          <w:tcPr>
            <w:tcW w:w="837" w:type="dxa"/>
          </w:tcPr>
          <w:p>
            <w:pPr>
              <w:pStyle w:val="TableParagraph"/>
              <w:rPr>
                <w:sz w:val="20"/>
              </w:rPr>
            </w:pPr>
          </w:p>
        </w:tc>
        <w:tc>
          <w:tcPr>
            <w:tcW w:w="840" w:type="dxa"/>
          </w:tcPr>
          <w:p>
            <w:pPr>
              <w:pStyle w:val="TableParagraph"/>
              <w:rPr>
                <w:sz w:val="20"/>
              </w:rPr>
            </w:pPr>
          </w:p>
        </w:tc>
        <w:tc>
          <w:tcPr>
            <w:tcW w:w="1204" w:type="dxa"/>
          </w:tcPr>
          <w:p>
            <w:pPr>
              <w:pStyle w:val="TableParagraph"/>
              <w:rPr>
                <w:sz w:val="20"/>
              </w:rPr>
            </w:pPr>
          </w:p>
        </w:tc>
      </w:tr>
      <w:tr>
        <w:trPr>
          <w:trHeight w:val="275" w:hRule="atLeast"/>
        </w:trPr>
        <w:tc>
          <w:tcPr>
            <w:tcW w:w="888" w:type="dxa"/>
          </w:tcPr>
          <w:p>
            <w:pPr>
              <w:pStyle w:val="TableParagraph"/>
              <w:spacing w:line="256" w:lineRule="exact"/>
              <w:ind w:left="292"/>
              <w:rPr>
                <w:sz w:val="24"/>
              </w:rPr>
            </w:pPr>
            <w:r>
              <w:rPr>
                <w:spacing w:val="-5"/>
                <w:sz w:val="24"/>
              </w:rPr>
              <w:t>12.</w:t>
            </w:r>
          </w:p>
        </w:tc>
        <w:tc>
          <w:tcPr>
            <w:tcW w:w="1291" w:type="dxa"/>
          </w:tcPr>
          <w:p>
            <w:pPr>
              <w:pStyle w:val="TableParagraph"/>
              <w:spacing w:line="256" w:lineRule="exact"/>
              <w:ind w:left="107"/>
              <w:rPr>
                <w:sz w:val="24"/>
              </w:rPr>
            </w:pPr>
            <w:r>
              <w:rPr>
                <w:spacing w:val="-2"/>
                <w:sz w:val="24"/>
              </w:rPr>
              <w:t>December</w:t>
            </w:r>
          </w:p>
        </w:tc>
        <w:tc>
          <w:tcPr>
            <w:tcW w:w="840" w:type="dxa"/>
          </w:tcPr>
          <w:p>
            <w:pPr>
              <w:pStyle w:val="TableParagraph"/>
              <w:rPr>
                <w:sz w:val="20"/>
              </w:rPr>
            </w:pPr>
          </w:p>
        </w:tc>
        <w:tc>
          <w:tcPr>
            <w:tcW w:w="842" w:type="dxa"/>
          </w:tcPr>
          <w:p>
            <w:pPr>
              <w:pStyle w:val="TableParagraph"/>
              <w:spacing w:line="256" w:lineRule="exact"/>
              <w:ind w:left="106"/>
              <w:rPr>
                <w:sz w:val="24"/>
              </w:rPr>
            </w:pPr>
            <w:r>
              <w:rPr>
                <w:spacing w:val="-2"/>
                <w:sz w:val="24"/>
              </w:rPr>
              <w:t>4,250</w:t>
            </w:r>
          </w:p>
        </w:tc>
        <w:tc>
          <w:tcPr>
            <w:tcW w:w="885" w:type="dxa"/>
          </w:tcPr>
          <w:p>
            <w:pPr>
              <w:pStyle w:val="TableParagraph"/>
              <w:rPr>
                <w:sz w:val="20"/>
              </w:rPr>
            </w:pPr>
          </w:p>
        </w:tc>
        <w:tc>
          <w:tcPr>
            <w:tcW w:w="885" w:type="dxa"/>
          </w:tcPr>
          <w:p>
            <w:pPr>
              <w:pStyle w:val="TableParagraph"/>
              <w:rPr>
                <w:sz w:val="20"/>
              </w:rPr>
            </w:pPr>
          </w:p>
        </w:tc>
        <w:tc>
          <w:tcPr>
            <w:tcW w:w="844" w:type="dxa"/>
          </w:tcPr>
          <w:p>
            <w:pPr>
              <w:pStyle w:val="TableParagraph"/>
              <w:rPr>
                <w:sz w:val="20"/>
              </w:rPr>
            </w:pPr>
          </w:p>
        </w:tc>
        <w:tc>
          <w:tcPr>
            <w:tcW w:w="837" w:type="dxa"/>
          </w:tcPr>
          <w:p>
            <w:pPr>
              <w:pStyle w:val="TableParagraph"/>
              <w:spacing w:line="256" w:lineRule="exact"/>
              <w:ind w:right="2"/>
              <w:jc w:val="center"/>
              <w:rPr>
                <w:sz w:val="24"/>
              </w:rPr>
            </w:pPr>
            <w:r>
              <w:rPr>
                <w:spacing w:val="-5"/>
                <w:sz w:val="24"/>
              </w:rPr>
              <w:t>15</w:t>
            </w:r>
          </w:p>
        </w:tc>
        <w:tc>
          <w:tcPr>
            <w:tcW w:w="840" w:type="dxa"/>
          </w:tcPr>
          <w:p>
            <w:pPr>
              <w:pStyle w:val="TableParagraph"/>
              <w:rPr>
                <w:sz w:val="20"/>
              </w:rPr>
            </w:pPr>
          </w:p>
        </w:tc>
        <w:tc>
          <w:tcPr>
            <w:tcW w:w="1204" w:type="dxa"/>
          </w:tcPr>
          <w:p>
            <w:pPr>
              <w:pStyle w:val="TableParagraph"/>
              <w:rPr>
                <w:sz w:val="20"/>
              </w:rPr>
            </w:pPr>
          </w:p>
        </w:tc>
      </w:tr>
      <w:tr>
        <w:trPr>
          <w:trHeight w:val="275" w:hRule="atLeast"/>
        </w:trPr>
        <w:tc>
          <w:tcPr>
            <w:tcW w:w="888" w:type="dxa"/>
          </w:tcPr>
          <w:p>
            <w:pPr>
              <w:pStyle w:val="TableParagraph"/>
              <w:spacing w:line="256" w:lineRule="exact"/>
              <w:ind w:left="107"/>
              <w:rPr>
                <w:sz w:val="24"/>
              </w:rPr>
            </w:pPr>
            <w:r>
              <w:rPr>
                <w:spacing w:val="-2"/>
                <w:sz w:val="24"/>
              </w:rPr>
              <w:t>Total</w:t>
            </w:r>
          </w:p>
        </w:tc>
        <w:tc>
          <w:tcPr>
            <w:tcW w:w="1291" w:type="dxa"/>
          </w:tcPr>
          <w:p>
            <w:pPr>
              <w:pStyle w:val="TableParagraph"/>
              <w:rPr>
                <w:sz w:val="20"/>
              </w:rPr>
            </w:pPr>
          </w:p>
        </w:tc>
        <w:tc>
          <w:tcPr>
            <w:tcW w:w="840" w:type="dxa"/>
          </w:tcPr>
          <w:p>
            <w:pPr>
              <w:pStyle w:val="TableParagraph"/>
              <w:spacing w:line="256" w:lineRule="exact"/>
              <w:ind w:right="130"/>
              <w:jc w:val="center"/>
              <w:rPr>
                <w:sz w:val="24"/>
              </w:rPr>
            </w:pPr>
            <w:r>
              <w:rPr>
                <w:spacing w:val="-4"/>
                <w:sz w:val="24"/>
              </w:rPr>
              <w:t>2000</w:t>
            </w:r>
          </w:p>
        </w:tc>
        <w:tc>
          <w:tcPr>
            <w:tcW w:w="842" w:type="dxa"/>
          </w:tcPr>
          <w:p>
            <w:pPr>
              <w:pStyle w:val="TableParagraph"/>
              <w:spacing w:line="256" w:lineRule="exact"/>
              <w:ind w:left="106"/>
              <w:rPr>
                <w:sz w:val="24"/>
              </w:rPr>
            </w:pPr>
            <w:r>
              <w:rPr>
                <w:spacing w:val="-2"/>
                <w:sz w:val="24"/>
              </w:rPr>
              <w:t>8,500</w:t>
            </w:r>
          </w:p>
        </w:tc>
        <w:tc>
          <w:tcPr>
            <w:tcW w:w="885" w:type="dxa"/>
          </w:tcPr>
          <w:p>
            <w:pPr>
              <w:pStyle w:val="TableParagraph"/>
              <w:spacing w:line="256" w:lineRule="exact"/>
              <w:ind w:left="108"/>
              <w:rPr>
                <w:sz w:val="24"/>
              </w:rPr>
            </w:pPr>
            <w:r>
              <w:rPr>
                <w:spacing w:val="-2"/>
                <w:sz w:val="24"/>
              </w:rPr>
              <w:t>40,838</w:t>
            </w:r>
          </w:p>
        </w:tc>
        <w:tc>
          <w:tcPr>
            <w:tcW w:w="885" w:type="dxa"/>
          </w:tcPr>
          <w:p>
            <w:pPr>
              <w:pStyle w:val="TableParagraph"/>
              <w:spacing w:line="256" w:lineRule="exact"/>
              <w:ind w:left="109"/>
              <w:rPr>
                <w:sz w:val="24"/>
              </w:rPr>
            </w:pPr>
            <w:r>
              <w:rPr>
                <w:spacing w:val="-2"/>
                <w:sz w:val="24"/>
              </w:rPr>
              <w:t>23,307</w:t>
            </w:r>
          </w:p>
        </w:tc>
        <w:tc>
          <w:tcPr>
            <w:tcW w:w="844" w:type="dxa"/>
          </w:tcPr>
          <w:p>
            <w:pPr>
              <w:pStyle w:val="TableParagraph"/>
              <w:spacing w:line="256" w:lineRule="exact"/>
              <w:ind w:left="110"/>
              <w:rPr>
                <w:sz w:val="24"/>
              </w:rPr>
            </w:pPr>
            <w:r>
              <w:rPr>
                <w:spacing w:val="-2"/>
                <w:sz w:val="24"/>
              </w:rPr>
              <w:t>3,576</w:t>
            </w:r>
          </w:p>
        </w:tc>
        <w:tc>
          <w:tcPr>
            <w:tcW w:w="837" w:type="dxa"/>
          </w:tcPr>
          <w:p>
            <w:pPr>
              <w:pStyle w:val="TableParagraph"/>
              <w:spacing w:line="256" w:lineRule="exact"/>
              <w:ind w:right="233"/>
              <w:jc w:val="right"/>
              <w:rPr>
                <w:sz w:val="24"/>
              </w:rPr>
            </w:pPr>
            <w:r>
              <w:rPr>
                <w:spacing w:val="-5"/>
                <w:sz w:val="24"/>
              </w:rPr>
              <w:t>15</w:t>
            </w:r>
          </w:p>
        </w:tc>
        <w:tc>
          <w:tcPr>
            <w:tcW w:w="840" w:type="dxa"/>
          </w:tcPr>
          <w:p>
            <w:pPr>
              <w:pStyle w:val="TableParagraph"/>
              <w:spacing w:line="256" w:lineRule="exact"/>
              <w:ind w:right="2"/>
              <w:jc w:val="center"/>
              <w:rPr>
                <w:sz w:val="24"/>
              </w:rPr>
            </w:pPr>
            <w:r>
              <w:rPr>
                <w:spacing w:val="-5"/>
                <w:sz w:val="24"/>
              </w:rPr>
              <w:t>18</w:t>
            </w:r>
          </w:p>
        </w:tc>
        <w:tc>
          <w:tcPr>
            <w:tcW w:w="1204" w:type="dxa"/>
          </w:tcPr>
          <w:p>
            <w:pPr>
              <w:pStyle w:val="TableParagraph"/>
              <w:spacing w:line="256" w:lineRule="exact"/>
              <w:ind w:right="479"/>
              <w:jc w:val="right"/>
              <w:rPr>
                <w:sz w:val="24"/>
              </w:rPr>
            </w:pPr>
            <w:r>
              <w:rPr>
                <w:spacing w:val="-5"/>
                <w:sz w:val="24"/>
              </w:rPr>
              <w:t>34</w:t>
            </w:r>
          </w:p>
        </w:tc>
      </w:tr>
    </w:tbl>
    <w:sectPr>
      <w:pgSz w:w="11910" w:h="16840"/>
      <w:pgMar w:header="0" w:footer="1561" w:top="1360" w:bottom="1760" w:left="720" w:right="1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Impact">
    <w:altName w:val="Impact"/>
    <w:charset w:val="1"/>
    <w:family w:val="swiss"/>
    <w:pitch w:val="variable"/>
  </w:font>
  <w:font w:name="Calibri">
    <w:altName w:val="Calibri"/>
    <w:charset w:val="1"/>
    <w:family w:val="roman"/>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80558080">
              <wp:simplePos x="0" y="0"/>
              <wp:positionH relativeFrom="page">
                <wp:posOffset>3891407</wp:posOffset>
              </wp:positionH>
              <wp:positionV relativeFrom="page">
                <wp:posOffset>9601910</wp:posOffset>
              </wp:positionV>
              <wp:extent cx="249554" cy="16573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249554" cy="165735"/>
                      </a:xfrm>
                      <a:prstGeom prst="rect">
                        <a:avLst/>
                      </a:prstGeom>
                    </wps:spPr>
                    <wps:txbx>
                      <w:txbxContent>
                        <w:p>
                          <w:pPr>
                            <w:spacing w:line="245" w:lineRule="exact" w:before="0"/>
                            <w:ind w:left="6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viii</w:t>
                          </w:r>
                          <w:r>
                            <w:rPr>
                              <w:rFonts w:ascii="Calibri"/>
                              <w:spacing w:val="-4"/>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6.410004pt;margin-top:756.055969pt;width:19.650pt;height:13.05pt;mso-position-horizontal-relative:page;mso-position-vertical-relative:page;z-index:-22758400" type="#_x0000_t202" id="docshape1" filled="false" stroked="false">
              <v:textbox inset="0,0,0,0">
                <w:txbxContent>
                  <w:p>
                    <w:pPr>
                      <w:spacing w:line="245" w:lineRule="exact" w:before="0"/>
                      <w:ind w:left="6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viii</w:t>
                    </w:r>
                    <w:r>
                      <w:rPr>
                        <w:rFonts w:ascii="Calibri"/>
                        <w:spacing w:val="-4"/>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80558592">
              <wp:simplePos x="0" y="0"/>
              <wp:positionH relativeFrom="page">
                <wp:posOffset>3836542</wp:posOffset>
              </wp:positionH>
              <wp:positionV relativeFrom="page">
                <wp:posOffset>9558096</wp:posOffset>
              </wp:positionV>
              <wp:extent cx="358775" cy="203835"/>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358775" cy="203835"/>
                      </a:xfrm>
                      <a:prstGeom prst="rect">
                        <a:avLst/>
                      </a:prstGeom>
                    </wps:spPr>
                    <wps:txbx>
                      <w:txbxContent>
                        <w:p>
                          <w:pPr>
                            <w:spacing w:line="306" w:lineRule="exact" w:before="0"/>
                            <w:ind w:left="60" w:right="0" w:firstLine="0"/>
                            <w:jc w:val="left"/>
                            <w:rPr>
                              <w:rFonts w:ascii="Calibri"/>
                              <w:sz w:val="28"/>
                            </w:rPr>
                          </w:pPr>
                          <w:r>
                            <w:rPr>
                              <w:rFonts w:ascii="Calibri"/>
                              <w:spacing w:val="-5"/>
                              <w:sz w:val="28"/>
                            </w:rPr>
                            <w:fldChar w:fldCharType="begin"/>
                          </w:r>
                          <w:r>
                            <w:rPr>
                              <w:rFonts w:ascii="Calibri"/>
                              <w:spacing w:val="-5"/>
                              <w:sz w:val="28"/>
                            </w:rPr>
                            <w:instrText> PAGE </w:instrText>
                          </w:r>
                          <w:r>
                            <w:rPr>
                              <w:rFonts w:ascii="Calibri"/>
                              <w:spacing w:val="-5"/>
                              <w:sz w:val="28"/>
                            </w:rPr>
                            <w:fldChar w:fldCharType="separate"/>
                          </w:r>
                          <w:r>
                            <w:rPr>
                              <w:rFonts w:ascii="Calibri"/>
                              <w:spacing w:val="-5"/>
                              <w:sz w:val="28"/>
                            </w:rPr>
                            <w:t>100</w:t>
                          </w:r>
                          <w:r>
                            <w:rPr>
                              <w:rFonts w:ascii="Calibri"/>
                              <w:spacing w:val="-5"/>
                              <w:sz w:val="28"/>
                            </w:rPr>
                            <w:fldChar w:fldCharType="end"/>
                          </w:r>
                        </w:p>
                      </w:txbxContent>
                    </wps:txbx>
                    <wps:bodyPr wrap="square" lIns="0" tIns="0" rIns="0" bIns="0" rtlCol="0">
                      <a:noAutofit/>
                    </wps:bodyPr>
                  </wps:wsp>
                </a:graphicData>
              </a:graphic>
            </wp:anchor>
          </w:drawing>
        </mc:Choice>
        <mc:Fallback>
          <w:pict>
            <v:shape style="position:absolute;margin-left:302.089996pt;margin-top:752.606018pt;width:28.25pt;height:16.05pt;mso-position-horizontal-relative:page;mso-position-vertical-relative:page;z-index:-22757888" type="#_x0000_t202" id="docshape4" filled="false" stroked="false">
              <v:textbox inset="0,0,0,0">
                <w:txbxContent>
                  <w:p>
                    <w:pPr>
                      <w:spacing w:line="306" w:lineRule="exact" w:before="0"/>
                      <w:ind w:left="60" w:right="0" w:firstLine="0"/>
                      <w:jc w:val="left"/>
                      <w:rPr>
                        <w:rFonts w:ascii="Calibri"/>
                        <w:sz w:val="28"/>
                      </w:rPr>
                    </w:pPr>
                    <w:r>
                      <w:rPr>
                        <w:rFonts w:ascii="Calibri"/>
                        <w:spacing w:val="-5"/>
                        <w:sz w:val="28"/>
                      </w:rPr>
                      <w:fldChar w:fldCharType="begin"/>
                    </w:r>
                    <w:r>
                      <w:rPr>
                        <w:rFonts w:ascii="Calibri"/>
                        <w:spacing w:val="-5"/>
                        <w:sz w:val="28"/>
                      </w:rPr>
                      <w:instrText> PAGE </w:instrText>
                    </w:r>
                    <w:r>
                      <w:rPr>
                        <w:rFonts w:ascii="Calibri"/>
                        <w:spacing w:val="-5"/>
                        <w:sz w:val="28"/>
                      </w:rPr>
                      <w:fldChar w:fldCharType="separate"/>
                    </w:r>
                    <w:r>
                      <w:rPr>
                        <w:rFonts w:ascii="Calibri"/>
                        <w:spacing w:val="-5"/>
                        <w:sz w:val="28"/>
                      </w:rPr>
                      <w:t>100</w:t>
                    </w:r>
                    <w:r>
                      <w:rPr>
                        <w:rFonts w:ascii="Calibri"/>
                        <w:spacing w:val="-5"/>
                        <w:sz w:val="28"/>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3">
    <w:multiLevelType w:val="hybridMultilevel"/>
    <w:lvl w:ilvl="0">
      <w:start w:val="1"/>
      <w:numFmt w:val="decimal"/>
      <w:lvlText w:val="%1."/>
      <w:lvlJc w:val="left"/>
      <w:pPr>
        <w:ind w:left="1440" w:hanging="720"/>
        <w:jc w:val="left"/>
      </w:pPr>
      <w:rPr>
        <w:rFonts w:hint="default"/>
        <w:spacing w:val="0"/>
        <w:w w:val="88"/>
        <w:lang w:val="en-US" w:eastAsia="en-US" w:bidi="ar-SA"/>
      </w:rPr>
    </w:lvl>
    <w:lvl w:ilvl="1">
      <w:start w:val="0"/>
      <w:numFmt w:val="bullet"/>
      <w:lvlText w:val="•"/>
      <w:lvlJc w:val="left"/>
      <w:pPr>
        <w:ind w:left="2396" w:hanging="720"/>
      </w:pPr>
      <w:rPr>
        <w:rFonts w:hint="default"/>
        <w:lang w:val="en-US" w:eastAsia="en-US" w:bidi="ar-SA"/>
      </w:rPr>
    </w:lvl>
    <w:lvl w:ilvl="2">
      <w:start w:val="0"/>
      <w:numFmt w:val="bullet"/>
      <w:lvlText w:val="•"/>
      <w:lvlJc w:val="left"/>
      <w:pPr>
        <w:ind w:left="3353" w:hanging="720"/>
      </w:pPr>
      <w:rPr>
        <w:rFonts w:hint="default"/>
        <w:lang w:val="en-US" w:eastAsia="en-US" w:bidi="ar-SA"/>
      </w:rPr>
    </w:lvl>
    <w:lvl w:ilvl="3">
      <w:start w:val="0"/>
      <w:numFmt w:val="bullet"/>
      <w:lvlText w:val="•"/>
      <w:lvlJc w:val="left"/>
      <w:pPr>
        <w:ind w:left="4310" w:hanging="720"/>
      </w:pPr>
      <w:rPr>
        <w:rFonts w:hint="default"/>
        <w:lang w:val="en-US" w:eastAsia="en-US" w:bidi="ar-SA"/>
      </w:rPr>
    </w:lvl>
    <w:lvl w:ilvl="4">
      <w:start w:val="0"/>
      <w:numFmt w:val="bullet"/>
      <w:lvlText w:val="•"/>
      <w:lvlJc w:val="left"/>
      <w:pPr>
        <w:ind w:left="5267" w:hanging="720"/>
      </w:pPr>
      <w:rPr>
        <w:rFonts w:hint="default"/>
        <w:lang w:val="en-US" w:eastAsia="en-US" w:bidi="ar-SA"/>
      </w:rPr>
    </w:lvl>
    <w:lvl w:ilvl="5">
      <w:start w:val="0"/>
      <w:numFmt w:val="bullet"/>
      <w:lvlText w:val="•"/>
      <w:lvlJc w:val="left"/>
      <w:pPr>
        <w:ind w:left="6224" w:hanging="720"/>
      </w:pPr>
      <w:rPr>
        <w:rFonts w:hint="default"/>
        <w:lang w:val="en-US" w:eastAsia="en-US" w:bidi="ar-SA"/>
      </w:rPr>
    </w:lvl>
    <w:lvl w:ilvl="6">
      <w:start w:val="0"/>
      <w:numFmt w:val="bullet"/>
      <w:lvlText w:val="•"/>
      <w:lvlJc w:val="left"/>
      <w:pPr>
        <w:ind w:left="7181" w:hanging="720"/>
      </w:pPr>
      <w:rPr>
        <w:rFonts w:hint="default"/>
        <w:lang w:val="en-US" w:eastAsia="en-US" w:bidi="ar-SA"/>
      </w:rPr>
    </w:lvl>
    <w:lvl w:ilvl="7">
      <w:start w:val="0"/>
      <w:numFmt w:val="bullet"/>
      <w:lvlText w:val="•"/>
      <w:lvlJc w:val="left"/>
      <w:pPr>
        <w:ind w:left="8138" w:hanging="720"/>
      </w:pPr>
      <w:rPr>
        <w:rFonts w:hint="default"/>
        <w:lang w:val="en-US" w:eastAsia="en-US" w:bidi="ar-SA"/>
      </w:rPr>
    </w:lvl>
    <w:lvl w:ilvl="8">
      <w:start w:val="0"/>
      <w:numFmt w:val="bullet"/>
      <w:lvlText w:val="•"/>
      <w:lvlJc w:val="left"/>
      <w:pPr>
        <w:ind w:left="9095" w:hanging="720"/>
      </w:pPr>
      <w:rPr>
        <w:rFonts w:hint="default"/>
        <w:lang w:val="en-US" w:eastAsia="en-US" w:bidi="ar-SA"/>
      </w:rPr>
    </w:lvl>
  </w:abstractNum>
  <w:abstractNum w:abstractNumId="32">
    <w:multiLevelType w:val="hybridMultilevel"/>
    <w:lvl w:ilvl="0">
      <w:start w:val="1"/>
      <w:numFmt w:val="decimal"/>
      <w:lvlText w:val="%1."/>
      <w:lvlJc w:val="left"/>
      <w:pPr>
        <w:ind w:left="2160" w:hanging="720"/>
        <w:jc w:val="right"/>
      </w:pPr>
      <w:rPr>
        <w:rFonts w:hint="default"/>
        <w:spacing w:val="0"/>
        <w:w w:val="100"/>
        <w:lang w:val="en-US" w:eastAsia="en-US" w:bidi="ar-SA"/>
      </w:rPr>
    </w:lvl>
    <w:lvl w:ilvl="1">
      <w:start w:val="0"/>
      <w:numFmt w:val="bullet"/>
      <w:lvlText w:val="•"/>
      <w:lvlJc w:val="left"/>
      <w:pPr>
        <w:ind w:left="3044" w:hanging="720"/>
      </w:pPr>
      <w:rPr>
        <w:rFonts w:hint="default"/>
        <w:lang w:val="en-US" w:eastAsia="en-US" w:bidi="ar-SA"/>
      </w:rPr>
    </w:lvl>
    <w:lvl w:ilvl="2">
      <w:start w:val="0"/>
      <w:numFmt w:val="bullet"/>
      <w:lvlText w:val="•"/>
      <w:lvlJc w:val="left"/>
      <w:pPr>
        <w:ind w:left="3929" w:hanging="720"/>
      </w:pPr>
      <w:rPr>
        <w:rFonts w:hint="default"/>
        <w:lang w:val="en-US" w:eastAsia="en-US" w:bidi="ar-SA"/>
      </w:rPr>
    </w:lvl>
    <w:lvl w:ilvl="3">
      <w:start w:val="0"/>
      <w:numFmt w:val="bullet"/>
      <w:lvlText w:val="•"/>
      <w:lvlJc w:val="left"/>
      <w:pPr>
        <w:ind w:left="4814" w:hanging="720"/>
      </w:pPr>
      <w:rPr>
        <w:rFonts w:hint="default"/>
        <w:lang w:val="en-US" w:eastAsia="en-US" w:bidi="ar-SA"/>
      </w:rPr>
    </w:lvl>
    <w:lvl w:ilvl="4">
      <w:start w:val="0"/>
      <w:numFmt w:val="bullet"/>
      <w:lvlText w:val="•"/>
      <w:lvlJc w:val="left"/>
      <w:pPr>
        <w:ind w:left="5699" w:hanging="720"/>
      </w:pPr>
      <w:rPr>
        <w:rFonts w:hint="default"/>
        <w:lang w:val="en-US" w:eastAsia="en-US" w:bidi="ar-SA"/>
      </w:rPr>
    </w:lvl>
    <w:lvl w:ilvl="5">
      <w:start w:val="0"/>
      <w:numFmt w:val="bullet"/>
      <w:lvlText w:val="•"/>
      <w:lvlJc w:val="left"/>
      <w:pPr>
        <w:ind w:left="6584" w:hanging="720"/>
      </w:pPr>
      <w:rPr>
        <w:rFonts w:hint="default"/>
        <w:lang w:val="en-US" w:eastAsia="en-US" w:bidi="ar-SA"/>
      </w:rPr>
    </w:lvl>
    <w:lvl w:ilvl="6">
      <w:start w:val="0"/>
      <w:numFmt w:val="bullet"/>
      <w:lvlText w:val="•"/>
      <w:lvlJc w:val="left"/>
      <w:pPr>
        <w:ind w:left="7469" w:hanging="720"/>
      </w:pPr>
      <w:rPr>
        <w:rFonts w:hint="default"/>
        <w:lang w:val="en-US" w:eastAsia="en-US" w:bidi="ar-SA"/>
      </w:rPr>
    </w:lvl>
    <w:lvl w:ilvl="7">
      <w:start w:val="0"/>
      <w:numFmt w:val="bullet"/>
      <w:lvlText w:val="•"/>
      <w:lvlJc w:val="left"/>
      <w:pPr>
        <w:ind w:left="8354" w:hanging="720"/>
      </w:pPr>
      <w:rPr>
        <w:rFonts w:hint="default"/>
        <w:lang w:val="en-US" w:eastAsia="en-US" w:bidi="ar-SA"/>
      </w:rPr>
    </w:lvl>
    <w:lvl w:ilvl="8">
      <w:start w:val="0"/>
      <w:numFmt w:val="bullet"/>
      <w:lvlText w:val="•"/>
      <w:lvlJc w:val="left"/>
      <w:pPr>
        <w:ind w:left="9239" w:hanging="720"/>
      </w:pPr>
      <w:rPr>
        <w:rFonts w:hint="default"/>
        <w:lang w:val="en-US" w:eastAsia="en-US" w:bidi="ar-SA"/>
      </w:rPr>
    </w:lvl>
  </w:abstractNum>
  <w:abstractNum w:abstractNumId="31">
    <w:multiLevelType w:val="hybridMultilevel"/>
    <w:lvl w:ilvl="0">
      <w:start w:val="1"/>
      <w:numFmt w:val="decimal"/>
      <w:lvlText w:val="%1."/>
      <w:lvlJc w:val="left"/>
      <w:pPr>
        <w:ind w:left="1860" w:hanging="48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774" w:hanging="480"/>
      </w:pPr>
      <w:rPr>
        <w:rFonts w:hint="default"/>
        <w:lang w:val="en-US" w:eastAsia="en-US" w:bidi="ar-SA"/>
      </w:rPr>
    </w:lvl>
    <w:lvl w:ilvl="2">
      <w:start w:val="0"/>
      <w:numFmt w:val="bullet"/>
      <w:lvlText w:val="•"/>
      <w:lvlJc w:val="left"/>
      <w:pPr>
        <w:ind w:left="3689" w:hanging="480"/>
      </w:pPr>
      <w:rPr>
        <w:rFonts w:hint="default"/>
        <w:lang w:val="en-US" w:eastAsia="en-US" w:bidi="ar-SA"/>
      </w:rPr>
    </w:lvl>
    <w:lvl w:ilvl="3">
      <w:start w:val="0"/>
      <w:numFmt w:val="bullet"/>
      <w:lvlText w:val="•"/>
      <w:lvlJc w:val="left"/>
      <w:pPr>
        <w:ind w:left="4604" w:hanging="480"/>
      </w:pPr>
      <w:rPr>
        <w:rFonts w:hint="default"/>
        <w:lang w:val="en-US" w:eastAsia="en-US" w:bidi="ar-SA"/>
      </w:rPr>
    </w:lvl>
    <w:lvl w:ilvl="4">
      <w:start w:val="0"/>
      <w:numFmt w:val="bullet"/>
      <w:lvlText w:val="•"/>
      <w:lvlJc w:val="left"/>
      <w:pPr>
        <w:ind w:left="5519" w:hanging="480"/>
      </w:pPr>
      <w:rPr>
        <w:rFonts w:hint="default"/>
        <w:lang w:val="en-US" w:eastAsia="en-US" w:bidi="ar-SA"/>
      </w:rPr>
    </w:lvl>
    <w:lvl w:ilvl="5">
      <w:start w:val="0"/>
      <w:numFmt w:val="bullet"/>
      <w:lvlText w:val="•"/>
      <w:lvlJc w:val="left"/>
      <w:pPr>
        <w:ind w:left="6434" w:hanging="480"/>
      </w:pPr>
      <w:rPr>
        <w:rFonts w:hint="default"/>
        <w:lang w:val="en-US" w:eastAsia="en-US" w:bidi="ar-SA"/>
      </w:rPr>
    </w:lvl>
    <w:lvl w:ilvl="6">
      <w:start w:val="0"/>
      <w:numFmt w:val="bullet"/>
      <w:lvlText w:val="•"/>
      <w:lvlJc w:val="left"/>
      <w:pPr>
        <w:ind w:left="7349" w:hanging="480"/>
      </w:pPr>
      <w:rPr>
        <w:rFonts w:hint="default"/>
        <w:lang w:val="en-US" w:eastAsia="en-US" w:bidi="ar-SA"/>
      </w:rPr>
    </w:lvl>
    <w:lvl w:ilvl="7">
      <w:start w:val="0"/>
      <w:numFmt w:val="bullet"/>
      <w:lvlText w:val="•"/>
      <w:lvlJc w:val="left"/>
      <w:pPr>
        <w:ind w:left="8264" w:hanging="480"/>
      </w:pPr>
      <w:rPr>
        <w:rFonts w:hint="default"/>
        <w:lang w:val="en-US" w:eastAsia="en-US" w:bidi="ar-SA"/>
      </w:rPr>
    </w:lvl>
    <w:lvl w:ilvl="8">
      <w:start w:val="0"/>
      <w:numFmt w:val="bullet"/>
      <w:lvlText w:val="•"/>
      <w:lvlJc w:val="left"/>
      <w:pPr>
        <w:ind w:left="9179" w:hanging="480"/>
      </w:pPr>
      <w:rPr>
        <w:rFonts w:hint="default"/>
        <w:lang w:val="en-US" w:eastAsia="en-US" w:bidi="ar-SA"/>
      </w:rPr>
    </w:lvl>
  </w:abstractNum>
  <w:abstractNum w:abstractNumId="30">
    <w:multiLevelType w:val="hybridMultilevel"/>
    <w:lvl w:ilvl="0">
      <w:start w:val="5"/>
      <w:numFmt w:val="decimal"/>
      <w:lvlText w:val="%1"/>
      <w:lvlJc w:val="left"/>
      <w:pPr>
        <w:ind w:left="2160" w:hanging="720"/>
        <w:jc w:val="left"/>
      </w:pPr>
      <w:rPr>
        <w:rFonts w:hint="default"/>
        <w:lang w:val="en-US" w:eastAsia="en-US" w:bidi="ar-SA"/>
      </w:rPr>
    </w:lvl>
    <w:lvl w:ilvl="1">
      <w:start w:val="1"/>
      <w:numFmt w:val="decimal"/>
      <w:lvlText w:val="%1.%2"/>
      <w:lvlJc w:val="left"/>
      <w:pPr>
        <w:ind w:left="2160" w:hanging="720"/>
        <w:jc w:val="left"/>
      </w:pPr>
      <w:rPr>
        <w:rFonts w:hint="default"/>
        <w:spacing w:val="0"/>
        <w:w w:val="100"/>
        <w:lang w:val="en-US" w:eastAsia="en-US" w:bidi="ar-SA"/>
      </w:rPr>
    </w:lvl>
    <w:lvl w:ilvl="2">
      <w:start w:val="1"/>
      <w:numFmt w:val="decimal"/>
      <w:lvlText w:val="%3."/>
      <w:lvlJc w:val="left"/>
      <w:pPr>
        <w:ind w:left="2071" w:hanging="540"/>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2443" w:hanging="540"/>
      </w:pPr>
      <w:rPr>
        <w:rFonts w:hint="default"/>
        <w:lang w:val="en-US" w:eastAsia="en-US" w:bidi="ar-SA"/>
      </w:rPr>
    </w:lvl>
    <w:lvl w:ilvl="4">
      <w:start w:val="0"/>
      <w:numFmt w:val="bullet"/>
      <w:lvlText w:val="•"/>
      <w:lvlJc w:val="left"/>
      <w:pPr>
        <w:ind w:left="2585" w:hanging="540"/>
      </w:pPr>
      <w:rPr>
        <w:rFonts w:hint="default"/>
        <w:lang w:val="en-US" w:eastAsia="en-US" w:bidi="ar-SA"/>
      </w:rPr>
    </w:lvl>
    <w:lvl w:ilvl="5">
      <w:start w:val="0"/>
      <w:numFmt w:val="bullet"/>
      <w:lvlText w:val="•"/>
      <w:lvlJc w:val="left"/>
      <w:pPr>
        <w:ind w:left="2727" w:hanging="540"/>
      </w:pPr>
      <w:rPr>
        <w:rFonts w:hint="default"/>
        <w:lang w:val="en-US" w:eastAsia="en-US" w:bidi="ar-SA"/>
      </w:rPr>
    </w:lvl>
    <w:lvl w:ilvl="6">
      <w:start w:val="0"/>
      <w:numFmt w:val="bullet"/>
      <w:lvlText w:val="•"/>
      <w:lvlJc w:val="left"/>
      <w:pPr>
        <w:ind w:left="2869" w:hanging="540"/>
      </w:pPr>
      <w:rPr>
        <w:rFonts w:hint="default"/>
        <w:lang w:val="en-US" w:eastAsia="en-US" w:bidi="ar-SA"/>
      </w:rPr>
    </w:lvl>
    <w:lvl w:ilvl="7">
      <w:start w:val="0"/>
      <w:numFmt w:val="bullet"/>
      <w:lvlText w:val="•"/>
      <w:lvlJc w:val="left"/>
      <w:pPr>
        <w:ind w:left="3011" w:hanging="540"/>
      </w:pPr>
      <w:rPr>
        <w:rFonts w:hint="default"/>
        <w:lang w:val="en-US" w:eastAsia="en-US" w:bidi="ar-SA"/>
      </w:rPr>
    </w:lvl>
    <w:lvl w:ilvl="8">
      <w:start w:val="0"/>
      <w:numFmt w:val="bullet"/>
      <w:lvlText w:val="•"/>
      <w:lvlJc w:val="left"/>
      <w:pPr>
        <w:ind w:left="3153" w:hanging="540"/>
      </w:pPr>
      <w:rPr>
        <w:rFonts w:hint="default"/>
        <w:lang w:val="en-US" w:eastAsia="en-US" w:bidi="ar-SA"/>
      </w:rPr>
    </w:lvl>
  </w:abstractNum>
  <w:abstractNum w:abstractNumId="29">
    <w:multiLevelType w:val="hybridMultilevel"/>
    <w:lvl w:ilvl="0">
      <w:start w:val="0"/>
      <w:numFmt w:val="bullet"/>
      <w:lvlText w:val="-"/>
      <w:lvlJc w:val="left"/>
      <w:pPr>
        <w:ind w:left="107" w:hanging="116"/>
      </w:pPr>
      <w:rPr>
        <w:rFonts w:hint="default" w:ascii="Times New Roman" w:hAnsi="Times New Roman" w:eastAsia="Times New Roman" w:cs="Times New Roman"/>
        <w:b w:val="0"/>
        <w:bCs w:val="0"/>
        <w:i w:val="0"/>
        <w:iCs w:val="0"/>
        <w:spacing w:val="0"/>
        <w:w w:val="100"/>
        <w:sz w:val="16"/>
        <w:szCs w:val="16"/>
        <w:lang w:val="en-US" w:eastAsia="en-US" w:bidi="ar-SA"/>
      </w:rPr>
    </w:lvl>
    <w:lvl w:ilvl="1">
      <w:start w:val="0"/>
      <w:numFmt w:val="bullet"/>
      <w:lvlText w:val="•"/>
      <w:lvlJc w:val="left"/>
      <w:pPr>
        <w:ind w:left="299" w:hanging="116"/>
      </w:pPr>
      <w:rPr>
        <w:rFonts w:hint="default"/>
        <w:lang w:val="en-US" w:eastAsia="en-US" w:bidi="ar-SA"/>
      </w:rPr>
    </w:lvl>
    <w:lvl w:ilvl="2">
      <w:start w:val="0"/>
      <w:numFmt w:val="bullet"/>
      <w:lvlText w:val="•"/>
      <w:lvlJc w:val="left"/>
      <w:pPr>
        <w:ind w:left="499" w:hanging="116"/>
      </w:pPr>
      <w:rPr>
        <w:rFonts w:hint="default"/>
        <w:lang w:val="en-US" w:eastAsia="en-US" w:bidi="ar-SA"/>
      </w:rPr>
    </w:lvl>
    <w:lvl w:ilvl="3">
      <w:start w:val="0"/>
      <w:numFmt w:val="bullet"/>
      <w:lvlText w:val="•"/>
      <w:lvlJc w:val="left"/>
      <w:pPr>
        <w:ind w:left="699" w:hanging="116"/>
      </w:pPr>
      <w:rPr>
        <w:rFonts w:hint="default"/>
        <w:lang w:val="en-US" w:eastAsia="en-US" w:bidi="ar-SA"/>
      </w:rPr>
    </w:lvl>
    <w:lvl w:ilvl="4">
      <w:start w:val="0"/>
      <w:numFmt w:val="bullet"/>
      <w:lvlText w:val="•"/>
      <w:lvlJc w:val="left"/>
      <w:pPr>
        <w:ind w:left="899" w:hanging="116"/>
      </w:pPr>
      <w:rPr>
        <w:rFonts w:hint="default"/>
        <w:lang w:val="en-US" w:eastAsia="en-US" w:bidi="ar-SA"/>
      </w:rPr>
    </w:lvl>
    <w:lvl w:ilvl="5">
      <w:start w:val="0"/>
      <w:numFmt w:val="bullet"/>
      <w:lvlText w:val="•"/>
      <w:lvlJc w:val="left"/>
      <w:pPr>
        <w:ind w:left="1099" w:hanging="116"/>
      </w:pPr>
      <w:rPr>
        <w:rFonts w:hint="default"/>
        <w:lang w:val="en-US" w:eastAsia="en-US" w:bidi="ar-SA"/>
      </w:rPr>
    </w:lvl>
    <w:lvl w:ilvl="6">
      <w:start w:val="0"/>
      <w:numFmt w:val="bullet"/>
      <w:lvlText w:val="•"/>
      <w:lvlJc w:val="left"/>
      <w:pPr>
        <w:ind w:left="1298" w:hanging="116"/>
      </w:pPr>
      <w:rPr>
        <w:rFonts w:hint="default"/>
        <w:lang w:val="en-US" w:eastAsia="en-US" w:bidi="ar-SA"/>
      </w:rPr>
    </w:lvl>
    <w:lvl w:ilvl="7">
      <w:start w:val="0"/>
      <w:numFmt w:val="bullet"/>
      <w:lvlText w:val="•"/>
      <w:lvlJc w:val="left"/>
      <w:pPr>
        <w:ind w:left="1498" w:hanging="116"/>
      </w:pPr>
      <w:rPr>
        <w:rFonts w:hint="default"/>
        <w:lang w:val="en-US" w:eastAsia="en-US" w:bidi="ar-SA"/>
      </w:rPr>
    </w:lvl>
    <w:lvl w:ilvl="8">
      <w:start w:val="0"/>
      <w:numFmt w:val="bullet"/>
      <w:lvlText w:val="•"/>
      <w:lvlJc w:val="left"/>
      <w:pPr>
        <w:ind w:left="1698" w:hanging="116"/>
      </w:pPr>
      <w:rPr>
        <w:rFonts w:hint="default"/>
        <w:lang w:val="en-US" w:eastAsia="en-US" w:bidi="ar-SA"/>
      </w:rPr>
    </w:lvl>
  </w:abstractNum>
  <w:abstractNum w:abstractNumId="28">
    <w:multiLevelType w:val="hybridMultilevel"/>
    <w:lvl w:ilvl="0">
      <w:start w:val="0"/>
      <w:numFmt w:val="bullet"/>
      <w:lvlText w:val="-"/>
      <w:lvlJc w:val="left"/>
      <w:pPr>
        <w:ind w:left="107" w:hanging="515"/>
      </w:pPr>
      <w:rPr>
        <w:rFonts w:hint="default" w:ascii="Times New Roman" w:hAnsi="Times New Roman" w:eastAsia="Times New Roman" w:cs="Times New Roman"/>
        <w:b w:val="0"/>
        <w:bCs w:val="0"/>
        <w:i w:val="0"/>
        <w:iCs w:val="0"/>
        <w:spacing w:val="0"/>
        <w:w w:val="100"/>
        <w:sz w:val="16"/>
        <w:szCs w:val="16"/>
        <w:lang w:val="en-US" w:eastAsia="en-US" w:bidi="ar-SA"/>
      </w:rPr>
    </w:lvl>
    <w:lvl w:ilvl="1">
      <w:start w:val="0"/>
      <w:numFmt w:val="bullet"/>
      <w:lvlText w:val="•"/>
      <w:lvlJc w:val="left"/>
      <w:pPr>
        <w:ind w:left="226" w:hanging="515"/>
      </w:pPr>
      <w:rPr>
        <w:rFonts w:hint="default"/>
        <w:lang w:val="en-US" w:eastAsia="en-US" w:bidi="ar-SA"/>
      </w:rPr>
    </w:lvl>
    <w:lvl w:ilvl="2">
      <w:start w:val="0"/>
      <w:numFmt w:val="bullet"/>
      <w:lvlText w:val="•"/>
      <w:lvlJc w:val="left"/>
      <w:pPr>
        <w:ind w:left="353" w:hanging="515"/>
      </w:pPr>
      <w:rPr>
        <w:rFonts w:hint="default"/>
        <w:lang w:val="en-US" w:eastAsia="en-US" w:bidi="ar-SA"/>
      </w:rPr>
    </w:lvl>
    <w:lvl w:ilvl="3">
      <w:start w:val="0"/>
      <w:numFmt w:val="bullet"/>
      <w:lvlText w:val="•"/>
      <w:lvlJc w:val="left"/>
      <w:pPr>
        <w:ind w:left="480" w:hanging="515"/>
      </w:pPr>
      <w:rPr>
        <w:rFonts w:hint="default"/>
        <w:lang w:val="en-US" w:eastAsia="en-US" w:bidi="ar-SA"/>
      </w:rPr>
    </w:lvl>
    <w:lvl w:ilvl="4">
      <w:start w:val="0"/>
      <w:numFmt w:val="bullet"/>
      <w:lvlText w:val="•"/>
      <w:lvlJc w:val="left"/>
      <w:pPr>
        <w:ind w:left="607" w:hanging="515"/>
      </w:pPr>
      <w:rPr>
        <w:rFonts w:hint="default"/>
        <w:lang w:val="en-US" w:eastAsia="en-US" w:bidi="ar-SA"/>
      </w:rPr>
    </w:lvl>
    <w:lvl w:ilvl="5">
      <w:start w:val="0"/>
      <w:numFmt w:val="bullet"/>
      <w:lvlText w:val="•"/>
      <w:lvlJc w:val="left"/>
      <w:pPr>
        <w:ind w:left="734" w:hanging="515"/>
      </w:pPr>
      <w:rPr>
        <w:rFonts w:hint="default"/>
        <w:lang w:val="en-US" w:eastAsia="en-US" w:bidi="ar-SA"/>
      </w:rPr>
    </w:lvl>
    <w:lvl w:ilvl="6">
      <w:start w:val="0"/>
      <w:numFmt w:val="bullet"/>
      <w:lvlText w:val="•"/>
      <w:lvlJc w:val="left"/>
      <w:pPr>
        <w:ind w:left="860" w:hanging="515"/>
      </w:pPr>
      <w:rPr>
        <w:rFonts w:hint="default"/>
        <w:lang w:val="en-US" w:eastAsia="en-US" w:bidi="ar-SA"/>
      </w:rPr>
    </w:lvl>
    <w:lvl w:ilvl="7">
      <w:start w:val="0"/>
      <w:numFmt w:val="bullet"/>
      <w:lvlText w:val="•"/>
      <w:lvlJc w:val="left"/>
      <w:pPr>
        <w:ind w:left="987" w:hanging="515"/>
      </w:pPr>
      <w:rPr>
        <w:rFonts w:hint="default"/>
        <w:lang w:val="en-US" w:eastAsia="en-US" w:bidi="ar-SA"/>
      </w:rPr>
    </w:lvl>
    <w:lvl w:ilvl="8">
      <w:start w:val="0"/>
      <w:numFmt w:val="bullet"/>
      <w:lvlText w:val="•"/>
      <w:lvlJc w:val="left"/>
      <w:pPr>
        <w:ind w:left="1114" w:hanging="515"/>
      </w:pPr>
      <w:rPr>
        <w:rFonts w:hint="default"/>
        <w:lang w:val="en-US" w:eastAsia="en-US" w:bidi="ar-SA"/>
      </w:rPr>
    </w:lvl>
  </w:abstractNum>
  <w:abstractNum w:abstractNumId="27">
    <w:multiLevelType w:val="hybridMultilevel"/>
    <w:lvl w:ilvl="0">
      <w:start w:val="4"/>
      <w:numFmt w:val="decimal"/>
      <w:lvlText w:val="%1"/>
      <w:lvlJc w:val="left"/>
      <w:pPr>
        <w:ind w:left="1440" w:hanging="1080"/>
        <w:jc w:val="left"/>
      </w:pPr>
      <w:rPr>
        <w:rFonts w:hint="default"/>
        <w:lang w:val="en-US" w:eastAsia="en-US" w:bidi="ar-SA"/>
      </w:rPr>
    </w:lvl>
    <w:lvl w:ilvl="1">
      <w:start w:val="6"/>
      <w:numFmt w:val="decimal"/>
      <w:lvlText w:val="%1.%2"/>
      <w:lvlJc w:val="left"/>
      <w:pPr>
        <w:ind w:left="1440" w:hanging="1080"/>
        <w:jc w:val="left"/>
      </w:pPr>
      <w:rPr>
        <w:rFonts w:hint="default"/>
        <w:lang w:val="en-US" w:eastAsia="en-US" w:bidi="ar-SA"/>
      </w:rPr>
    </w:lvl>
    <w:lvl w:ilvl="2">
      <w:start w:val="11"/>
      <w:numFmt w:val="decimal"/>
      <w:lvlText w:val="%1.%2.%3"/>
      <w:lvlJc w:val="left"/>
      <w:pPr>
        <w:ind w:left="1440" w:hanging="1080"/>
        <w:jc w:val="left"/>
      </w:pPr>
      <w:rPr>
        <w:rFonts w:hint="default"/>
        <w:lang w:val="en-US" w:eastAsia="en-US" w:bidi="ar-SA"/>
      </w:rPr>
    </w:lvl>
    <w:lvl w:ilvl="3">
      <w:start w:val="24"/>
      <w:numFmt w:val="decimal"/>
      <w:lvlText w:val="%1.%2.%3.%4"/>
      <w:lvlJc w:val="left"/>
      <w:pPr>
        <w:ind w:left="1440" w:hanging="1080"/>
        <w:jc w:val="right"/>
      </w:pPr>
      <w:rPr>
        <w:rFonts w:hint="default" w:ascii="Times New Roman" w:hAnsi="Times New Roman" w:eastAsia="Times New Roman" w:cs="Times New Roman"/>
        <w:b/>
        <w:bCs/>
        <w:i w:val="0"/>
        <w:iCs w:val="0"/>
        <w:spacing w:val="0"/>
        <w:w w:val="100"/>
        <w:sz w:val="24"/>
        <w:szCs w:val="24"/>
        <w:lang w:val="en-US" w:eastAsia="en-US" w:bidi="ar-SA"/>
      </w:rPr>
    </w:lvl>
    <w:lvl w:ilvl="4">
      <w:start w:val="0"/>
      <w:numFmt w:val="bullet"/>
      <w:lvlText w:val="•"/>
      <w:lvlJc w:val="left"/>
      <w:pPr>
        <w:ind w:left="5267" w:hanging="1080"/>
      </w:pPr>
      <w:rPr>
        <w:rFonts w:hint="default"/>
        <w:lang w:val="en-US" w:eastAsia="en-US" w:bidi="ar-SA"/>
      </w:rPr>
    </w:lvl>
    <w:lvl w:ilvl="5">
      <w:start w:val="0"/>
      <w:numFmt w:val="bullet"/>
      <w:lvlText w:val="•"/>
      <w:lvlJc w:val="left"/>
      <w:pPr>
        <w:ind w:left="6224" w:hanging="1080"/>
      </w:pPr>
      <w:rPr>
        <w:rFonts w:hint="default"/>
        <w:lang w:val="en-US" w:eastAsia="en-US" w:bidi="ar-SA"/>
      </w:rPr>
    </w:lvl>
    <w:lvl w:ilvl="6">
      <w:start w:val="0"/>
      <w:numFmt w:val="bullet"/>
      <w:lvlText w:val="•"/>
      <w:lvlJc w:val="left"/>
      <w:pPr>
        <w:ind w:left="7181" w:hanging="1080"/>
      </w:pPr>
      <w:rPr>
        <w:rFonts w:hint="default"/>
        <w:lang w:val="en-US" w:eastAsia="en-US" w:bidi="ar-SA"/>
      </w:rPr>
    </w:lvl>
    <w:lvl w:ilvl="7">
      <w:start w:val="0"/>
      <w:numFmt w:val="bullet"/>
      <w:lvlText w:val="•"/>
      <w:lvlJc w:val="left"/>
      <w:pPr>
        <w:ind w:left="8138" w:hanging="1080"/>
      </w:pPr>
      <w:rPr>
        <w:rFonts w:hint="default"/>
        <w:lang w:val="en-US" w:eastAsia="en-US" w:bidi="ar-SA"/>
      </w:rPr>
    </w:lvl>
    <w:lvl w:ilvl="8">
      <w:start w:val="0"/>
      <w:numFmt w:val="bullet"/>
      <w:lvlText w:val="•"/>
      <w:lvlJc w:val="left"/>
      <w:pPr>
        <w:ind w:left="9095" w:hanging="1080"/>
      </w:pPr>
      <w:rPr>
        <w:rFonts w:hint="default"/>
        <w:lang w:val="en-US" w:eastAsia="en-US" w:bidi="ar-SA"/>
      </w:rPr>
    </w:lvl>
  </w:abstractNum>
  <w:abstractNum w:abstractNumId="26">
    <w:multiLevelType w:val="hybridMultilevel"/>
    <w:lvl w:ilvl="0">
      <w:start w:val="4"/>
      <w:numFmt w:val="decimal"/>
      <w:lvlText w:val="%1"/>
      <w:lvlJc w:val="left"/>
      <w:pPr>
        <w:ind w:left="1440" w:hanging="960"/>
        <w:jc w:val="left"/>
      </w:pPr>
      <w:rPr>
        <w:rFonts w:hint="default"/>
        <w:lang w:val="en-US" w:eastAsia="en-US" w:bidi="ar-SA"/>
      </w:rPr>
    </w:lvl>
    <w:lvl w:ilvl="1">
      <w:start w:val="6"/>
      <w:numFmt w:val="decimal"/>
      <w:lvlText w:val="%1.%2"/>
      <w:lvlJc w:val="left"/>
      <w:pPr>
        <w:ind w:left="1440" w:hanging="960"/>
        <w:jc w:val="left"/>
      </w:pPr>
      <w:rPr>
        <w:rFonts w:hint="default"/>
        <w:lang w:val="en-US" w:eastAsia="en-US" w:bidi="ar-SA"/>
      </w:rPr>
    </w:lvl>
    <w:lvl w:ilvl="2">
      <w:start w:val="11"/>
      <w:numFmt w:val="decimal"/>
      <w:lvlText w:val="%1.%2.%3"/>
      <w:lvlJc w:val="left"/>
      <w:pPr>
        <w:ind w:left="1440" w:hanging="960"/>
        <w:jc w:val="left"/>
      </w:pPr>
      <w:rPr>
        <w:rFonts w:hint="default"/>
        <w:lang w:val="en-US" w:eastAsia="en-US" w:bidi="ar-SA"/>
      </w:rPr>
    </w:lvl>
    <w:lvl w:ilvl="3">
      <w:start w:val="21"/>
      <w:numFmt w:val="decimal"/>
      <w:lvlText w:val="%1.%2.%3.%4"/>
      <w:lvlJc w:val="left"/>
      <w:pPr>
        <w:ind w:left="1440" w:hanging="960"/>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0"/>
      <w:numFmt w:val="bullet"/>
      <w:lvlText w:val="•"/>
      <w:lvlJc w:val="left"/>
      <w:pPr>
        <w:ind w:left="5267" w:hanging="960"/>
      </w:pPr>
      <w:rPr>
        <w:rFonts w:hint="default"/>
        <w:lang w:val="en-US" w:eastAsia="en-US" w:bidi="ar-SA"/>
      </w:rPr>
    </w:lvl>
    <w:lvl w:ilvl="5">
      <w:start w:val="0"/>
      <w:numFmt w:val="bullet"/>
      <w:lvlText w:val="•"/>
      <w:lvlJc w:val="left"/>
      <w:pPr>
        <w:ind w:left="6224" w:hanging="960"/>
      </w:pPr>
      <w:rPr>
        <w:rFonts w:hint="default"/>
        <w:lang w:val="en-US" w:eastAsia="en-US" w:bidi="ar-SA"/>
      </w:rPr>
    </w:lvl>
    <w:lvl w:ilvl="6">
      <w:start w:val="0"/>
      <w:numFmt w:val="bullet"/>
      <w:lvlText w:val="•"/>
      <w:lvlJc w:val="left"/>
      <w:pPr>
        <w:ind w:left="7181" w:hanging="960"/>
      </w:pPr>
      <w:rPr>
        <w:rFonts w:hint="default"/>
        <w:lang w:val="en-US" w:eastAsia="en-US" w:bidi="ar-SA"/>
      </w:rPr>
    </w:lvl>
    <w:lvl w:ilvl="7">
      <w:start w:val="0"/>
      <w:numFmt w:val="bullet"/>
      <w:lvlText w:val="•"/>
      <w:lvlJc w:val="left"/>
      <w:pPr>
        <w:ind w:left="8138" w:hanging="960"/>
      </w:pPr>
      <w:rPr>
        <w:rFonts w:hint="default"/>
        <w:lang w:val="en-US" w:eastAsia="en-US" w:bidi="ar-SA"/>
      </w:rPr>
    </w:lvl>
    <w:lvl w:ilvl="8">
      <w:start w:val="0"/>
      <w:numFmt w:val="bullet"/>
      <w:lvlText w:val="•"/>
      <w:lvlJc w:val="left"/>
      <w:pPr>
        <w:ind w:left="9095" w:hanging="960"/>
      </w:pPr>
      <w:rPr>
        <w:rFonts w:hint="default"/>
        <w:lang w:val="en-US" w:eastAsia="en-US" w:bidi="ar-SA"/>
      </w:rPr>
    </w:lvl>
  </w:abstractNum>
  <w:abstractNum w:abstractNumId="25">
    <w:multiLevelType w:val="hybridMultilevel"/>
    <w:lvl w:ilvl="0">
      <w:start w:val="4"/>
      <w:numFmt w:val="decimal"/>
      <w:lvlText w:val="%1"/>
      <w:lvlJc w:val="left"/>
      <w:pPr>
        <w:ind w:left="1440" w:hanging="1039"/>
        <w:jc w:val="left"/>
      </w:pPr>
      <w:rPr>
        <w:rFonts w:hint="default"/>
        <w:lang w:val="en-US" w:eastAsia="en-US" w:bidi="ar-SA"/>
      </w:rPr>
    </w:lvl>
    <w:lvl w:ilvl="1">
      <w:start w:val="6"/>
      <w:numFmt w:val="decimal"/>
      <w:lvlText w:val="%1.%2"/>
      <w:lvlJc w:val="left"/>
      <w:pPr>
        <w:ind w:left="1440" w:hanging="1039"/>
        <w:jc w:val="left"/>
      </w:pPr>
      <w:rPr>
        <w:rFonts w:hint="default"/>
        <w:lang w:val="en-US" w:eastAsia="en-US" w:bidi="ar-SA"/>
      </w:rPr>
    </w:lvl>
    <w:lvl w:ilvl="2">
      <w:start w:val="11"/>
      <w:numFmt w:val="decimal"/>
      <w:lvlText w:val="%1.%2.%3"/>
      <w:lvlJc w:val="left"/>
      <w:pPr>
        <w:ind w:left="1440" w:hanging="1039"/>
        <w:jc w:val="left"/>
      </w:pPr>
      <w:rPr>
        <w:rFonts w:hint="default"/>
        <w:lang w:val="en-US" w:eastAsia="en-US" w:bidi="ar-SA"/>
      </w:rPr>
    </w:lvl>
    <w:lvl w:ilvl="3">
      <w:start w:val="14"/>
      <w:numFmt w:val="decimal"/>
      <w:lvlText w:val="%1.%2.%3.%4"/>
      <w:lvlJc w:val="left"/>
      <w:pPr>
        <w:ind w:left="1440" w:hanging="1039"/>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0"/>
      <w:numFmt w:val="bullet"/>
      <w:lvlText w:val="•"/>
      <w:lvlJc w:val="left"/>
      <w:pPr>
        <w:ind w:left="5267" w:hanging="1039"/>
      </w:pPr>
      <w:rPr>
        <w:rFonts w:hint="default"/>
        <w:lang w:val="en-US" w:eastAsia="en-US" w:bidi="ar-SA"/>
      </w:rPr>
    </w:lvl>
    <w:lvl w:ilvl="5">
      <w:start w:val="0"/>
      <w:numFmt w:val="bullet"/>
      <w:lvlText w:val="•"/>
      <w:lvlJc w:val="left"/>
      <w:pPr>
        <w:ind w:left="6224" w:hanging="1039"/>
      </w:pPr>
      <w:rPr>
        <w:rFonts w:hint="default"/>
        <w:lang w:val="en-US" w:eastAsia="en-US" w:bidi="ar-SA"/>
      </w:rPr>
    </w:lvl>
    <w:lvl w:ilvl="6">
      <w:start w:val="0"/>
      <w:numFmt w:val="bullet"/>
      <w:lvlText w:val="•"/>
      <w:lvlJc w:val="left"/>
      <w:pPr>
        <w:ind w:left="7181" w:hanging="1039"/>
      </w:pPr>
      <w:rPr>
        <w:rFonts w:hint="default"/>
        <w:lang w:val="en-US" w:eastAsia="en-US" w:bidi="ar-SA"/>
      </w:rPr>
    </w:lvl>
    <w:lvl w:ilvl="7">
      <w:start w:val="0"/>
      <w:numFmt w:val="bullet"/>
      <w:lvlText w:val="•"/>
      <w:lvlJc w:val="left"/>
      <w:pPr>
        <w:ind w:left="8138" w:hanging="1039"/>
      </w:pPr>
      <w:rPr>
        <w:rFonts w:hint="default"/>
        <w:lang w:val="en-US" w:eastAsia="en-US" w:bidi="ar-SA"/>
      </w:rPr>
    </w:lvl>
    <w:lvl w:ilvl="8">
      <w:start w:val="0"/>
      <w:numFmt w:val="bullet"/>
      <w:lvlText w:val="•"/>
      <w:lvlJc w:val="left"/>
      <w:pPr>
        <w:ind w:left="9095" w:hanging="1039"/>
      </w:pPr>
      <w:rPr>
        <w:rFonts w:hint="default"/>
        <w:lang w:val="en-US" w:eastAsia="en-US" w:bidi="ar-SA"/>
      </w:rPr>
    </w:lvl>
  </w:abstractNum>
  <w:abstractNum w:abstractNumId="24">
    <w:multiLevelType w:val="hybridMultilevel"/>
    <w:lvl w:ilvl="0">
      <w:start w:val="4"/>
      <w:numFmt w:val="decimal"/>
      <w:lvlText w:val="%1"/>
      <w:lvlJc w:val="left"/>
      <w:pPr>
        <w:ind w:left="2280" w:hanging="840"/>
        <w:jc w:val="left"/>
      </w:pPr>
      <w:rPr>
        <w:rFonts w:hint="default"/>
        <w:lang w:val="en-US" w:eastAsia="en-US" w:bidi="ar-SA"/>
      </w:rPr>
    </w:lvl>
    <w:lvl w:ilvl="1">
      <w:start w:val="6"/>
      <w:numFmt w:val="decimal"/>
      <w:lvlText w:val="%1.%2"/>
      <w:lvlJc w:val="left"/>
      <w:pPr>
        <w:ind w:left="2280" w:hanging="840"/>
        <w:jc w:val="left"/>
      </w:pPr>
      <w:rPr>
        <w:rFonts w:hint="default"/>
        <w:lang w:val="en-US" w:eastAsia="en-US" w:bidi="ar-SA"/>
      </w:rPr>
    </w:lvl>
    <w:lvl w:ilvl="2">
      <w:start w:val="11"/>
      <w:numFmt w:val="decimal"/>
      <w:lvlText w:val="%1.%2.%3"/>
      <w:lvlJc w:val="left"/>
      <w:pPr>
        <w:ind w:left="2280" w:hanging="840"/>
        <w:jc w:val="left"/>
      </w:pPr>
      <w:rPr>
        <w:rFonts w:hint="default"/>
        <w:lang w:val="en-US" w:eastAsia="en-US" w:bidi="ar-SA"/>
      </w:rPr>
    </w:lvl>
    <w:lvl w:ilvl="3">
      <w:start w:val="7"/>
      <w:numFmt w:val="decimal"/>
      <w:lvlText w:val="%1.%2.%3.%4"/>
      <w:lvlJc w:val="left"/>
      <w:pPr>
        <w:ind w:left="2280" w:hanging="840"/>
        <w:jc w:val="right"/>
      </w:pPr>
      <w:rPr>
        <w:rFonts w:hint="default" w:ascii="Times New Roman" w:hAnsi="Times New Roman" w:eastAsia="Times New Roman" w:cs="Times New Roman"/>
        <w:b/>
        <w:bCs/>
        <w:i w:val="0"/>
        <w:iCs w:val="0"/>
        <w:spacing w:val="0"/>
        <w:w w:val="100"/>
        <w:sz w:val="24"/>
        <w:szCs w:val="24"/>
        <w:lang w:val="en-US" w:eastAsia="en-US" w:bidi="ar-SA"/>
      </w:rPr>
    </w:lvl>
    <w:lvl w:ilvl="4">
      <w:start w:val="0"/>
      <w:numFmt w:val="bullet"/>
      <w:lvlText w:val="•"/>
      <w:lvlJc w:val="left"/>
      <w:pPr>
        <w:ind w:left="5771" w:hanging="840"/>
      </w:pPr>
      <w:rPr>
        <w:rFonts w:hint="default"/>
        <w:lang w:val="en-US" w:eastAsia="en-US" w:bidi="ar-SA"/>
      </w:rPr>
    </w:lvl>
    <w:lvl w:ilvl="5">
      <w:start w:val="0"/>
      <w:numFmt w:val="bullet"/>
      <w:lvlText w:val="•"/>
      <w:lvlJc w:val="left"/>
      <w:pPr>
        <w:ind w:left="6644" w:hanging="840"/>
      </w:pPr>
      <w:rPr>
        <w:rFonts w:hint="default"/>
        <w:lang w:val="en-US" w:eastAsia="en-US" w:bidi="ar-SA"/>
      </w:rPr>
    </w:lvl>
    <w:lvl w:ilvl="6">
      <w:start w:val="0"/>
      <w:numFmt w:val="bullet"/>
      <w:lvlText w:val="•"/>
      <w:lvlJc w:val="left"/>
      <w:pPr>
        <w:ind w:left="7517" w:hanging="840"/>
      </w:pPr>
      <w:rPr>
        <w:rFonts w:hint="default"/>
        <w:lang w:val="en-US" w:eastAsia="en-US" w:bidi="ar-SA"/>
      </w:rPr>
    </w:lvl>
    <w:lvl w:ilvl="7">
      <w:start w:val="0"/>
      <w:numFmt w:val="bullet"/>
      <w:lvlText w:val="•"/>
      <w:lvlJc w:val="left"/>
      <w:pPr>
        <w:ind w:left="8390" w:hanging="840"/>
      </w:pPr>
      <w:rPr>
        <w:rFonts w:hint="default"/>
        <w:lang w:val="en-US" w:eastAsia="en-US" w:bidi="ar-SA"/>
      </w:rPr>
    </w:lvl>
    <w:lvl w:ilvl="8">
      <w:start w:val="0"/>
      <w:numFmt w:val="bullet"/>
      <w:lvlText w:val="•"/>
      <w:lvlJc w:val="left"/>
      <w:pPr>
        <w:ind w:left="9263" w:hanging="840"/>
      </w:pPr>
      <w:rPr>
        <w:rFonts w:hint="default"/>
        <w:lang w:val="en-US" w:eastAsia="en-US" w:bidi="ar-SA"/>
      </w:rPr>
    </w:lvl>
  </w:abstractNum>
  <w:abstractNum w:abstractNumId="20">
    <w:multiLevelType w:val="hybridMultilevel"/>
    <w:lvl w:ilvl="0">
      <w:start w:val="0"/>
      <w:numFmt w:val="bullet"/>
      <w:lvlText w:val=""/>
      <w:lvlJc w:val="left"/>
      <w:pPr>
        <w:ind w:left="1980" w:hanging="54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882" w:hanging="540"/>
      </w:pPr>
      <w:rPr>
        <w:rFonts w:hint="default"/>
        <w:lang w:val="en-US" w:eastAsia="en-US" w:bidi="ar-SA"/>
      </w:rPr>
    </w:lvl>
    <w:lvl w:ilvl="2">
      <w:start w:val="0"/>
      <w:numFmt w:val="bullet"/>
      <w:lvlText w:val="•"/>
      <w:lvlJc w:val="left"/>
      <w:pPr>
        <w:ind w:left="3785" w:hanging="540"/>
      </w:pPr>
      <w:rPr>
        <w:rFonts w:hint="default"/>
        <w:lang w:val="en-US" w:eastAsia="en-US" w:bidi="ar-SA"/>
      </w:rPr>
    </w:lvl>
    <w:lvl w:ilvl="3">
      <w:start w:val="0"/>
      <w:numFmt w:val="bullet"/>
      <w:lvlText w:val="•"/>
      <w:lvlJc w:val="left"/>
      <w:pPr>
        <w:ind w:left="4688" w:hanging="540"/>
      </w:pPr>
      <w:rPr>
        <w:rFonts w:hint="default"/>
        <w:lang w:val="en-US" w:eastAsia="en-US" w:bidi="ar-SA"/>
      </w:rPr>
    </w:lvl>
    <w:lvl w:ilvl="4">
      <w:start w:val="0"/>
      <w:numFmt w:val="bullet"/>
      <w:lvlText w:val="•"/>
      <w:lvlJc w:val="left"/>
      <w:pPr>
        <w:ind w:left="5591" w:hanging="540"/>
      </w:pPr>
      <w:rPr>
        <w:rFonts w:hint="default"/>
        <w:lang w:val="en-US" w:eastAsia="en-US" w:bidi="ar-SA"/>
      </w:rPr>
    </w:lvl>
    <w:lvl w:ilvl="5">
      <w:start w:val="0"/>
      <w:numFmt w:val="bullet"/>
      <w:lvlText w:val="•"/>
      <w:lvlJc w:val="left"/>
      <w:pPr>
        <w:ind w:left="6494" w:hanging="540"/>
      </w:pPr>
      <w:rPr>
        <w:rFonts w:hint="default"/>
        <w:lang w:val="en-US" w:eastAsia="en-US" w:bidi="ar-SA"/>
      </w:rPr>
    </w:lvl>
    <w:lvl w:ilvl="6">
      <w:start w:val="0"/>
      <w:numFmt w:val="bullet"/>
      <w:lvlText w:val="•"/>
      <w:lvlJc w:val="left"/>
      <w:pPr>
        <w:ind w:left="7397" w:hanging="540"/>
      </w:pPr>
      <w:rPr>
        <w:rFonts w:hint="default"/>
        <w:lang w:val="en-US" w:eastAsia="en-US" w:bidi="ar-SA"/>
      </w:rPr>
    </w:lvl>
    <w:lvl w:ilvl="7">
      <w:start w:val="0"/>
      <w:numFmt w:val="bullet"/>
      <w:lvlText w:val="•"/>
      <w:lvlJc w:val="left"/>
      <w:pPr>
        <w:ind w:left="8300" w:hanging="540"/>
      </w:pPr>
      <w:rPr>
        <w:rFonts w:hint="default"/>
        <w:lang w:val="en-US" w:eastAsia="en-US" w:bidi="ar-SA"/>
      </w:rPr>
    </w:lvl>
    <w:lvl w:ilvl="8">
      <w:start w:val="0"/>
      <w:numFmt w:val="bullet"/>
      <w:lvlText w:val="•"/>
      <w:lvlJc w:val="left"/>
      <w:pPr>
        <w:ind w:left="9203" w:hanging="540"/>
      </w:pPr>
      <w:rPr>
        <w:rFonts w:hint="default"/>
        <w:lang w:val="en-US" w:eastAsia="en-US" w:bidi="ar-SA"/>
      </w:rPr>
    </w:lvl>
  </w:abstractNum>
  <w:abstractNum w:abstractNumId="19">
    <w:multiLevelType w:val="hybridMultilevel"/>
    <w:lvl w:ilvl="0">
      <w:start w:val="0"/>
      <w:numFmt w:val="bullet"/>
      <w:lvlText w:val=""/>
      <w:lvlJc w:val="left"/>
      <w:pPr>
        <w:ind w:left="21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3044" w:hanging="360"/>
      </w:pPr>
      <w:rPr>
        <w:rFonts w:hint="default"/>
        <w:lang w:val="en-US" w:eastAsia="en-US" w:bidi="ar-SA"/>
      </w:rPr>
    </w:lvl>
    <w:lvl w:ilvl="2">
      <w:start w:val="0"/>
      <w:numFmt w:val="bullet"/>
      <w:lvlText w:val="•"/>
      <w:lvlJc w:val="left"/>
      <w:pPr>
        <w:ind w:left="3929" w:hanging="360"/>
      </w:pPr>
      <w:rPr>
        <w:rFonts w:hint="default"/>
        <w:lang w:val="en-US" w:eastAsia="en-US" w:bidi="ar-SA"/>
      </w:rPr>
    </w:lvl>
    <w:lvl w:ilvl="3">
      <w:start w:val="0"/>
      <w:numFmt w:val="bullet"/>
      <w:lvlText w:val="•"/>
      <w:lvlJc w:val="left"/>
      <w:pPr>
        <w:ind w:left="4814" w:hanging="360"/>
      </w:pPr>
      <w:rPr>
        <w:rFonts w:hint="default"/>
        <w:lang w:val="en-US" w:eastAsia="en-US" w:bidi="ar-SA"/>
      </w:rPr>
    </w:lvl>
    <w:lvl w:ilvl="4">
      <w:start w:val="0"/>
      <w:numFmt w:val="bullet"/>
      <w:lvlText w:val="•"/>
      <w:lvlJc w:val="left"/>
      <w:pPr>
        <w:ind w:left="5699" w:hanging="360"/>
      </w:pPr>
      <w:rPr>
        <w:rFonts w:hint="default"/>
        <w:lang w:val="en-US" w:eastAsia="en-US" w:bidi="ar-SA"/>
      </w:rPr>
    </w:lvl>
    <w:lvl w:ilvl="5">
      <w:start w:val="0"/>
      <w:numFmt w:val="bullet"/>
      <w:lvlText w:val="•"/>
      <w:lvlJc w:val="left"/>
      <w:pPr>
        <w:ind w:left="6584" w:hanging="360"/>
      </w:pPr>
      <w:rPr>
        <w:rFonts w:hint="default"/>
        <w:lang w:val="en-US" w:eastAsia="en-US" w:bidi="ar-SA"/>
      </w:rPr>
    </w:lvl>
    <w:lvl w:ilvl="6">
      <w:start w:val="0"/>
      <w:numFmt w:val="bullet"/>
      <w:lvlText w:val="•"/>
      <w:lvlJc w:val="left"/>
      <w:pPr>
        <w:ind w:left="7469" w:hanging="360"/>
      </w:pPr>
      <w:rPr>
        <w:rFonts w:hint="default"/>
        <w:lang w:val="en-US" w:eastAsia="en-US" w:bidi="ar-SA"/>
      </w:rPr>
    </w:lvl>
    <w:lvl w:ilvl="7">
      <w:start w:val="0"/>
      <w:numFmt w:val="bullet"/>
      <w:lvlText w:val="•"/>
      <w:lvlJc w:val="left"/>
      <w:pPr>
        <w:ind w:left="8354" w:hanging="360"/>
      </w:pPr>
      <w:rPr>
        <w:rFonts w:hint="default"/>
        <w:lang w:val="en-US" w:eastAsia="en-US" w:bidi="ar-SA"/>
      </w:rPr>
    </w:lvl>
    <w:lvl w:ilvl="8">
      <w:start w:val="0"/>
      <w:numFmt w:val="bullet"/>
      <w:lvlText w:val="•"/>
      <w:lvlJc w:val="left"/>
      <w:pPr>
        <w:ind w:left="9239" w:hanging="360"/>
      </w:pPr>
      <w:rPr>
        <w:rFonts w:hint="default"/>
        <w:lang w:val="en-US" w:eastAsia="en-US" w:bidi="ar-SA"/>
      </w:rPr>
    </w:lvl>
  </w:abstractNum>
  <w:abstractNum w:abstractNumId="23">
    <w:multiLevelType w:val="hybridMultilevel"/>
    <w:lvl w:ilvl="0">
      <w:start w:val="4"/>
      <w:numFmt w:val="decimal"/>
      <w:lvlText w:val="%1"/>
      <w:lvlJc w:val="left"/>
      <w:pPr>
        <w:ind w:left="2100" w:hanging="660"/>
        <w:jc w:val="left"/>
      </w:pPr>
      <w:rPr>
        <w:rFonts w:hint="default"/>
        <w:lang w:val="en-US" w:eastAsia="en-US" w:bidi="ar-SA"/>
      </w:rPr>
    </w:lvl>
    <w:lvl w:ilvl="1">
      <w:start w:val="5"/>
      <w:numFmt w:val="decimal"/>
      <w:lvlText w:val="%1.%2"/>
      <w:lvlJc w:val="left"/>
      <w:pPr>
        <w:ind w:left="2100" w:hanging="660"/>
        <w:jc w:val="left"/>
      </w:pPr>
      <w:rPr>
        <w:rFonts w:hint="default"/>
        <w:lang w:val="en-US" w:eastAsia="en-US" w:bidi="ar-SA"/>
      </w:rPr>
    </w:lvl>
    <w:lvl w:ilvl="2">
      <w:start w:val="9"/>
      <w:numFmt w:val="decimal"/>
      <w:lvlText w:val="%1.%2.%3"/>
      <w:lvlJc w:val="left"/>
      <w:pPr>
        <w:ind w:left="2100" w:hanging="66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4772" w:hanging="660"/>
      </w:pPr>
      <w:rPr>
        <w:rFonts w:hint="default"/>
        <w:lang w:val="en-US" w:eastAsia="en-US" w:bidi="ar-SA"/>
      </w:rPr>
    </w:lvl>
    <w:lvl w:ilvl="4">
      <w:start w:val="0"/>
      <w:numFmt w:val="bullet"/>
      <w:lvlText w:val="•"/>
      <w:lvlJc w:val="left"/>
      <w:pPr>
        <w:ind w:left="5663" w:hanging="660"/>
      </w:pPr>
      <w:rPr>
        <w:rFonts w:hint="default"/>
        <w:lang w:val="en-US" w:eastAsia="en-US" w:bidi="ar-SA"/>
      </w:rPr>
    </w:lvl>
    <w:lvl w:ilvl="5">
      <w:start w:val="0"/>
      <w:numFmt w:val="bullet"/>
      <w:lvlText w:val="•"/>
      <w:lvlJc w:val="left"/>
      <w:pPr>
        <w:ind w:left="6554" w:hanging="660"/>
      </w:pPr>
      <w:rPr>
        <w:rFonts w:hint="default"/>
        <w:lang w:val="en-US" w:eastAsia="en-US" w:bidi="ar-SA"/>
      </w:rPr>
    </w:lvl>
    <w:lvl w:ilvl="6">
      <w:start w:val="0"/>
      <w:numFmt w:val="bullet"/>
      <w:lvlText w:val="•"/>
      <w:lvlJc w:val="left"/>
      <w:pPr>
        <w:ind w:left="7445" w:hanging="660"/>
      </w:pPr>
      <w:rPr>
        <w:rFonts w:hint="default"/>
        <w:lang w:val="en-US" w:eastAsia="en-US" w:bidi="ar-SA"/>
      </w:rPr>
    </w:lvl>
    <w:lvl w:ilvl="7">
      <w:start w:val="0"/>
      <w:numFmt w:val="bullet"/>
      <w:lvlText w:val="•"/>
      <w:lvlJc w:val="left"/>
      <w:pPr>
        <w:ind w:left="8336" w:hanging="660"/>
      </w:pPr>
      <w:rPr>
        <w:rFonts w:hint="default"/>
        <w:lang w:val="en-US" w:eastAsia="en-US" w:bidi="ar-SA"/>
      </w:rPr>
    </w:lvl>
    <w:lvl w:ilvl="8">
      <w:start w:val="0"/>
      <w:numFmt w:val="bullet"/>
      <w:lvlText w:val="•"/>
      <w:lvlJc w:val="left"/>
      <w:pPr>
        <w:ind w:left="9227" w:hanging="660"/>
      </w:pPr>
      <w:rPr>
        <w:rFonts w:hint="default"/>
        <w:lang w:val="en-US" w:eastAsia="en-US" w:bidi="ar-SA"/>
      </w:rPr>
    </w:lvl>
  </w:abstractNum>
  <w:abstractNum w:abstractNumId="22">
    <w:multiLevelType w:val="hybridMultilevel"/>
    <w:lvl w:ilvl="0">
      <w:start w:val="4"/>
      <w:numFmt w:val="decimal"/>
      <w:lvlText w:val="%1"/>
      <w:lvlJc w:val="left"/>
      <w:pPr>
        <w:ind w:left="2040" w:hanging="600"/>
        <w:jc w:val="left"/>
      </w:pPr>
      <w:rPr>
        <w:rFonts w:hint="default"/>
        <w:lang w:val="en-US" w:eastAsia="en-US" w:bidi="ar-SA"/>
      </w:rPr>
    </w:lvl>
    <w:lvl w:ilvl="1">
      <w:start w:val="5"/>
      <w:numFmt w:val="decimal"/>
      <w:lvlText w:val="%1.%2"/>
      <w:lvlJc w:val="left"/>
      <w:pPr>
        <w:ind w:left="2040" w:hanging="600"/>
        <w:jc w:val="left"/>
      </w:pPr>
      <w:rPr>
        <w:rFonts w:hint="default"/>
        <w:lang w:val="en-US" w:eastAsia="en-US" w:bidi="ar-SA"/>
      </w:rPr>
    </w:lvl>
    <w:lvl w:ilvl="2">
      <w:start w:val="8"/>
      <w:numFmt w:val="decimal"/>
      <w:lvlText w:val="%1.%2.%3."/>
      <w:lvlJc w:val="left"/>
      <w:pPr>
        <w:ind w:left="2040" w:hanging="60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4730" w:hanging="600"/>
      </w:pPr>
      <w:rPr>
        <w:rFonts w:hint="default"/>
        <w:lang w:val="en-US" w:eastAsia="en-US" w:bidi="ar-SA"/>
      </w:rPr>
    </w:lvl>
    <w:lvl w:ilvl="4">
      <w:start w:val="0"/>
      <w:numFmt w:val="bullet"/>
      <w:lvlText w:val="•"/>
      <w:lvlJc w:val="left"/>
      <w:pPr>
        <w:ind w:left="5627" w:hanging="600"/>
      </w:pPr>
      <w:rPr>
        <w:rFonts w:hint="default"/>
        <w:lang w:val="en-US" w:eastAsia="en-US" w:bidi="ar-SA"/>
      </w:rPr>
    </w:lvl>
    <w:lvl w:ilvl="5">
      <w:start w:val="0"/>
      <w:numFmt w:val="bullet"/>
      <w:lvlText w:val="•"/>
      <w:lvlJc w:val="left"/>
      <w:pPr>
        <w:ind w:left="6524" w:hanging="600"/>
      </w:pPr>
      <w:rPr>
        <w:rFonts w:hint="default"/>
        <w:lang w:val="en-US" w:eastAsia="en-US" w:bidi="ar-SA"/>
      </w:rPr>
    </w:lvl>
    <w:lvl w:ilvl="6">
      <w:start w:val="0"/>
      <w:numFmt w:val="bullet"/>
      <w:lvlText w:val="•"/>
      <w:lvlJc w:val="left"/>
      <w:pPr>
        <w:ind w:left="7421" w:hanging="600"/>
      </w:pPr>
      <w:rPr>
        <w:rFonts w:hint="default"/>
        <w:lang w:val="en-US" w:eastAsia="en-US" w:bidi="ar-SA"/>
      </w:rPr>
    </w:lvl>
    <w:lvl w:ilvl="7">
      <w:start w:val="0"/>
      <w:numFmt w:val="bullet"/>
      <w:lvlText w:val="•"/>
      <w:lvlJc w:val="left"/>
      <w:pPr>
        <w:ind w:left="8318" w:hanging="600"/>
      </w:pPr>
      <w:rPr>
        <w:rFonts w:hint="default"/>
        <w:lang w:val="en-US" w:eastAsia="en-US" w:bidi="ar-SA"/>
      </w:rPr>
    </w:lvl>
    <w:lvl w:ilvl="8">
      <w:start w:val="0"/>
      <w:numFmt w:val="bullet"/>
      <w:lvlText w:val="•"/>
      <w:lvlJc w:val="left"/>
      <w:pPr>
        <w:ind w:left="9215" w:hanging="600"/>
      </w:pPr>
      <w:rPr>
        <w:rFonts w:hint="default"/>
        <w:lang w:val="en-US" w:eastAsia="en-US" w:bidi="ar-SA"/>
      </w:rPr>
    </w:lvl>
  </w:abstractNum>
  <w:abstractNum w:abstractNumId="21">
    <w:multiLevelType w:val="hybridMultilevel"/>
    <w:lvl w:ilvl="0">
      <w:start w:val="1"/>
      <w:numFmt w:val="lowerLetter"/>
      <w:lvlText w:val="%1."/>
      <w:lvlJc w:val="left"/>
      <w:pPr>
        <w:ind w:left="2160" w:hanging="72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3044" w:hanging="720"/>
      </w:pPr>
      <w:rPr>
        <w:rFonts w:hint="default"/>
        <w:lang w:val="en-US" w:eastAsia="en-US" w:bidi="ar-SA"/>
      </w:rPr>
    </w:lvl>
    <w:lvl w:ilvl="2">
      <w:start w:val="0"/>
      <w:numFmt w:val="bullet"/>
      <w:lvlText w:val="•"/>
      <w:lvlJc w:val="left"/>
      <w:pPr>
        <w:ind w:left="3929" w:hanging="720"/>
      </w:pPr>
      <w:rPr>
        <w:rFonts w:hint="default"/>
        <w:lang w:val="en-US" w:eastAsia="en-US" w:bidi="ar-SA"/>
      </w:rPr>
    </w:lvl>
    <w:lvl w:ilvl="3">
      <w:start w:val="0"/>
      <w:numFmt w:val="bullet"/>
      <w:lvlText w:val="•"/>
      <w:lvlJc w:val="left"/>
      <w:pPr>
        <w:ind w:left="4814" w:hanging="720"/>
      </w:pPr>
      <w:rPr>
        <w:rFonts w:hint="default"/>
        <w:lang w:val="en-US" w:eastAsia="en-US" w:bidi="ar-SA"/>
      </w:rPr>
    </w:lvl>
    <w:lvl w:ilvl="4">
      <w:start w:val="0"/>
      <w:numFmt w:val="bullet"/>
      <w:lvlText w:val="•"/>
      <w:lvlJc w:val="left"/>
      <w:pPr>
        <w:ind w:left="5699" w:hanging="720"/>
      </w:pPr>
      <w:rPr>
        <w:rFonts w:hint="default"/>
        <w:lang w:val="en-US" w:eastAsia="en-US" w:bidi="ar-SA"/>
      </w:rPr>
    </w:lvl>
    <w:lvl w:ilvl="5">
      <w:start w:val="0"/>
      <w:numFmt w:val="bullet"/>
      <w:lvlText w:val="•"/>
      <w:lvlJc w:val="left"/>
      <w:pPr>
        <w:ind w:left="6584" w:hanging="720"/>
      </w:pPr>
      <w:rPr>
        <w:rFonts w:hint="default"/>
        <w:lang w:val="en-US" w:eastAsia="en-US" w:bidi="ar-SA"/>
      </w:rPr>
    </w:lvl>
    <w:lvl w:ilvl="6">
      <w:start w:val="0"/>
      <w:numFmt w:val="bullet"/>
      <w:lvlText w:val="•"/>
      <w:lvlJc w:val="left"/>
      <w:pPr>
        <w:ind w:left="7469" w:hanging="720"/>
      </w:pPr>
      <w:rPr>
        <w:rFonts w:hint="default"/>
        <w:lang w:val="en-US" w:eastAsia="en-US" w:bidi="ar-SA"/>
      </w:rPr>
    </w:lvl>
    <w:lvl w:ilvl="7">
      <w:start w:val="0"/>
      <w:numFmt w:val="bullet"/>
      <w:lvlText w:val="•"/>
      <w:lvlJc w:val="left"/>
      <w:pPr>
        <w:ind w:left="8354" w:hanging="720"/>
      </w:pPr>
      <w:rPr>
        <w:rFonts w:hint="default"/>
        <w:lang w:val="en-US" w:eastAsia="en-US" w:bidi="ar-SA"/>
      </w:rPr>
    </w:lvl>
    <w:lvl w:ilvl="8">
      <w:start w:val="0"/>
      <w:numFmt w:val="bullet"/>
      <w:lvlText w:val="•"/>
      <w:lvlJc w:val="left"/>
      <w:pPr>
        <w:ind w:left="9239" w:hanging="720"/>
      </w:pPr>
      <w:rPr>
        <w:rFonts w:hint="default"/>
        <w:lang w:val="en-US" w:eastAsia="en-US" w:bidi="ar-SA"/>
      </w:rPr>
    </w:lvl>
  </w:abstractNum>
  <w:abstractNum w:abstractNumId="18">
    <w:multiLevelType w:val="hybridMultilevel"/>
    <w:lvl w:ilvl="0">
      <w:start w:val="4"/>
      <w:numFmt w:val="decimal"/>
      <w:lvlText w:val="%1"/>
      <w:lvlJc w:val="left"/>
      <w:pPr>
        <w:ind w:left="2160" w:hanging="720"/>
        <w:jc w:val="left"/>
      </w:pPr>
      <w:rPr>
        <w:rFonts w:hint="default"/>
        <w:lang w:val="en-US" w:eastAsia="en-US" w:bidi="ar-SA"/>
      </w:rPr>
    </w:lvl>
    <w:lvl w:ilvl="1">
      <w:start w:val="3"/>
      <w:numFmt w:val="decimal"/>
      <w:lvlText w:val="%1.%2"/>
      <w:lvlJc w:val="left"/>
      <w:pPr>
        <w:ind w:left="216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216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440" w:hanging="920"/>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0"/>
      <w:numFmt w:val="bullet"/>
      <w:lvlText w:val="•"/>
      <w:lvlJc w:val="left"/>
      <w:pPr>
        <w:ind w:left="4372" w:hanging="920"/>
      </w:pPr>
      <w:rPr>
        <w:rFonts w:hint="default"/>
        <w:lang w:val="en-US" w:eastAsia="en-US" w:bidi="ar-SA"/>
      </w:rPr>
    </w:lvl>
    <w:lvl w:ilvl="5">
      <w:start w:val="0"/>
      <w:numFmt w:val="bullet"/>
      <w:lvlText w:val="•"/>
      <w:lvlJc w:val="left"/>
      <w:pPr>
        <w:ind w:left="5478" w:hanging="920"/>
      </w:pPr>
      <w:rPr>
        <w:rFonts w:hint="default"/>
        <w:lang w:val="en-US" w:eastAsia="en-US" w:bidi="ar-SA"/>
      </w:rPr>
    </w:lvl>
    <w:lvl w:ilvl="6">
      <w:start w:val="0"/>
      <w:numFmt w:val="bullet"/>
      <w:lvlText w:val="•"/>
      <w:lvlJc w:val="left"/>
      <w:pPr>
        <w:ind w:left="6584" w:hanging="920"/>
      </w:pPr>
      <w:rPr>
        <w:rFonts w:hint="default"/>
        <w:lang w:val="en-US" w:eastAsia="en-US" w:bidi="ar-SA"/>
      </w:rPr>
    </w:lvl>
    <w:lvl w:ilvl="7">
      <w:start w:val="0"/>
      <w:numFmt w:val="bullet"/>
      <w:lvlText w:val="•"/>
      <w:lvlJc w:val="left"/>
      <w:pPr>
        <w:ind w:left="7690" w:hanging="920"/>
      </w:pPr>
      <w:rPr>
        <w:rFonts w:hint="default"/>
        <w:lang w:val="en-US" w:eastAsia="en-US" w:bidi="ar-SA"/>
      </w:rPr>
    </w:lvl>
    <w:lvl w:ilvl="8">
      <w:start w:val="0"/>
      <w:numFmt w:val="bullet"/>
      <w:lvlText w:val="•"/>
      <w:lvlJc w:val="left"/>
      <w:pPr>
        <w:ind w:left="8796" w:hanging="920"/>
      </w:pPr>
      <w:rPr>
        <w:rFonts w:hint="default"/>
        <w:lang w:val="en-US" w:eastAsia="en-US" w:bidi="ar-SA"/>
      </w:rPr>
    </w:lvl>
  </w:abstractNum>
  <w:abstractNum w:abstractNumId="17">
    <w:multiLevelType w:val="hybridMultilevel"/>
    <w:lvl w:ilvl="0">
      <w:start w:val="0"/>
      <w:numFmt w:val="bullet"/>
      <w:lvlText w:val="•"/>
      <w:lvlJc w:val="left"/>
      <w:pPr>
        <w:ind w:left="2160" w:hanging="72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044" w:hanging="720"/>
      </w:pPr>
      <w:rPr>
        <w:rFonts w:hint="default"/>
        <w:lang w:val="en-US" w:eastAsia="en-US" w:bidi="ar-SA"/>
      </w:rPr>
    </w:lvl>
    <w:lvl w:ilvl="2">
      <w:start w:val="0"/>
      <w:numFmt w:val="bullet"/>
      <w:lvlText w:val="•"/>
      <w:lvlJc w:val="left"/>
      <w:pPr>
        <w:ind w:left="3929" w:hanging="720"/>
      </w:pPr>
      <w:rPr>
        <w:rFonts w:hint="default"/>
        <w:lang w:val="en-US" w:eastAsia="en-US" w:bidi="ar-SA"/>
      </w:rPr>
    </w:lvl>
    <w:lvl w:ilvl="3">
      <w:start w:val="0"/>
      <w:numFmt w:val="bullet"/>
      <w:lvlText w:val="•"/>
      <w:lvlJc w:val="left"/>
      <w:pPr>
        <w:ind w:left="4814" w:hanging="720"/>
      </w:pPr>
      <w:rPr>
        <w:rFonts w:hint="default"/>
        <w:lang w:val="en-US" w:eastAsia="en-US" w:bidi="ar-SA"/>
      </w:rPr>
    </w:lvl>
    <w:lvl w:ilvl="4">
      <w:start w:val="0"/>
      <w:numFmt w:val="bullet"/>
      <w:lvlText w:val="•"/>
      <w:lvlJc w:val="left"/>
      <w:pPr>
        <w:ind w:left="5699" w:hanging="720"/>
      </w:pPr>
      <w:rPr>
        <w:rFonts w:hint="default"/>
        <w:lang w:val="en-US" w:eastAsia="en-US" w:bidi="ar-SA"/>
      </w:rPr>
    </w:lvl>
    <w:lvl w:ilvl="5">
      <w:start w:val="0"/>
      <w:numFmt w:val="bullet"/>
      <w:lvlText w:val="•"/>
      <w:lvlJc w:val="left"/>
      <w:pPr>
        <w:ind w:left="6584" w:hanging="720"/>
      </w:pPr>
      <w:rPr>
        <w:rFonts w:hint="default"/>
        <w:lang w:val="en-US" w:eastAsia="en-US" w:bidi="ar-SA"/>
      </w:rPr>
    </w:lvl>
    <w:lvl w:ilvl="6">
      <w:start w:val="0"/>
      <w:numFmt w:val="bullet"/>
      <w:lvlText w:val="•"/>
      <w:lvlJc w:val="left"/>
      <w:pPr>
        <w:ind w:left="7469" w:hanging="720"/>
      </w:pPr>
      <w:rPr>
        <w:rFonts w:hint="default"/>
        <w:lang w:val="en-US" w:eastAsia="en-US" w:bidi="ar-SA"/>
      </w:rPr>
    </w:lvl>
    <w:lvl w:ilvl="7">
      <w:start w:val="0"/>
      <w:numFmt w:val="bullet"/>
      <w:lvlText w:val="•"/>
      <w:lvlJc w:val="left"/>
      <w:pPr>
        <w:ind w:left="8354" w:hanging="720"/>
      </w:pPr>
      <w:rPr>
        <w:rFonts w:hint="default"/>
        <w:lang w:val="en-US" w:eastAsia="en-US" w:bidi="ar-SA"/>
      </w:rPr>
    </w:lvl>
    <w:lvl w:ilvl="8">
      <w:start w:val="0"/>
      <w:numFmt w:val="bullet"/>
      <w:lvlText w:val="•"/>
      <w:lvlJc w:val="left"/>
      <w:pPr>
        <w:ind w:left="9239" w:hanging="720"/>
      </w:pPr>
      <w:rPr>
        <w:rFonts w:hint="default"/>
        <w:lang w:val="en-US" w:eastAsia="en-US" w:bidi="ar-SA"/>
      </w:rPr>
    </w:lvl>
  </w:abstractNum>
  <w:abstractNum w:abstractNumId="16">
    <w:multiLevelType w:val="hybridMultilevel"/>
    <w:lvl w:ilvl="0">
      <w:start w:val="4"/>
      <w:numFmt w:val="decimal"/>
      <w:lvlText w:val="%1"/>
      <w:lvlJc w:val="left"/>
      <w:pPr>
        <w:ind w:left="2117" w:hanging="720"/>
        <w:jc w:val="left"/>
      </w:pPr>
      <w:rPr>
        <w:rFonts w:hint="default"/>
        <w:lang w:val="en-US" w:eastAsia="en-US" w:bidi="ar-SA"/>
      </w:rPr>
    </w:lvl>
    <w:lvl w:ilvl="1">
      <w:start w:val="2"/>
      <w:numFmt w:val="decimal"/>
      <w:lvlText w:val="%1.%2."/>
      <w:lvlJc w:val="left"/>
      <w:pPr>
        <w:ind w:left="211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216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216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0"/>
      <w:numFmt w:val="bullet"/>
      <w:lvlText w:val="•"/>
      <w:lvlJc w:val="left"/>
      <w:pPr>
        <w:ind w:left="5109" w:hanging="720"/>
      </w:pPr>
      <w:rPr>
        <w:rFonts w:hint="default"/>
        <w:lang w:val="en-US" w:eastAsia="en-US" w:bidi="ar-SA"/>
      </w:rPr>
    </w:lvl>
    <w:lvl w:ilvl="5">
      <w:start w:val="0"/>
      <w:numFmt w:val="bullet"/>
      <w:lvlText w:val="•"/>
      <w:lvlJc w:val="left"/>
      <w:pPr>
        <w:ind w:left="6092" w:hanging="720"/>
      </w:pPr>
      <w:rPr>
        <w:rFonts w:hint="default"/>
        <w:lang w:val="en-US" w:eastAsia="en-US" w:bidi="ar-SA"/>
      </w:rPr>
    </w:lvl>
    <w:lvl w:ilvl="6">
      <w:start w:val="0"/>
      <w:numFmt w:val="bullet"/>
      <w:lvlText w:val="•"/>
      <w:lvlJc w:val="left"/>
      <w:pPr>
        <w:ind w:left="7076" w:hanging="720"/>
      </w:pPr>
      <w:rPr>
        <w:rFonts w:hint="default"/>
        <w:lang w:val="en-US" w:eastAsia="en-US" w:bidi="ar-SA"/>
      </w:rPr>
    </w:lvl>
    <w:lvl w:ilvl="7">
      <w:start w:val="0"/>
      <w:numFmt w:val="bullet"/>
      <w:lvlText w:val="•"/>
      <w:lvlJc w:val="left"/>
      <w:pPr>
        <w:ind w:left="8059" w:hanging="720"/>
      </w:pPr>
      <w:rPr>
        <w:rFonts w:hint="default"/>
        <w:lang w:val="en-US" w:eastAsia="en-US" w:bidi="ar-SA"/>
      </w:rPr>
    </w:lvl>
    <w:lvl w:ilvl="8">
      <w:start w:val="0"/>
      <w:numFmt w:val="bullet"/>
      <w:lvlText w:val="•"/>
      <w:lvlJc w:val="left"/>
      <w:pPr>
        <w:ind w:left="9042" w:hanging="720"/>
      </w:pPr>
      <w:rPr>
        <w:rFonts w:hint="default"/>
        <w:lang w:val="en-US" w:eastAsia="en-US" w:bidi="ar-SA"/>
      </w:rPr>
    </w:lvl>
  </w:abstractNum>
  <w:abstractNum w:abstractNumId="15">
    <w:multiLevelType w:val="hybridMultilevel"/>
    <w:lvl w:ilvl="0">
      <w:start w:val="4"/>
      <w:numFmt w:val="decimal"/>
      <w:lvlText w:val="%1"/>
      <w:lvlJc w:val="left"/>
      <w:pPr>
        <w:ind w:left="2160" w:hanging="720"/>
        <w:jc w:val="left"/>
      </w:pPr>
      <w:rPr>
        <w:rFonts w:hint="default"/>
        <w:lang w:val="en-US" w:eastAsia="en-US" w:bidi="ar-SA"/>
      </w:rPr>
    </w:lvl>
    <w:lvl w:ilvl="1">
      <w:start w:val="1"/>
      <w:numFmt w:val="decimal"/>
      <w:lvlText w:val="%1.%2"/>
      <w:lvlJc w:val="left"/>
      <w:pPr>
        <w:ind w:left="216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929" w:hanging="720"/>
      </w:pPr>
      <w:rPr>
        <w:rFonts w:hint="default"/>
        <w:lang w:val="en-US" w:eastAsia="en-US" w:bidi="ar-SA"/>
      </w:rPr>
    </w:lvl>
    <w:lvl w:ilvl="3">
      <w:start w:val="0"/>
      <w:numFmt w:val="bullet"/>
      <w:lvlText w:val="•"/>
      <w:lvlJc w:val="left"/>
      <w:pPr>
        <w:ind w:left="4814" w:hanging="720"/>
      </w:pPr>
      <w:rPr>
        <w:rFonts w:hint="default"/>
        <w:lang w:val="en-US" w:eastAsia="en-US" w:bidi="ar-SA"/>
      </w:rPr>
    </w:lvl>
    <w:lvl w:ilvl="4">
      <w:start w:val="0"/>
      <w:numFmt w:val="bullet"/>
      <w:lvlText w:val="•"/>
      <w:lvlJc w:val="left"/>
      <w:pPr>
        <w:ind w:left="5699" w:hanging="720"/>
      </w:pPr>
      <w:rPr>
        <w:rFonts w:hint="default"/>
        <w:lang w:val="en-US" w:eastAsia="en-US" w:bidi="ar-SA"/>
      </w:rPr>
    </w:lvl>
    <w:lvl w:ilvl="5">
      <w:start w:val="0"/>
      <w:numFmt w:val="bullet"/>
      <w:lvlText w:val="•"/>
      <w:lvlJc w:val="left"/>
      <w:pPr>
        <w:ind w:left="6584" w:hanging="720"/>
      </w:pPr>
      <w:rPr>
        <w:rFonts w:hint="default"/>
        <w:lang w:val="en-US" w:eastAsia="en-US" w:bidi="ar-SA"/>
      </w:rPr>
    </w:lvl>
    <w:lvl w:ilvl="6">
      <w:start w:val="0"/>
      <w:numFmt w:val="bullet"/>
      <w:lvlText w:val="•"/>
      <w:lvlJc w:val="left"/>
      <w:pPr>
        <w:ind w:left="7469" w:hanging="720"/>
      </w:pPr>
      <w:rPr>
        <w:rFonts w:hint="default"/>
        <w:lang w:val="en-US" w:eastAsia="en-US" w:bidi="ar-SA"/>
      </w:rPr>
    </w:lvl>
    <w:lvl w:ilvl="7">
      <w:start w:val="0"/>
      <w:numFmt w:val="bullet"/>
      <w:lvlText w:val="•"/>
      <w:lvlJc w:val="left"/>
      <w:pPr>
        <w:ind w:left="8354" w:hanging="720"/>
      </w:pPr>
      <w:rPr>
        <w:rFonts w:hint="default"/>
        <w:lang w:val="en-US" w:eastAsia="en-US" w:bidi="ar-SA"/>
      </w:rPr>
    </w:lvl>
    <w:lvl w:ilvl="8">
      <w:start w:val="0"/>
      <w:numFmt w:val="bullet"/>
      <w:lvlText w:val="•"/>
      <w:lvlJc w:val="left"/>
      <w:pPr>
        <w:ind w:left="9239" w:hanging="720"/>
      </w:pPr>
      <w:rPr>
        <w:rFonts w:hint="default"/>
        <w:lang w:val="en-US" w:eastAsia="en-US" w:bidi="ar-SA"/>
      </w:rPr>
    </w:lvl>
  </w:abstractNum>
  <w:abstractNum w:abstractNumId="14">
    <w:multiLevelType w:val="hybridMultilevel"/>
    <w:lvl w:ilvl="0">
      <w:start w:val="1"/>
      <w:numFmt w:val="lowerLetter"/>
      <w:lvlText w:val="%1."/>
      <w:lvlJc w:val="left"/>
      <w:pPr>
        <w:ind w:left="1440" w:hanging="72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396" w:hanging="720"/>
      </w:pPr>
      <w:rPr>
        <w:rFonts w:hint="default"/>
        <w:lang w:val="en-US" w:eastAsia="en-US" w:bidi="ar-SA"/>
      </w:rPr>
    </w:lvl>
    <w:lvl w:ilvl="2">
      <w:start w:val="0"/>
      <w:numFmt w:val="bullet"/>
      <w:lvlText w:val="•"/>
      <w:lvlJc w:val="left"/>
      <w:pPr>
        <w:ind w:left="3353" w:hanging="720"/>
      </w:pPr>
      <w:rPr>
        <w:rFonts w:hint="default"/>
        <w:lang w:val="en-US" w:eastAsia="en-US" w:bidi="ar-SA"/>
      </w:rPr>
    </w:lvl>
    <w:lvl w:ilvl="3">
      <w:start w:val="0"/>
      <w:numFmt w:val="bullet"/>
      <w:lvlText w:val="•"/>
      <w:lvlJc w:val="left"/>
      <w:pPr>
        <w:ind w:left="4310" w:hanging="720"/>
      </w:pPr>
      <w:rPr>
        <w:rFonts w:hint="default"/>
        <w:lang w:val="en-US" w:eastAsia="en-US" w:bidi="ar-SA"/>
      </w:rPr>
    </w:lvl>
    <w:lvl w:ilvl="4">
      <w:start w:val="0"/>
      <w:numFmt w:val="bullet"/>
      <w:lvlText w:val="•"/>
      <w:lvlJc w:val="left"/>
      <w:pPr>
        <w:ind w:left="5267" w:hanging="720"/>
      </w:pPr>
      <w:rPr>
        <w:rFonts w:hint="default"/>
        <w:lang w:val="en-US" w:eastAsia="en-US" w:bidi="ar-SA"/>
      </w:rPr>
    </w:lvl>
    <w:lvl w:ilvl="5">
      <w:start w:val="0"/>
      <w:numFmt w:val="bullet"/>
      <w:lvlText w:val="•"/>
      <w:lvlJc w:val="left"/>
      <w:pPr>
        <w:ind w:left="6224" w:hanging="720"/>
      </w:pPr>
      <w:rPr>
        <w:rFonts w:hint="default"/>
        <w:lang w:val="en-US" w:eastAsia="en-US" w:bidi="ar-SA"/>
      </w:rPr>
    </w:lvl>
    <w:lvl w:ilvl="6">
      <w:start w:val="0"/>
      <w:numFmt w:val="bullet"/>
      <w:lvlText w:val="•"/>
      <w:lvlJc w:val="left"/>
      <w:pPr>
        <w:ind w:left="7181" w:hanging="720"/>
      </w:pPr>
      <w:rPr>
        <w:rFonts w:hint="default"/>
        <w:lang w:val="en-US" w:eastAsia="en-US" w:bidi="ar-SA"/>
      </w:rPr>
    </w:lvl>
    <w:lvl w:ilvl="7">
      <w:start w:val="0"/>
      <w:numFmt w:val="bullet"/>
      <w:lvlText w:val="•"/>
      <w:lvlJc w:val="left"/>
      <w:pPr>
        <w:ind w:left="8138" w:hanging="720"/>
      </w:pPr>
      <w:rPr>
        <w:rFonts w:hint="default"/>
        <w:lang w:val="en-US" w:eastAsia="en-US" w:bidi="ar-SA"/>
      </w:rPr>
    </w:lvl>
    <w:lvl w:ilvl="8">
      <w:start w:val="0"/>
      <w:numFmt w:val="bullet"/>
      <w:lvlText w:val="•"/>
      <w:lvlJc w:val="left"/>
      <w:pPr>
        <w:ind w:left="9095" w:hanging="720"/>
      </w:pPr>
      <w:rPr>
        <w:rFonts w:hint="default"/>
        <w:lang w:val="en-US" w:eastAsia="en-US" w:bidi="ar-SA"/>
      </w:rPr>
    </w:lvl>
  </w:abstractNum>
  <w:abstractNum w:abstractNumId="13">
    <w:multiLevelType w:val="hybridMultilevel"/>
    <w:lvl w:ilvl="0">
      <w:start w:val="5"/>
      <w:numFmt w:val="lowerLetter"/>
      <w:lvlText w:val="%1."/>
      <w:lvlJc w:val="left"/>
      <w:pPr>
        <w:ind w:left="1440" w:hanging="812"/>
        <w:jc w:val="righ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1"/>
      <w:numFmt w:val="decimal"/>
      <w:lvlText w:val="(%2)"/>
      <w:lvlJc w:val="left"/>
      <w:pPr>
        <w:ind w:left="21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143" w:hanging="720"/>
      </w:pPr>
      <w:rPr>
        <w:rFonts w:hint="default"/>
        <w:lang w:val="en-US" w:eastAsia="en-US" w:bidi="ar-SA"/>
      </w:rPr>
    </w:lvl>
    <w:lvl w:ilvl="3">
      <w:start w:val="0"/>
      <w:numFmt w:val="bullet"/>
      <w:lvlText w:val="•"/>
      <w:lvlJc w:val="left"/>
      <w:pPr>
        <w:ind w:left="4126" w:hanging="720"/>
      </w:pPr>
      <w:rPr>
        <w:rFonts w:hint="default"/>
        <w:lang w:val="en-US" w:eastAsia="en-US" w:bidi="ar-SA"/>
      </w:rPr>
    </w:lvl>
    <w:lvl w:ilvl="4">
      <w:start w:val="0"/>
      <w:numFmt w:val="bullet"/>
      <w:lvlText w:val="•"/>
      <w:lvlJc w:val="left"/>
      <w:pPr>
        <w:ind w:left="5109" w:hanging="720"/>
      </w:pPr>
      <w:rPr>
        <w:rFonts w:hint="default"/>
        <w:lang w:val="en-US" w:eastAsia="en-US" w:bidi="ar-SA"/>
      </w:rPr>
    </w:lvl>
    <w:lvl w:ilvl="5">
      <w:start w:val="0"/>
      <w:numFmt w:val="bullet"/>
      <w:lvlText w:val="•"/>
      <w:lvlJc w:val="left"/>
      <w:pPr>
        <w:ind w:left="6092" w:hanging="720"/>
      </w:pPr>
      <w:rPr>
        <w:rFonts w:hint="default"/>
        <w:lang w:val="en-US" w:eastAsia="en-US" w:bidi="ar-SA"/>
      </w:rPr>
    </w:lvl>
    <w:lvl w:ilvl="6">
      <w:start w:val="0"/>
      <w:numFmt w:val="bullet"/>
      <w:lvlText w:val="•"/>
      <w:lvlJc w:val="left"/>
      <w:pPr>
        <w:ind w:left="7076" w:hanging="720"/>
      </w:pPr>
      <w:rPr>
        <w:rFonts w:hint="default"/>
        <w:lang w:val="en-US" w:eastAsia="en-US" w:bidi="ar-SA"/>
      </w:rPr>
    </w:lvl>
    <w:lvl w:ilvl="7">
      <w:start w:val="0"/>
      <w:numFmt w:val="bullet"/>
      <w:lvlText w:val="•"/>
      <w:lvlJc w:val="left"/>
      <w:pPr>
        <w:ind w:left="8059" w:hanging="720"/>
      </w:pPr>
      <w:rPr>
        <w:rFonts w:hint="default"/>
        <w:lang w:val="en-US" w:eastAsia="en-US" w:bidi="ar-SA"/>
      </w:rPr>
    </w:lvl>
    <w:lvl w:ilvl="8">
      <w:start w:val="0"/>
      <w:numFmt w:val="bullet"/>
      <w:lvlText w:val="•"/>
      <w:lvlJc w:val="left"/>
      <w:pPr>
        <w:ind w:left="9042" w:hanging="720"/>
      </w:pPr>
      <w:rPr>
        <w:rFonts w:hint="default"/>
        <w:lang w:val="en-US" w:eastAsia="en-US" w:bidi="ar-SA"/>
      </w:rPr>
    </w:lvl>
  </w:abstractNum>
  <w:abstractNum w:abstractNumId="12">
    <w:multiLevelType w:val="hybridMultilevel"/>
    <w:lvl w:ilvl="0">
      <w:start w:val="1"/>
      <w:numFmt w:val="lowerLetter"/>
      <w:lvlText w:val="%1."/>
      <w:lvlJc w:val="left"/>
      <w:pPr>
        <w:ind w:left="1440" w:hanging="243"/>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1"/>
      <w:numFmt w:val="decimal"/>
      <w:lvlText w:val="(%2)"/>
      <w:lvlJc w:val="left"/>
      <w:pPr>
        <w:ind w:left="144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lowerLetter"/>
      <w:lvlText w:val="(%3)"/>
      <w:lvlJc w:val="left"/>
      <w:pPr>
        <w:ind w:left="2160" w:hanging="720"/>
        <w:jc w:val="left"/>
      </w:pPr>
      <w:rPr>
        <w:rFonts w:hint="default" w:ascii="Times New Roman" w:hAnsi="Times New Roman" w:eastAsia="Times New Roman" w:cs="Times New Roman"/>
        <w:b w:val="0"/>
        <w:bCs w:val="0"/>
        <w:i w:val="0"/>
        <w:iCs w:val="0"/>
        <w:spacing w:val="-2"/>
        <w:w w:val="100"/>
        <w:sz w:val="24"/>
        <w:szCs w:val="24"/>
        <w:lang w:val="en-US" w:eastAsia="en-US" w:bidi="ar-SA"/>
      </w:rPr>
    </w:lvl>
    <w:lvl w:ilvl="3">
      <w:start w:val="0"/>
      <w:numFmt w:val="bullet"/>
      <w:lvlText w:val="•"/>
      <w:lvlJc w:val="left"/>
      <w:pPr>
        <w:ind w:left="4126" w:hanging="720"/>
      </w:pPr>
      <w:rPr>
        <w:rFonts w:hint="default"/>
        <w:lang w:val="en-US" w:eastAsia="en-US" w:bidi="ar-SA"/>
      </w:rPr>
    </w:lvl>
    <w:lvl w:ilvl="4">
      <w:start w:val="0"/>
      <w:numFmt w:val="bullet"/>
      <w:lvlText w:val="•"/>
      <w:lvlJc w:val="left"/>
      <w:pPr>
        <w:ind w:left="5109" w:hanging="720"/>
      </w:pPr>
      <w:rPr>
        <w:rFonts w:hint="default"/>
        <w:lang w:val="en-US" w:eastAsia="en-US" w:bidi="ar-SA"/>
      </w:rPr>
    </w:lvl>
    <w:lvl w:ilvl="5">
      <w:start w:val="0"/>
      <w:numFmt w:val="bullet"/>
      <w:lvlText w:val="•"/>
      <w:lvlJc w:val="left"/>
      <w:pPr>
        <w:ind w:left="6092" w:hanging="720"/>
      </w:pPr>
      <w:rPr>
        <w:rFonts w:hint="default"/>
        <w:lang w:val="en-US" w:eastAsia="en-US" w:bidi="ar-SA"/>
      </w:rPr>
    </w:lvl>
    <w:lvl w:ilvl="6">
      <w:start w:val="0"/>
      <w:numFmt w:val="bullet"/>
      <w:lvlText w:val="•"/>
      <w:lvlJc w:val="left"/>
      <w:pPr>
        <w:ind w:left="7076" w:hanging="720"/>
      </w:pPr>
      <w:rPr>
        <w:rFonts w:hint="default"/>
        <w:lang w:val="en-US" w:eastAsia="en-US" w:bidi="ar-SA"/>
      </w:rPr>
    </w:lvl>
    <w:lvl w:ilvl="7">
      <w:start w:val="0"/>
      <w:numFmt w:val="bullet"/>
      <w:lvlText w:val="•"/>
      <w:lvlJc w:val="left"/>
      <w:pPr>
        <w:ind w:left="8059" w:hanging="720"/>
      </w:pPr>
      <w:rPr>
        <w:rFonts w:hint="default"/>
        <w:lang w:val="en-US" w:eastAsia="en-US" w:bidi="ar-SA"/>
      </w:rPr>
    </w:lvl>
    <w:lvl w:ilvl="8">
      <w:start w:val="0"/>
      <w:numFmt w:val="bullet"/>
      <w:lvlText w:val="•"/>
      <w:lvlJc w:val="left"/>
      <w:pPr>
        <w:ind w:left="9042" w:hanging="720"/>
      </w:pPr>
      <w:rPr>
        <w:rFonts w:hint="default"/>
        <w:lang w:val="en-US" w:eastAsia="en-US" w:bidi="ar-SA"/>
      </w:rPr>
    </w:lvl>
  </w:abstractNum>
  <w:abstractNum w:abstractNumId="11">
    <w:multiLevelType w:val="hybridMultilevel"/>
    <w:lvl w:ilvl="0">
      <w:start w:val="3"/>
      <w:numFmt w:val="decimal"/>
      <w:lvlText w:val="%1"/>
      <w:lvlJc w:val="left"/>
      <w:pPr>
        <w:ind w:left="2160" w:hanging="720"/>
        <w:jc w:val="left"/>
      </w:pPr>
      <w:rPr>
        <w:rFonts w:hint="default"/>
        <w:lang w:val="en-US" w:eastAsia="en-US" w:bidi="ar-SA"/>
      </w:rPr>
    </w:lvl>
    <w:lvl w:ilvl="1">
      <w:start w:val="1"/>
      <w:numFmt w:val="decimal"/>
      <w:lvlText w:val="%1.%2"/>
      <w:lvlJc w:val="left"/>
      <w:pPr>
        <w:ind w:left="216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216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4814" w:hanging="720"/>
      </w:pPr>
      <w:rPr>
        <w:rFonts w:hint="default"/>
        <w:lang w:val="en-US" w:eastAsia="en-US" w:bidi="ar-SA"/>
      </w:rPr>
    </w:lvl>
    <w:lvl w:ilvl="4">
      <w:start w:val="0"/>
      <w:numFmt w:val="bullet"/>
      <w:lvlText w:val="•"/>
      <w:lvlJc w:val="left"/>
      <w:pPr>
        <w:ind w:left="5699" w:hanging="720"/>
      </w:pPr>
      <w:rPr>
        <w:rFonts w:hint="default"/>
        <w:lang w:val="en-US" w:eastAsia="en-US" w:bidi="ar-SA"/>
      </w:rPr>
    </w:lvl>
    <w:lvl w:ilvl="5">
      <w:start w:val="0"/>
      <w:numFmt w:val="bullet"/>
      <w:lvlText w:val="•"/>
      <w:lvlJc w:val="left"/>
      <w:pPr>
        <w:ind w:left="6584" w:hanging="720"/>
      </w:pPr>
      <w:rPr>
        <w:rFonts w:hint="default"/>
        <w:lang w:val="en-US" w:eastAsia="en-US" w:bidi="ar-SA"/>
      </w:rPr>
    </w:lvl>
    <w:lvl w:ilvl="6">
      <w:start w:val="0"/>
      <w:numFmt w:val="bullet"/>
      <w:lvlText w:val="•"/>
      <w:lvlJc w:val="left"/>
      <w:pPr>
        <w:ind w:left="7469" w:hanging="720"/>
      </w:pPr>
      <w:rPr>
        <w:rFonts w:hint="default"/>
        <w:lang w:val="en-US" w:eastAsia="en-US" w:bidi="ar-SA"/>
      </w:rPr>
    </w:lvl>
    <w:lvl w:ilvl="7">
      <w:start w:val="0"/>
      <w:numFmt w:val="bullet"/>
      <w:lvlText w:val="•"/>
      <w:lvlJc w:val="left"/>
      <w:pPr>
        <w:ind w:left="8354" w:hanging="720"/>
      </w:pPr>
      <w:rPr>
        <w:rFonts w:hint="default"/>
        <w:lang w:val="en-US" w:eastAsia="en-US" w:bidi="ar-SA"/>
      </w:rPr>
    </w:lvl>
    <w:lvl w:ilvl="8">
      <w:start w:val="0"/>
      <w:numFmt w:val="bullet"/>
      <w:lvlText w:val="•"/>
      <w:lvlJc w:val="left"/>
      <w:pPr>
        <w:ind w:left="9239" w:hanging="720"/>
      </w:pPr>
      <w:rPr>
        <w:rFonts w:hint="default"/>
        <w:lang w:val="en-US" w:eastAsia="en-US" w:bidi="ar-SA"/>
      </w:rPr>
    </w:lvl>
  </w:abstractNum>
  <w:abstractNum w:abstractNumId="10">
    <w:multiLevelType w:val="hybridMultilevel"/>
    <w:lvl w:ilvl="0">
      <w:start w:val="1"/>
      <w:numFmt w:val="lowerLetter"/>
      <w:lvlText w:val="%1."/>
      <w:lvlJc w:val="left"/>
      <w:pPr>
        <w:ind w:left="2160" w:hanging="72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3044" w:hanging="720"/>
      </w:pPr>
      <w:rPr>
        <w:rFonts w:hint="default"/>
        <w:lang w:val="en-US" w:eastAsia="en-US" w:bidi="ar-SA"/>
      </w:rPr>
    </w:lvl>
    <w:lvl w:ilvl="2">
      <w:start w:val="0"/>
      <w:numFmt w:val="bullet"/>
      <w:lvlText w:val="•"/>
      <w:lvlJc w:val="left"/>
      <w:pPr>
        <w:ind w:left="3929" w:hanging="720"/>
      </w:pPr>
      <w:rPr>
        <w:rFonts w:hint="default"/>
        <w:lang w:val="en-US" w:eastAsia="en-US" w:bidi="ar-SA"/>
      </w:rPr>
    </w:lvl>
    <w:lvl w:ilvl="3">
      <w:start w:val="0"/>
      <w:numFmt w:val="bullet"/>
      <w:lvlText w:val="•"/>
      <w:lvlJc w:val="left"/>
      <w:pPr>
        <w:ind w:left="4814" w:hanging="720"/>
      </w:pPr>
      <w:rPr>
        <w:rFonts w:hint="default"/>
        <w:lang w:val="en-US" w:eastAsia="en-US" w:bidi="ar-SA"/>
      </w:rPr>
    </w:lvl>
    <w:lvl w:ilvl="4">
      <w:start w:val="0"/>
      <w:numFmt w:val="bullet"/>
      <w:lvlText w:val="•"/>
      <w:lvlJc w:val="left"/>
      <w:pPr>
        <w:ind w:left="5699" w:hanging="720"/>
      </w:pPr>
      <w:rPr>
        <w:rFonts w:hint="default"/>
        <w:lang w:val="en-US" w:eastAsia="en-US" w:bidi="ar-SA"/>
      </w:rPr>
    </w:lvl>
    <w:lvl w:ilvl="5">
      <w:start w:val="0"/>
      <w:numFmt w:val="bullet"/>
      <w:lvlText w:val="•"/>
      <w:lvlJc w:val="left"/>
      <w:pPr>
        <w:ind w:left="6584" w:hanging="720"/>
      </w:pPr>
      <w:rPr>
        <w:rFonts w:hint="default"/>
        <w:lang w:val="en-US" w:eastAsia="en-US" w:bidi="ar-SA"/>
      </w:rPr>
    </w:lvl>
    <w:lvl w:ilvl="6">
      <w:start w:val="0"/>
      <w:numFmt w:val="bullet"/>
      <w:lvlText w:val="•"/>
      <w:lvlJc w:val="left"/>
      <w:pPr>
        <w:ind w:left="7469" w:hanging="720"/>
      </w:pPr>
      <w:rPr>
        <w:rFonts w:hint="default"/>
        <w:lang w:val="en-US" w:eastAsia="en-US" w:bidi="ar-SA"/>
      </w:rPr>
    </w:lvl>
    <w:lvl w:ilvl="7">
      <w:start w:val="0"/>
      <w:numFmt w:val="bullet"/>
      <w:lvlText w:val="•"/>
      <w:lvlJc w:val="left"/>
      <w:pPr>
        <w:ind w:left="8354" w:hanging="720"/>
      </w:pPr>
      <w:rPr>
        <w:rFonts w:hint="default"/>
        <w:lang w:val="en-US" w:eastAsia="en-US" w:bidi="ar-SA"/>
      </w:rPr>
    </w:lvl>
    <w:lvl w:ilvl="8">
      <w:start w:val="0"/>
      <w:numFmt w:val="bullet"/>
      <w:lvlText w:val="•"/>
      <w:lvlJc w:val="left"/>
      <w:pPr>
        <w:ind w:left="9239" w:hanging="720"/>
      </w:pPr>
      <w:rPr>
        <w:rFonts w:hint="default"/>
        <w:lang w:val="en-US" w:eastAsia="en-US" w:bidi="ar-SA"/>
      </w:rPr>
    </w:lvl>
  </w:abstractNum>
  <w:abstractNum w:abstractNumId="9">
    <w:multiLevelType w:val="hybridMultilevel"/>
    <w:lvl w:ilvl="0">
      <w:start w:val="2"/>
      <w:numFmt w:val="decimal"/>
      <w:lvlText w:val="%1"/>
      <w:lvlJc w:val="left"/>
      <w:pPr>
        <w:ind w:left="1800" w:hanging="360"/>
        <w:jc w:val="left"/>
      </w:pPr>
      <w:rPr>
        <w:rFonts w:hint="default"/>
        <w:lang w:val="en-US" w:eastAsia="en-US" w:bidi="ar-SA"/>
      </w:rPr>
    </w:lvl>
    <w:lvl w:ilvl="1">
      <w:start w:val="1"/>
      <w:numFmt w:val="decimal"/>
      <w:lvlText w:val="%1.%2"/>
      <w:lvlJc w:val="left"/>
      <w:pPr>
        <w:ind w:left="180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980"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216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0"/>
      <w:numFmt w:val="bullet"/>
      <w:lvlText w:val="•"/>
      <w:lvlJc w:val="left"/>
      <w:pPr>
        <w:ind w:left="4372" w:hanging="720"/>
      </w:pPr>
      <w:rPr>
        <w:rFonts w:hint="default"/>
        <w:lang w:val="en-US" w:eastAsia="en-US" w:bidi="ar-SA"/>
      </w:rPr>
    </w:lvl>
    <w:lvl w:ilvl="5">
      <w:start w:val="0"/>
      <w:numFmt w:val="bullet"/>
      <w:lvlText w:val="•"/>
      <w:lvlJc w:val="left"/>
      <w:pPr>
        <w:ind w:left="5478" w:hanging="720"/>
      </w:pPr>
      <w:rPr>
        <w:rFonts w:hint="default"/>
        <w:lang w:val="en-US" w:eastAsia="en-US" w:bidi="ar-SA"/>
      </w:rPr>
    </w:lvl>
    <w:lvl w:ilvl="6">
      <w:start w:val="0"/>
      <w:numFmt w:val="bullet"/>
      <w:lvlText w:val="•"/>
      <w:lvlJc w:val="left"/>
      <w:pPr>
        <w:ind w:left="6584" w:hanging="720"/>
      </w:pPr>
      <w:rPr>
        <w:rFonts w:hint="default"/>
        <w:lang w:val="en-US" w:eastAsia="en-US" w:bidi="ar-SA"/>
      </w:rPr>
    </w:lvl>
    <w:lvl w:ilvl="7">
      <w:start w:val="0"/>
      <w:numFmt w:val="bullet"/>
      <w:lvlText w:val="•"/>
      <w:lvlJc w:val="left"/>
      <w:pPr>
        <w:ind w:left="7690" w:hanging="720"/>
      </w:pPr>
      <w:rPr>
        <w:rFonts w:hint="default"/>
        <w:lang w:val="en-US" w:eastAsia="en-US" w:bidi="ar-SA"/>
      </w:rPr>
    </w:lvl>
    <w:lvl w:ilvl="8">
      <w:start w:val="0"/>
      <w:numFmt w:val="bullet"/>
      <w:lvlText w:val="•"/>
      <w:lvlJc w:val="left"/>
      <w:pPr>
        <w:ind w:left="8796" w:hanging="720"/>
      </w:pPr>
      <w:rPr>
        <w:rFonts w:hint="default"/>
        <w:lang w:val="en-US" w:eastAsia="en-US" w:bidi="ar-SA"/>
      </w:rPr>
    </w:lvl>
  </w:abstractNum>
  <w:abstractNum w:abstractNumId="8">
    <w:multiLevelType w:val="hybridMultilevel"/>
    <w:lvl w:ilvl="0">
      <w:start w:val="1"/>
      <w:numFmt w:val="lowerLetter"/>
      <w:lvlText w:val="%1."/>
      <w:lvlJc w:val="left"/>
      <w:pPr>
        <w:ind w:left="2160" w:hanging="720"/>
        <w:jc w:val="left"/>
      </w:pPr>
      <w:rPr>
        <w:rFonts w:hint="default"/>
        <w:spacing w:val="0"/>
        <w:w w:val="100"/>
        <w:lang w:val="en-US" w:eastAsia="en-US" w:bidi="ar-SA"/>
      </w:rPr>
    </w:lvl>
    <w:lvl w:ilvl="1">
      <w:start w:val="0"/>
      <w:numFmt w:val="bullet"/>
      <w:lvlText w:val="•"/>
      <w:lvlJc w:val="left"/>
      <w:pPr>
        <w:ind w:left="3044" w:hanging="720"/>
      </w:pPr>
      <w:rPr>
        <w:rFonts w:hint="default"/>
        <w:lang w:val="en-US" w:eastAsia="en-US" w:bidi="ar-SA"/>
      </w:rPr>
    </w:lvl>
    <w:lvl w:ilvl="2">
      <w:start w:val="0"/>
      <w:numFmt w:val="bullet"/>
      <w:lvlText w:val="•"/>
      <w:lvlJc w:val="left"/>
      <w:pPr>
        <w:ind w:left="3929" w:hanging="720"/>
      </w:pPr>
      <w:rPr>
        <w:rFonts w:hint="default"/>
        <w:lang w:val="en-US" w:eastAsia="en-US" w:bidi="ar-SA"/>
      </w:rPr>
    </w:lvl>
    <w:lvl w:ilvl="3">
      <w:start w:val="0"/>
      <w:numFmt w:val="bullet"/>
      <w:lvlText w:val="•"/>
      <w:lvlJc w:val="left"/>
      <w:pPr>
        <w:ind w:left="4814" w:hanging="720"/>
      </w:pPr>
      <w:rPr>
        <w:rFonts w:hint="default"/>
        <w:lang w:val="en-US" w:eastAsia="en-US" w:bidi="ar-SA"/>
      </w:rPr>
    </w:lvl>
    <w:lvl w:ilvl="4">
      <w:start w:val="0"/>
      <w:numFmt w:val="bullet"/>
      <w:lvlText w:val="•"/>
      <w:lvlJc w:val="left"/>
      <w:pPr>
        <w:ind w:left="5699" w:hanging="720"/>
      </w:pPr>
      <w:rPr>
        <w:rFonts w:hint="default"/>
        <w:lang w:val="en-US" w:eastAsia="en-US" w:bidi="ar-SA"/>
      </w:rPr>
    </w:lvl>
    <w:lvl w:ilvl="5">
      <w:start w:val="0"/>
      <w:numFmt w:val="bullet"/>
      <w:lvlText w:val="•"/>
      <w:lvlJc w:val="left"/>
      <w:pPr>
        <w:ind w:left="6584" w:hanging="720"/>
      </w:pPr>
      <w:rPr>
        <w:rFonts w:hint="default"/>
        <w:lang w:val="en-US" w:eastAsia="en-US" w:bidi="ar-SA"/>
      </w:rPr>
    </w:lvl>
    <w:lvl w:ilvl="6">
      <w:start w:val="0"/>
      <w:numFmt w:val="bullet"/>
      <w:lvlText w:val="•"/>
      <w:lvlJc w:val="left"/>
      <w:pPr>
        <w:ind w:left="7469" w:hanging="720"/>
      </w:pPr>
      <w:rPr>
        <w:rFonts w:hint="default"/>
        <w:lang w:val="en-US" w:eastAsia="en-US" w:bidi="ar-SA"/>
      </w:rPr>
    </w:lvl>
    <w:lvl w:ilvl="7">
      <w:start w:val="0"/>
      <w:numFmt w:val="bullet"/>
      <w:lvlText w:val="•"/>
      <w:lvlJc w:val="left"/>
      <w:pPr>
        <w:ind w:left="8354" w:hanging="720"/>
      </w:pPr>
      <w:rPr>
        <w:rFonts w:hint="default"/>
        <w:lang w:val="en-US" w:eastAsia="en-US" w:bidi="ar-SA"/>
      </w:rPr>
    </w:lvl>
    <w:lvl w:ilvl="8">
      <w:start w:val="0"/>
      <w:numFmt w:val="bullet"/>
      <w:lvlText w:val="•"/>
      <w:lvlJc w:val="left"/>
      <w:pPr>
        <w:ind w:left="9239" w:hanging="720"/>
      </w:pPr>
      <w:rPr>
        <w:rFonts w:hint="default"/>
        <w:lang w:val="en-US" w:eastAsia="en-US" w:bidi="ar-SA"/>
      </w:rPr>
    </w:lvl>
  </w:abstractNum>
  <w:abstractNum w:abstractNumId="7">
    <w:multiLevelType w:val="hybridMultilevel"/>
    <w:lvl w:ilvl="0">
      <w:start w:val="1"/>
      <w:numFmt w:val="lowerLetter"/>
      <w:lvlText w:val="%1."/>
      <w:lvlJc w:val="left"/>
      <w:pPr>
        <w:ind w:left="2160" w:hanging="72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3044" w:hanging="720"/>
      </w:pPr>
      <w:rPr>
        <w:rFonts w:hint="default"/>
        <w:lang w:val="en-US" w:eastAsia="en-US" w:bidi="ar-SA"/>
      </w:rPr>
    </w:lvl>
    <w:lvl w:ilvl="2">
      <w:start w:val="0"/>
      <w:numFmt w:val="bullet"/>
      <w:lvlText w:val="•"/>
      <w:lvlJc w:val="left"/>
      <w:pPr>
        <w:ind w:left="3929" w:hanging="720"/>
      </w:pPr>
      <w:rPr>
        <w:rFonts w:hint="default"/>
        <w:lang w:val="en-US" w:eastAsia="en-US" w:bidi="ar-SA"/>
      </w:rPr>
    </w:lvl>
    <w:lvl w:ilvl="3">
      <w:start w:val="0"/>
      <w:numFmt w:val="bullet"/>
      <w:lvlText w:val="•"/>
      <w:lvlJc w:val="left"/>
      <w:pPr>
        <w:ind w:left="4814" w:hanging="720"/>
      </w:pPr>
      <w:rPr>
        <w:rFonts w:hint="default"/>
        <w:lang w:val="en-US" w:eastAsia="en-US" w:bidi="ar-SA"/>
      </w:rPr>
    </w:lvl>
    <w:lvl w:ilvl="4">
      <w:start w:val="0"/>
      <w:numFmt w:val="bullet"/>
      <w:lvlText w:val="•"/>
      <w:lvlJc w:val="left"/>
      <w:pPr>
        <w:ind w:left="5699" w:hanging="720"/>
      </w:pPr>
      <w:rPr>
        <w:rFonts w:hint="default"/>
        <w:lang w:val="en-US" w:eastAsia="en-US" w:bidi="ar-SA"/>
      </w:rPr>
    </w:lvl>
    <w:lvl w:ilvl="5">
      <w:start w:val="0"/>
      <w:numFmt w:val="bullet"/>
      <w:lvlText w:val="•"/>
      <w:lvlJc w:val="left"/>
      <w:pPr>
        <w:ind w:left="6584" w:hanging="720"/>
      </w:pPr>
      <w:rPr>
        <w:rFonts w:hint="default"/>
        <w:lang w:val="en-US" w:eastAsia="en-US" w:bidi="ar-SA"/>
      </w:rPr>
    </w:lvl>
    <w:lvl w:ilvl="6">
      <w:start w:val="0"/>
      <w:numFmt w:val="bullet"/>
      <w:lvlText w:val="•"/>
      <w:lvlJc w:val="left"/>
      <w:pPr>
        <w:ind w:left="7469" w:hanging="720"/>
      </w:pPr>
      <w:rPr>
        <w:rFonts w:hint="default"/>
        <w:lang w:val="en-US" w:eastAsia="en-US" w:bidi="ar-SA"/>
      </w:rPr>
    </w:lvl>
    <w:lvl w:ilvl="7">
      <w:start w:val="0"/>
      <w:numFmt w:val="bullet"/>
      <w:lvlText w:val="•"/>
      <w:lvlJc w:val="left"/>
      <w:pPr>
        <w:ind w:left="8354" w:hanging="720"/>
      </w:pPr>
      <w:rPr>
        <w:rFonts w:hint="default"/>
        <w:lang w:val="en-US" w:eastAsia="en-US" w:bidi="ar-SA"/>
      </w:rPr>
    </w:lvl>
    <w:lvl w:ilvl="8">
      <w:start w:val="0"/>
      <w:numFmt w:val="bullet"/>
      <w:lvlText w:val="•"/>
      <w:lvlJc w:val="left"/>
      <w:pPr>
        <w:ind w:left="9239" w:hanging="720"/>
      </w:pPr>
      <w:rPr>
        <w:rFonts w:hint="default"/>
        <w:lang w:val="en-US" w:eastAsia="en-US" w:bidi="ar-SA"/>
      </w:rPr>
    </w:lvl>
  </w:abstractNum>
  <w:abstractNum w:abstractNumId="6">
    <w:multiLevelType w:val="hybridMultilevel"/>
    <w:lvl w:ilvl="0">
      <w:start w:val="1"/>
      <w:numFmt w:val="lowerLetter"/>
      <w:lvlText w:val="%1."/>
      <w:lvlJc w:val="left"/>
      <w:pPr>
        <w:ind w:left="2160" w:hanging="720"/>
        <w:jc w:val="left"/>
      </w:pPr>
      <w:rPr>
        <w:rFonts w:hint="default"/>
        <w:spacing w:val="0"/>
        <w:w w:val="100"/>
        <w:lang w:val="en-US" w:eastAsia="en-US" w:bidi="ar-SA"/>
      </w:rPr>
    </w:lvl>
    <w:lvl w:ilvl="1">
      <w:start w:val="0"/>
      <w:numFmt w:val="bullet"/>
      <w:lvlText w:val="•"/>
      <w:lvlJc w:val="left"/>
      <w:pPr>
        <w:ind w:left="3044" w:hanging="720"/>
      </w:pPr>
      <w:rPr>
        <w:rFonts w:hint="default"/>
        <w:lang w:val="en-US" w:eastAsia="en-US" w:bidi="ar-SA"/>
      </w:rPr>
    </w:lvl>
    <w:lvl w:ilvl="2">
      <w:start w:val="0"/>
      <w:numFmt w:val="bullet"/>
      <w:lvlText w:val="•"/>
      <w:lvlJc w:val="left"/>
      <w:pPr>
        <w:ind w:left="3929" w:hanging="720"/>
      </w:pPr>
      <w:rPr>
        <w:rFonts w:hint="default"/>
        <w:lang w:val="en-US" w:eastAsia="en-US" w:bidi="ar-SA"/>
      </w:rPr>
    </w:lvl>
    <w:lvl w:ilvl="3">
      <w:start w:val="0"/>
      <w:numFmt w:val="bullet"/>
      <w:lvlText w:val="•"/>
      <w:lvlJc w:val="left"/>
      <w:pPr>
        <w:ind w:left="4814" w:hanging="720"/>
      </w:pPr>
      <w:rPr>
        <w:rFonts w:hint="default"/>
        <w:lang w:val="en-US" w:eastAsia="en-US" w:bidi="ar-SA"/>
      </w:rPr>
    </w:lvl>
    <w:lvl w:ilvl="4">
      <w:start w:val="0"/>
      <w:numFmt w:val="bullet"/>
      <w:lvlText w:val="•"/>
      <w:lvlJc w:val="left"/>
      <w:pPr>
        <w:ind w:left="5699" w:hanging="720"/>
      </w:pPr>
      <w:rPr>
        <w:rFonts w:hint="default"/>
        <w:lang w:val="en-US" w:eastAsia="en-US" w:bidi="ar-SA"/>
      </w:rPr>
    </w:lvl>
    <w:lvl w:ilvl="5">
      <w:start w:val="0"/>
      <w:numFmt w:val="bullet"/>
      <w:lvlText w:val="•"/>
      <w:lvlJc w:val="left"/>
      <w:pPr>
        <w:ind w:left="6584" w:hanging="720"/>
      </w:pPr>
      <w:rPr>
        <w:rFonts w:hint="default"/>
        <w:lang w:val="en-US" w:eastAsia="en-US" w:bidi="ar-SA"/>
      </w:rPr>
    </w:lvl>
    <w:lvl w:ilvl="6">
      <w:start w:val="0"/>
      <w:numFmt w:val="bullet"/>
      <w:lvlText w:val="•"/>
      <w:lvlJc w:val="left"/>
      <w:pPr>
        <w:ind w:left="7469" w:hanging="720"/>
      </w:pPr>
      <w:rPr>
        <w:rFonts w:hint="default"/>
        <w:lang w:val="en-US" w:eastAsia="en-US" w:bidi="ar-SA"/>
      </w:rPr>
    </w:lvl>
    <w:lvl w:ilvl="7">
      <w:start w:val="0"/>
      <w:numFmt w:val="bullet"/>
      <w:lvlText w:val="•"/>
      <w:lvlJc w:val="left"/>
      <w:pPr>
        <w:ind w:left="8354" w:hanging="720"/>
      </w:pPr>
      <w:rPr>
        <w:rFonts w:hint="default"/>
        <w:lang w:val="en-US" w:eastAsia="en-US" w:bidi="ar-SA"/>
      </w:rPr>
    </w:lvl>
    <w:lvl w:ilvl="8">
      <w:start w:val="0"/>
      <w:numFmt w:val="bullet"/>
      <w:lvlText w:val="•"/>
      <w:lvlJc w:val="left"/>
      <w:pPr>
        <w:ind w:left="9239" w:hanging="720"/>
      </w:pPr>
      <w:rPr>
        <w:rFonts w:hint="default"/>
        <w:lang w:val="en-US" w:eastAsia="en-US" w:bidi="ar-SA"/>
      </w:rPr>
    </w:lvl>
  </w:abstractNum>
  <w:abstractNum w:abstractNumId="5">
    <w:multiLevelType w:val="hybridMultilevel"/>
    <w:lvl w:ilvl="0">
      <w:start w:val="1"/>
      <w:numFmt w:val="decimal"/>
      <w:lvlText w:val="%1"/>
      <w:lvlJc w:val="left"/>
      <w:pPr>
        <w:ind w:left="1860" w:hanging="420"/>
        <w:jc w:val="left"/>
      </w:pPr>
      <w:rPr>
        <w:rFonts w:hint="default"/>
        <w:lang w:val="en-US" w:eastAsia="en-US" w:bidi="ar-SA"/>
      </w:rPr>
    </w:lvl>
    <w:lvl w:ilvl="1">
      <w:start w:val="1"/>
      <w:numFmt w:val="decimal"/>
      <w:lvlText w:val="%1.%2"/>
      <w:lvlJc w:val="left"/>
      <w:pPr>
        <w:ind w:left="1860" w:hanging="42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216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4126" w:hanging="720"/>
      </w:pPr>
      <w:rPr>
        <w:rFonts w:hint="default"/>
        <w:lang w:val="en-US" w:eastAsia="en-US" w:bidi="ar-SA"/>
      </w:rPr>
    </w:lvl>
    <w:lvl w:ilvl="4">
      <w:start w:val="0"/>
      <w:numFmt w:val="bullet"/>
      <w:lvlText w:val="•"/>
      <w:lvlJc w:val="left"/>
      <w:pPr>
        <w:ind w:left="5109" w:hanging="720"/>
      </w:pPr>
      <w:rPr>
        <w:rFonts w:hint="default"/>
        <w:lang w:val="en-US" w:eastAsia="en-US" w:bidi="ar-SA"/>
      </w:rPr>
    </w:lvl>
    <w:lvl w:ilvl="5">
      <w:start w:val="0"/>
      <w:numFmt w:val="bullet"/>
      <w:lvlText w:val="•"/>
      <w:lvlJc w:val="left"/>
      <w:pPr>
        <w:ind w:left="6092" w:hanging="720"/>
      </w:pPr>
      <w:rPr>
        <w:rFonts w:hint="default"/>
        <w:lang w:val="en-US" w:eastAsia="en-US" w:bidi="ar-SA"/>
      </w:rPr>
    </w:lvl>
    <w:lvl w:ilvl="6">
      <w:start w:val="0"/>
      <w:numFmt w:val="bullet"/>
      <w:lvlText w:val="•"/>
      <w:lvlJc w:val="left"/>
      <w:pPr>
        <w:ind w:left="7076" w:hanging="720"/>
      </w:pPr>
      <w:rPr>
        <w:rFonts w:hint="default"/>
        <w:lang w:val="en-US" w:eastAsia="en-US" w:bidi="ar-SA"/>
      </w:rPr>
    </w:lvl>
    <w:lvl w:ilvl="7">
      <w:start w:val="0"/>
      <w:numFmt w:val="bullet"/>
      <w:lvlText w:val="•"/>
      <w:lvlJc w:val="left"/>
      <w:pPr>
        <w:ind w:left="8059" w:hanging="720"/>
      </w:pPr>
      <w:rPr>
        <w:rFonts w:hint="default"/>
        <w:lang w:val="en-US" w:eastAsia="en-US" w:bidi="ar-SA"/>
      </w:rPr>
    </w:lvl>
    <w:lvl w:ilvl="8">
      <w:start w:val="0"/>
      <w:numFmt w:val="bullet"/>
      <w:lvlText w:val="•"/>
      <w:lvlJc w:val="left"/>
      <w:pPr>
        <w:ind w:left="9042" w:hanging="720"/>
      </w:pPr>
      <w:rPr>
        <w:rFonts w:hint="default"/>
        <w:lang w:val="en-US" w:eastAsia="en-US" w:bidi="ar-SA"/>
      </w:rPr>
    </w:lvl>
  </w:abstractNum>
  <w:abstractNum w:abstractNumId="4">
    <w:multiLevelType w:val="hybridMultilevel"/>
    <w:lvl w:ilvl="0">
      <w:start w:val="5"/>
      <w:numFmt w:val="decimal"/>
      <w:lvlText w:val="%1"/>
      <w:lvlJc w:val="left"/>
      <w:pPr>
        <w:ind w:left="2280" w:hanging="840"/>
        <w:jc w:val="left"/>
      </w:pPr>
      <w:rPr>
        <w:rFonts w:hint="default"/>
        <w:lang w:val="en-US" w:eastAsia="en-US" w:bidi="ar-SA"/>
      </w:rPr>
    </w:lvl>
    <w:lvl w:ilvl="1">
      <w:start w:val="1"/>
      <w:numFmt w:val="decimal"/>
      <w:lvlText w:val="%1.%2"/>
      <w:lvlJc w:val="left"/>
      <w:pPr>
        <w:ind w:left="2280" w:hanging="8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4025" w:hanging="840"/>
      </w:pPr>
      <w:rPr>
        <w:rFonts w:hint="default"/>
        <w:lang w:val="en-US" w:eastAsia="en-US" w:bidi="ar-SA"/>
      </w:rPr>
    </w:lvl>
    <w:lvl w:ilvl="3">
      <w:start w:val="0"/>
      <w:numFmt w:val="bullet"/>
      <w:lvlText w:val="•"/>
      <w:lvlJc w:val="left"/>
      <w:pPr>
        <w:ind w:left="4898" w:hanging="840"/>
      </w:pPr>
      <w:rPr>
        <w:rFonts w:hint="default"/>
        <w:lang w:val="en-US" w:eastAsia="en-US" w:bidi="ar-SA"/>
      </w:rPr>
    </w:lvl>
    <w:lvl w:ilvl="4">
      <w:start w:val="0"/>
      <w:numFmt w:val="bullet"/>
      <w:lvlText w:val="•"/>
      <w:lvlJc w:val="left"/>
      <w:pPr>
        <w:ind w:left="5771" w:hanging="840"/>
      </w:pPr>
      <w:rPr>
        <w:rFonts w:hint="default"/>
        <w:lang w:val="en-US" w:eastAsia="en-US" w:bidi="ar-SA"/>
      </w:rPr>
    </w:lvl>
    <w:lvl w:ilvl="5">
      <w:start w:val="0"/>
      <w:numFmt w:val="bullet"/>
      <w:lvlText w:val="•"/>
      <w:lvlJc w:val="left"/>
      <w:pPr>
        <w:ind w:left="6644" w:hanging="840"/>
      </w:pPr>
      <w:rPr>
        <w:rFonts w:hint="default"/>
        <w:lang w:val="en-US" w:eastAsia="en-US" w:bidi="ar-SA"/>
      </w:rPr>
    </w:lvl>
    <w:lvl w:ilvl="6">
      <w:start w:val="0"/>
      <w:numFmt w:val="bullet"/>
      <w:lvlText w:val="•"/>
      <w:lvlJc w:val="left"/>
      <w:pPr>
        <w:ind w:left="7517" w:hanging="840"/>
      </w:pPr>
      <w:rPr>
        <w:rFonts w:hint="default"/>
        <w:lang w:val="en-US" w:eastAsia="en-US" w:bidi="ar-SA"/>
      </w:rPr>
    </w:lvl>
    <w:lvl w:ilvl="7">
      <w:start w:val="0"/>
      <w:numFmt w:val="bullet"/>
      <w:lvlText w:val="•"/>
      <w:lvlJc w:val="left"/>
      <w:pPr>
        <w:ind w:left="8390" w:hanging="840"/>
      </w:pPr>
      <w:rPr>
        <w:rFonts w:hint="default"/>
        <w:lang w:val="en-US" w:eastAsia="en-US" w:bidi="ar-SA"/>
      </w:rPr>
    </w:lvl>
    <w:lvl w:ilvl="8">
      <w:start w:val="0"/>
      <w:numFmt w:val="bullet"/>
      <w:lvlText w:val="•"/>
      <w:lvlJc w:val="left"/>
      <w:pPr>
        <w:ind w:left="9263" w:hanging="840"/>
      </w:pPr>
      <w:rPr>
        <w:rFonts w:hint="default"/>
        <w:lang w:val="en-US" w:eastAsia="en-US" w:bidi="ar-SA"/>
      </w:rPr>
    </w:lvl>
  </w:abstractNum>
  <w:abstractNum w:abstractNumId="3">
    <w:multiLevelType w:val="hybridMultilevel"/>
    <w:lvl w:ilvl="0">
      <w:start w:val="4"/>
      <w:numFmt w:val="decimal"/>
      <w:lvlText w:val="%1"/>
      <w:lvlJc w:val="left"/>
      <w:pPr>
        <w:ind w:left="2160" w:hanging="720"/>
        <w:jc w:val="left"/>
      </w:pPr>
      <w:rPr>
        <w:rFonts w:hint="default"/>
        <w:lang w:val="en-US" w:eastAsia="en-US" w:bidi="ar-SA"/>
      </w:rPr>
    </w:lvl>
    <w:lvl w:ilvl="1">
      <w:start w:val="1"/>
      <w:numFmt w:val="decimal"/>
      <w:lvlText w:val="%1.%2"/>
      <w:lvlJc w:val="left"/>
      <w:pPr>
        <w:ind w:left="21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21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126" w:hanging="720"/>
      </w:pPr>
      <w:rPr>
        <w:rFonts w:hint="default"/>
        <w:lang w:val="en-US" w:eastAsia="en-US" w:bidi="ar-SA"/>
      </w:rPr>
    </w:lvl>
    <w:lvl w:ilvl="4">
      <w:start w:val="0"/>
      <w:numFmt w:val="bullet"/>
      <w:lvlText w:val="•"/>
      <w:lvlJc w:val="left"/>
      <w:pPr>
        <w:ind w:left="5109" w:hanging="720"/>
      </w:pPr>
      <w:rPr>
        <w:rFonts w:hint="default"/>
        <w:lang w:val="en-US" w:eastAsia="en-US" w:bidi="ar-SA"/>
      </w:rPr>
    </w:lvl>
    <w:lvl w:ilvl="5">
      <w:start w:val="0"/>
      <w:numFmt w:val="bullet"/>
      <w:lvlText w:val="•"/>
      <w:lvlJc w:val="left"/>
      <w:pPr>
        <w:ind w:left="6092" w:hanging="720"/>
      </w:pPr>
      <w:rPr>
        <w:rFonts w:hint="default"/>
        <w:lang w:val="en-US" w:eastAsia="en-US" w:bidi="ar-SA"/>
      </w:rPr>
    </w:lvl>
    <w:lvl w:ilvl="6">
      <w:start w:val="0"/>
      <w:numFmt w:val="bullet"/>
      <w:lvlText w:val="•"/>
      <w:lvlJc w:val="left"/>
      <w:pPr>
        <w:ind w:left="7076" w:hanging="720"/>
      </w:pPr>
      <w:rPr>
        <w:rFonts w:hint="default"/>
        <w:lang w:val="en-US" w:eastAsia="en-US" w:bidi="ar-SA"/>
      </w:rPr>
    </w:lvl>
    <w:lvl w:ilvl="7">
      <w:start w:val="0"/>
      <w:numFmt w:val="bullet"/>
      <w:lvlText w:val="•"/>
      <w:lvlJc w:val="left"/>
      <w:pPr>
        <w:ind w:left="8059" w:hanging="720"/>
      </w:pPr>
      <w:rPr>
        <w:rFonts w:hint="default"/>
        <w:lang w:val="en-US" w:eastAsia="en-US" w:bidi="ar-SA"/>
      </w:rPr>
    </w:lvl>
    <w:lvl w:ilvl="8">
      <w:start w:val="0"/>
      <w:numFmt w:val="bullet"/>
      <w:lvlText w:val="•"/>
      <w:lvlJc w:val="left"/>
      <w:pPr>
        <w:ind w:left="9042" w:hanging="720"/>
      </w:pPr>
      <w:rPr>
        <w:rFonts w:hint="default"/>
        <w:lang w:val="en-US" w:eastAsia="en-US" w:bidi="ar-SA"/>
      </w:rPr>
    </w:lvl>
  </w:abstractNum>
  <w:abstractNum w:abstractNumId="2">
    <w:multiLevelType w:val="hybridMultilevel"/>
    <w:lvl w:ilvl="0">
      <w:start w:val="3"/>
      <w:numFmt w:val="decimal"/>
      <w:lvlText w:val="%1"/>
      <w:lvlJc w:val="left"/>
      <w:pPr>
        <w:ind w:left="2100" w:hanging="660"/>
        <w:jc w:val="left"/>
      </w:pPr>
      <w:rPr>
        <w:rFonts w:hint="default"/>
        <w:lang w:val="en-US" w:eastAsia="en-US" w:bidi="ar-SA"/>
      </w:rPr>
    </w:lvl>
    <w:lvl w:ilvl="1">
      <w:start w:val="1"/>
      <w:numFmt w:val="decimal"/>
      <w:lvlText w:val="%1.%2"/>
      <w:lvlJc w:val="left"/>
      <w:pPr>
        <w:ind w:left="2100" w:hanging="6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2100" w:hanging="6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772" w:hanging="660"/>
      </w:pPr>
      <w:rPr>
        <w:rFonts w:hint="default"/>
        <w:lang w:val="en-US" w:eastAsia="en-US" w:bidi="ar-SA"/>
      </w:rPr>
    </w:lvl>
    <w:lvl w:ilvl="4">
      <w:start w:val="0"/>
      <w:numFmt w:val="bullet"/>
      <w:lvlText w:val="•"/>
      <w:lvlJc w:val="left"/>
      <w:pPr>
        <w:ind w:left="5663" w:hanging="660"/>
      </w:pPr>
      <w:rPr>
        <w:rFonts w:hint="default"/>
        <w:lang w:val="en-US" w:eastAsia="en-US" w:bidi="ar-SA"/>
      </w:rPr>
    </w:lvl>
    <w:lvl w:ilvl="5">
      <w:start w:val="0"/>
      <w:numFmt w:val="bullet"/>
      <w:lvlText w:val="•"/>
      <w:lvlJc w:val="left"/>
      <w:pPr>
        <w:ind w:left="6554" w:hanging="660"/>
      </w:pPr>
      <w:rPr>
        <w:rFonts w:hint="default"/>
        <w:lang w:val="en-US" w:eastAsia="en-US" w:bidi="ar-SA"/>
      </w:rPr>
    </w:lvl>
    <w:lvl w:ilvl="6">
      <w:start w:val="0"/>
      <w:numFmt w:val="bullet"/>
      <w:lvlText w:val="•"/>
      <w:lvlJc w:val="left"/>
      <w:pPr>
        <w:ind w:left="7445" w:hanging="660"/>
      </w:pPr>
      <w:rPr>
        <w:rFonts w:hint="default"/>
        <w:lang w:val="en-US" w:eastAsia="en-US" w:bidi="ar-SA"/>
      </w:rPr>
    </w:lvl>
    <w:lvl w:ilvl="7">
      <w:start w:val="0"/>
      <w:numFmt w:val="bullet"/>
      <w:lvlText w:val="•"/>
      <w:lvlJc w:val="left"/>
      <w:pPr>
        <w:ind w:left="8336" w:hanging="660"/>
      </w:pPr>
      <w:rPr>
        <w:rFonts w:hint="default"/>
        <w:lang w:val="en-US" w:eastAsia="en-US" w:bidi="ar-SA"/>
      </w:rPr>
    </w:lvl>
    <w:lvl w:ilvl="8">
      <w:start w:val="0"/>
      <w:numFmt w:val="bullet"/>
      <w:lvlText w:val="•"/>
      <w:lvlJc w:val="left"/>
      <w:pPr>
        <w:ind w:left="9227" w:hanging="660"/>
      </w:pPr>
      <w:rPr>
        <w:rFonts w:hint="default"/>
        <w:lang w:val="en-US" w:eastAsia="en-US" w:bidi="ar-SA"/>
      </w:rPr>
    </w:lvl>
  </w:abstractNum>
  <w:abstractNum w:abstractNumId="1">
    <w:multiLevelType w:val="hybridMultilevel"/>
    <w:lvl w:ilvl="0">
      <w:start w:val="2"/>
      <w:numFmt w:val="decimal"/>
      <w:lvlText w:val="%1"/>
      <w:lvlJc w:val="left"/>
      <w:pPr>
        <w:ind w:left="1980" w:hanging="540"/>
        <w:jc w:val="left"/>
      </w:pPr>
      <w:rPr>
        <w:rFonts w:hint="default"/>
        <w:lang w:val="en-US" w:eastAsia="en-US" w:bidi="ar-SA"/>
      </w:rPr>
    </w:lvl>
    <w:lvl w:ilvl="1">
      <w:start w:val="1"/>
      <w:numFmt w:val="decimal"/>
      <w:lvlText w:val="%1.%2"/>
      <w:lvlJc w:val="left"/>
      <w:pPr>
        <w:ind w:left="1980" w:hanging="5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2040" w:hanging="60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1"/>
      <w:numFmt w:val="decimal"/>
      <w:lvlText w:val="%1.%2.%3.%4"/>
      <w:lvlJc w:val="left"/>
      <w:pPr>
        <w:ind w:left="21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3424" w:hanging="720"/>
      </w:pPr>
      <w:rPr>
        <w:rFonts w:hint="default"/>
        <w:lang w:val="en-US" w:eastAsia="en-US" w:bidi="ar-SA"/>
      </w:rPr>
    </w:lvl>
    <w:lvl w:ilvl="5">
      <w:start w:val="0"/>
      <w:numFmt w:val="bullet"/>
      <w:lvlText w:val="•"/>
      <w:lvlJc w:val="left"/>
      <w:pPr>
        <w:ind w:left="4688" w:hanging="720"/>
      </w:pPr>
      <w:rPr>
        <w:rFonts w:hint="default"/>
        <w:lang w:val="en-US" w:eastAsia="en-US" w:bidi="ar-SA"/>
      </w:rPr>
    </w:lvl>
    <w:lvl w:ilvl="6">
      <w:start w:val="0"/>
      <w:numFmt w:val="bullet"/>
      <w:lvlText w:val="•"/>
      <w:lvlJc w:val="left"/>
      <w:pPr>
        <w:ind w:left="5952" w:hanging="720"/>
      </w:pPr>
      <w:rPr>
        <w:rFonts w:hint="default"/>
        <w:lang w:val="en-US" w:eastAsia="en-US" w:bidi="ar-SA"/>
      </w:rPr>
    </w:lvl>
    <w:lvl w:ilvl="7">
      <w:start w:val="0"/>
      <w:numFmt w:val="bullet"/>
      <w:lvlText w:val="•"/>
      <w:lvlJc w:val="left"/>
      <w:pPr>
        <w:ind w:left="7216" w:hanging="720"/>
      </w:pPr>
      <w:rPr>
        <w:rFonts w:hint="default"/>
        <w:lang w:val="en-US" w:eastAsia="en-US" w:bidi="ar-SA"/>
      </w:rPr>
    </w:lvl>
    <w:lvl w:ilvl="8">
      <w:start w:val="0"/>
      <w:numFmt w:val="bullet"/>
      <w:lvlText w:val="•"/>
      <w:lvlJc w:val="left"/>
      <w:pPr>
        <w:ind w:left="8480" w:hanging="720"/>
      </w:pPr>
      <w:rPr>
        <w:rFonts w:hint="default"/>
        <w:lang w:val="en-US" w:eastAsia="en-US" w:bidi="ar-SA"/>
      </w:rPr>
    </w:lvl>
  </w:abstractNum>
  <w:abstractNum w:abstractNumId="0">
    <w:multiLevelType w:val="hybridMultilevel"/>
    <w:lvl w:ilvl="0">
      <w:start w:val="1"/>
      <w:numFmt w:val="decimal"/>
      <w:lvlText w:val="%1"/>
      <w:lvlJc w:val="left"/>
      <w:pPr>
        <w:ind w:left="2220" w:hanging="569"/>
        <w:jc w:val="left"/>
      </w:pPr>
      <w:rPr>
        <w:rFonts w:hint="default"/>
        <w:lang w:val="en-US" w:eastAsia="en-US" w:bidi="ar-SA"/>
      </w:rPr>
    </w:lvl>
    <w:lvl w:ilvl="1">
      <w:start w:val="1"/>
      <w:numFmt w:val="decimal"/>
      <w:lvlText w:val="%1.%2"/>
      <w:lvlJc w:val="left"/>
      <w:pPr>
        <w:ind w:left="2220" w:hanging="569"/>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2222" w:hanging="60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856" w:hanging="603"/>
      </w:pPr>
      <w:rPr>
        <w:rFonts w:hint="default"/>
        <w:lang w:val="en-US" w:eastAsia="en-US" w:bidi="ar-SA"/>
      </w:rPr>
    </w:lvl>
    <w:lvl w:ilvl="4">
      <w:start w:val="0"/>
      <w:numFmt w:val="bullet"/>
      <w:lvlText w:val="•"/>
      <w:lvlJc w:val="left"/>
      <w:pPr>
        <w:ind w:left="5735" w:hanging="603"/>
      </w:pPr>
      <w:rPr>
        <w:rFonts w:hint="default"/>
        <w:lang w:val="en-US" w:eastAsia="en-US" w:bidi="ar-SA"/>
      </w:rPr>
    </w:lvl>
    <w:lvl w:ilvl="5">
      <w:start w:val="0"/>
      <w:numFmt w:val="bullet"/>
      <w:lvlText w:val="•"/>
      <w:lvlJc w:val="left"/>
      <w:pPr>
        <w:ind w:left="6614" w:hanging="603"/>
      </w:pPr>
      <w:rPr>
        <w:rFonts w:hint="default"/>
        <w:lang w:val="en-US" w:eastAsia="en-US" w:bidi="ar-SA"/>
      </w:rPr>
    </w:lvl>
    <w:lvl w:ilvl="6">
      <w:start w:val="0"/>
      <w:numFmt w:val="bullet"/>
      <w:lvlText w:val="•"/>
      <w:lvlJc w:val="left"/>
      <w:pPr>
        <w:ind w:left="7493" w:hanging="603"/>
      </w:pPr>
      <w:rPr>
        <w:rFonts w:hint="default"/>
        <w:lang w:val="en-US" w:eastAsia="en-US" w:bidi="ar-SA"/>
      </w:rPr>
    </w:lvl>
    <w:lvl w:ilvl="7">
      <w:start w:val="0"/>
      <w:numFmt w:val="bullet"/>
      <w:lvlText w:val="•"/>
      <w:lvlJc w:val="left"/>
      <w:pPr>
        <w:ind w:left="8372" w:hanging="603"/>
      </w:pPr>
      <w:rPr>
        <w:rFonts w:hint="default"/>
        <w:lang w:val="en-US" w:eastAsia="en-US" w:bidi="ar-SA"/>
      </w:rPr>
    </w:lvl>
    <w:lvl w:ilvl="8">
      <w:start w:val="0"/>
      <w:numFmt w:val="bullet"/>
      <w:lvlText w:val="•"/>
      <w:lvlJc w:val="left"/>
      <w:pPr>
        <w:ind w:left="9251" w:hanging="603"/>
      </w:pPr>
      <w:rPr>
        <w:rFonts w:hint="default"/>
        <w:lang w:val="en-US" w:eastAsia="en-US" w:bidi="ar-SA"/>
      </w:rPr>
    </w:lvl>
  </w:abstract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1">
    <w:abstractNumId w:val="20"/>
  </w:num>
  <w:num w:numId="20">
    <w:abstractNumId w:val="19"/>
  </w:num>
  <w:num w:numId="24">
    <w:abstractNumId w:val="23"/>
  </w:num>
  <w:num w:numId="23">
    <w:abstractNumId w:val="22"/>
  </w:num>
  <w:num w:numId="22">
    <w:abstractNumId w:val="21"/>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557"/>
      <w:ind w:left="1440"/>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139"/>
      <w:ind w:left="2100" w:hanging="660"/>
    </w:pPr>
    <w:rPr>
      <w:rFonts w:ascii="Times New Roman" w:hAnsi="Times New Roman" w:eastAsia="Times New Roman" w:cs="Times New Roman"/>
      <w:sz w:val="24"/>
      <w:szCs w:val="24"/>
      <w:lang w:val="en-US" w:eastAsia="en-US" w:bidi="ar-SA"/>
    </w:rPr>
  </w:style>
  <w:style w:styleId="TOC3" w:type="paragraph">
    <w:name w:val="TOC 3"/>
    <w:basedOn w:val="Normal"/>
    <w:uiPriority w:val="1"/>
    <w:qFormat/>
    <w:pPr>
      <w:spacing w:before="137"/>
      <w:ind w:left="2160" w:hanging="600"/>
    </w:pPr>
    <w:rPr>
      <w:rFonts w:ascii="Times New Roman" w:hAnsi="Times New Roman" w:eastAsia="Times New Roman" w:cs="Times New Roman"/>
      <w:sz w:val="24"/>
      <w:szCs w:val="24"/>
      <w:lang w:val="en-US" w:eastAsia="en-US" w:bidi="ar-SA"/>
    </w:rPr>
  </w:style>
  <w:style w:styleId="TOC4" w:type="paragraph">
    <w:name w:val="TOC 4"/>
    <w:basedOn w:val="Normal"/>
    <w:uiPriority w:val="1"/>
    <w:qFormat/>
    <w:pPr>
      <w:spacing w:before="137"/>
      <w:ind w:left="2160" w:hanging="509"/>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ind w:left="1440"/>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2160"/>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ind w:left="1440"/>
      <w:outlineLvl w:val="2"/>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2160" w:hanging="720"/>
      <w:jc w:val="both"/>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pn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hyperlink" Target="http://www.google.com/" TargetMode="External"/><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pn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jpeg"/><Relationship Id="rId50" Type="http://schemas.openxmlformats.org/officeDocument/2006/relationships/image" Target="media/image43.jpeg"/><Relationship Id="rId51" Type="http://schemas.openxmlformats.org/officeDocument/2006/relationships/image" Target="media/image44.png"/><Relationship Id="rId52" Type="http://schemas.openxmlformats.org/officeDocument/2006/relationships/image" Target="media/image45.jpeg"/><Relationship Id="rId53" Type="http://schemas.openxmlformats.org/officeDocument/2006/relationships/image" Target="media/image46.jpeg"/><Relationship Id="rId54" Type="http://schemas.openxmlformats.org/officeDocument/2006/relationships/image" Target="media/image47.jpeg"/><Relationship Id="rId55" Type="http://schemas.openxmlformats.org/officeDocument/2006/relationships/image" Target="media/image48.jpeg"/><Relationship Id="rId56" Type="http://schemas.openxmlformats.org/officeDocument/2006/relationships/image" Target="media/image49.jpeg"/><Relationship Id="rId57" Type="http://schemas.openxmlformats.org/officeDocument/2006/relationships/image" Target="media/image50.jpeg"/><Relationship Id="rId58" Type="http://schemas.openxmlformats.org/officeDocument/2006/relationships/image" Target="media/image51.jpeg"/><Relationship Id="rId59" Type="http://schemas.openxmlformats.org/officeDocument/2006/relationships/image" Target="media/image52.jpeg"/><Relationship Id="rId60" Type="http://schemas.openxmlformats.org/officeDocument/2006/relationships/image" Target="media/image53.jpeg"/><Relationship Id="rId61" Type="http://schemas.openxmlformats.org/officeDocument/2006/relationships/image" Target="media/image54.jpeg"/><Relationship Id="rId62" Type="http://schemas.openxmlformats.org/officeDocument/2006/relationships/image" Target="media/image55.png"/><Relationship Id="rId63" Type="http://schemas.openxmlformats.org/officeDocument/2006/relationships/image" Target="media/image56.jpeg"/><Relationship Id="rId64" Type="http://schemas.openxmlformats.org/officeDocument/2006/relationships/image" Target="media/image57.jpeg"/><Relationship Id="rId65" Type="http://schemas.openxmlformats.org/officeDocument/2006/relationships/image" Target="media/image58.jpeg"/><Relationship Id="rId66" Type="http://schemas.openxmlformats.org/officeDocument/2006/relationships/image" Target="media/image59.jpeg"/><Relationship Id="rId67" Type="http://schemas.openxmlformats.org/officeDocument/2006/relationships/image" Target="media/image60.jpeg"/><Relationship Id="rId68" Type="http://schemas.openxmlformats.org/officeDocument/2006/relationships/image" Target="media/image61.jpeg"/><Relationship Id="rId69" Type="http://schemas.openxmlformats.org/officeDocument/2006/relationships/image" Target="media/image62.jpeg"/><Relationship Id="rId70" Type="http://schemas.openxmlformats.org/officeDocument/2006/relationships/image" Target="media/image63.jpeg"/><Relationship Id="rId71" Type="http://schemas.openxmlformats.org/officeDocument/2006/relationships/image" Target="media/image64.jpeg"/><Relationship Id="rId72" Type="http://schemas.openxmlformats.org/officeDocument/2006/relationships/image" Target="media/image65.jpeg"/><Relationship Id="rId73" Type="http://schemas.openxmlformats.org/officeDocument/2006/relationships/image" Target="media/image66.jpeg"/><Relationship Id="rId74" Type="http://schemas.openxmlformats.org/officeDocument/2006/relationships/image" Target="media/image67.jpeg"/><Relationship Id="rId75" Type="http://schemas.openxmlformats.org/officeDocument/2006/relationships/image" Target="media/image68.png"/><Relationship Id="rId76" Type="http://schemas.openxmlformats.org/officeDocument/2006/relationships/hyperlink" Target="http://www.case.ox.ac.uk/" TargetMode="External"/><Relationship Id="rId77" Type="http://schemas.openxmlformats.org/officeDocument/2006/relationships/hyperlink" Target="http://www.facebook.com/home" TargetMode="External"/><Relationship Id="rId78" Type="http://schemas.openxmlformats.org/officeDocument/2006/relationships/hyperlink" Target="http://www.usip.org/pubs/usipeace-briefings/2995/1219-nigerdelta.html" TargetMode="External"/><Relationship Id="rId79" Type="http://schemas.openxmlformats.org/officeDocument/2006/relationships/hyperlink" Target="http://www.crisisgroup.org/home/index.cfm" TargetMode="External"/><Relationship Id="rId80" Type="http://schemas.openxmlformats.org/officeDocument/2006/relationships/hyperlink" Target="http://www.irenees.net/fr/fiches/analyse-988.html" TargetMode="External"/><Relationship Id="rId81" Type="http://schemas.openxmlformats.org/officeDocument/2006/relationships/hyperlink" Target="http://www.cdd.org.uk/resources/workingpapers/niger-delta-eng.htm" TargetMode="External"/><Relationship Id="rId8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Mejabi</dc:creator>
  <dc:title>A STRATEGIC ASSESSMENT OF THE JOINT MILITARY TASK</dc:title>
  <dcterms:created xsi:type="dcterms:W3CDTF">2023-10-30T17:12:07Z</dcterms:created>
  <dcterms:modified xsi:type="dcterms:W3CDTF">2023-10-30T17:12:07Z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2018-05-21T00:00:00Z</vt:filetime>
  </property>
  <property fmtid="{D5CDD505-2E9C-101B-9397-08002B2CF9AE}" pid="3" name="Creator">
    <vt:lpwstr>Microsoft® Word 2010</vt:lpwstr>
  </property>
  <property fmtid="{D5CDD505-2E9C-101B-9397-08002B2CF9AE}" pid="4" name="LastSaved">
    <vt:filetime>2023-10-30T00:00:00Z</vt:filetime>
  </property>
  <property fmtid="{D5CDD505-2E9C-101B-9397-08002B2CF9AE}" pid="5" name="Producer">
    <vt:lpwstr>Microsoft® Word 2010</vt:lpwstr>
  </property>
</Properties>
</file>